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color="auto" w:fill="FFFFFF"/>
        <w:spacing w:after="120" w:afterLines="50"/>
        <w:jc w:val="center"/>
        <w:rPr>
          <w:rFonts w:ascii="宋体" w:hAnsi="宋体"/>
          <w:b/>
          <w:color w:val="auto"/>
          <w:sz w:val="52"/>
          <w:szCs w:val="52"/>
          <w:highlight w:val="none"/>
        </w:rPr>
      </w:pPr>
    </w:p>
    <w:p>
      <w:pPr>
        <w:shd w:val="clear" w:color="auto" w:fill="FFFFFF"/>
        <w:spacing w:after="120" w:afterLines="50"/>
        <w:jc w:val="center"/>
        <w:rPr>
          <w:rFonts w:ascii="宋体" w:hAnsi="宋体"/>
          <w:b/>
          <w:color w:val="auto"/>
          <w:sz w:val="48"/>
          <w:szCs w:val="48"/>
          <w:highlight w:val="none"/>
        </w:rPr>
      </w:pPr>
      <w:r>
        <w:rPr>
          <w:rFonts w:hint="eastAsia" w:ascii="宋体" w:hAnsi="宋体"/>
          <w:b/>
          <w:color w:val="auto"/>
          <w:sz w:val="48"/>
          <w:szCs w:val="48"/>
          <w:highlight w:val="none"/>
        </w:rPr>
        <w:t>绍兴市建设工程施工招标文件示范文本</w:t>
      </w:r>
    </w:p>
    <w:p>
      <w:pPr>
        <w:shd w:val="clear" w:color="auto" w:fill="FFFFFF"/>
        <w:spacing w:after="120" w:afterLines="50"/>
        <w:jc w:val="center"/>
        <w:rPr>
          <w:rFonts w:ascii="楷体_GB2312" w:eastAsia="楷体_GB2312"/>
          <w:color w:val="auto"/>
          <w:sz w:val="44"/>
          <w:szCs w:val="44"/>
          <w:highlight w:val="none"/>
        </w:rPr>
      </w:pPr>
      <w:r>
        <w:rPr>
          <w:rFonts w:hint="eastAsia" w:ascii="楷体_GB2312" w:eastAsia="楷体_GB2312"/>
          <w:color w:val="auto"/>
          <w:sz w:val="44"/>
          <w:szCs w:val="44"/>
          <w:highlight w:val="none"/>
        </w:rPr>
        <w:t>（使用本）</w:t>
      </w:r>
    </w:p>
    <w:p>
      <w:pPr>
        <w:shd w:val="clear" w:color="auto" w:fill="FFFFFF"/>
        <w:spacing w:after="120" w:afterLines="50"/>
        <w:jc w:val="center"/>
        <w:rPr>
          <w:rFonts w:ascii="黑体" w:eastAsia="黑体"/>
          <w:color w:val="auto"/>
          <w:sz w:val="36"/>
          <w:szCs w:val="36"/>
          <w:highlight w:val="none"/>
        </w:rPr>
      </w:pPr>
    </w:p>
    <w:p>
      <w:pPr>
        <w:shd w:val="clear" w:color="auto" w:fill="FFFFFF"/>
        <w:spacing w:after="120" w:afterLines="50"/>
        <w:jc w:val="center"/>
        <w:rPr>
          <w:rFonts w:ascii="黑体" w:eastAsia="黑体"/>
          <w:color w:val="auto"/>
          <w:sz w:val="36"/>
          <w:szCs w:val="36"/>
          <w:highlight w:val="none"/>
        </w:rPr>
      </w:pPr>
    </w:p>
    <w:p>
      <w:pPr>
        <w:shd w:val="clear" w:color="auto" w:fill="FFFFFF"/>
        <w:spacing w:after="120" w:afterLines="50"/>
        <w:jc w:val="center"/>
        <w:rPr>
          <w:rFonts w:ascii="黑体" w:eastAsia="黑体"/>
          <w:color w:val="auto"/>
          <w:sz w:val="36"/>
          <w:szCs w:val="36"/>
          <w:highlight w:val="none"/>
        </w:rPr>
      </w:pPr>
    </w:p>
    <w:p>
      <w:pPr>
        <w:shd w:val="clear" w:color="auto" w:fill="FFFFFF"/>
        <w:spacing w:after="120" w:afterLines="50"/>
        <w:jc w:val="center"/>
        <w:rPr>
          <w:rFonts w:ascii="黑体" w:eastAsia="黑体"/>
          <w:color w:val="auto"/>
          <w:sz w:val="36"/>
          <w:szCs w:val="36"/>
          <w:highlight w:val="none"/>
        </w:rPr>
      </w:pPr>
    </w:p>
    <w:p>
      <w:pPr>
        <w:shd w:val="clear" w:color="auto" w:fill="FFFFFF"/>
        <w:spacing w:after="120" w:afterLines="50"/>
        <w:jc w:val="center"/>
        <w:rPr>
          <w:rFonts w:ascii="黑体" w:eastAsia="黑体"/>
          <w:color w:val="auto"/>
          <w:sz w:val="36"/>
          <w:szCs w:val="36"/>
          <w:highlight w:val="none"/>
        </w:rPr>
      </w:pPr>
    </w:p>
    <w:p>
      <w:pPr>
        <w:pStyle w:val="2"/>
        <w:ind w:firstLine="360"/>
        <w:rPr>
          <w:rFonts w:ascii="黑体" w:eastAsia="黑体"/>
          <w:color w:val="auto"/>
          <w:sz w:val="36"/>
          <w:szCs w:val="36"/>
          <w:highlight w:val="none"/>
        </w:rPr>
      </w:pPr>
    </w:p>
    <w:p>
      <w:pPr>
        <w:pStyle w:val="2"/>
        <w:ind w:firstLine="360"/>
        <w:rPr>
          <w:rFonts w:ascii="黑体" w:eastAsia="黑体"/>
          <w:color w:val="auto"/>
          <w:sz w:val="36"/>
          <w:szCs w:val="36"/>
          <w:highlight w:val="none"/>
        </w:rPr>
      </w:pPr>
    </w:p>
    <w:p>
      <w:pPr>
        <w:pStyle w:val="2"/>
        <w:ind w:firstLine="360"/>
        <w:rPr>
          <w:rFonts w:ascii="黑体" w:eastAsia="黑体"/>
          <w:color w:val="auto"/>
          <w:sz w:val="36"/>
          <w:szCs w:val="36"/>
          <w:highlight w:val="none"/>
        </w:rPr>
      </w:pPr>
    </w:p>
    <w:p>
      <w:pPr>
        <w:shd w:val="clear" w:color="auto" w:fill="FFFFFF"/>
        <w:spacing w:after="120" w:afterLines="50"/>
        <w:jc w:val="center"/>
        <w:rPr>
          <w:rFonts w:ascii="黑体" w:eastAsia="黑体"/>
          <w:color w:val="auto"/>
          <w:sz w:val="36"/>
          <w:szCs w:val="36"/>
          <w:highlight w:val="none"/>
        </w:rPr>
      </w:pPr>
    </w:p>
    <w:p>
      <w:pPr>
        <w:shd w:val="clear" w:color="auto" w:fill="FFFFFF"/>
        <w:spacing w:after="120" w:afterLines="50"/>
        <w:jc w:val="center"/>
        <w:rPr>
          <w:rFonts w:ascii="黑体" w:eastAsia="黑体"/>
          <w:color w:val="auto"/>
          <w:sz w:val="36"/>
          <w:szCs w:val="36"/>
          <w:highlight w:val="none"/>
        </w:rPr>
      </w:pPr>
    </w:p>
    <w:p>
      <w:pPr>
        <w:shd w:val="clear" w:color="auto" w:fill="FFFFFF"/>
        <w:spacing w:after="120" w:afterLines="50"/>
        <w:jc w:val="center"/>
        <w:rPr>
          <w:rFonts w:ascii="黑体" w:eastAsia="黑体"/>
          <w:color w:val="auto"/>
          <w:sz w:val="36"/>
          <w:szCs w:val="36"/>
          <w:highlight w:val="none"/>
        </w:rPr>
      </w:pPr>
    </w:p>
    <w:p>
      <w:pPr>
        <w:shd w:val="clear" w:color="auto" w:fill="FFFFFF"/>
        <w:spacing w:after="120" w:afterLines="50"/>
        <w:jc w:val="center"/>
        <w:rPr>
          <w:rFonts w:ascii="黑体" w:eastAsia="黑体"/>
          <w:color w:val="auto"/>
          <w:sz w:val="36"/>
          <w:szCs w:val="36"/>
          <w:highlight w:val="none"/>
        </w:rPr>
      </w:pPr>
    </w:p>
    <w:p>
      <w:pPr>
        <w:widowControl/>
        <w:shd w:val="clear" w:color="auto" w:fill="FFFFFF"/>
        <w:spacing w:line="500" w:lineRule="exact"/>
        <w:ind w:right="160"/>
        <w:jc w:val="center"/>
        <w:rPr>
          <w:rFonts w:ascii="仿宋_GB2312" w:hAnsi="仿宋" w:eastAsia="仿宋_GB2312" w:cs="仿宋_GB2312"/>
          <w:color w:val="auto"/>
          <w:kern w:val="0"/>
          <w:sz w:val="32"/>
          <w:szCs w:val="32"/>
          <w:highlight w:val="none"/>
        </w:rPr>
      </w:pPr>
      <w:r>
        <w:rPr>
          <w:rFonts w:hint="eastAsia" w:ascii="仿宋_GB2312" w:hAnsi="仿宋" w:eastAsia="仿宋_GB2312" w:cs="仿宋_GB2312"/>
          <w:color w:val="auto"/>
          <w:kern w:val="0"/>
          <w:sz w:val="32"/>
          <w:szCs w:val="32"/>
          <w:highlight w:val="none"/>
        </w:rPr>
        <w:t>绍兴市住房和城乡建设局</w:t>
      </w:r>
    </w:p>
    <w:p>
      <w:pPr>
        <w:widowControl/>
        <w:shd w:val="clear" w:color="auto" w:fill="FFFFFF"/>
        <w:spacing w:line="500" w:lineRule="exact"/>
        <w:ind w:right="160"/>
        <w:jc w:val="center"/>
        <w:rPr>
          <w:rFonts w:ascii="仿宋_GB2312" w:hAnsi="仿宋" w:eastAsia="仿宋_GB2312" w:cs="仿宋_GB2312"/>
          <w:color w:val="auto"/>
          <w:spacing w:val="17"/>
          <w:kern w:val="0"/>
          <w:sz w:val="32"/>
          <w:szCs w:val="32"/>
          <w:highlight w:val="none"/>
        </w:rPr>
      </w:pPr>
      <w:r>
        <w:rPr>
          <w:rFonts w:hint="eastAsia" w:ascii="仿宋_GB2312" w:hAnsi="仿宋" w:eastAsia="仿宋_GB2312" w:cs="仿宋_GB2312"/>
          <w:color w:val="auto"/>
          <w:kern w:val="0"/>
          <w:sz w:val="32"/>
          <w:szCs w:val="32"/>
          <w:highlight w:val="none"/>
        </w:rPr>
        <w:t xml:space="preserve">                         制</w:t>
      </w:r>
    </w:p>
    <w:p>
      <w:pPr>
        <w:shd w:val="clear" w:color="auto" w:fill="FFFFFF"/>
        <w:spacing w:after="120" w:afterLines="50" w:line="500" w:lineRule="exact"/>
        <w:jc w:val="center"/>
        <w:rPr>
          <w:rFonts w:ascii="黑体" w:eastAsia="黑体"/>
          <w:color w:val="auto"/>
          <w:spacing w:val="17"/>
          <w:sz w:val="36"/>
          <w:szCs w:val="36"/>
          <w:highlight w:val="none"/>
        </w:rPr>
      </w:pPr>
      <w:r>
        <w:rPr>
          <w:rFonts w:hint="eastAsia" w:ascii="仿宋_GB2312" w:hAnsi="仿宋" w:eastAsia="仿宋_GB2312" w:cs="仿宋_GB2312"/>
          <w:color w:val="auto"/>
          <w:spacing w:val="17"/>
          <w:kern w:val="0"/>
          <w:sz w:val="32"/>
          <w:szCs w:val="32"/>
          <w:highlight w:val="none"/>
        </w:rPr>
        <w:t>绍兴市政务服务办公室</w:t>
      </w:r>
    </w:p>
    <w:p>
      <w:pPr>
        <w:shd w:val="clear" w:color="auto" w:fill="FFFFFF"/>
        <w:spacing w:line="400" w:lineRule="exact"/>
        <w:jc w:val="center"/>
        <w:rPr>
          <w:rFonts w:ascii="楷体_GB2312" w:eastAsia="楷体_GB2312"/>
          <w:color w:val="auto"/>
          <w:sz w:val="32"/>
          <w:szCs w:val="32"/>
          <w:highlight w:val="none"/>
        </w:rPr>
      </w:pPr>
      <w:r>
        <w:rPr>
          <w:rFonts w:hint="eastAsia" w:ascii="楷体_GB2312" w:eastAsia="楷体_GB2312"/>
          <w:color w:val="auto"/>
          <w:sz w:val="32"/>
          <w:szCs w:val="32"/>
          <w:highlight w:val="none"/>
        </w:rPr>
        <w:t>（2020年12月）</w:t>
      </w:r>
    </w:p>
    <w:p>
      <w:pPr>
        <w:shd w:val="clear" w:color="auto" w:fill="FFFFFF"/>
        <w:spacing w:line="400" w:lineRule="exact"/>
        <w:jc w:val="center"/>
        <w:rPr>
          <w:rFonts w:ascii="楷体_GB2312" w:eastAsia="楷体_GB2312"/>
          <w:color w:val="auto"/>
          <w:sz w:val="32"/>
          <w:szCs w:val="32"/>
          <w:highlight w:val="none"/>
        </w:rPr>
      </w:pPr>
    </w:p>
    <w:p>
      <w:pPr>
        <w:shd w:val="clear" w:color="auto" w:fill="FFFFFF"/>
        <w:spacing w:line="400" w:lineRule="exact"/>
        <w:jc w:val="center"/>
        <w:rPr>
          <w:rFonts w:ascii="楷体_GB2312" w:eastAsia="楷体_GB2312"/>
          <w:color w:val="auto"/>
          <w:sz w:val="32"/>
          <w:szCs w:val="32"/>
          <w:highlight w:val="none"/>
        </w:rPr>
      </w:pPr>
    </w:p>
    <w:p>
      <w:pPr>
        <w:shd w:val="clear" w:color="auto" w:fill="FFFFFF"/>
        <w:spacing w:line="400" w:lineRule="exact"/>
        <w:jc w:val="center"/>
        <w:rPr>
          <w:rFonts w:ascii="楷体_GB2312" w:eastAsia="楷体_GB2312"/>
          <w:color w:val="auto"/>
          <w:sz w:val="32"/>
          <w:szCs w:val="32"/>
          <w:highlight w:val="none"/>
        </w:rPr>
      </w:pPr>
    </w:p>
    <w:p>
      <w:pPr>
        <w:shd w:val="clear" w:color="auto" w:fill="FFFFFF"/>
        <w:spacing w:line="400" w:lineRule="exact"/>
        <w:jc w:val="center"/>
        <w:rPr>
          <w:rFonts w:ascii="楷体_GB2312" w:eastAsia="楷体_GB2312"/>
          <w:color w:val="auto"/>
          <w:sz w:val="32"/>
          <w:szCs w:val="32"/>
          <w:highlight w:val="none"/>
        </w:rPr>
      </w:pPr>
    </w:p>
    <w:p>
      <w:pPr>
        <w:shd w:val="clear" w:color="auto" w:fill="FFFFFF"/>
        <w:spacing w:line="400" w:lineRule="exact"/>
        <w:jc w:val="center"/>
        <w:rPr>
          <w:rFonts w:ascii="楷体_GB2312" w:eastAsia="楷体_GB2312"/>
          <w:color w:val="auto"/>
          <w:sz w:val="32"/>
          <w:szCs w:val="32"/>
          <w:highlight w:val="none"/>
        </w:rPr>
      </w:pPr>
    </w:p>
    <w:p>
      <w:pPr>
        <w:shd w:val="clear" w:color="auto" w:fill="FFFFFF"/>
        <w:spacing w:line="400" w:lineRule="exact"/>
        <w:jc w:val="center"/>
        <w:rPr>
          <w:rFonts w:ascii="楷体_GB2312" w:eastAsia="楷体_GB2312"/>
          <w:color w:val="auto"/>
          <w:sz w:val="32"/>
          <w:szCs w:val="32"/>
          <w:highlight w:val="none"/>
        </w:rPr>
      </w:pPr>
    </w:p>
    <w:p>
      <w:pPr>
        <w:shd w:val="clear" w:color="auto" w:fill="FFFFFF"/>
        <w:spacing w:after="120" w:afterLines="50"/>
        <w:jc w:val="center"/>
        <w:rPr>
          <w:rFonts w:ascii="黑体" w:eastAsia="黑体"/>
          <w:color w:val="auto"/>
          <w:sz w:val="36"/>
          <w:szCs w:val="36"/>
          <w:highlight w:val="none"/>
        </w:rPr>
      </w:pPr>
      <w:r>
        <w:rPr>
          <w:rFonts w:hint="eastAsia" w:ascii="黑体" w:eastAsia="黑体"/>
          <w:color w:val="auto"/>
          <w:sz w:val="36"/>
          <w:szCs w:val="36"/>
          <w:highlight w:val="none"/>
        </w:rPr>
        <w:t>使 用 说 明</w:t>
      </w:r>
    </w:p>
    <w:p>
      <w:pPr>
        <w:shd w:val="clear" w:color="auto" w:fill="FFFFFF"/>
        <w:spacing w:line="440" w:lineRule="exact"/>
        <w:ind w:left="707" w:leftChars="203" w:hanging="281" w:hangingChars="134"/>
        <w:rPr>
          <w:rFonts w:ascii="宋体" w:hAnsi="宋体"/>
          <w:color w:val="auto"/>
          <w:szCs w:val="21"/>
          <w:highlight w:val="none"/>
        </w:rPr>
      </w:pPr>
      <w:r>
        <w:rPr>
          <w:rFonts w:hint="eastAsia" w:ascii="宋体" w:hAnsi="宋体"/>
          <w:color w:val="auto"/>
          <w:szCs w:val="21"/>
          <w:highlight w:val="none"/>
        </w:rPr>
        <w:t>1、本招标文件适用于绍兴市区建设工程（包括房屋建筑、市政园林工程等）项目施工的招标投标。</w:t>
      </w:r>
    </w:p>
    <w:p>
      <w:pPr>
        <w:shd w:val="clear" w:color="auto" w:fill="FFFFFF"/>
        <w:spacing w:line="440" w:lineRule="exact"/>
        <w:ind w:left="708" w:leftChars="203" w:hanging="282"/>
        <w:rPr>
          <w:rFonts w:ascii="宋体" w:hAnsi="宋体"/>
          <w:color w:val="auto"/>
          <w:szCs w:val="21"/>
          <w:highlight w:val="none"/>
        </w:rPr>
      </w:pPr>
      <w:r>
        <w:rPr>
          <w:rFonts w:hint="eastAsia" w:ascii="宋体" w:hAnsi="宋体"/>
          <w:color w:val="auto"/>
          <w:szCs w:val="21"/>
          <w:highlight w:val="none"/>
        </w:rPr>
        <w:t>2、本招标文件由招标人（或招标代理机构）编制签发，报绍兴市建设工程招标投标监督管理部门备案。</w:t>
      </w:r>
    </w:p>
    <w:p>
      <w:pPr>
        <w:shd w:val="clear" w:color="auto" w:fill="FFFFFF"/>
        <w:spacing w:line="440" w:lineRule="exact"/>
        <w:ind w:left="708" w:leftChars="203" w:hanging="282"/>
        <w:rPr>
          <w:rFonts w:ascii="宋体" w:hAnsi="宋体"/>
          <w:color w:val="auto"/>
          <w:szCs w:val="21"/>
          <w:highlight w:val="none"/>
        </w:rPr>
      </w:pPr>
      <w:r>
        <w:rPr>
          <w:rFonts w:hint="eastAsia" w:ascii="宋体" w:hAnsi="宋体"/>
          <w:color w:val="auto"/>
          <w:szCs w:val="21"/>
          <w:highlight w:val="none"/>
        </w:rPr>
        <w:t>3、招标人（或招标代理机构）在本《招标文件》上填空、补充的内容，在电子、纸质文件中均应以斜体、粗体等有别于本文本的字体表示。</w:t>
      </w:r>
    </w:p>
    <w:p>
      <w:pPr>
        <w:shd w:val="clear" w:color="auto" w:fill="FFFFFF"/>
        <w:spacing w:line="440" w:lineRule="exact"/>
        <w:ind w:firstLine="437"/>
        <w:rPr>
          <w:rFonts w:ascii="宋体" w:hAnsi="宋体"/>
          <w:color w:val="auto"/>
          <w:szCs w:val="21"/>
          <w:highlight w:val="none"/>
        </w:rPr>
      </w:pPr>
      <w:r>
        <w:rPr>
          <w:rFonts w:hint="eastAsia" w:ascii="宋体" w:hAnsi="宋体"/>
          <w:color w:val="auto"/>
          <w:szCs w:val="21"/>
          <w:highlight w:val="none"/>
        </w:rPr>
        <w:t>4、投标人必须按照本《招标文件》所提供的(附表件)格式编制投标文件。</w:t>
      </w:r>
    </w:p>
    <w:p>
      <w:pPr>
        <w:shd w:val="clear" w:color="auto" w:fill="FFFFFF"/>
        <w:spacing w:line="440" w:lineRule="exact"/>
        <w:ind w:firstLine="437"/>
        <w:rPr>
          <w:rFonts w:ascii="宋体" w:hAnsi="宋体"/>
          <w:color w:val="auto"/>
          <w:szCs w:val="21"/>
          <w:highlight w:val="none"/>
        </w:rPr>
      </w:pPr>
    </w:p>
    <w:p>
      <w:pPr>
        <w:shd w:val="clear" w:color="auto" w:fill="FFFFFF"/>
        <w:spacing w:line="440" w:lineRule="exact"/>
        <w:ind w:firstLine="437"/>
        <w:rPr>
          <w:rFonts w:ascii="宋体" w:hAnsi="宋体"/>
          <w:color w:val="auto"/>
          <w:szCs w:val="21"/>
          <w:highlight w:val="none"/>
        </w:rPr>
      </w:pPr>
    </w:p>
    <w:p>
      <w:pPr>
        <w:shd w:val="clear" w:color="auto" w:fill="FFFFFF"/>
        <w:spacing w:line="440" w:lineRule="exact"/>
        <w:ind w:firstLine="437"/>
        <w:rPr>
          <w:rFonts w:ascii="宋体" w:hAnsi="宋体"/>
          <w:color w:val="auto"/>
          <w:szCs w:val="21"/>
          <w:highlight w:val="none"/>
        </w:rPr>
      </w:pPr>
    </w:p>
    <w:p>
      <w:pPr>
        <w:shd w:val="clear" w:color="auto" w:fill="FFFFFF"/>
        <w:spacing w:line="440" w:lineRule="exact"/>
        <w:ind w:firstLine="437"/>
        <w:rPr>
          <w:rFonts w:ascii="宋体" w:hAnsi="宋体"/>
          <w:color w:val="auto"/>
          <w:szCs w:val="21"/>
          <w:highlight w:val="none"/>
        </w:rPr>
      </w:pPr>
    </w:p>
    <w:p>
      <w:pPr>
        <w:shd w:val="clear" w:color="auto" w:fill="FFFFFF"/>
        <w:spacing w:line="440" w:lineRule="exact"/>
        <w:ind w:firstLine="437"/>
        <w:rPr>
          <w:rFonts w:ascii="宋体" w:hAnsi="宋体"/>
          <w:color w:val="auto"/>
          <w:szCs w:val="21"/>
          <w:highlight w:val="none"/>
        </w:rPr>
      </w:pPr>
    </w:p>
    <w:p>
      <w:pPr>
        <w:shd w:val="clear" w:color="auto" w:fill="FFFFFF"/>
        <w:spacing w:line="440" w:lineRule="exact"/>
        <w:ind w:firstLine="437"/>
        <w:rPr>
          <w:rFonts w:ascii="宋体" w:hAnsi="宋体"/>
          <w:color w:val="auto"/>
          <w:szCs w:val="21"/>
          <w:highlight w:val="none"/>
        </w:rPr>
      </w:pPr>
    </w:p>
    <w:p>
      <w:pPr>
        <w:shd w:val="clear" w:color="auto" w:fill="FFFFFF"/>
        <w:spacing w:line="440" w:lineRule="exact"/>
        <w:ind w:firstLine="437"/>
        <w:rPr>
          <w:rFonts w:ascii="宋体" w:hAnsi="宋体"/>
          <w:color w:val="auto"/>
          <w:szCs w:val="21"/>
          <w:highlight w:val="none"/>
        </w:rPr>
      </w:pPr>
    </w:p>
    <w:p>
      <w:pPr>
        <w:shd w:val="clear" w:color="auto" w:fill="FFFFFF"/>
        <w:spacing w:line="440" w:lineRule="exact"/>
        <w:ind w:firstLine="437"/>
        <w:rPr>
          <w:rFonts w:ascii="宋体" w:hAnsi="宋体"/>
          <w:color w:val="auto"/>
          <w:szCs w:val="21"/>
          <w:highlight w:val="none"/>
        </w:rPr>
      </w:pPr>
    </w:p>
    <w:p>
      <w:pPr>
        <w:shd w:val="clear" w:color="auto" w:fill="FFFFFF"/>
        <w:spacing w:line="440" w:lineRule="exact"/>
        <w:ind w:firstLine="437"/>
        <w:rPr>
          <w:rFonts w:ascii="宋体" w:hAnsi="宋体"/>
          <w:color w:val="auto"/>
          <w:szCs w:val="21"/>
          <w:highlight w:val="none"/>
        </w:rPr>
      </w:pPr>
    </w:p>
    <w:p>
      <w:pPr>
        <w:shd w:val="clear" w:color="auto" w:fill="FFFFFF"/>
        <w:spacing w:line="440" w:lineRule="exact"/>
        <w:ind w:firstLine="437"/>
        <w:rPr>
          <w:rFonts w:ascii="宋体" w:hAnsi="宋体"/>
          <w:color w:val="auto"/>
          <w:szCs w:val="21"/>
          <w:highlight w:val="none"/>
        </w:rPr>
      </w:pPr>
    </w:p>
    <w:p>
      <w:pPr>
        <w:shd w:val="clear" w:color="auto" w:fill="FFFFFF"/>
        <w:spacing w:line="440" w:lineRule="exact"/>
        <w:ind w:firstLine="437"/>
        <w:rPr>
          <w:rFonts w:ascii="宋体" w:hAnsi="宋体"/>
          <w:color w:val="auto"/>
          <w:szCs w:val="21"/>
          <w:highlight w:val="none"/>
        </w:rPr>
      </w:pPr>
    </w:p>
    <w:p>
      <w:pPr>
        <w:shd w:val="clear" w:color="auto" w:fill="FFFFFF"/>
        <w:spacing w:line="440" w:lineRule="exact"/>
        <w:ind w:firstLine="437"/>
        <w:rPr>
          <w:rFonts w:ascii="宋体" w:hAnsi="宋体"/>
          <w:color w:val="auto"/>
          <w:szCs w:val="21"/>
          <w:highlight w:val="none"/>
        </w:rPr>
      </w:pPr>
    </w:p>
    <w:p>
      <w:pPr>
        <w:shd w:val="clear" w:color="auto" w:fill="FFFFFF"/>
        <w:spacing w:line="440" w:lineRule="exact"/>
        <w:ind w:firstLine="437"/>
        <w:rPr>
          <w:rFonts w:ascii="宋体" w:hAnsi="宋体"/>
          <w:color w:val="auto"/>
          <w:szCs w:val="21"/>
          <w:highlight w:val="none"/>
        </w:rPr>
      </w:pPr>
    </w:p>
    <w:p>
      <w:pPr>
        <w:shd w:val="clear" w:color="auto" w:fill="FFFFFF"/>
        <w:spacing w:line="440" w:lineRule="exact"/>
        <w:ind w:firstLine="437"/>
        <w:rPr>
          <w:rFonts w:ascii="宋体" w:hAnsi="宋体"/>
          <w:color w:val="auto"/>
          <w:szCs w:val="21"/>
          <w:highlight w:val="none"/>
        </w:rPr>
      </w:pPr>
    </w:p>
    <w:p>
      <w:pPr>
        <w:shd w:val="clear" w:color="auto" w:fill="FFFFFF"/>
        <w:spacing w:line="440" w:lineRule="exact"/>
        <w:ind w:firstLine="437"/>
        <w:rPr>
          <w:rFonts w:ascii="宋体" w:hAnsi="宋体"/>
          <w:color w:val="auto"/>
          <w:szCs w:val="21"/>
          <w:highlight w:val="none"/>
        </w:rPr>
      </w:pPr>
    </w:p>
    <w:p>
      <w:pPr>
        <w:shd w:val="clear" w:color="auto" w:fill="FFFFFF"/>
        <w:spacing w:line="440" w:lineRule="exact"/>
        <w:ind w:firstLine="437"/>
        <w:rPr>
          <w:rFonts w:ascii="宋体" w:hAnsi="宋体"/>
          <w:color w:val="auto"/>
          <w:szCs w:val="21"/>
          <w:highlight w:val="none"/>
        </w:rPr>
      </w:pPr>
    </w:p>
    <w:p>
      <w:pPr>
        <w:shd w:val="clear" w:color="auto" w:fill="FFFFFF"/>
        <w:spacing w:line="440" w:lineRule="exact"/>
        <w:ind w:firstLine="437"/>
        <w:rPr>
          <w:rFonts w:ascii="宋体" w:hAnsi="宋体"/>
          <w:color w:val="auto"/>
          <w:szCs w:val="21"/>
          <w:highlight w:val="none"/>
        </w:rPr>
      </w:pPr>
    </w:p>
    <w:p>
      <w:pPr>
        <w:shd w:val="clear" w:color="auto" w:fill="FFFFFF"/>
        <w:spacing w:line="440" w:lineRule="exact"/>
        <w:ind w:firstLine="437"/>
        <w:rPr>
          <w:rFonts w:ascii="宋体" w:hAnsi="宋体"/>
          <w:color w:val="auto"/>
          <w:szCs w:val="21"/>
          <w:highlight w:val="none"/>
        </w:rPr>
      </w:pPr>
    </w:p>
    <w:p>
      <w:pPr>
        <w:shd w:val="clear" w:color="auto" w:fill="FFFFFF"/>
        <w:spacing w:line="440" w:lineRule="exact"/>
        <w:ind w:firstLine="437"/>
        <w:rPr>
          <w:rFonts w:ascii="宋体" w:hAnsi="宋体"/>
          <w:color w:val="auto"/>
          <w:szCs w:val="21"/>
          <w:highlight w:val="none"/>
        </w:rPr>
      </w:pPr>
    </w:p>
    <w:p>
      <w:pPr>
        <w:shd w:val="clear" w:color="auto" w:fill="FFFFFF"/>
        <w:spacing w:line="440" w:lineRule="exact"/>
        <w:ind w:firstLine="437"/>
        <w:rPr>
          <w:rFonts w:ascii="宋体" w:hAnsi="宋体"/>
          <w:color w:val="auto"/>
          <w:szCs w:val="21"/>
          <w:highlight w:val="none"/>
        </w:rPr>
      </w:pPr>
    </w:p>
    <w:p>
      <w:pPr>
        <w:shd w:val="clear" w:color="auto" w:fill="FFFFFF"/>
        <w:spacing w:line="400" w:lineRule="exact"/>
        <w:rPr>
          <w:rFonts w:ascii="黑体" w:hAnsi="宋体" w:eastAsia="黑体"/>
          <w:color w:val="auto"/>
          <w:sz w:val="32"/>
          <w:szCs w:val="32"/>
          <w:highlight w:val="none"/>
        </w:rPr>
      </w:pPr>
    </w:p>
    <w:p>
      <w:pPr>
        <w:pStyle w:val="4"/>
        <w:jc w:val="center"/>
        <w:rPr>
          <w:color w:val="auto"/>
          <w:sz w:val="32"/>
          <w:szCs w:val="32"/>
          <w:highlight w:val="none"/>
        </w:rPr>
      </w:pPr>
      <w:r>
        <w:rPr>
          <w:rFonts w:hint="eastAsia"/>
          <w:color w:val="auto"/>
          <w:sz w:val="32"/>
          <w:szCs w:val="32"/>
          <w:highlight w:val="none"/>
          <w:u w:val="single"/>
        </w:rPr>
        <w:t>329国道智慧快速路治超非现场执法系统迁改工程（越城段）</w:t>
      </w:r>
      <w:r>
        <w:rPr>
          <w:rFonts w:hint="eastAsia"/>
          <w:color w:val="auto"/>
          <w:sz w:val="32"/>
          <w:szCs w:val="32"/>
          <w:highlight w:val="none"/>
        </w:rPr>
        <w:t>招标文件</w:t>
      </w:r>
    </w:p>
    <w:p>
      <w:pPr>
        <w:spacing w:line="540" w:lineRule="exact"/>
        <w:rPr>
          <w:rFonts w:ascii="宋体" w:hAnsi="宋体"/>
          <w:color w:val="auto"/>
          <w:szCs w:val="21"/>
          <w:highlight w:val="none"/>
        </w:rPr>
      </w:pPr>
      <w:r>
        <w:rPr>
          <w:rFonts w:hint="eastAsia" w:ascii="宋体" w:hAnsi="宋体"/>
          <w:color w:val="auto"/>
          <w:szCs w:val="21"/>
          <w:highlight w:val="none"/>
        </w:rPr>
        <w:t>招标人：</w:t>
      </w:r>
      <w:r>
        <w:rPr>
          <w:rFonts w:hint="eastAsia" w:ascii="宋体" w:hAnsi="宋体"/>
          <w:color w:val="auto"/>
          <w:szCs w:val="21"/>
          <w:highlight w:val="none"/>
          <w:u w:val="single"/>
        </w:rPr>
        <w:t>绍兴市基础设施建设投资有限公司</w:t>
      </w:r>
      <w:r>
        <w:rPr>
          <w:rFonts w:hint="eastAsia" w:ascii="宋体" w:hAnsi="宋体"/>
          <w:color w:val="auto"/>
          <w:szCs w:val="21"/>
          <w:highlight w:val="none"/>
        </w:rPr>
        <w:t>（盖章）</w:t>
      </w:r>
    </w:p>
    <w:p>
      <w:pPr>
        <w:shd w:val="clear" w:color="auto" w:fill="FFFFFF"/>
        <w:spacing w:line="540" w:lineRule="exact"/>
        <w:rPr>
          <w:rFonts w:ascii="宋体" w:hAnsi="宋体"/>
          <w:color w:val="auto"/>
          <w:szCs w:val="21"/>
          <w:highlight w:val="none"/>
        </w:rPr>
      </w:pPr>
      <w:r>
        <w:rPr>
          <w:rFonts w:hint="eastAsia" w:ascii="宋体" w:hAnsi="宋体"/>
          <w:color w:val="auto"/>
          <w:szCs w:val="21"/>
          <w:highlight w:val="none"/>
        </w:rPr>
        <w:t>招标人法定代表人：</w:t>
      </w:r>
      <w:r>
        <w:rPr>
          <w:rFonts w:hint="eastAsia" w:ascii="宋体" w:hAnsi="宋体"/>
          <w:color w:val="auto"/>
          <w:szCs w:val="21"/>
          <w:highlight w:val="none"/>
          <w:u w:val="single"/>
        </w:rPr>
        <w:t xml:space="preserve">    宋森华     </w:t>
      </w:r>
      <w:r>
        <w:rPr>
          <w:rFonts w:hint="eastAsia" w:ascii="宋体" w:hAnsi="宋体"/>
          <w:color w:val="auto"/>
          <w:szCs w:val="21"/>
          <w:highlight w:val="none"/>
        </w:rPr>
        <w:t>（签字或盖章）</w:t>
      </w:r>
    </w:p>
    <w:p>
      <w:pPr>
        <w:shd w:val="clear" w:color="auto" w:fill="FFFFFF"/>
        <w:spacing w:line="540" w:lineRule="exact"/>
        <w:rPr>
          <w:color w:val="auto"/>
          <w:highlight w:val="none"/>
          <w:u w:val="single"/>
        </w:rPr>
      </w:pPr>
      <w:r>
        <w:rPr>
          <w:rFonts w:hint="eastAsia" w:ascii="宋体" w:hAnsi="宋体"/>
          <w:color w:val="auto"/>
          <w:szCs w:val="21"/>
          <w:highlight w:val="none"/>
        </w:rPr>
        <w:t>招标人地址：</w:t>
      </w:r>
      <w:r>
        <w:rPr>
          <w:rFonts w:hint="eastAsia" w:ascii="宋体" w:hAnsi="宋体"/>
          <w:color w:val="auto"/>
          <w:szCs w:val="21"/>
          <w:highlight w:val="none"/>
          <w:u w:val="single"/>
        </w:rPr>
        <w:t xml:space="preserve">  绍兴市渔化桥河沿207号</w:t>
      </w:r>
    </w:p>
    <w:p>
      <w:pPr>
        <w:shd w:val="clear" w:color="auto" w:fill="FFFFFF"/>
        <w:spacing w:line="540" w:lineRule="exact"/>
        <w:rPr>
          <w:rFonts w:ascii="宋体" w:hAnsi="宋体"/>
          <w:color w:val="auto"/>
          <w:szCs w:val="21"/>
          <w:highlight w:val="none"/>
        </w:rPr>
      </w:pPr>
      <w:r>
        <w:rPr>
          <w:rFonts w:hint="eastAsia" w:ascii="宋体" w:hAnsi="宋体"/>
          <w:color w:val="auto"/>
          <w:szCs w:val="21"/>
          <w:highlight w:val="none"/>
        </w:rPr>
        <w:t>邮政编码：</w:t>
      </w:r>
      <w:r>
        <w:rPr>
          <w:rFonts w:hint="eastAsia" w:ascii="宋体" w:hAnsi="宋体"/>
          <w:color w:val="auto"/>
          <w:szCs w:val="21"/>
          <w:highlight w:val="none"/>
          <w:u w:val="single"/>
        </w:rPr>
        <w:t xml:space="preserve">       312000           </w:t>
      </w:r>
    </w:p>
    <w:p>
      <w:pPr>
        <w:shd w:val="clear" w:color="auto" w:fill="FFFFFF"/>
        <w:spacing w:line="540" w:lineRule="exact"/>
        <w:rPr>
          <w:rFonts w:ascii="宋体" w:hAnsi="宋体"/>
          <w:color w:val="auto"/>
          <w:szCs w:val="21"/>
          <w:highlight w:val="none"/>
        </w:rPr>
      </w:pPr>
      <w:r>
        <w:rPr>
          <w:rFonts w:hint="eastAsia" w:ascii="宋体" w:hAnsi="宋体"/>
          <w:color w:val="auto"/>
          <w:szCs w:val="21"/>
          <w:highlight w:val="none"/>
        </w:rPr>
        <w:t>联系电话：</w:t>
      </w:r>
      <w:r>
        <w:rPr>
          <w:rFonts w:hint="eastAsia" w:ascii="宋体" w:hAnsi="宋体"/>
          <w:color w:val="auto"/>
          <w:szCs w:val="21"/>
          <w:highlight w:val="none"/>
          <w:u w:val="single"/>
        </w:rPr>
        <w:t xml:space="preserve"> 0575-85136061 </w:t>
      </w:r>
      <w:r>
        <w:rPr>
          <w:rFonts w:hint="eastAsia" w:ascii="宋体" w:hAnsi="宋体"/>
          <w:color w:val="auto"/>
          <w:szCs w:val="21"/>
          <w:highlight w:val="none"/>
        </w:rPr>
        <w:t xml:space="preserve">   传真：</w:t>
      </w:r>
      <w:r>
        <w:rPr>
          <w:rFonts w:hint="eastAsia" w:ascii="宋体" w:hAnsi="宋体"/>
          <w:color w:val="auto"/>
          <w:szCs w:val="21"/>
          <w:highlight w:val="none"/>
          <w:u w:val="single"/>
        </w:rPr>
        <w:t xml:space="preserve">        /        </w:t>
      </w:r>
    </w:p>
    <w:p>
      <w:pPr>
        <w:shd w:val="clear" w:color="auto" w:fill="FFFFFF"/>
        <w:spacing w:line="540" w:lineRule="exact"/>
        <w:rPr>
          <w:rFonts w:ascii="宋体" w:hAnsi="宋体"/>
          <w:color w:val="auto"/>
          <w:szCs w:val="21"/>
          <w:highlight w:val="none"/>
          <w:u w:val="single"/>
        </w:rPr>
      </w:pPr>
      <w:r>
        <w:rPr>
          <w:rFonts w:hint="eastAsia" w:ascii="宋体" w:hAnsi="宋体"/>
          <w:color w:val="auto"/>
          <w:szCs w:val="21"/>
          <w:highlight w:val="none"/>
        </w:rPr>
        <w:t>联系人：</w:t>
      </w:r>
      <w:r>
        <w:rPr>
          <w:rFonts w:hint="eastAsia" w:ascii="宋体" w:hAnsi="宋体"/>
          <w:color w:val="auto"/>
          <w:szCs w:val="21"/>
          <w:highlight w:val="none"/>
          <w:u w:val="single"/>
        </w:rPr>
        <w:t xml:space="preserve">  田锦  </w:t>
      </w:r>
      <w:r>
        <w:rPr>
          <w:rFonts w:hint="eastAsia" w:ascii="宋体" w:hAnsi="宋体"/>
          <w:color w:val="auto"/>
          <w:szCs w:val="21"/>
          <w:highlight w:val="none"/>
        </w:rPr>
        <w:t>手机：</w:t>
      </w:r>
      <w:r>
        <w:rPr>
          <w:rFonts w:hint="eastAsia" w:ascii="宋体" w:hAnsi="宋体"/>
          <w:color w:val="auto"/>
          <w:szCs w:val="21"/>
          <w:highlight w:val="none"/>
          <w:u w:val="single"/>
        </w:rPr>
        <w:t xml:space="preserve">  /       </w:t>
      </w:r>
    </w:p>
    <w:p>
      <w:pPr>
        <w:shd w:val="clear" w:color="auto" w:fill="FFFFFF"/>
        <w:spacing w:line="540" w:lineRule="exact"/>
        <w:rPr>
          <w:rFonts w:ascii="宋体" w:hAnsi="宋体"/>
          <w:color w:val="auto"/>
          <w:szCs w:val="21"/>
          <w:highlight w:val="none"/>
        </w:rPr>
      </w:pPr>
      <w:r>
        <w:rPr>
          <w:rFonts w:hint="eastAsia" w:ascii="宋体" w:hAnsi="宋体"/>
          <w:color w:val="auto"/>
          <w:szCs w:val="21"/>
          <w:highlight w:val="none"/>
        </w:rPr>
        <w:t>招标人统一社会信用代码：</w:t>
      </w:r>
      <w:r>
        <w:rPr>
          <w:rFonts w:hint="eastAsia" w:ascii="宋体" w:hAnsi="宋体"/>
          <w:color w:val="auto"/>
          <w:szCs w:val="21"/>
          <w:highlight w:val="none"/>
          <w:u w:val="single"/>
        </w:rPr>
        <w:t>913306007288960819</w:t>
      </w:r>
    </w:p>
    <w:p>
      <w:pPr>
        <w:shd w:val="clear" w:color="auto" w:fill="FFFFFF"/>
        <w:spacing w:line="540" w:lineRule="exact"/>
        <w:rPr>
          <w:rFonts w:ascii="宋体" w:hAnsi="宋体"/>
          <w:color w:val="auto"/>
          <w:szCs w:val="21"/>
          <w:highlight w:val="none"/>
          <w:u w:val="single"/>
        </w:rPr>
      </w:pPr>
    </w:p>
    <w:p>
      <w:pPr>
        <w:shd w:val="clear" w:color="auto" w:fill="FFFFFF"/>
        <w:spacing w:line="540" w:lineRule="exact"/>
        <w:rPr>
          <w:rFonts w:ascii="宋体" w:hAnsi="宋体"/>
          <w:color w:val="auto"/>
          <w:szCs w:val="21"/>
          <w:highlight w:val="none"/>
        </w:rPr>
      </w:pPr>
      <w:r>
        <w:rPr>
          <w:rFonts w:hint="eastAsia" w:ascii="宋体" w:hAnsi="宋体"/>
          <w:color w:val="auto"/>
          <w:szCs w:val="21"/>
          <w:highlight w:val="none"/>
        </w:rPr>
        <w:t>招标代理机构名称</w:t>
      </w:r>
      <w:r>
        <w:rPr>
          <w:rFonts w:hint="eastAsia" w:ascii="宋体" w:hAnsi="宋体"/>
          <w:color w:val="auto"/>
          <w:szCs w:val="21"/>
          <w:highlight w:val="none"/>
          <w:u w:val="single"/>
        </w:rPr>
        <w:t xml:space="preserve">：  浙江明业项目管理有限公司  </w:t>
      </w:r>
      <w:r>
        <w:rPr>
          <w:rFonts w:hint="eastAsia" w:ascii="宋体" w:hAnsi="宋体"/>
          <w:color w:val="auto"/>
          <w:szCs w:val="21"/>
          <w:highlight w:val="none"/>
        </w:rPr>
        <w:t>（盖章）</w:t>
      </w:r>
    </w:p>
    <w:p>
      <w:pPr>
        <w:shd w:val="clear" w:color="auto" w:fill="FFFFFF"/>
        <w:tabs>
          <w:tab w:val="left" w:pos="6300"/>
        </w:tabs>
        <w:spacing w:line="540" w:lineRule="exact"/>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s="Arial"/>
          <w:iCs/>
          <w:color w:val="auto"/>
          <w:kern w:val="0"/>
          <w:szCs w:val="21"/>
          <w:highlight w:val="none"/>
          <w:u w:val="single"/>
        </w:rPr>
        <w:t xml:space="preserve">何关明             </w:t>
      </w:r>
      <w:r>
        <w:rPr>
          <w:rFonts w:hint="eastAsia" w:ascii="宋体" w:hAnsi="宋体"/>
          <w:color w:val="auto"/>
          <w:szCs w:val="21"/>
          <w:highlight w:val="none"/>
        </w:rPr>
        <w:t>（签字或盖章）</w:t>
      </w:r>
    </w:p>
    <w:p>
      <w:pPr>
        <w:shd w:val="clear" w:color="auto" w:fill="FFFFFF"/>
        <w:spacing w:line="540" w:lineRule="exact"/>
        <w:rPr>
          <w:rFonts w:ascii="宋体" w:hAnsi="宋体"/>
          <w:color w:val="auto"/>
          <w:szCs w:val="21"/>
          <w:highlight w:val="none"/>
          <w:u w:val="single"/>
        </w:rPr>
      </w:pPr>
      <w:r>
        <w:rPr>
          <w:rFonts w:hint="eastAsia" w:ascii="宋体" w:hAnsi="宋体"/>
          <w:color w:val="auto"/>
          <w:szCs w:val="21"/>
          <w:highlight w:val="none"/>
        </w:rPr>
        <w:t>地址：</w:t>
      </w:r>
      <w:r>
        <w:rPr>
          <w:rFonts w:hint="eastAsia" w:ascii="宋体" w:hAnsi="宋体" w:cs="Arial"/>
          <w:iCs/>
          <w:color w:val="auto"/>
          <w:kern w:val="0"/>
          <w:szCs w:val="21"/>
          <w:highlight w:val="none"/>
          <w:u w:val="single"/>
        </w:rPr>
        <w:t>绍兴市解放大道111号中石化大楼7楼</w:t>
      </w:r>
    </w:p>
    <w:p>
      <w:pPr>
        <w:shd w:val="clear" w:color="auto" w:fill="FFFFFF"/>
        <w:spacing w:line="540" w:lineRule="exact"/>
        <w:rPr>
          <w:rFonts w:ascii="宋体" w:hAnsi="宋体"/>
          <w:color w:val="auto"/>
          <w:szCs w:val="21"/>
          <w:highlight w:val="none"/>
          <w:u w:val="single"/>
        </w:rPr>
      </w:pPr>
      <w:r>
        <w:rPr>
          <w:rFonts w:hint="eastAsia" w:ascii="宋体" w:hAnsi="宋体"/>
          <w:color w:val="auto"/>
          <w:szCs w:val="21"/>
          <w:highlight w:val="none"/>
        </w:rPr>
        <w:t>邮政编码：</w:t>
      </w:r>
      <w:r>
        <w:rPr>
          <w:rFonts w:hint="eastAsia" w:ascii="宋体" w:hAnsi="宋体"/>
          <w:color w:val="auto"/>
          <w:szCs w:val="21"/>
          <w:highlight w:val="none"/>
          <w:u w:val="single"/>
        </w:rPr>
        <w:t xml:space="preserve">    312000    </w:t>
      </w:r>
    </w:p>
    <w:p>
      <w:pPr>
        <w:shd w:val="clear" w:color="auto" w:fill="FFFFFF"/>
        <w:spacing w:line="540" w:lineRule="exact"/>
        <w:rPr>
          <w:rFonts w:ascii="宋体" w:hAnsi="宋体"/>
          <w:color w:val="auto"/>
          <w:szCs w:val="21"/>
          <w:highlight w:val="none"/>
          <w:u w:val="single"/>
        </w:rPr>
      </w:pPr>
      <w:r>
        <w:rPr>
          <w:rFonts w:hint="eastAsia" w:ascii="宋体" w:hAnsi="宋体"/>
          <w:color w:val="auto"/>
          <w:szCs w:val="21"/>
          <w:highlight w:val="none"/>
        </w:rPr>
        <w:t>联系电话：</w:t>
      </w:r>
      <w:r>
        <w:rPr>
          <w:rFonts w:hint="eastAsia" w:ascii="宋体" w:hAnsi="宋体"/>
          <w:color w:val="auto"/>
          <w:szCs w:val="21"/>
          <w:highlight w:val="none"/>
          <w:u w:val="single"/>
        </w:rPr>
        <w:t xml:space="preserve"> 0575-85209901</w:t>
      </w:r>
      <w:r>
        <w:rPr>
          <w:rFonts w:hint="eastAsia" w:ascii="宋体" w:hAnsi="宋体"/>
          <w:color w:val="auto"/>
          <w:szCs w:val="21"/>
          <w:highlight w:val="none"/>
        </w:rPr>
        <w:t>传真：</w:t>
      </w:r>
      <w:r>
        <w:rPr>
          <w:rFonts w:hint="eastAsia" w:ascii="宋体" w:hAnsi="宋体"/>
          <w:color w:val="auto"/>
          <w:szCs w:val="21"/>
          <w:highlight w:val="none"/>
          <w:u w:val="single"/>
        </w:rPr>
        <w:t>0575-85127372</w:t>
      </w:r>
    </w:p>
    <w:p>
      <w:pPr>
        <w:shd w:val="clear" w:color="auto" w:fill="FFFFFF"/>
        <w:spacing w:line="540" w:lineRule="exact"/>
        <w:rPr>
          <w:rFonts w:ascii="宋体" w:hAnsi="宋体"/>
          <w:color w:val="auto"/>
          <w:szCs w:val="21"/>
          <w:highlight w:val="none"/>
          <w:u w:val="single"/>
        </w:rPr>
      </w:pPr>
      <w:r>
        <w:rPr>
          <w:rFonts w:hint="eastAsia" w:ascii="宋体" w:hAnsi="宋体"/>
          <w:color w:val="auto"/>
          <w:szCs w:val="21"/>
          <w:highlight w:val="none"/>
        </w:rPr>
        <w:t>联系人：</w:t>
      </w:r>
      <w:r>
        <w:rPr>
          <w:rFonts w:hint="eastAsia" w:ascii="宋体" w:hAnsi="宋体"/>
          <w:color w:val="auto"/>
          <w:highlight w:val="none"/>
          <w:u w:val="single"/>
        </w:rPr>
        <w:t xml:space="preserve">张雅美  </w:t>
      </w:r>
    </w:p>
    <w:p>
      <w:pPr>
        <w:shd w:val="clear" w:color="auto" w:fill="FFFFFF"/>
        <w:spacing w:line="540" w:lineRule="exact"/>
        <w:rPr>
          <w:rFonts w:ascii="宋体" w:hAnsi="宋体"/>
          <w:color w:val="auto"/>
          <w:szCs w:val="21"/>
          <w:highlight w:val="none"/>
        </w:rPr>
      </w:pPr>
      <w:r>
        <w:rPr>
          <w:rFonts w:hint="eastAsia" w:ascii="宋体" w:hAnsi="宋体"/>
          <w:color w:val="auto"/>
          <w:szCs w:val="21"/>
          <w:highlight w:val="none"/>
        </w:rPr>
        <w:t>签发日期：</w:t>
      </w:r>
      <w:r>
        <w:rPr>
          <w:rFonts w:hint="eastAsia" w:ascii="宋体" w:hAnsi="宋体"/>
          <w:color w:val="auto"/>
          <w:szCs w:val="21"/>
          <w:highlight w:val="none"/>
          <w:u w:val="single"/>
        </w:rPr>
        <w:t xml:space="preserve">  2021</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pPr>
        <w:shd w:val="clear" w:color="auto" w:fill="FFFFFF"/>
        <w:spacing w:line="540" w:lineRule="exact"/>
        <w:rPr>
          <w:rFonts w:ascii="宋体" w:hAnsi="宋体"/>
          <w:color w:val="auto"/>
          <w:szCs w:val="21"/>
          <w:highlight w:val="none"/>
        </w:rPr>
      </w:pPr>
    </w:p>
    <w:p>
      <w:pPr>
        <w:shd w:val="clear" w:color="auto" w:fill="FFFFFF"/>
        <w:spacing w:line="540" w:lineRule="exact"/>
        <w:rPr>
          <w:rFonts w:ascii="宋体" w:hAnsi="宋体"/>
          <w:color w:val="auto"/>
          <w:szCs w:val="21"/>
          <w:highlight w:val="none"/>
        </w:rPr>
      </w:pPr>
    </w:p>
    <w:p>
      <w:pPr>
        <w:shd w:val="clear" w:color="auto" w:fill="FFFFFF"/>
        <w:spacing w:line="700" w:lineRule="exact"/>
        <w:rPr>
          <w:rFonts w:ascii="宋体" w:hAnsi="宋体"/>
          <w:color w:val="auto"/>
          <w:szCs w:val="21"/>
          <w:highlight w:val="none"/>
        </w:rPr>
      </w:pPr>
      <w:r>
        <w:rPr>
          <w:rFonts w:hint="eastAsia" w:ascii="宋体" w:hAnsi="宋体"/>
          <w:color w:val="auto"/>
          <w:szCs w:val="21"/>
          <w:highlight w:val="none"/>
        </w:rPr>
        <w:t>备案单位意见：</w:t>
      </w:r>
      <w:r>
        <w:rPr>
          <w:rFonts w:hint="eastAsia" w:ascii="宋体" w:hAnsi="宋体"/>
          <w:color w:val="auto"/>
          <w:szCs w:val="21"/>
          <w:highlight w:val="none"/>
          <w:u w:val="single"/>
        </w:rPr>
        <w:t xml:space="preserve">                     </w:t>
      </w:r>
      <w:r>
        <w:rPr>
          <w:rFonts w:hint="eastAsia" w:ascii="宋体" w:hAnsi="宋体"/>
          <w:color w:val="auto"/>
          <w:szCs w:val="21"/>
          <w:highlight w:val="none"/>
        </w:rPr>
        <w:t>（备案章）</w:t>
      </w:r>
    </w:p>
    <w:p>
      <w:pPr>
        <w:shd w:val="clear" w:color="auto" w:fill="FFFFFF"/>
        <w:spacing w:line="700" w:lineRule="exact"/>
        <w:rPr>
          <w:rFonts w:ascii="宋体" w:hAnsi="宋体"/>
          <w:color w:val="auto"/>
          <w:szCs w:val="21"/>
          <w:highlight w:val="none"/>
        </w:rPr>
      </w:pPr>
      <w:r>
        <w:rPr>
          <w:rFonts w:hint="eastAsia" w:ascii="宋体" w:hAnsi="宋体"/>
          <w:color w:val="auto"/>
          <w:szCs w:val="21"/>
          <w:highlight w:val="none"/>
        </w:rPr>
        <w:t>经 办 人：</w:t>
      </w:r>
      <w:r>
        <w:rPr>
          <w:rFonts w:hint="eastAsia" w:ascii="宋体" w:hAnsi="宋体"/>
          <w:color w:val="auto"/>
          <w:szCs w:val="21"/>
          <w:highlight w:val="none"/>
          <w:u w:val="single"/>
        </w:rPr>
        <w:t xml:space="preserve">                         </w:t>
      </w:r>
      <w:r>
        <w:rPr>
          <w:rFonts w:hint="eastAsia" w:ascii="宋体" w:hAnsi="宋体"/>
          <w:color w:val="auto"/>
          <w:szCs w:val="21"/>
          <w:highlight w:val="none"/>
        </w:rPr>
        <w:t>（签字或盖章）</w:t>
      </w:r>
    </w:p>
    <w:p>
      <w:pPr>
        <w:shd w:val="clear" w:color="auto" w:fill="FFFFFF"/>
        <w:spacing w:line="540" w:lineRule="exact"/>
        <w:rPr>
          <w:rFonts w:ascii="宋体" w:hAnsi="宋体"/>
          <w:color w:val="auto"/>
          <w:szCs w:val="21"/>
          <w:highlight w:val="none"/>
        </w:rPr>
        <w:sectPr>
          <w:footerReference r:id="rId5" w:type="first"/>
          <w:footerReference r:id="rId3" w:type="default"/>
          <w:footerReference r:id="rId4" w:type="even"/>
          <w:pgSz w:w="11906" w:h="16838"/>
          <w:pgMar w:top="1588" w:right="1701" w:bottom="1418" w:left="1701" w:header="851" w:footer="851" w:gutter="0"/>
          <w:pgNumType w:start="1"/>
          <w:cols w:space="720" w:num="1"/>
          <w:titlePg/>
          <w:docGrid w:linePitch="312" w:charSpace="0"/>
        </w:sectPr>
      </w:pPr>
      <w:r>
        <w:rPr>
          <w:rFonts w:hint="eastAsia" w:ascii="宋体" w:hAnsi="宋体"/>
          <w:color w:val="auto"/>
          <w:szCs w:val="21"/>
          <w:highlight w:val="none"/>
        </w:rPr>
        <w:t>日    期：</w:t>
      </w:r>
      <w:r>
        <w:rPr>
          <w:rFonts w:hint="eastAsia" w:ascii="宋体" w:hAnsi="宋体"/>
          <w:color w:val="auto"/>
          <w:szCs w:val="21"/>
          <w:highlight w:val="none"/>
          <w:u w:val="single"/>
        </w:rPr>
        <w:t xml:space="preserve">   2021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pPr>
        <w:pStyle w:val="4"/>
        <w:jc w:val="center"/>
        <w:rPr>
          <w:rFonts w:ascii="黑体" w:eastAsia="黑体"/>
          <w:color w:val="auto"/>
          <w:sz w:val="32"/>
          <w:szCs w:val="32"/>
          <w:highlight w:val="none"/>
        </w:rPr>
      </w:pPr>
      <w:r>
        <w:rPr>
          <w:rFonts w:hint="eastAsia" w:ascii="黑体" w:hAnsi="宋体" w:eastAsia="黑体"/>
          <w:color w:val="auto"/>
          <w:sz w:val="32"/>
          <w:szCs w:val="32"/>
          <w:highlight w:val="none"/>
        </w:rPr>
        <w:t xml:space="preserve">第一章  </w:t>
      </w:r>
      <w:r>
        <w:rPr>
          <w:rFonts w:hint="eastAsia" w:ascii="黑体" w:eastAsia="黑体"/>
          <w:color w:val="auto"/>
          <w:sz w:val="32"/>
          <w:szCs w:val="32"/>
          <w:highlight w:val="none"/>
        </w:rPr>
        <w:t>招标公告</w:t>
      </w:r>
    </w:p>
    <w:p>
      <w:pPr>
        <w:shd w:val="clear" w:color="auto" w:fill="FFFFFF"/>
        <w:spacing w:line="340" w:lineRule="exact"/>
        <w:jc w:val="center"/>
        <w:rPr>
          <w:rFonts w:eastAsia="仿宋_GB2312"/>
          <w:b/>
          <w:color w:val="auto"/>
          <w:sz w:val="32"/>
          <w:szCs w:val="32"/>
          <w:highlight w:val="none"/>
        </w:rPr>
      </w:pPr>
      <w:r>
        <w:rPr>
          <w:rFonts w:hint="eastAsia" w:eastAsia="仿宋_GB2312"/>
          <w:b/>
          <w:color w:val="auto"/>
          <w:sz w:val="32"/>
          <w:szCs w:val="32"/>
          <w:highlight w:val="none"/>
        </w:rPr>
        <w:t>329国道智慧快速路治超非现场执法系统迁改工程（越城段）招标公告</w:t>
      </w:r>
    </w:p>
    <w:p>
      <w:pPr>
        <w:shd w:val="clear" w:color="auto" w:fill="FFFFFF"/>
        <w:spacing w:line="340" w:lineRule="exact"/>
        <w:jc w:val="center"/>
        <w:rPr>
          <w:color w:val="auto"/>
          <w:sz w:val="18"/>
          <w:szCs w:val="18"/>
          <w:highlight w:val="none"/>
          <w:u w:val="single"/>
        </w:rPr>
      </w:pPr>
    </w:p>
    <w:p>
      <w:pPr>
        <w:widowControl/>
        <w:shd w:val="clear" w:color="auto" w:fill="FFFFFF"/>
        <w:spacing w:line="340" w:lineRule="exact"/>
        <w:rPr>
          <w:rFonts w:ascii="宋体" w:hAnsi="宋体" w:cs="Arial"/>
          <w:color w:val="auto"/>
          <w:kern w:val="0"/>
          <w:szCs w:val="21"/>
          <w:highlight w:val="none"/>
        </w:rPr>
      </w:pPr>
      <w:r>
        <w:rPr>
          <w:rFonts w:hint="eastAsia" w:ascii="宋体" w:hAnsi="宋体" w:cs="Arial"/>
          <w:color w:val="auto"/>
          <w:kern w:val="0"/>
          <w:szCs w:val="21"/>
          <w:highlight w:val="none"/>
        </w:rPr>
        <w:t>1.招标条件</w:t>
      </w:r>
    </w:p>
    <w:p>
      <w:pPr>
        <w:widowControl/>
        <w:shd w:val="clear" w:color="auto" w:fill="FFFFFF"/>
        <w:spacing w:line="340" w:lineRule="exact"/>
        <w:ind w:firstLine="420" w:firstLineChars="200"/>
        <w:rPr>
          <w:rFonts w:ascii="宋体" w:hAnsi="宋体" w:cs="Arial"/>
          <w:color w:val="auto"/>
          <w:kern w:val="0"/>
          <w:szCs w:val="21"/>
          <w:highlight w:val="none"/>
        </w:rPr>
      </w:pPr>
      <w:r>
        <w:rPr>
          <w:rFonts w:ascii="宋体" w:hAnsi="宋体" w:cs="Arial"/>
          <w:color w:val="auto"/>
          <w:kern w:val="0"/>
          <w:szCs w:val="21"/>
          <w:highlight w:val="none"/>
        </w:rPr>
        <w:t>本招标项目</w:t>
      </w:r>
      <w:r>
        <w:rPr>
          <w:rFonts w:hint="eastAsia" w:ascii="宋体" w:hAnsi="宋体" w:cs="Arial"/>
          <w:b/>
          <w:color w:val="auto"/>
          <w:kern w:val="0"/>
          <w:szCs w:val="21"/>
          <w:highlight w:val="none"/>
          <w:u w:val="single"/>
        </w:rPr>
        <w:t>329国道智慧快速路治超非现场执法系统迁改工程（越城段）</w:t>
      </w:r>
      <w:r>
        <w:rPr>
          <w:rFonts w:ascii="宋体" w:hAnsi="宋体" w:cs="Arial"/>
          <w:color w:val="auto"/>
          <w:kern w:val="0"/>
          <w:szCs w:val="21"/>
          <w:highlight w:val="none"/>
        </w:rPr>
        <w:t>（项目名称）已由</w:t>
      </w:r>
      <w:r>
        <w:rPr>
          <w:rFonts w:hint="eastAsia" w:ascii="宋体" w:hAnsi="宋体" w:cs="Arial"/>
          <w:b/>
          <w:color w:val="auto"/>
          <w:kern w:val="0"/>
          <w:szCs w:val="21"/>
          <w:highlight w:val="none"/>
          <w:u w:val="single"/>
        </w:rPr>
        <w:t>绍兴市发展和改革</w:t>
      </w:r>
      <w:r>
        <w:rPr>
          <w:rFonts w:hint="eastAsia" w:ascii="宋体" w:hAnsi="宋体" w:cs="Arial"/>
          <w:b/>
          <w:color w:val="auto"/>
          <w:kern w:val="0"/>
          <w:szCs w:val="21"/>
          <w:highlight w:val="none"/>
          <w:u w:val="single"/>
          <w:lang w:val="en-US" w:eastAsia="zh-CN"/>
        </w:rPr>
        <w:t>委员会</w:t>
      </w:r>
      <w:r>
        <w:rPr>
          <w:rFonts w:ascii="宋体" w:hAnsi="宋体" w:cs="Arial"/>
          <w:color w:val="auto"/>
          <w:kern w:val="0"/>
          <w:szCs w:val="21"/>
          <w:highlight w:val="none"/>
          <w:u w:val="single"/>
        </w:rPr>
        <w:t>（</w:t>
      </w:r>
      <w:r>
        <w:rPr>
          <w:rFonts w:ascii="宋体" w:hAnsi="宋体" w:cs="Arial"/>
          <w:color w:val="auto"/>
          <w:kern w:val="0"/>
          <w:szCs w:val="21"/>
          <w:highlight w:val="none"/>
        </w:rPr>
        <w:t>项目审批、核准或备案机关名称）以</w:t>
      </w:r>
      <w:r>
        <w:rPr>
          <w:rFonts w:hint="eastAsia" w:ascii="宋体" w:hAnsi="宋体" w:cs="Arial"/>
          <w:color w:val="auto"/>
          <w:kern w:val="0"/>
          <w:szCs w:val="21"/>
          <w:highlight w:val="none"/>
          <w:u w:val="single"/>
          <w:lang w:val="en-US" w:eastAsia="zh-CN"/>
        </w:rPr>
        <w:t>绍市发改中心【2018】47号</w:t>
      </w:r>
      <w:r>
        <w:rPr>
          <w:rFonts w:ascii="宋体" w:hAnsi="宋体" w:cs="Arial"/>
          <w:color w:val="auto"/>
          <w:kern w:val="0"/>
          <w:szCs w:val="21"/>
          <w:highlight w:val="none"/>
        </w:rPr>
        <w:t>（批文名称及编号）批准建设，</w:t>
      </w:r>
      <w:r>
        <w:rPr>
          <w:rFonts w:ascii="宋体" w:hAnsi="宋体" w:cs="宋体"/>
          <w:bCs/>
          <w:color w:val="auto"/>
          <w:szCs w:val="21"/>
          <w:highlight w:val="none"/>
        </w:rPr>
        <w:t>项目业主为</w:t>
      </w:r>
      <w:r>
        <w:rPr>
          <w:rFonts w:hint="eastAsia" w:ascii="宋体" w:hAnsi="宋体" w:cs="宋体"/>
          <w:b/>
          <w:color w:val="auto"/>
          <w:szCs w:val="21"/>
          <w:highlight w:val="none"/>
          <w:u w:val="single"/>
        </w:rPr>
        <w:t>绍兴市基础设施建设投资有限公司</w:t>
      </w:r>
      <w:r>
        <w:rPr>
          <w:rFonts w:ascii="宋体" w:hAnsi="宋体" w:cs="Arial"/>
          <w:color w:val="auto"/>
          <w:kern w:val="0"/>
          <w:szCs w:val="21"/>
          <w:highlight w:val="none"/>
        </w:rPr>
        <w:t>，建设资金来自</w:t>
      </w:r>
      <w:r>
        <w:rPr>
          <w:rFonts w:hint="eastAsia" w:ascii="宋体" w:hAnsi="宋体" w:cs="Arial"/>
          <w:b/>
          <w:color w:val="auto"/>
          <w:kern w:val="0"/>
          <w:szCs w:val="21"/>
          <w:highlight w:val="none"/>
          <w:u w:val="single"/>
        </w:rPr>
        <w:t xml:space="preserve">自筹 </w:t>
      </w:r>
      <w:r>
        <w:rPr>
          <w:rFonts w:ascii="宋体" w:hAnsi="宋体" w:cs="Arial"/>
          <w:color w:val="auto"/>
          <w:kern w:val="0"/>
          <w:szCs w:val="21"/>
          <w:highlight w:val="none"/>
        </w:rPr>
        <w:t>（资金来源），项目出资比例为</w:t>
      </w:r>
      <w:r>
        <w:rPr>
          <w:rFonts w:hint="eastAsia" w:ascii="宋体" w:hAnsi="宋体" w:cs="Arial"/>
          <w:b/>
          <w:color w:val="auto"/>
          <w:kern w:val="0"/>
          <w:szCs w:val="21"/>
          <w:highlight w:val="none"/>
          <w:u w:val="single"/>
        </w:rPr>
        <w:t>100%</w:t>
      </w:r>
      <w:r>
        <w:rPr>
          <w:rFonts w:ascii="宋体" w:hAnsi="宋体" w:cs="Arial"/>
          <w:color w:val="auto"/>
          <w:kern w:val="0"/>
          <w:szCs w:val="21"/>
          <w:highlight w:val="none"/>
        </w:rPr>
        <w:t>，招标人为</w:t>
      </w:r>
      <w:r>
        <w:rPr>
          <w:rFonts w:hint="eastAsia" w:ascii="宋体" w:hAnsi="宋体" w:cs="宋体"/>
          <w:b/>
          <w:color w:val="auto"/>
          <w:szCs w:val="21"/>
          <w:highlight w:val="none"/>
          <w:u w:val="single"/>
        </w:rPr>
        <w:t>绍兴市基础设施建设投资有限公司</w:t>
      </w:r>
      <w:r>
        <w:rPr>
          <w:rFonts w:ascii="宋体" w:hAnsi="宋体" w:cs="Arial"/>
          <w:color w:val="auto"/>
          <w:kern w:val="0"/>
          <w:szCs w:val="21"/>
          <w:highlight w:val="none"/>
        </w:rPr>
        <w:t>。项目已具备招标条件，现对该项目的施工进行</w:t>
      </w:r>
      <w:r>
        <w:rPr>
          <w:rFonts w:hint="eastAsia" w:ascii="宋体" w:hAnsi="宋体" w:cs="宋体"/>
          <w:b/>
          <w:color w:val="auto"/>
          <w:szCs w:val="21"/>
          <w:highlight w:val="none"/>
          <w:u w:val="single"/>
        </w:rPr>
        <w:t>公开</w:t>
      </w:r>
      <w:r>
        <w:rPr>
          <w:rFonts w:ascii="宋体" w:hAnsi="宋体" w:cs="Arial"/>
          <w:color w:val="auto"/>
          <w:kern w:val="0"/>
          <w:szCs w:val="21"/>
          <w:highlight w:val="none"/>
        </w:rPr>
        <w:t>招标。</w:t>
      </w:r>
    </w:p>
    <w:p>
      <w:pPr>
        <w:widowControl/>
        <w:shd w:val="clear" w:color="auto" w:fill="FFFFFF"/>
        <w:spacing w:line="340" w:lineRule="exact"/>
        <w:rPr>
          <w:rFonts w:ascii="宋体" w:hAnsi="宋体" w:cs="Arial"/>
          <w:color w:val="auto"/>
          <w:kern w:val="0"/>
          <w:szCs w:val="21"/>
          <w:highlight w:val="none"/>
        </w:rPr>
      </w:pPr>
      <w:r>
        <w:rPr>
          <w:rFonts w:hint="eastAsia" w:ascii="宋体" w:hAnsi="宋体" w:cs="Arial"/>
          <w:color w:val="auto"/>
          <w:kern w:val="0"/>
          <w:szCs w:val="21"/>
          <w:highlight w:val="none"/>
        </w:rPr>
        <w:t>2.项目概况与招标范围</w:t>
      </w:r>
    </w:p>
    <w:p>
      <w:pPr>
        <w:widowControl/>
        <w:shd w:val="clear" w:color="auto" w:fill="FFFFFF"/>
        <w:spacing w:line="340" w:lineRule="exact"/>
        <w:rPr>
          <w:rFonts w:ascii="宋体" w:hAnsi="宋体" w:cs="Arial"/>
          <w:color w:val="auto"/>
          <w:kern w:val="0"/>
          <w:szCs w:val="21"/>
          <w:highlight w:val="none"/>
        </w:rPr>
      </w:pPr>
      <w:r>
        <w:rPr>
          <w:rFonts w:ascii="宋体" w:hAnsi="宋体" w:cs="Arial"/>
          <w:color w:val="auto"/>
          <w:kern w:val="0"/>
          <w:szCs w:val="21"/>
          <w:highlight w:val="none"/>
        </w:rPr>
        <w:t>2.1 建设地点：</w:t>
      </w:r>
      <w:r>
        <w:rPr>
          <w:rFonts w:hint="eastAsia" w:ascii="宋体" w:hAnsi="宋体" w:cs="Arial"/>
          <w:color w:val="auto"/>
          <w:kern w:val="0"/>
          <w:szCs w:val="21"/>
          <w:highlight w:val="none"/>
          <w:u w:val="single"/>
        </w:rPr>
        <w:t xml:space="preserve">斗门江大桥以东  </w:t>
      </w:r>
      <w:r>
        <w:rPr>
          <w:rFonts w:ascii="宋体" w:hAnsi="宋体" w:cs="Arial"/>
          <w:color w:val="auto"/>
          <w:kern w:val="0"/>
          <w:szCs w:val="21"/>
          <w:highlight w:val="none"/>
        </w:rPr>
        <w:t>。</w:t>
      </w:r>
    </w:p>
    <w:p>
      <w:pPr>
        <w:widowControl/>
        <w:shd w:val="clear" w:color="auto" w:fill="FFFFFF"/>
        <w:spacing w:line="340" w:lineRule="exact"/>
        <w:rPr>
          <w:rFonts w:ascii="宋体" w:hAnsi="宋体" w:cs="Arial"/>
          <w:color w:val="auto"/>
          <w:kern w:val="0"/>
          <w:szCs w:val="21"/>
          <w:highlight w:val="none"/>
        </w:rPr>
      </w:pPr>
      <w:r>
        <w:rPr>
          <w:rFonts w:ascii="宋体" w:hAnsi="宋体" w:cs="Arial"/>
          <w:color w:val="auto"/>
          <w:kern w:val="0"/>
          <w:szCs w:val="21"/>
          <w:highlight w:val="none"/>
        </w:rPr>
        <w:t>2.2 建设规模：</w:t>
      </w:r>
      <w:r>
        <w:rPr>
          <w:rFonts w:hint="eastAsia" w:ascii="宋体" w:hAnsi="宋体" w:cs="Arial"/>
          <w:color w:val="auto"/>
          <w:kern w:val="0"/>
          <w:szCs w:val="21"/>
          <w:highlight w:val="none"/>
          <w:u w:val="single"/>
        </w:rPr>
        <w:t>将329国道原K47+670上虞方向和原K47+750柯桥方向的机动车道内设置治超非现场执法电子检测系统以上监控系统移位至329国道K267+280（对应《329国道智慧快速路改造工程（湖安路至越兴路）》项目设计桩号K15+380）。</w:t>
      </w:r>
    </w:p>
    <w:p>
      <w:pPr>
        <w:widowControl/>
        <w:shd w:val="clear" w:color="auto" w:fill="FFFFFF"/>
        <w:spacing w:line="340" w:lineRule="exact"/>
        <w:rPr>
          <w:rFonts w:ascii="宋体" w:hAnsi="宋体" w:cs="Arial"/>
          <w:color w:val="auto"/>
          <w:kern w:val="0"/>
          <w:szCs w:val="21"/>
          <w:highlight w:val="none"/>
        </w:rPr>
      </w:pPr>
      <w:r>
        <w:rPr>
          <w:rFonts w:hint="eastAsia" w:ascii="宋体" w:hAnsi="宋体" w:cs="Arial"/>
          <w:color w:val="auto"/>
          <w:kern w:val="0"/>
          <w:szCs w:val="21"/>
          <w:highlight w:val="none"/>
        </w:rPr>
        <w:t>招标</w:t>
      </w:r>
      <w:r>
        <w:rPr>
          <w:rFonts w:ascii="宋体" w:hAnsi="宋体" w:cs="Arial"/>
          <w:color w:val="auto"/>
          <w:kern w:val="0"/>
          <w:szCs w:val="21"/>
          <w:highlight w:val="none"/>
        </w:rPr>
        <w:t>估算价：</w:t>
      </w:r>
      <w:r>
        <w:rPr>
          <w:rFonts w:hint="eastAsia" w:ascii="宋体" w:hAnsi="宋体"/>
          <w:b/>
          <w:color w:val="auto"/>
          <w:szCs w:val="21"/>
          <w:highlight w:val="none"/>
          <w:u w:val="single"/>
        </w:rPr>
        <w:t xml:space="preserve"> 约376.3883万</w:t>
      </w:r>
      <w:r>
        <w:rPr>
          <w:rFonts w:ascii="宋体" w:hAnsi="宋体" w:cs="Arial"/>
          <w:b/>
          <w:color w:val="auto"/>
          <w:kern w:val="0"/>
          <w:szCs w:val="21"/>
          <w:highlight w:val="none"/>
        </w:rPr>
        <w:t>元</w:t>
      </w:r>
      <w:r>
        <w:rPr>
          <w:rFonts w:ascii="宋体" w:hAnsi="宋体" w:cs="Arial"/>
          <w:color w:val="auto"/>
          <w:kern w:val="0"/>
          <w:szCs w:val="21"/>
          <w:highlight w:val="none"/>
        </w:rPr>
        <w:t>。</w:t>
      </w:r>
    </w:p>
    <w:p>
      <w:pPr>
        <w:widowControl/>
        <w:shd w:val="clear" w:color="auto" w:fill="FFFFFF"/>
        <w:spacing w:line="340" w:lineRule="exact"/>
        <w:rPr>
          <w:rFonts w:ascii="宋体" w:hAnsi="宋体" w:cs="宋体"/>
          <w:bCs/>
          <w:color w:val="auto"/>
          <w:highlight w:val="none"/>
        </w:rPr>
      </w:pPr>
      <w:r>
        <w:rPr>
          <w:rFonts w:hint="eastAsia" w:ascii="宋体" w:hAnsi="宋体" w:cs="宋体"/>
          <w:bCs/>
          <w:color w:val="auto"/>
          <w:highlight w:val="none"/>
        </w:rPr>
        <w:t xml:space="preserve">2.3 </w:t>
      </w:r>
      <w:r>
        <w:rPr>
          <w:rFonts w:ascii="宋体" w:hAnsi="宋体" w:cs="Arial"/>
          <w:color w:val="auto"/>
          <w:kern w:val="0"/>
          <w:szCs w:val="21"/>
          <w:highlight w:val="none"/>
        </w:rPr>
        <w:t>招标范围：</w:t>
      </w:r>
      <w:r>
        <w:rPr>
          <w:rFonts w:hint="eastAsia" w:ascii="宋体" w:hAnsi="宋体" w:cs="Arial"/>
          <w:color w:val="auto"/>
          <w:kern w:val="0"/>
          <w:szCs w:val="21"/>
          <w:highlight w:val="none"/>
          <w:u w:val="single"/>
        </w:rPr>
        <w:t>本次招标范围为将329国道原K47+670上虞方向和原K47+750柯桥方向的机动车道内设置治超非现场执法电子检测系统以上监控系统移位至329国道K267+280（对应《329国道智慧快速路改造工程（湖安路至越兴路）》项目设计桩号K15+380），快速路主线全断面设置，包括设备的安装、调试、试运行、并负责调试至验收合格，直至移交交通运输综合行政执法部门为止</w:t>
      </w:r>
      <w:r>
        <w:rPr>
          <w:rFonts w:hint="eastAsia" w:ascii="宋体" w:hAnsi="宋体" w:cs="宋体"/>
          <w:bCs/>
          <w:color w:val="auto"/>
          <w:highlight w:val="none"/>
        </w:rPr>
        <w:t>。详细内容参见本招标文件规定和施工招标图。</w:t>
      </w:r>
    </w:p>
    <w:p>
      <w:pPr>
        <w:widowControl/>
        <w:shd w:val="clear" w:color="auto" w:fill="FFFFFF"/>
        <w:spacing w:line="340" w:lineRule="exact"/>
        <w:rPr>
          <w:rFonts w:ascii="宋体" w:hAnsi="宋体" w:cs="Arial"/>
          <w:b/>
          <w:bCs/>
          <w:color w:val="auto"/>
          <w:kern w:val="0"/>
          <w:szCs w:val="21"/>
          <w:highlight w:val="none"/>
        </w:rPr>
      </w:pPr>
      <w:r>
        <w:rPr>
          <w:rFonts w:ascii="宋体" w:hAnsi="宋体" w:cs="Arial"/>
          <w:color w:val="auto"/>
          <w:kern w:val="0"/>
          <w:szCs w:val="21"/>
          <w:highlight w:val="none"/>
        </w:rPr>
        <w:t>2.</w:t>
      </w:r>
      <w:r>
        <w:rPr>
          <w:rFonts w:hint="eastAsia" w:ascii="宋体" w:hAnsi="宋体" w:cs="Arial"/>
          <w:color w:val="auto"/>
          <w:kern w:val="0"/>
          <w:szCs w:val="21"/>
          <w:highlight w:val="none"/>
        </w:rPr>
        <w:t>4</w:t>
      </w:r>
      <w:r>
        <w:rPr>
          <w:rFonts w:ascii="宋体" w:hAnsi="宋体" w:cs="Arial"/>
          <w:color w:val="auto"/>
          <w:kern w:val="0"/>
          <w:szCs w:val="21"/>
          <w:highlight w:val="none"/>
        </w:rPr>
        <w:t>计划工期：</w:t>
      </w:r>
      <w:r>
        <w:rPr>
          <w:rFonts w:hint="eastAsia" w:ascii="宋体" w:hAnsi="宋体"/>
          <w:b/>
          <w:color w:val="auto"/>
          <w:szCs w:val="21"/>
          <w:highlight w:val="none"/>
          <w:u w:val="single"/>
          <w:lang w:val="en-US" w:eastAsia="zh-CN"/>
        </w:rPr>
        <w:t>招标人</w:t>
      </w:r>
      <w:r>
        <w:rPr>
          <w:rFonts w:hint="eastAsia" w:ascii="宋体" w:hAnsi="宋体"/>
          <w:b/>
          <w:color w:val="auto"/>
          <w:szCs w:val="21"/>
          <w:highlight w:val="none"/>
          <w:u w:val="single"/>
        </w:rPr>
        <w:t>发出开工通知后90日历天内完成供货、安装、调试、验收。</w:t>
      </w:r>
    </w:p>
    <w:p>
      <w:pPr>
        <w:widowControl/>
        <w:shd w:val="clear" w:color="auto" w:fill="FFFFFF"/>
        <w:spacing w:line="340" w:lineRule="exact"/>
        <w:rPr>
          <w:rFonts w:ascii="宋体" w:hAnsi="宋体" w:cs="Arial"/>
          <w:color w:val="auto"/>
          <w:kern w:val="0"/>
          <w:szCs w:val="21"/>
          <w:highlight w:val="none"/>
          <w:u w:val="single"/>
        </w:rPr>
      </w:pPr>
      <w:r>
        <w:rPr>
          <w:rFonts w:ascii="宋体" w:hAnsi="宋体" w:cs="Arial"/>
          <w:color w:val="auto"/>
          <w:kern w:val="0"/>
          <w:szCs w:val="21"/>
          <w:highlight w:val="none"/>
        </w:rPr>
        <w:t>2.</w:t>
      </w:r>
      <w:r>
        <w:rPr>
          <w:rFonts w:hint="eastAsia" w:ascii="宋体" w:hAnsi="宋体" w:cs="Arial"/>
          <w:color w:val="auto"/>
          <w:kern w:val="0"/>
          <w:szCs w:val="21"/>
          <w:highlight w:val="none"/>
        </w:rPr>
        <w:t>5</w:t>
      </w:r>
      <w:r>
        <w:rPr>
          <w:rFonts w:ascii="宋体" w:hAnsi="宋体" w:cs="Arial"/>
          <w:color w:val="auto"/>
          <w:kern w:val="0"/>
          <w:szCs w:val="21"/>
          <w:highlight w:val="none"/>
        </w:rPr>
        <w:t xml:space="preserve"> 质量要求：</w:t>
      </w:r>
      <w:r>
        <w:rPr>
          <w:rFonts w:hint="eastAsia" w:ascii="宋体" w:hAnsi="宋体" w:cs="宋体"/>
          <w:b/>
          <w:color w:val="auto"/>
          <w:szCs w:val="21"/>
          <w:highlight w:val="none"/>
          <w:u w:val="single"/>
        </w:rPr>
        <w:t xml:space="preserve">合格 </w:t>
      </w:r>
      <w:r>
        <w:rPr>
          <w:rFonts w:ascii="宋体" w:hAnsi="宋体" w:cs="Arial"/>
          <w:color w:val="auto"/>
          <w:kern w:val="0"/>
          <w:szCs w:val="21"/>
          <w:highlight w:val="none"/>
        </w:rPr>
        <w:t>。</w:t>
      </w:r>
    </w:p>
    <w:p>
      <w:pPr>
        <w:widowControl/>
        <w:shd w:val="clear" w:color="auto" w:fill="FFFFFF"/>
        <w:spacing w:line="340" w:lineRule="exact"/>
        <w:rPr>
          <w:rFonts w:ascii="宋体" w:hAnsi="宋体" w:cs="Arial"/>
          <w:color w:val="auto"/>
          <w:kern w:val="0"/>
          <w:szCs w:val="21"/>
          <w:highlight w:val="none"/>
        </w:rPr>
      </w:pPr>
      <w:r>
        <w:rPr>
          <w:rFonts w:ascii="宋体" w:hAnsi="宋体" w:cs="Arial"/>
          <w:color w:val="auto"/>
          <w:kern w:val="0"/>
          <w:szCs w:val="21"/>
          <w:highlight w:val="none"/>
        </w:rPr>
        <w:t>2.</w:t>
      </w:r>
      <w:r>
        <w:rPr>
          <w:rFonts w:hint="eastAsia" w:ascii="宋体" w:hAnsi="宋体" w:cs="Arial"/>
          <w:color w:val="auto"/>
          <w:kern w:val="0"/>
          <w:szCs w:val="21"/>
          <w:highlight w:val="none"/>
        </w:rPr>
        <w:t>6</w:t>
      </w:r>
      <w:r>
        <w:rPr>
          <w:rFonts w:ascii="宋体" w:hAnsi="宋体" w:cs="Arial"/>
          <w:color w:val="auto"/>
          <w:kern w:val="0"/>
          <w:szCs w:val="21"/>
          <w:highlight w:val="none"/>
        </w:rPr>
        <w:t>标段划分：</w:t>
      </w:r>
      <w:r>
        <w:rPr>
          <w:rFonts w:hint="eastAsia" w:ascii="宋体" w:hAnsi="宋体" w:cs="宋体"/>
          <w:b/>
          <w:color w:val="auto"/>
          <w:szCs w:val="21"/>
          <w:highlight w:val="none"/>
          <w:u w:val="single"/>
        </w:rPr>
        <w:t xml:space="preserve"> /  </w:t>
      </w:r>
      <w:r>
        <w:rPr>
          <w:rFonts w:ascii="宋体" w:hAnsi="宋体" w:cs="Arial"/>
          <w:color w:val="auto"/>
          <w:kern w:val="0"/>
          <w:szCs w:val="21"/>
          <w:highlight w:val="none"/>
        </w:rPr>
        <w:t>。</w:t>
      </w:r>
    </w:p>
    <w:p>
      <w:pPr>
        <w:widowControl/>
        <w:shd w:val="clear" w:color="auto" w:fill="FFFFFF"/>
        <w:spacing w:line="340" w:lineRule="exact"/>
        <w:rPr>
          <w:rFonts w:ascii="宋体" w:hAnsi="宋体" w:cs="Arial"/>
          <w:color w:val="auto"/>
          <w:kern w:val="0"/>
          <w:szCs w:val="21"/>
          <w:highlight w:val="none"/>
        </w:rPr>
      </w:pPr>
      <w:r>
        <w:rPr>
          <w:rFonts w:ascii="宋体" w:hAnsi="宋体" w:cs="Arial"/>
          <w:color w:val="auto"/>
          <w:kern w:val="0"/>
          <w:szCs w:val="21"/>
          <w:highlight w:val="none"/>
        </w:rPr>
        <w:t>2.</w:t>
      </w:r>
      <w:r>
        <w:rPr>
          <w:rFonts w:hint="eastAsia" w:ascii="宋体" w:hAnsi="宋体" w:cs="Arial"/>
          <w:color w:val="auto"/>
          <w:kern w:val="0"/>
          <w:szCs w:val="21"/>
          <w:highlight w:val="none"/>
        </w:rPr>
        <w:t>7</w:t>
      </w:r>
      <w:r>
        <w:rPr>
          <w:rFonts w:ascii="宋体" w:hAnsi="宋体" w:cs="Arial"/>
          <w:color w:val="auto"/>
          <w:kern w:val="0"/>
          <w:szCs w:val="21"/>
          <w:highlight w:val="none"/>
        </w:rPr>
        <w:t>资格审查方式：</w:t>
      </w:r>
      <w:r>
        <w:rPr>
          <w:rFonts w:hint="eastAsia" w:ascii="宋体" w:hAnsi="宋体" w:cs="宋体"/>
          <w:b/>
          <w:color w:val="auto"/>
          <w:szCs w:val="21"/>
          <w:highlight w:val="none"/>
          <w:u w:val="single"/>
        </w:rPr>
        <w:t xml:space="preserve">  资格后审 </w:t>
      </w:r>
      <w:r>
        <w:rPr>
          <w:rFonts w:ascii="宋体" w:hAnsi="宋体" w:cs="Arial"/>
          <w:color w:val="auto"/>
          <w:kern w:val="0"/>
          <w:szCs w:val="21"/>
          <w:highlight w:val="none"/>
          <w:u w:val="single"/>
        </w:rPr>
        <w:t>。</w:t>
      </w:r>
    </w:p>
    <w:p>
      <w:pPr>
        <w:widowControl/>
        <w:shd w:val="clear" w:color="auto" w:fill="FFFFFF"/>
        <w:spacing w:line="340" w:lineRule="exact"/>
        <w:rPr>
          <w:rFonts w:ascii="宋体" w:hAnsi="宋体" w:cs="Arial"/>
          <w:color w:val="auto"/>
          <w:kern w:val="0"/>
          <w:szCs w:val="21"/>
          <w:highlight w:val="none"/>
        </w:rPr>
      </w:pPr>
      <w:r>
        <w:rPr>
          <w:rFonts w:hint="eastAsia" w:ascii="宋体" w:hAnsi="宋体" w:cs="Arial"/>
          <w:color w:val="auto"/>
          <w:kern w:val="0"/>
          <w:szCs w:val="21"/>
          <w:highlight w:val="none"/>
        </w:rPr>
        <w:t>3.投标人资格要求必须满足以下条件：</w:t>
      </w:r>
    </w:p>
    <w:p>
      <w:pPr>
        <w:widowControl/>
        <w:shd w:val="clear" w:color="auto" w:fill="FFFFFF"/>
        <w:spacing w:line="340" w:lineRule="exact"/>
        <w:rPr>
          <w:rFonts w:hAnsi="宋体" w:cs="Arial"/>
          <w:b/>
          <w:bCs/>
          <w:color w:val="auto"/>
          <w:szCs w:val="21"/>
          <w:highlight w:val="none"/>
          <w:u w:val="single"/>
        </w:rPr>
      </w:pPr>
      <w:r>
        <w:rPr>
          <w:rFonts w:ascii="宋体" w:hAnsi="宋体" w:cs="Arial"/>
          <w:color w:val="auto"/>
          <w:kern w:val="0"/>
          <w:szCs w:val="21"/>
          <w:highlight w:val="none"/>
        </w:rPr>
        <w:t>3.1 本次招标要求投标人具备</w:t>
      </w:r>
      <w:r>
        <w:rPr>
          <w:rFonts w:hint="eastAsia" w:ascii="宋体" w:hAnsi="宋体" w:cs="Arial"/>
          <w:b/>
          <w:iCs/>
          <w:color w:val="auto"/>
          <w:kern w:val="0"/>
          <w:szCs w:val="21"/>
          <w:highlight w:val="none"/>
          <w:u w:val="single"/>
        </w:rPr>
        <w:t>建设行政主管部门核发的公路交通工程专业承包（公路机电工程分项）二级及以上</w:t>
      </w:r>
      <w:r>
        <w:rPr>
          <w:rFonts w:ascii="宋体" w:hAnsi="宋体" w:cs="Arial"/>
          <w:color w:val="auto"/>
          <w:kern w:val="0"/>
          <w:szCs w:val="21"/>
          <w:highlight w:val="none"/>
        </w:rPr>
        <w:t>资质，具有</w:t>
      </w:r>
      <w:r>
        <w:rPr>
          <w:rFonts w:hint="eastAsia" w:ascii="宋体" w:hAnsi="宋体" w:cs="Arial"/>
          <w:b/>
          <w:iCs/>
          <w:color w:val="auto"/>
          <w:kern w:val="0"/>
          <w:szCs w:val="21"/>
          <w:highlight w:val="none"/>
          <w:u w:val="single"/>
        </w:rPr>
        <w:t>安全生产许可证</w:t>
      </w:r>
      <w:r>
        <w:rPr>
          <w:rFonts w:hint="eastAsia" w:ascii="宋体" w:hAnsi="宋体" w:cs="Arial"/>
          <w:color w:val="auto"/>
          <w:kern w:val="0"/>
          <w:szCs w:val="21"/>
          <w:highlight w:val="none"/>
        </w:rPr>
        <w:t>，</w:t>
      </w:r>
      <w:r>
        <w:rPr>
          <w:rFonts w:hint="eastAsia" w:ascii="宋体" w:hAnsi="宋体" w:cs="Arial"/>
          <w:color w:val="auto"/>
          <w:kern w:val="0"/>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Arial"/>
          <w:color w:val="auto"/>
          <w:kern w:val="0"/>
          <w:szCs w:val="21"/>
          <w:highlight w:val="none"/>
        </w:rPr>
        <w:t xml:space="preserve"> </w:t>
      </w:r>
      <w:r>
        <w:rPr>
          <w:rFonts w:ascii="宋体" w:hAnsi="宋体" w:cs="Arial"/>
          <w:color w:val="auto"/>
          <w:kern w:val="0"/>
          <w:szCs w:val="21"/>
          <w:highlight w:val="none"/>
        </w:rPr>
        <w:t>业绩，并在人员、设备、资金等方面具有相应的施工能力。项目负责人</w:t>
      </w:r>
      <w:r>
        <w:rPr>
          <w:rFonts w:hint="eastAsia" w:ascii="宋体" w:hAnsi="宋体" w:cs="Arial"/>
          <w:color w:val="auto"/>
          <w:kern w:val="0"/>
          <w:szCs w:val="21"/>
          <w:highlight w:val="none"/>
        </w:rPr>
        <w:t>（项目经理）</w:t>
      </w:r>
      <w:r>
        <w:rPr>
          <w:rFonts w:ascii="宋体" w:hAnsi="宋体" w:cs="Arial"/>
          <w:color w:val="auto"/>
          <w:kern w:val="0"/>
          <w:szCs w:val="21"/>
          <w:highlight w:val="none"/>
        </w:rPr>
        <w:t>须具备</w:t>
      </w:r>
      <w:r>
        <w:rPr>
          <w:rFonts w:hint="eastAsia" w:ascii="宋体" w:hAnsi="宋体" w:cs="Arial"/>
          <w:b/>
          <w:iCs/>
          <w:color w:val="auto"/>
          <w:kern w:val="0"/>
          <w:szCs w:val="21"/>
          <w:highlight w:val="none"/>
          <w:u w:val="single"/>
        </w:rPr>
        <w:t>机电工程</w:t>
      </w:r>
      <w:r>
        <w:rPr>
          <w:rFonts w:hint="eastAsia" w:ascii="宋体" w:hAnsi="宋体" w:cs="宋体"/>
          <w:b/>
          <w:color w:val="auto"/>
          <w:szCs w:val="21"/>
          <w:highlight w:val="none"/>
          <w:u w:val="single"/>
        </w:rPr>
        <w:t>二级及以上注册建造师</w:t>
      </w:r>
      <w:r>
        <w:rPr>
          <w:rFonts w:ascii="宋体" w:hAnsi="宋体" w:cs="Arial"/>
          <w:color w:val="auto"/>
          <w:kern w:val="0"/>
          <w:szCs w:val="21"/>
          <w:highlight w:val="none"/>
        </w:rPr>
        <w:t>资格，具有</w:t>
      </w:r>
      <w:r>
        <w:rPr>
          <w:rFonts w:hint="eastAsia" w:ascii="宋体" w:hAnsi="宋体"/>
          <w:b/>
          <w:color w:val="auto"/>
          <w:szCs w:val="21"/>
          <w:highlight w:val="none"/>
          <w:u w:val="single"/>
        </w:rPr>
        <w:t>安全生产考核合格证（B证）</w:t>
      </w:r>
      <w:r>
        <w:rPr>
          <w:rFonts w:ascii="宋体" w:hAnsi="宋体" w:cs="Arial"/>
          <w:color w:val="auto"/>
          <w:kern w:val="0"/>
          <w:szCs w:val="21"/>
          <w:highlight w:val="none"/>
        </w:rPr>
        <w:t>，且无在建工程</w:t>
      </w:r>
      <w:r>
        <w:rPr>
          <w:rFonts w:hint="eastAsia" w:ascii="宋体" w:hAnsi="宋体" w:cs="Arial"/>
          <w:color w:val="auto"/>
          <w:kern w:val="0"/>
          <w:szCs w:val="21"/>
          <w:highlight w:val="none"/>
        </w:rPr>
        <w:t>，</w:t>
      </w:r>
      <w:r>
        <w:rPr>
          <w:rFonts w:hint="eastAsia" w:ascii="宋体" w:hAnsi="宋体"/>
          <w:b/>
          <w:color w:val="auto"/>
          <w:szCs w:val="21"/>
          <w:highlight w:val="none"/>
          <w:u w:val="single"/>
        </w:rPr>
        <w:t>拟派项目负责人须为投标人在职职工（在职职工不包括离、退休返聘人员），以提供缴费期限包含2021年</w:t>
      </w:r>
      <w:r>
        <w:rPr>
          <w:rFonts w:hint="eastAsia" w:ascii="宋体" w:hAnsi="宋体"/>
          <w:b/>
          <w:color w:val="auto"/>
          <w:szCs w:val="21"/>
          <w:highlight w:val="none"/>
          <w:u w:val="single"/>
          <w:lang w:val="en-US" w:eastAsia="zh-CN"/>
        </w:rPr>
        <w:t>4</w:t>
      </w:r>
      <w:r>
        <w:rPr>
          <w:rFonts w:hint="eastAsia" w:ascii="宋体" w:hAnsi="宋体"/>
          <w:b/>
          <w:color w:val="auto"/>
          <w:szCs w:val="21"/>
          <w:highlight w:val="none"/>
          <w:u w:val="single"/>
        </w:rPr>
        <w:t>月至2021年</w:t>
      </w:r>
      <w:r>
        <w:rPr>
          <w:rFonts w:hint="eastAsia" w:ascii="宋体" w:hAnsi="宋体"/>
          <w:b/>
          <w:color w:val="auto"/>
          <w:szCs w:val="21"/>
          <w:highlight w:val="none"/>
          <w:u w:val="single"/>
          <w:lang w:val="en-US" w:eastAsia="zh-CN"/>
        </w:rPr>
        <w:t>6</w:t>
      </w:r>
      <w:r>
        <w:rPr>
          <w:rFonts w:hint="eastAsia" w:ascii="宋体" w:hAnsi="宋体"/>
          <w:b/>
          <w:color w:val="auto"/>
          <w:szCs w:val="21"/>
          <w:highlight w:val="none"/>
          <w:u w:val="single"/>
        </w:rPr>
        <w:t>月的投标人所属社保机构养老保险交纳清单或证明为准【</w:t>
      </w:r>
      <w:r>
        <w:rPr>
          <w:rFonts w:hint="eastAsia" w:ascii="宋体" w:hAnsi="宋体" w:cs="Arial"/>
          <w:b/>
          <w:color w:val="auto"/>
          <w:szCs w:val="21"/>
          <w:highlight w:val="none"/>
          <w:u w:val="single"/>
        </w:rPr>
        <w:t>缴费单位和投标单位名称必须一致，并加盖社保缴费证明专用章（</w:t>
      </w:r>
      <w:r>
        <w:rPr>
          <w:rFonts w:hint="eastAsia" w:ascii="宋体" w:hAnsi="宋体"/>
          <w:b/>
          <w:color w:val="auto"/>
          <w:szCs w:val="21"/>
          <w:highlight w:val="none"/>
          <w:u w:val="single"/>
        </w:rPr>
        <w:t>或电子专用章</w:t>
      </w:r>
      <w:r>
        <w:rPr>
          <w:rFonts w:hint="eastAsia" w:ascii="宋体" w:hAnsi="宋体" w:cs="Arial"/>
          <w:b/>
          <w:color w:val="auto"/>
          <w:szCs w:val="21"/>
          <w:highlight w:val="none"/>
          <w:u w:val="single"/>
        </w:rPr>
        <w:t>）</w:t>
      </w:r>
      <w:r>
        <w:rPr>
          <w:rFonts w:hint="eastAsia" w:ascii="宋体" w:hAnsi="宋体"/>
          <w:b/>
          <w:color w:val="auto"/>
          <w:szCs w:val="21"/>
          <w:highlight w:val="none"/>
          <w:u w:val="single"/>
        </w:rPr>
        <w:t>】</w:t>
      </w:r>
      <w:r>
        <w:rPr>
          <w:rFonts w:hint="eastAsia" w:hAnsi="宋体" w:cs="Arial"/>
          <w:b/>
          <w:bCs/>
          <w:color w:val="auto"/>
          <w:szCs w:val="21"/>
          <w:highlight w:val="none"/>
          <w:u w:val="single"/>
        </w:rPr>
        <w:t>。</w:t>
      </w:r>
    </w:p>
    <w:p>
      <w:pPr>
        <w:widowControl/>
        <w:shd w:val="clear" w:color="auto" w:fill="FFFFFF"/>
        <w:spacing w:line="340" w:lineRule="exact"/>
        <w:rPr>
          <w:rFonts w:ascii="宋体" w:hAnsi="宋体" w:cs="Arial"/>
          <w:color w:val="auto"/>
          <w:kern w:val="0"/>
          <w:szCs w:val="21"/>
          <w:highlight w:val="none"/>
        </w:rPr>
      </w:pPr>
      <w:r>
        <w:rPr>
          <w:rFonts w:ascii="宋体" w:hAnsi="宋体" w:cs="Arial"/>
          <w:color w:val="auto"/>
          <w:kern w:val="0"/>
          <w:szCs w:val="21"/>
          <w:highlight w:val="none"/>
        </w:rPr>
        <w:t>3.2主要设备、材料要求：</w:t>
      </w:r>
      <w:r>
        <w:rPr>
          <w:rFonts w:hint="eastAsia" w:ascii="宋体" w:hAnsi="宋体" w:cs="Arial"/>
          <w:color w:val="auto"/>
          <w:kern w:val="0"/>
          <w:szCs w:val="21"/>
          <w:highlight w:val="none"/>
          <w:u w:val="single"/>
        </w:rPr>
        <w:t xml:space="preserve">  /</w:t>
      </w:r>
      <w:r>
        <w:rPr>
          <w:rFonts w:ascii="宋体" w:hAnsi="宋体" w:cs="Arial"/>
          <w:color w:val="auto"/>
          <w:kern w:val="0"/>
          <w:szCs w:val="21"/>
          <w:highlight w:val="none"/>
        </w:rPr>
        <w:t>。</w:t>
      </w:r>
    </w:p>
    <w:p>
      <w:pPr>
        <w:widowControl/>
        <w:shd w:val="clear" w:color="auto" w:fill="FFFFFF"/>
        <w:spacing w:line="340" w:lineRule="exact"/>
        <w:rPr>
          <w:rFonts w:ascii="宋体" w:hAnsi="宋体" w:cs="Arial"/>
          <w:color w:val="auto"/>
          <w:kern w:val="0"/>
          <w:szCs w:val="21"/>
          <w:highlight w:val="none"/>
        </w:rPr>
      </w:pPr>
      <w:r>
        <w:rPr>
          <w:rFonts w:ascii="宋体" w:hAnsi="宋体" w:cs="Arial"/>
          <w:color w:val="auto"/>
          <w:kern w:val="0"/>
          <w:szCs w:val="21"/>
          <w:highlight w:val="none"/>
        </w:rPr>
        <w:t>3.3其他要求：</w:t>
      </w:r>
    </w:p>
    <w:p>
      <w:pPr>
        <w:widowControl/>
        <w:shd w:val="clear" w:color="auto" w:fill="FFFFFF"/>
        <w:spacing w:line="340" w:lineRule="exact"/>
        <w:rPr>
          <w:rFonts w:ascii="宋体" w:hAnsi="宋体" w:cs="Arial"/>
          <w:color w:val="auto"/>
          <w:kern w:val="0"/>
          <w:szCs w:val="21"/>
          <w:highlight w:val="none"/>
        </w:rPr>
      </w:pPr>
      <w:r>
        <w:rPr>
          <w:rFonts w:ascii="宋体" w:hAnsi="宋体" w:cs="Arial"/>
          <w:color w:val="auto"/>
          <w:kern w:val="0"/>
          <w:szCs w:val="21"/>
          <w:highlight w:val="none"/>
        </w:rPr>
        <w:t>3.3.1</w:t>
      </w:r>
      <w:r>
        <w:rPr>
          <w:rFonts w:hint="eastAsia" w:ascii="宋体" w:hAnsi="宋体" w:cs="Arial"/>
          <w:color w:val="auto"/>
          <w:kern w:val="0"/>
          <w:szCs w:val="21"/>
          <w:highlight w:val="none"/>
        </w:rPr>
        <w:t>企业</w:t>
      </w:r>
      <w:r>
        <w:rPr>
          <w:rFonts w:ascii="宋体" w:hAnsi="宋体" w:cs="Arial"/>
          <w:color w:val="auto"/>
          <w:kern w:val="0"/>
          <w:szCs w:val="21"/>
          <w:highlight w:val="none"/>
        </w:rPr>
        <w:t>具有</w:t>
      </w:r>
      <w:r>
        <w:rPr>
          <w:rFonts w:hint="eastAsia" w:ascii="宋体" w:hAnsi="宋体" w:cs="Arial"/>
          <w:color w:val="auto"/>
          <w:kern w:val="0"/>
          <w:szCs w:val="21"/>
          <w:highlight w:val="none"/>
        </w:rPr>
        <w:t>绍兴市公共资源交易中心工程建设项目</w:t>
      </w:r>
      <w:r>
        <w:rPr>
          <w:rFonts w:hint="eastAsia" w:ascii="宋体" w:hAnsi="宋体" w:cs="Arial"/>
          <w:b/>
          <w:color w:val="auto"/>
          <w:kern w:val="0"/>
          <w:szCs w:val="21"/>
          <w:highlight w:val="none"/>
          <w:u w:val="single"/>
        </w:rPr>
        <w:t>2021</w:t>
      </w:r>
      <w:r>
        <w:rPr>
          <w:rFonts w:hint="eastAsia" w:ascii="宋体" w:hAnsi="宋体" w:cs="宋体"/>
          <w:bCs/>
          <w:color w:val="auto"/>
          <w:szCs w:val="21"/>
          <w:highlight w:val="none"/>
        </w:rPr>
        <w:t>年度登记</w:t>
      </w:r>
      <w:r>
        <w:rPr>
          <w:rFonts w:ascii="宋体" w:hAnsi="宋体" w:cs="Arial"/>
          <w:color w:val="auto"/>
          <w:kern w:val="0"/>
          <w:szCs w:val="21"/>
          <w:highlight w:val="none"/>
        </w:rPr>
        <w:t>资格</w:t>
      </w:r>
      <w:r>
        <w:rPr>
          <w:rFonts w:hint="eastAsia" w:ascii="宋体" w:hAnsi="宋体" w:cs="Arial"/>
          <w:color w:val="auto"/>
          <w:kern w:val="0"/>
          <w:szCs w:val="21"/>
          <w:highlight w:val="none"/>
        </w:rPr>
        <w:t>并在有效期内。</w:t>
      </w:r>
    </w:p>
    <w:p>
      <w:pPr>
        <w:widowControl/>
        <w:shd w:val="clear" w:color="auto" w:fill="FFFFFF"/>
        <w:spacing w:line="340" w:lineRule="exact"/>
        <w:rPr>
          <w:rFonts w:ascii="宋体" w:hAnsi="宋体" w:cs="Arial"/>
          <w:color w:val="auto"/>
          <w:kern w:val="0"/>
          <w:szCs w:val="21"/>
          <w:highlight w:val="none"/>
        </w:rPr>
      </w:pPr>
      <w:r>
        <w:rPr>
          <w:rFonts w:hint="eastAsia" w:ascii="宋体" w:hAnsi="宋体" w:cs="Arial"/>
          <w:color w:val="auto"/>
          <w:kern w:val="0"/>
          <w:szCs w:val="21"/>
          <w:highlight w:val="none"/>
        </w:rPr>
        <w:t>3.3.2</w:t>
      </w:r>
      <w:r>
        <w:rPr>
          <w:rFonts w:ascii="宋体" w:hAnsi="宋体" w:cs="Arial"/>
          <w:color w:val="auto"/>
          <w:kern w:val="0"/>
          <w:szCs w:val="21"/>
          <w:highlight w:val="none"/>
        </w:rPr>
        <w:t>企业</w:t>
      </w:r>
      <w:r>
        <w:rPr>
          <w:rFonts w:hint="eastAsia" w:ascii="宋体" w:hAnsi="宋体" w:cs="Arial"/>
          <w:color w:val="auto"/>
          <w:kern w:val="0"/>
          <w:szCs w:val="21"/>
          <w:highlight w:val="none"/>
        </w:rPr>
        <w:t>需要</w:t>
      </w:r>
      <w:r>
        <w:rPr>
          <w:rFonts w:hint="eastAsia" w:ascii="宋体" w:hAnsi="宋体" w:cs="Arial"/>
          <w:b/>
          <w:color w:val="auto"/>
          <w:kern w:val="0"/>
          <w:szCs w:val="21"/>
          <w:highlight w:val="none"/>
          <w:u w:val="single"/>
        </w:rPr>
        <w:t>经浙江省住建厅备案（浙江省内企业不作要求）（有效期内）</w:t>
      </w:r>
      <w:r>
        <w:rPr>
          <w:rFonts w:hint="eastAsia" w:ascii="宋体" w:hAnsi="宋体" w:cs="Arial"/>
          <w:color w:val="auto"/>
          <w:kern w:val="0"/>
          <w:szCs w:val="21"/>
          <w:highlight w:val="none"/>
        </w:rPr>
        <w:t>，</w:t>
      </w:r>
      <w:r>
        <w:rPr>
          <w:rFonts w:ascii="宋体" w:hAnsi="宋体" w:cs="Arial"/>
          <w:color w:val="auto"/>
          <w:kern w:val="0"/>
          <w:szCs w:val="21"/>
          <w:highlight w:val="none"/>
        </w:rPr>
        <w:t>项目负责人</w:t>
      </w:r>
      <w:r>
        <w:rPr>
          <w:rFonts w:hint="eastAsia" w:ascii="宋体" w:hAnsi="宋体" w:cs="宋体"/>
          <w:b/>
          <w:color w:val="auto"/>
          <w:szCs w:val="21"/>
          <w:highlight w:val="none"/>
          <w:u w:val="single"/>
        </w:rPr>
        <w:t xml:space="preserve">/ </w:t>
      </w:r>
      <w:r>
        <w:rPr>
          <w:rFonts w:ascii="宋体" w:hAnsi="宋体" w:cs="Arial"/>
          <w:color w:val="auto"/>
          <w:kern w:val="0"/>
          <w:szCs w:val="21"/>
          <w:highlight w:val="none"/>
        </w:rPr>
        <w:t>。</w:t>
      </w:r>
    </w:p>
    <w:p>
      <w:pPr>
        <w:widowControl/>
        <w:shd w:val="clear" w:color="auto" w:fill="FFFFFF"/>
        <w:spacing w:line="340" w:lineRule="exact"/>
        <w:rPr>
          <w:rFonts w:ascii="宋体" w:hAnsi="宋体" w:cs="Arial"/>
          <w:color w:val="auto"/>
          <w:kern w:val="0"/>
          <w:szCs w:val="21"/>
          <w:highlight w:val="none"/>
        </w:rPr>
      </w:pPr>
      <w:r>
        <w:rPr>
          <w:rFonts w:ascii="宋体" w:hAnsi="宋体" w:cs="Arial"/>
          <w:color w:val="auto"/>
          <w:kern w:val="0"/>
          <w:szCs w:val="21"/>
          <w:highlight w:val="none"/>
        </w:rPr>
        <w:t>3.3.</w:t>
      </w:r>
      <w:r>
        <w:rPr>
          <w:rFonts w:hint="eastAsia" w:ascii="宋体" w:hAnsi="宋体" w:cs="Arial"/>
          <w:color w:val="auto"/>
          <w:kern w:val="0"/>
          <w:szCs w:val="21"/>
          <w:highlight w:val="none"/>
        </w:rPr>
        <w:t>3</w:t>
      </w:r>
      <w:r>
        <w:rPr>
          <w:rFonts w:ascii="宋体" w:hAnsi="宋体" w:cs="Arial"/>
          <w:color w:val="auto"/>
          <w:kern w:val="0"/>
          <w:szCs w:val="21"/>
          <w:highlight w:val="none"/>
        </w:rPr>
        <w:t>企业在</w:t>
      </w:r>
      <w:r>
        <w:rPr>
          <w:rFonts w:hint="eastAsia" w:ascii="宋体" w:hAnsi="宋体" w:cs="Arial"/>
          <w:color w:val="auto"/>
          <w:kern w:val="0"/>
          <w:szCs w:val="21"/>
          <w:highlight w:val="none"/>
          <w:u w:val="single"/>
        </w:rPr>
        <w:t>/</w:t>
      </w:r>
      <w:r>
        <w:rPr>
          <w:rFonts w:ascii="宋体" w:hAnsi="宋体" w:cs="Arial"/>
          <w:color w:val="auto"/>
          <w:kern w:val="0"/>
          <w:szCs w:val="21"/>
          <w:highlight w:val="none"/>
        </w:rPr>
        <w:t>年</w:t>
      </w:r>
      <w:r>
        <w:rPr>
          <w:rFonts w:hint="eastAsia" w:ascii="宋体" w:hAnsi="宋体" w:cs="Arial"/>
          <w:color w:val="auto"/>
          <w:kern w:val="0"/>
          <w:szCs w:val="21"/>
          <w:highlight w:val="none"/>
          <w:u w:val="single"/>
        </w:rPr>
        <w:t xml:space="preserve">/ </w:t>
      </w:r>
      <w:r>
        <w:rPr>
          <w:rFonts w:ascii="宋体" w:hAnsi="宋体" w:cs="Arial"/>
          <w:color w:val="auto"/>
          <w:kern w:val="0"/>
          <w:szCs w:val="21"/>
          <w:highlight w:val="none"/>
        </w:rPr>
        <w:t>月</w:t>
      </w:r>
      <w:r>
        <w:rPr>
          <w:rFonts w:hint="eastAsia" w:ascii="宋体" w:hAnsi="宋体" w:cs="Arial"/>
          <w:color w:val="auto"/>
          <w:kern w:val="0"/>
          <w:szCs w:val="21"/>
          <w:highlight w:val="none"/>
          <w:u w:val="single"/>
        </w:rPr>
        <w:t>/</w:t>
      </w:r>
      <w:r>
        <w:rPr>
          <w:rFonts w:ascii="宋体" w:hAnsi="宋体" w:cs="Arial"/>
          <w:color w:val="auto"/>
          <w:kern w:val="0"/>
          <w:szCs w:val="21"/>
          <w:highlight w:val="none"/>
        </w:rPr>
        <w:t>日前与</w:t>
      </w:r>
      <w:r>
        <w:rPr>
          <w:rFonts w:hint="eastAsia" w:ascii="宋体" w:hAnsi="宋体" w:cs="Arial"/>
          <w:color w:val="auto"/>
          <w:kern w:val="0"/>
          <w:szCs w:val="21"/>
          <w:highlight w:val="none"/>
          <w:u w:val="single"/>
        </w:rPr>
        <w:t xml:space="preserve">/ </w:t>
      </w:r>
      <w:r>
        <w:rPr>
          <w:rFonts w:ascii="宋体" w:hAnsi="宋体" w:cs="Arial"/>
          <w:color w:val="auto"/>
          <w:kern w:val="0"/>
          <w:szCs w:val="21"/>
          <w:highlight w:val="none"/>
        </w:rPr>
        <w:t>签订劳动者工资保障金管理协议。</w:t>
      </w:r>
    </w:p>
    <w:p>
      <w:pPr>
        <w:pStyle w:val="122"/>
        <w:shd w:val="clear" w:color="auto" w:fill="FFFFFF"/>
        <w:rPr>
          <w:color w:val="auto"/>
          <w:highlight w:val="none"/>
        </w:rPr>
      </w:pPr>
      <w:r>
        <w:rPr>
          <w:rFonts w:ascii="宋体" w:hAnsi="宋体" w:cs="Arial"/>
          <w:color w:val="auto"/>
          <w:highlight w:val="none"/>
        </w:rPr>
        <w:t>3.3.</w:t>
      </w:r>
      <w:r>
        <w:rPr>
          <w:rFonts w:hint="eastAsia" w:ascii="宋体" w:hAnsi="宋体" w:cs="Arial"/>
          <w:color w:val="auto"/>
          <w:highlight w:val="none"/>
        </w:rPr>
        <w:t>4</w:t>
      </w:r>
      <w:r>
        <w:rPr>
          <w:rFonts w:ascii="宋体" w:hAnsi="宋体" w:cs="Arial"/>
          <w:color w:val="auto"/>
          <w:highlight w:val="none"/>
        </w:rPr>
        <w:t>企业和项目负责人</w:t>
      </w:r>
      <w:r>
        <w:rPr>
          <w:rFonts w:hint="eastAsia" w:ascii="宋体" w:hAnsi="宋体" w:cs="Arial"/>
          <w:color w:val="auto"/>
          <w:highlight w:val="none"/>
        </w:rPr>
        <w:t>近</w:t>
      </w:r>
      <w:r>
        <w:rPr>
          <w:rFonts w:hint="eastAsia" w:ascii="宋体" w:hAnsi="宋体" w:cs="Arial"/>
          <w:color w:val="auto"/>
          <w:highlight w:val="none"/>
          <w:u w:val="single"/>
        </w:rPr>
        <w:t xml:space="preserve">  </w:t>
      </w:r>
      <w:r>
        <w:rPr>
          <w:rFonts w:hint="eastAsia" w:ascii="宋体" w:hAnsi="宋体" w:cs="Arial"/>
          <w:b/>
          <w:color w:val="auto"/>
          <w:highlight w:val="none"/>
          <w:u w:val="single"/>
        </w:rPr>
        <w:t>五</w:t>
      </w:r>
      <w:r>
        <w:rPr>
          <w:rFonts w:hint="eastAsia" w:ascii="宋体" w:hAnsi="宋体" w:cs="Arial"/>
          <w:color w:val="auto"/>
          <w:highlight w:val="none"/>
          <w:u w:val="single"/>
        </w:rPr>
        <w:t xml:space="preserve">  </w:t>
      </w:r>
      <w:r>
        <w:rPr>
          <w:rFonts w:hint="eastAsia" w:ascii="宋体" w:hAnsi="宋体" w:cs="Arial"/>
          <w:color w:val="auto"/>
          <w:highlight w:val="none"/>
        </w:rPr>
        <w:t>年</w:t>
      </w:r>
      <w:r>
        <w:rPr>
          <w:rFonts w:ascii="宋体" w:hAnsi="宋体" w:cs="Arial"/>
          <w:color w:val="auto"/>
          <w:highlight w:val="none"/>
        </w:rPr>
        <w:t>无行贿犯罪记录</w:t>
      </w:r>
      <w:r>
        <w:rPr>
          <w:rFonts w:hint="eastAsia" w:ascii="宋体" w:hAnsi="宋体"/>
          <w:color w:val="auto"/>
          <w:highlight w:val="none"/>
          <w:shd w:val="clear" w:color="auto" w:fill="FCFCFC"/>
        </w:rPr>
        <w:t>（投标人提供承诺书）。</w:t>
      </w:r>
    </w:p>
    <w:p>
      <w:pPr>
        <w:widowControl/>
        <w:shd w:val="clear" w:color="auto" w:fill="FFFFFF"/>
        <w:spacing w:line="340" w:lineRule="exact"/>
        <w:rPr>
          <w:rFonts w:ascii="宋体" w:hAnsi="宋体" w:cs="Arial"/>
          <w:color w:val="auto"/>
          <w:kern w:val="0"/>
          <w:szCs w:val="21"/>
          <w:highlight w:val="none"/>
        </w:rPr>
      </w:pPr>
      <w:r>
        <w:rPr>
          <w:rFonts w:ascii="宋体" w:hAnsi="宋体" w:cs="Arial"/>
          <w:color w:val="auto"/>
          <w:kern w:val="0"/>
          <w:szCs w:val="21"/>
          <w:highlight w:val="none"/>
        </w:rPr>
        <w:t>3.4 本次招标</w:t>
      </w:r>
      <w:r>
        <w:rPr>
          <w:rFonts w:hint="eastAsia" w:ascii="宋体" w:hAnsi="宋体" w:cs="Arial"/>
          <w:b/>
          <w:bCs/>
          <w:color w:val="auto"/>
          <w:kern w:val="0"/>
          <w:szCs w:val="21"/>
          <w:highlight w:val="none"/>
          <w:u w:val="single"/>
        </w:rPr>
        <w:t>不接受</w:t>
      </w:r>
      <w:r>
        <w:rPr>
          <w:rFonts w:ascii="宋体" w:hAnsi="宋体" w:cs="Arial"/>
          <w:color w:val="auto"/>
          <w:kern w:val="0"/>
          <w:szCs w:val="21"/>
          <w:highlight w:val="none"/>
        </w:rPr>
        <w:t>联合体投标。联合体投标的，应满足下列要求：</w:t>
      </w:r>
      <w:r>
        <w:rPr>
          <w:rFonts w:hint="eastAsia" w:cs="宋体"/>
          <w:color w:val="auto"/>
          <w:kern w:val="0"/>
          <w:szCs w:val="21"/>
          <w:highlight w:val="none"/>
          <w:u w:val="single"/>
        </w:rPr>
        <w:t>/</w:t>
      </w:r>
    </w:p>
    <w:p>
      <w:pPr>
        <w:widowControl/>
        <w:shd w:val="clear" w:color="auto" w:fill="FFFFFF"/>
        <w:spacing w:line="340" w:lineRule="exact"/>
        <w:rPr>
          <w:rFonts w:ascii="宋体" w:hAnsi="宋体" w:cs="Arial"/>
          <w:color w:val="auto"/>
          <w:kern w:val="0"/>
          <w:szCs w:val="21"/>
          <w:highlight w:val="none"/>
        </w:rPr>
      </w:pPr>
      <w:r>
        <w:rPr>
          <w:rFonts w:ascii="宋体" w:hAnsi="宋体" w:cs="Arial"/>
          <w:color w:val="auto"/>
          <w:kern w:val="0"/>
          <w:szCs w:val="21"/>
          <w:highlight w:val="none"/>
        </w:rPr>
        <w:t>3.5 各投标人均可就上述标段中的</w:t>
      </w:r>
      <w:r>
        <w:rPr>
          <w:rFonts w:hint="eastAsia" w:ascii="宋体" w:hAnsi="宋体" w:cs="宋体"/>
          <w:i/>
          <w:color w:val="auto"/>
          <w:szCs w:val="21"/>
          <w:highlight w:val="none"/>
          <w:u w:val="single"/>
        </w:rPr>
        <w:t xml:space="preserve"> /  </w:t>
      </w:r>
      <w:r>
        <w:rPr>
          <w:rFonts w:ascii="宋体" w:hAnsi="宋体" w:cs="Arial"/>
          <w:color w:val="auto"/>
          <w:kern w:val="0"/>
          <w:szCs w:val="21"/>
          <w:highlight w:val="none"/>
        </w:rPr>
        <w:t>（具体数量）个标段投标。</w:t>
      </w:r>
    </w:p>
    <w:p>
      <w:pPr>
        <w:widowControl/>
        <w:shd w:val="clear" w:color="auto" w:fill="FFFFFF"/>
        <w:spacing w:line="330" w:lineRule="exact"/>
        <w:rPr>
          <w:rFonts w:ascii="宋体" w:hAnsi="宋体" w:cs="Arial"/>
          <w:color w:val="auto"/>
          <w:kern w:val="0"/>
          <w:szCs w:val="21"/>
          <w:highlight w:val="none"/>
        </w:rPr>
      </w:pPr>
      <w:r>
        <w:rPr>
          <w:rFonts w:hint="eastAsia" w:ascii="宋体" w:hAnsi="宋体" w:cs="Arial"/>
          <w:color w:val="auto"/>
          <w:kern w:val="0"/>
          <w:szCs w:val="21"/>
          <w:highlight w:val="none"/>
        </w:rPr>
        <w:t>4.招标文件获取</w:t>
      </w:r>
    </w:p>
    <w:p>
      <w:pPr>
        <w:widowControl/>
        <w:spacing w:line="400" w:lineRule="exact"/>
        <w:rPr>
          <w:rFonts w:ascii="宋体" w:hAnsi="宋体" w:cs="Arial"/>
          <w:color w:val="auto"/>
          <w:kern w:val="0"/>
          <w:szCs w:val="21"/>
          <w:highlight w:val="none"/>
        </w:rPr>
      </w:pPr>
      <w:r>
        <w:rPr>
          <w:rFonts w:ascii="宋体" w:hAnsi="宋体" w:cs="Arial"/>
          <w:color w:val="auto"/>
          <w:kern w:val="0"/>
          <w:szCs w:val="21"/>
          <w:highlight w:val="none"/>
        </w:rPr>
        <w:t xml:space="preserve">4.1 </w:t>
      </w:r>
      <w:r>
        <w:rPr>
          <w:rFonts w:hint="eastAsia" w:ascii="宋体" w:hAnsi="宋体" w:cs="Arial"/>
          <w:color w:val="auto"/>
          <w:kern w:val="0"/>
          <w:szCs w:val="21"/>
          <w:highlight w:val="none"/>
        </w:rPr>
        <w:t>凡有意参加投标者，请于2021年</w:t>
      </w:r>
      <w:r>
        <w:rPr>
          <w:rFonts w:hint="eastAsia" w:ascii="宋体" w:hAnsi="宋体" w:cs="Arial"/>
          <w:color w:val="auto"/>
          <w:kern w:val="0"/>
          <w:szCs w:val="21"/>
          <w:highlight w:val="none"/>
          <w:u w:val="single"/>
        </w:rPr>
        <w:t xml:space="preserve">   </w:t>
      </w:r>
      <w:r>
        <w:rPr>
          <w:rFonts w:hint="eastAsia" w:ascii="宋体" w:hAnsi="宋体" w:cs="Arial"/>
          <w:color w:val="auto"/>
          <w:kern w:val="0"/>
          <w:szCs w:val="21"/>
          <w:highlight w:val="none"/>
        </w:rPr>
        <w:t>月</w:t>
      </w:r>
      <w:r>
        <w:rPr>
          <w:rFonts w:hint="eastAsia" w:ascii="宋体" w:hAnsi="宋体" w:cs="Arial"/>
          <w:color w:val="auto"/>
          <w:kern w:val="0"/>
          <w:szCs w:val="21"/>
          <w:highlight w:val="none"/>
          <w:u w:val="single"/>
        </w:rPr>
        <w:t xml:space="preserve">   </w:t>
      </w:r>
      <w:r>
        <w:rPr>
          <w:rFonts w:hint="eastAsia" w:ascii="宋体" w:hAnsi="宋体" w:cs="Arial"/>
          <w:color w:val="auto"/>
          <w:kern w:val="0"/>
          <w:szCs w:val="21"/>
          <w:highlight w:val="none"/>
        </w:rPr>
        <w:t>日8：30时至2021年</w:t>
      </w:r>
      <w:r>
        <w:rPr>
          <w:rFonts w:hint="eastAsia" w:ascii="宋体" w:hAnsi="宋体" w:cs="Arial"/>
          <w:color w:val="auto"/>
          <w:kern w:val="0"/>
          <w:szCs w:val="21"/>
          <w:highlight w:val="none"/>
          <w:u w:val="single"/>
        </w:rPr>
        <w:t xml:space="preserve">   </w:t>
      </w:r>
      <w:r>
        <w:rPr>
          <w:rFonts w:hint="eastAsia" w:ascii="宋体" w:hAnsi="宋体" w:cs="Arial"/>
          <w:color w:val="auto"/>
          <w:kern w:val="0"/>
          <w:szCs w:val="21"/>
          <w:highlight w:val="none"/>
        </w:rPr>
        <w:t>月</w:t>
      </w:r>
      <w:r>
        <w:rPr>
          <w:rFonts w:hint="eastAsia" w:ascii="宋体" w:hAnsi="宋体" w:cs="Arial"/>
          <w:color w:val="auto"/>
          <w:kern w:val="0"/>
          <w:szCs w:val="21"/>
          <w:highlight w:val="none"/>
          <w:u w:val="single"/>
        </w:rPr>
        <w:t xml:space="preserve">   </w:t>
      </w:r>
      <w:r>
        <w:rPr>
          <w:rFonts w:hint="eastAsia" w:ascii="宋体" w:hAnsi="宋体" w:cs="Arial"/>
          <w:color w:val="auto"/>
          <w:kern w:val="0"/>
          <w:szCs w:val="21"/>
          <w:highlight w:val="none"/>
        </w:rPr>
        <w:t>日17：00时，在绍兴市公共资源交易中心电子招投标交易平台（http：//p.ggb.sx.gov.cn：6081/TPBidder/）自行下载招标文件，截止期后交易平台不再提供下载服务;未在规定时间内获取招标文件的，不接受其投标。</w:t>
      </w:r>
    </w:p>
    <w:p>
      <w:pPr>
        <w:widowControl/>
        <w:spacing w:line="400" w:lineRule="exact"/>
        <w:rPr>
          <w:rFonts w:ascii="宋体" w:hAnsi="宋体" w:cs="Arial"/>
          <w:color w:val="auto"/>
          <w:kern w:val="0"/>
          <w:szCs w:val="21"/>
          <w:highlight w:val="none"/>
        </w:rPr>
      </w:pPr>
      <w:r>
        <w:rPr>
          <w:rFonts w:ascii="宋体" w:hAnsi="宋体" w:cs="Arial"/>
          <w:color w:val="auto"/>
          <w:kern w:val="0"/>
          <w:szCs w:val="21"/>
          <w:highlight w:val="none"/>
        </w:rPr>
        <w:t>4.2 招标文件每套售价</w:t>
      </w:r>
      <w:r>
        <w:rPr>
          <w:rFonts w:hint="eastAsia" w:ascii="宋体" w:hAnsi="宋体" w:cs="Arial"/>
          <w:color w:val="auto"/>
          <w:kern w:val="0"/>
          <w:szCs w:val="21"/>
          <w:highlight w:val="none"/>
          <w:u w:val="single"/>
        </w:rPr>
        <w:t xml:space="preserve">/ </w:t>
      </w:r>
      <w:r>
        <w:rPr>
          <w:rFonts w:ascii="宋体" w:hAnsi="宋体" w:cs="Arial"/>
          <w:color w:val="auto"/>
          <w:kern w:val="0"/>
          <w:szCs w:val="21"/>
          <w:highlight w:val="none"/>
        </w:rPr>
        <w:t>元，售后不退。图纸押金</w:t>
      </w:r>
      <w:r>
        <w:rPr>
          <w:rFonts w:hint="eastAsia" w:ascii="宋体" w:hAnsi="宋体" w:cs="Arial"/>
          <w:color w:val="auto"/>
          <w:kern w:val="0"/>
          <w:szCs w:val="21"/>
          <w:highlight w:val="none"/>
          <w:u w:val="single"/>
        </w:rPr>
        <w:t xml:space="preserve">/ </w:t>
      </w:r>
      <w:r>
        <w:rPr>
          <w:rFonts w:ascii="宋体" w:hAnsi="宋体" w:cs="Arial"/>
          <w:color w:val="auto"/>
          <w:kern w:val="0"/>
          <w:szCs w:val="21"/>
          <w:highlight w:val="none"/>
        </w:rPr>
        <w:t>元，在退还图纸时退还（不计利息）。</w:t>
      </w:r>
    </w:p>
    <w:p>
      <w:pPr>
        <w:widowControl/>
        <w:shd w:val="clear" w:color="auto" w:fill="FFFFFF"/>
        <w:spacing w:line="340" w:lineRule="exact"/>
        <w:rPr>
          <w:rFonts w:ascii="宋体" w:hAnsi="宋体" w:cs="Arial"/>
          <w:color w:val="auto"/>
          <w:kern w:val="0"/>
          <w:szCs w:val="21"/>
          <w:highlight w:val="none"/>
        </w:rPr>
      </w:pPr>
      <w:r>
        <w:rPr>
          <w:rFonts w:hint="eastAsia" w:ascii="宋体" w:hAnsi="宋体" w:cs="Arial"/>
          <w:color w:val="auto"/>
          <w:kern w:val="0"/>
          <w:szCs w:val="21"/>
          <w:highlight w:val="none"/>
        </w:rPr>
        <w:t>5.投标保证金</w:t>
      </w:r>
    </w:p>
    <w:p>
      <w:pPr>
        <w:widowControl/>
        <w:spacing w:line="360" w:lineRule="exact"/>
        <w:ind w:firstLine="420" w:firstLineChars="200"/>
        <w:rPr>
          <w:rFonts w:ascii="宋体" w:hAnsi="宋体" w:cs="仿宋"/>
          <w:color w:val="auto"/>
          <w:szCs w:val="21"/>
          <w:highlight w:val="none"/>
        </w:rPr>
      </w:pPr>
      <w:r>
        <w:rPr>
          <w:rFonts w:ascii="宋体" w:hAnsi="宋体" w:cs="Arial"/>
          <w:color w:val="auto"/>
          <w:kern w:val="0"/>
          <w:szCs w:val="21"/>
          <w:highlight w:val="none"/>
        </w:rPr>
        <w:t>本工程需缴纳投标保证金</w:t>
      </w:r>
      <w:r>
        <w:rPr>
          <w:rFonts w:hint="eastAsia" w:ascii="宋体" w:hAnsi="宋体" w:cs="Arial"/>
          <w:b/>
          <w:bCs/>
          <w:color w:val="auto"/>
          <w:kern w:val="0"/>
          <w:szCs w:val="21"/>
          <w:highlight w:val="none"/>
          <w:u w:val="single"/>
        </w:rPr>
        <w:t>陆</w:t>
      </w:r>
      <w:r>
        <w:rPr>
          <w:rFonts w:ascii="宋体" w:hAnsi="宋体" w:cs="Arial"/>
          <w:color w:val="auto"/>
          <w:kern w:val="0"/>
          <w:szCs w:val="21"/>
          <w:highlight w:val="none"/>
        </w:rPr>
        <w:t>万元</w:t>
      </w:r>
      <w:r>
        <w:rPr>
          <w:rFonts w:hint="eastAsia" w:ascii="宋体" w:hAnsi="宋体" w:cs="Arial"/>
          <w:color w:val="auto"/>
          <w:kern w:val="0"/>
          <w:szCs w:val="21"/>
          <w:highlight w:val="none"/>
        </w:rPr>
        <w:t>，</w:t>
      </w:r>
      <w:r>
        <w:rPr>
          <w:rFonts w:hint="eastAsia" w:ascii="宋体" w:hAnsi="宋体"/>
          <w:color w:val="auto"/>
          <w:szCs w:val="21"/>
          <w:highlight w:val="none"/>
        </w:rPr>
        <w:t>投标保证金在投标人自行获取招标文件后，在</w:t>
      </w:r>
      <w:r>
        <w:rPr>
          <w:rFonts w:hint="eastAsia" w:ascii="宋体" w:hAnsi="宋体" w:cs="宋体"/>
          <w:color w:val="auto"/>
          <w:kern w:val="0"/>
          <w:szCs w:val="21"/>
          <w:highlight w:val="none"/>
          <w:u w:val="single"/>
        </w:rPr>
        <w:t>2021</w:t>
      </w:r>
      <w:r>
        <w:rPr>
          <w:rFonts w:hint="eastAsia" w:ascii="宋体" w:hAnsi="宋体" w:cs="仿宋"/>
          <w:color w:val="auto"/>
          <w:szCs w:val="21"/>
          <w:highlight w:val="none"/>
        </w:rPr>
        <w:t>年</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月</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日</w:t>
      </w:r>
      <w:r>
        <w:rPr>
          <w:rFonts w:hint="eastAsia" w:ascii="宋体" w:hAnsi="宋体" w:cs="宋体"/>
          <w:color w:val="auto"/>
          <w:kern w:val="0"/>
          <w:szCs w:val="21"/>
          <w:highlight w:val="none"/>
          <w:u w:val="single"/>
        </w:rPr>
        <w:t>17:00</w:t>
      </w:r>
      <w:r>
        <w:rPr>
          <w:rFonts w:hint="eastAsia" w:ascii="宋体" w:hAnsi="宋体" w:cs="仿宋"/>
          <w:color w:val="auto"/>
          <w:szCs w:val="21"/>
          <w:highlight w:val="none"/>
        </w:rPr>
        <w:t>时前缴纳。缴纳方式为：</w:t>
      </w:r>
    </w:p>
    <w:p>
      <w:pPr>
        <w:widowControl/>
        <w:spacing w:line="360" w:lineRule="exact"/>
        <w:ind w:firstLine="420" w:firstLineChars="200"/>
        <w:rPr>
          <w:rFonts w:ascii="宋体" w:hAnsi="宋体" w:cs="仿宋"/>
          <w:color w:val="auto"/>
          <w:szCs w:val="21"/>
          <w:highlight w:val="none"/>
        </w:rPr>
      </w:pPr>
      <w:r>
        <w:rPr>
          <w:rFonts w:hint="eastAsia" w:ascii="宋体" w:hAnsi="宋体" w:cs="仿宋"/>
          <w:color w:val="auto"/>
          <w:szCs w:val="21"/>
          <w:highlight w:val="none"/>
        </w:rPr>
        <w:t>1、投标人基本账户开具的银行票据，即汇票、电汇、转账支票等(不包括现金）。保证金缴入账户：账户一：开户单位名称：绍兴市公共资源交易中心保证金专户，开户行:绍兴银行营业部；账号：</w:t>
      </w:r>
      <w:r>
        <w:rPr>
          <w:rFonts w:hint="eastAsia" w:ascii="宋体" w:hAnsi="宋体" w:cs="宋体"/>
          <w:color w:val="auto"/>
          <w:kern w:val="0"/>
          <w:szCs w:val="21"/>
          <w:highlight w:val="none"/>
          <w:u w:val="single"/>
        </w:rPr>
        <w:t>6224861565791453590</w:t>
      </w:r>
      <w:r>
        <w:rPr>
          <w:rFonts w:hint="eastAsia" w:ascii="宋体" w:hAnsi="宋体" w:cs="仿宋"/>
          <w:color w:val="auto"/>
          <w:szCs w:val="21"/>
          <w:highlight w:val="none"/>
        </w:rPr>
        <w:t>；账户二：开户单位名称：绍兴市公共资源交易中心保证金专户，开户行:中信银行绍兴城东支行；账号：</w:t>
      </w:r>
      <w:r>
        <w:rPr>
          <w:rFonts w:hint="eastAsia" w:ascii="宋体" w:hAnsi="宋体" w:cs="宋体"/>
          <w:color w:val="auto"/>
          <w:kern w:val="0"/>
          <w:szCs w:val="21"/>
          <w:highlight w:val="none"/>
          <w:u w:val="single"/>
        </w:rPr>
        <w:t>3110810043379765847</w:t>
      </w:r>
      <w:r>
        <w:rPr>
          <w:rFonts w:hint="eastAsia" w:ascii="宋体" w:hAnsi="宋体" w:cs="仿宋"/>
          <w:color w:val="auto"/>
          <w:szCs w:val="21"/>
          <w:highlight w:val="none"/>
        </w:rPr>
        <w:t>；投标人可自主选择以上账户之一缴纳投标保证金。</w:t>
      </w:r>
      <w:bookmarkStart w:id="274" w:name="_GoBack"/>
      <w:bookmarkEnd w:id="274"/>
    </w:p>
    <w:p>
      <w:pPr>
        <w:widowControl/>
        <w:spacing w:line="360" w:lineRule="exact"/>
        <w:ind w:firstLine="420" w:firstLineChars="200"/>
        <w:rPr>
          <w:rFonts w:ascii="宋体" w:hAnsi="宋体" w:cs="仿宋"/>
          <w:color w:val="auto"/>
          <w:szCs w:val="21"/>
          <w:highlight w:val="none"/>
        </w:rPr>
      </w:pPr>
      <w:r>
        <w:rPr>
          <w:rFonts w:hint="eastAsia" w:ascii="宋体" w:hAnsi="宋体" w:cs="仿宋"/>
          <w:color w:val="auto"/>
          <w:szCs w:val="21"/>
          <w:highlight w:val="none"/>
        </w:rPr>
        <w:t>2、招标人接受绍兴市招标投标协会出具的“投标保证金联保证明”作为投标保证金缴纳凭证，投标人不用另行提供。</w:t>
      </w:r>
    </w:p>
    <w:p>
      <w:pPr>
        <w:widowControl/>
        <w:spacing w:line="400" w:lineRule="exact"/>
        <w:ind w:firstLine="420" w:firstLineChars="200"/>
        <w:rPr>
          <w:bCs/>
          <w:color w:val="auto"/>
          <w:spacing w:val="-2"/>
          <w:szCs w:val="21"/>
          <w:highlight w:val="none"/>
        </w:rPr>
      </w:pPr>
      <w:r>
        <w:rPr>
          <w:rFonts w:hint="eastAsia" w:ascii="宋体" w:hAnsi="宋体" w:cs="仿宋"/>
          <w:color w:val="auto"/>
          <w:szCs w:val="21"/>
          <w:highlight w:val="none"/>
        </w:rPr>
        <w:t>3、招标人接受投标保证金电子保险保函。投标人自行在电子招投标交易平台（</w:t>
      </w:r>
      <w:r>
        <w:rPr>
          <w:color w:val="auto"/>
          <w:highlight w:val="none"/>
        </w:rPr>
        <w:fldChar w:fldCharType="begin"/>
      </w:r>
      <w:r>
        <w:rPr>
          <w:color w:val="auto"/>
          <w:highlight w:val="none"/>
        </w:rPr>
        <w:instrText xml:space="preserve"> HYPERLINK "http://p.ggb.sx.gov.cn:6081/TPBidder/" </w:instrText>
      </w:r>
      <w:r>
        <w:rPr>
          <w:color w:val="auto"/>
          <w:highlight w:val="none"/>
        </w:rPr>
        <w:fldChar w:fldCharType="separate"/>
      </w:r>
      <w:r>
        <w:rPr>
          <w:rStyle w:val="62"/>
          <w:rFonts w:hint="eastAsia" w:ascii="宋体" w:hAnsi="宋体"/>
          <w:color w:val="auto"/>
          <w:szCs w:val="21"/>
          <w:highlight w:val="none"/>
        </w:rPr>
        <w:t>http://p.ggb.sx.gov.cn:6081/TPBidder/</w:t>
      </w:r>
      <w:r>
        <w:rPr>
          <w:rStyle w:val="62"/>
          <w:rFonts w:hint="eastAsia" w:ascii="宋体" w:hAnsi="宋体"/>
          <w:color w:val="auto"/>
          <w:szCs w:val="21"/>
          <w:highlight w:val="none"/>
        </w:rPr>
        <w:fldChar w:fldCharType="end"/>
      </w:r>
      <w:r>
        <w:rPr>
          <w:rFonts w:hint="eastAsia" w:ascii="宋体" w:hAnsi="宋体" w:cs="仿宋"/>
          <w:color w:val="auto"/>
          <w:szCs w:val="21"/>
          <w:highlight w:val="none"/>
        </w:rPr>
        <w:t>）中自主选择办理。保险保函费用必须从投标人企业</w:t>
      </w:r>
      <w:r>
        <w:rPr>
          <w:rFonts w:hint="eastAsia" w:ascii="宋体" w:hAnsi="宋体" w:cs="仿宋"/>
          <w:color w:val="auto"/>
          <w:szCs w:val="21"/>
          <w:highlight w:val="none"/>
          <w:shd w:val="clear" w:color="auto" w:fill="FFFFFF"/>
        </w:rPr>
        <w:t>基本账户转出，并在投标保证金缴纳截止时间前</w:t>
      </w:r>
      <w:r>
        <w:rPr>
          <w:rFonts w:hint="eastAsia" w:ascii="宋体" w:hAnsi="宋体" w:cs="仿宋"/>
          <w:color w:val="auto"/>
          <w:szCs w:val="21"/>
          <w:highlight w:val="none"/>
        </w:rPr>
        <w:t>办妥保险保函手续</w:t>
      </w:r>
      <w:r>
        <w:rPr>
          <w:rFonts w:hint="eastAsia" w:ascii="宋体" w:hAnsi="宋体" w:cs="Arial"/>
          <w:color w:val="auto"/>
          <w:kern w:val="0"/>
          <w:szCs w:val="21"/>
          <w:highlight w:val="none"/>
        </w:rPr>
        <w:t>。</w:t>
      </w:r>
    </w:p>
    <w:p>
      <w:pPr>
        <w:widowControl/>
        <w:shd w:val="clear" w:color="auto" w:fill="FFFFFF"/>
        <w:spacing w:line="340" w:lineRule="exact"/>
        <w:rPr>
          <w:rFonts w:ascii="宋体" w:hAnsi="宋体" w:cs="Arial"/>
          <w:b/>
          <w:color w:val="auto"/>
          <w:kern w:val="0"/>
          <w:szCs w:val="21"/>
          <w:highlight w:val="none"/>
        </w:rPr>
      </w:pPr>
      <w:r>
        <w:rPr>
          <w:rFonts w:ascii="宋体" w:hAnsi="宋体" w:cs="Arial"/>
          <w:b/>
          <w:color w:val="auto"/>
          <w:kern w:val="0"/>
          <w:szCs w:val="21"/>
          <w:highlight w:val="none"/>
        </w:rPr>
        <w:t>6.其他有关内容</w:t>
      </w:r>
    </w:p>
    <w:p>
      <w:pPr>
        <w:widowControl/>
        <w:shd w:val="clear" w:color="auto" w:fill="FFFFFF"/>
        <w:spacing w:line="340" w:lineRule="exact"/>
        <w:rPr>
          <w:rFonts w:ascii="宋体" w:hAnsi="宋体" w:cs="Arial"/>
          <w:color w:val="auto"/>
          <w:kern w:val="0"/>
          <w:szCs w:val="21"/>
          <w:highlight w:val="none"/>
        </w:rPr>
      </w:pPr>
      <w:r>
        <w:rPr>
          <w:rFonts w:ascii="宋体" w:hAnsi="宋体" w:cs="Arial"/>
          <w:color w:val="auto"/>
          <w:kern w:val="0"/>
          <w:szCs w:val="21"/>
          <w:highlight w:val="none"/>
        </w:rPr>
        <w:t>6.1评标入围方法：</w:t>
      </w:r>
      <w:r>
        <w:rPr>
          <w:rFonts w:hint="eastAsia" w:ascii="宋体" w:hAnsi="宋体" w:cs="Arial"/>
          <w:b/>
          <w:iCs/>
          <w:color w:val="auto"/>
          <w:kern w:val="0"/>
          <w:szCs w:val="21"/>
          <w:highlight w:val="none"/>
          <w:u w:val="single"/>
        </w:rPr>
        <w:t>全部入围</w:t>
      </w:r>
      <w:r>
        <w:rPr>
          <w:rFonts w:ascii="宋体" w:hAnsi="宋体" w:cs="Arial"/>
          <w:color w:val="auto"/>
          <w:kern w:val="0"/>
          <w:szCs w:val="21"/>
          <w:highlight w:val="none"/>
        </w:rPr>
        <w:t>。</w:t>
      </w:r>
    </w:p>
    <w:p>
      <w:pPr>
        <w:widowControl/>
        <w:shd w:val="clear" w:color="auto" w:fill="FFFFFF"/>
        <w:spacing w:line="340" w:lineRule="exact"/>
        <w:rPr>
          <w:rFonts w:ascii="宋体" w:hAnsi="宋体" w:cs="Arial"/>
          <w:color w:val="auto"/>
          <w:kern w:val="0"/>
          <w:szCs w:val="21"/>
          <w:highlight w:val="none"/>
        </w:rPr>
      </w:pPr>
      <w:r>
        <w:rPr>
          <w:rFonts w:ascii="宋体" w:hAnsi="宋体" w:cs="Arial"/>
          <w:color w:val="auto"/>
          <w:kern w:val="0"/>
          <w:szCs w:val="21"/>
          <w:highlight w:val="none"/>
        </w:rPr>
        <w:t>6.2评标方法：</w:t>
      </w:r>
      <w:r>
        <w:rPr>
          <w:rFonts w:hint="eastAsia" w:ascii="宋体" w:hAnsi="宋体" w:cs="Arial"/>
          <w:b/>
          <w:iCs/>
          <w:color w:val="auto"/>
          <w:kern w:val="0"/>
          <w:szCs w:val="21"/>
          <w:highlight w:val="none"/>
          <w:u w:val="single"/>
        </w:rPr>
        <w:t>综合评分法（技术标，纸质评标）</w:t>
      </w:r>
      <w:r>
        <w:rPr>
          <w:rFonts w:ascii="宋体" w:hAnsi="宋体" w:cs="Arial"/>
          <w:color w:val="auto"/>
          <w:kern w:val="0"/>
          <w:szCs w:val="21"/>
          <w:highlight w:val="none"/>
        </w:rPr>
        <w:t>；</w:t>
      </w:r>
    </w:p>
    <w:p>
      <w:pPr>
        <w:widowControl/>
        <w:shd w:val="clear" w:color="auto" w:fill="FFFFFF"/>
        <w:spacing w:line="340" w:lineRule="exact"/>
        <w:rPr>
          <w:rFonts w:ascii="宋体" w:hAnsi="宋体" w:cs="Arial"/>
          <w:color w:val="auto"/>
          <w:kern w:val="0"/>
          <w:szCs w:val="21"/>
          <w:highlight w:val="none"/>
        </w:rPr>
      </w:pPr>
      <w:r>
        <w:rPr>
          <w:rFonts w:ascii="宋体" w:hAnsi="宋体" w:cs="Arial"/>
          <w:color w:val="auto"/>
          <w:kern w:val="0"/>
          <w:szCs w:val="21"/>
          <w:highlight w:val="none"/>
        </w:rPr>
        <w:t>6.3中标方式：</w:t>
      </w:r>
      <w:r>
        <w:rPr>
          <w:rFonts w:hint="eastAsia" w:ascii="宋体" w:hAnsi="宋体" w:cs="Arial"/>
          <w:b/>
          <w:iCs/>
          <w:color w:val="auto"/>
          <w:kern w:val="0"/>
          <w:szCs w:val="21"/>
          <w:highlight w:val="none"/>
          <w:u w:val="single"/>
        </w:rPr>
        <w:t>最高分中标</w:t>
      </w:r>
      <w:r>
        <w:rPr>
          <w:rFonts w:ascii="宋体" w:hAnsi="宋体" w:cs="Arial"/>
          <w:color w:val="auto"/>
          <w:kern w:val="0"/>
          <w:szCs w:val="21"/>
          <w:highlight w:val="none"/>
        </w:rPr>
        <w:t>。</w:t>
      </w:r>
    </w:p>
    <w:p>
      <w:pPr>
        <w:shd w:val="clear" w:color="auto" w:fill="FFFFFF"/>
        <w:spacing w:line="360" w:lineRule="auto"/>
        <w:jc w:val="left"/>
        <w:rPr>
          <w:rFonts w:ascii="宋体" w:hAnsi="宋体" w:cs="Arial"/>
          <w:color w:val="auto"/>
          <w:kern w:val="0"/>
          <w:szCs w:val="21"/>
          <w:highlight w:val="none"/>
        </w:rPr>
      </w:pPr>
      <w:r>
        <w:rPr>
          <w:rFonts w:ascii="宋体" w:hAnsi="宋体" w:cs="Arial"/>
          <w:color w:val="auto"/>
          <w:kern w:val="0"/>
          <w:szCs w:val="21"/>
          <w:highlight w:val="none"/>
        </w:rPr>
        <w:t>6.</w:t>
      </w:r>
      <w:r>
        <w:rPr>
          <w:rFonts w:hint="eastAsia" w:ascii="宋体" w:hAnsi="宋体" w:cs="Arial"/>
          <w:color w:val="auto"/>
          <w:kern w:val="0"/>
          <w:szCs w:val="21"/>
          <w:highlight w:val="none"/>
        </w:rPr>
        <w:t>4投标文件的递交</w:t>
      </w:r>
      <w:r>
        <w:rPr>
          <w:rFonts w:ascii="宋体" w:hAnsi="宋体" w:cs="Arial"/>
          <w:color w:val="auto"/>
          <w:kern w:val="0"/>
          <w:szCs w:val="21"/>
          <w:highlight w:val="none"/>
        </w:rPr>
        <w:t>：</w:t>
      </w:r>
      <w:r>
        <w:rPr>
          <w:rFonts w:hint="eastAsia" w:ascii="宋体" w:hAnsi="宋体" w:cs="Arial"/>
          <w:color w:val="auto"/>
          <w:kern w:val="0"/>
          <w:szCs w:val="21"/>
          <w:highlight w:val="none"/>
        </w:rPr>
        <w:t>投标文件递交的截止时间为</w:t>
      </w:r>
      <w:r>
        <w:rPr>
          <w:rFonts w:hint="eastAsia" w:ascii="宋体" w:hAnsi="宋体" w:cs="Arial"/>
          <w:color w:val="auto"/>
          <w:kern w:val="0"/>
          <w:szCs w:val="21"/>
          <w:highlight w:val="none"/>
          <w:u w:val="single"/>
        </w:rPr>
        <w:t xml:space="preserve">2021 </w:t>
      </w:r>
      <w:r>
        <w:rPr>
          <w:rFonts w:hint="eastAsia" w:ascii="宋体" w:hAnsi="宋体" w:cs="Arial"/>
          <w:color w:val="auto"/>
          <w:kern w:val="0"/>
          <w:szCs w:val="21"/>
          <w:highlight w:val="none"/>
        </w:rPr>
        <w:t>年</w:t>
      </w:r>
      <w:r>
        <w:rPr>
          <w:rFonts w:hint="eastAsia" w:ascii="宋体" w:hAnsi="宋体" w:cs="Arial"/>
          <w:color w:val="auto"/>
          <w:kern w:val="0"/>
          <w:szCs w:val="21"/>
          <w:highlight w:val="none"/>
          <w:u w:val="single"/>
        </w:rPr>
        <w:t xml:space="preserve">   </w:t>
      </w:r>
      <w:r>
        <w:rPr>
          <w:rFonts w:hint="eastAsia" w:ascii="宋体" w:hAnsi="宋体" w:cs="Arial"/>
          <w:color w:val="auto"/>
          <w:kern w:val="0"/>
          <w:szCs w:val="21"/>
          <w:highlight w:val="none"/>
        </w:rPr>
        <w:t>月</w:t>
      </w:r>
      <w:r>
        <w:rPr>
          <w:rFonts w:hint="eastAsia" w:ascii="宋体" w:hAnsi="宋体" w:cs="Arial"/>
          <w:color w:val="auto"/>
          <w:kern w:val="0"/>
          <w:szCs w:val="21"/>
          <w:highlight w:val="none"/>
          <w:u w:val="single"/>
        </w:rPr>
        <w:t xml:space="preserve">   </w:t>
      </w:r>
      <w:r>
        <w:rPr>
          <w:rFonts w:hint="eastAsia" w:ascii="宋体" w:hAnsi="宋体" w:cs="Arial"/>
          <w:color w:val="auto"/>
          <w:kern w:val="0"/>
          <w:szCs w:val="21"/>
          <w:highlight w:val="none"/>
        </w:rPr>
        <w:t>日9:30时，地点为</w:t>
      </w:r>
      <w:r>
        <w:rPr>
          <w:rFonts w:hint="eastAsia" w:ascii="宋体" w:hAnsi="宋体" w:cs="Arial"/>
          <w:b/>
          <w:iCs/>
          <w:color w:val="auto"/>
          <w:kern w:val="0"/>
          <w:szCs w:val="21"/>
          <w:highlight w:val="none"/>
          <w:u w:val="single"/>
        </w:rPr>
        <w:t>绍兴市公共资源交易中心四楼    室</w:t>
      </w:r>
      <w:r>
        <w:rPr>
          <w:rFonts w:ascii="宋体" w:hAnsi="宋体" w:cs="Arial"/>
          <w:color w:val="auto"/>
          <w:kern w:val="0"/>
          <w:szCs w:val="21"/>
          <w:highlight w:val="none"/>
        </w:rPr>
        <w:t>。</w:t>
      </w:r>
    </w:p>
    <w:p>
      <w:pPr>
        <w:shd w:val="clear" w:color="auto" w:fill="FFFFFF"/>
        <w:spacing w:line="360" w:lineRule="auto"/>
        <w:jc w:val="left"/>
        <w:rPr>
          <w:rFonts w:hint="eastAsia"/>
          <w:color w:val="auto"/>
          <w:highlight w:val="none"/>
          <w:u w:val="none"/>
        </w:rPr>
      </w:pPr>
      <w:r>
        <w:rPr>
          <w:rFonts w:hint="eastAsia"/>
          <w:color w:val="auto"/>
          <w:highlight w:val="none"/>
          <w:u w:val="none"/>
        </w:rPr>
        <w:t>6.5本项目采用“不见面”开标方式，不强制要求投标人参加现场开标会。</w:t>
      </w:r>
    </w:p>
    <w:p>
      <w:pPr>
        <w:shd w:val="clear" w:color="auto" w:fill="FFFFFF"/>
        <w:spacing w:line="360" w:lineRule="auto"/>
        <w:jc w:val="left"/>
        <w:rPr>
          <w:color w:val="auto"/>
          <w:highlight w:val="none"/>
          <w:u w:val="none"/>
        </w:rPr>
      </w:pPr>
      <w:r>
        <w:rPr>
          <w:rFonts w:hint="eastAsia"/>
          <w:color w:val="auto"/>
          <w:highlight w:val="none"/>
          <w:u w:val="none"/>
        </w:rPr>
        <w:t>6.6本项目资格预审文件和招标文件发布截止时间、递交资格预审申请文件截止时间、投标截止时间、有关公示（公告）截止时间、投诉有效期截止时间如遇国家法定休假日的，则自动顺延至法定休假日后第1个工作日。</w:t>
      </w:r>
    </w:p>
    <w:p>
      <w:pPr>
        <w:widowControl/>
        <w:shd w:val="clear" w:color="auto" w:fill="FFFFFF"/>
        <w:spacing w:line="340" w:lineRule="exact"/>
        <w:rPr>
          <w:rFonts w:ascii="宋体" w:hAnsi="宋体" w:cs="Arial"/>
          <w:color w:val="auto"/>
          <w:kern w:val="0"/>
          <w:szCs w:val="21"/>
          <w:highlight w:val="none"/>
        </w:rPr>
      </w:pPr>
      <w:r>
        <w:rPr>
          <w:rFonts w:hint="eastAsia" w:ascii="宋体" w:hAnsi="宋体" w:cs="Arial"/>
          <w:color w:val="auto"/>
          <w:kern w:val="0"/>
          <w:szCs w:val="21"/>
          <w:highlight w:val="none"/>
        </w:rPr>
        <w:t xml:space="preserve">7.发布公告的媒介    </w:t>
      </w:r>
    </w:p>
    <w:p>
      <w:pPr>
        <w:widowControl/>
        <w:shd w:val="clear" w:color="auto" w:fill="FFFFFF"/>
        <w:spacing w:line="340" w:lineRule="exact"/>
        <w:ind w:firstLine="420" w:firstLineChars="200"/>
        <w:rPr>
          <w:rFonts w:ascii="宋体" w:hAnsi="宋体" w:cs="Arial"/>
          <w:color w:val="auto"/>
          <w:kern w:val="0"/>
          <w:szCs w:val="21"/>
          <w:highlight w:val="none"/>
        </w:rPr>
      </w:pPr>
      <w:r>
        <w:rPr>
          <w:rFonts w:ascii="宋体" w:hAnsi="宋体" w:cs="Arial"/>
          <w:color w:val="auto"/>
          <w:kern w:val="0"/>
          <w:szCs w:val="21"/>
          <w:highlight w:val="none"/>
        </w:rPr>
        <w:t xml:space="preserve">本次招标公告同时在 </w:t>
      </w:r>
      <w:r>
        <w:rPr>
          <w:rFonts w:hint="eastAsia" w:ascii="宋体" w:hAnsi="宋体" w:cs="宋体"/>
          <w:color w:val="auto"/>
          <w:szCs w:val="21"/>
          <w:highlight w:val="none"/>
          <w:u w:val="single"/>
        </w:rPr>
        <w:t xml:space="preserve"> / </w:t>
      </w:r>
      <w:r>
        <w:rPr>
          <w:rFonts w:ascii="宋体" w:hAnsi="宋体" w:cs="Arial"/>
          <w:color w:val="auto"/>
          <w:kern w:val="0"/>
          <w:szCs w:val="21"/>
          <w:highlight w:val="none"/>
        </w:rPr>
        <w:t>（发布公告的媒介名称）上发布。</w:t>
      </w:r>
    </w:p>
    <w:p>
      <w:pPr>
        <w:widowControl/>
        <w:shd w:val="clear" w:color="auto" w:fill="FFFFFF"/>
        <w:spacing w:line="340" w:lineRule="exact"/>
        <w:rPr>
          <w:rFonts w:ascii="宋体" w:hAnsi="宋体" w:cs="Arial"/>
          <w:b/>
          <w:color w:val="auto"/>
          <w:kern w:val="0"/>
          <w:szCs w:val="21"/>
          <w:highlight w:val="none"/>
        </w:rPr>
      </w:pPr>
      <w:r>
        <w:rPr>
          <w:rFonts w:hint="eastAsia" w:ascii="宋体" w:hAnsi="宋体" w:cs="Arial"/>
          <w:b/>
          <w:color w:val="auto"/>
          <w:kern w:val="0"/>
          <w:szCs w:val="21"/>
          <w:highlight w:val="none"/>
        </w:rPr>
        <w:t>8.</w:t>
      </w:r>
      <w:r>
        <w:rPr>
          <w:rFonts w:ascii="宋体" w:hAnsi="宋体" w:cs="Arial"/>
          <w:b/>
          <w:color w:val="auto"/>
          <w:kern w:val="0"/>
          <w:szCs w:val="21"/>
          <w:highlight w:val="none"/>
        </w:rPr>
        <w:t>若本公告相关内容与正式发出的招标文件不一致，以正式发出的招标文件为准。</w:t>
      </w:r>
    </w:p>
    <w:p>
      <w:pPr>
        <w:widowControl/>
        <w:tabs>
          <w:tab w:val="left" w:pos="2694"/>
        </w:tabs>
        <w:spacing w:line="400" w:lineRule="exact"/>
        <w:rPr>
          <w:rFonts w:ascii="宋体" w:hAnsi="宋体" w:cs="Arial"/>
          <w:color w:val="auto"/>
          <w:kern w:val="0"/>
          <w:szCs w:val="21"/>
          <w:highlight w:val="none"/>
        </w:rPr>
      </w:pPr>
      <w:r>
        <w:rPr>
          <w:rFonts w:hint="eastAsia" w:ascii="宋体" w:hAnsi="宋体" w:cs="Arial"/>
          <w:color w:val="auto"/>
          <w:kern w:val="0"/>
          <w:szCs w:val="21"/>
          <w:highlight w:val="none"/>
        </w:rPr>
        <w:t xml:space="preserve">9.联系方式 </w:t>
      </w:r>
    </w:p>
    <w:p>
      <w:pPr>
        <w:widowControl/>
        <w:tabs>
          <w:tab w:val="left" w:pos="2694"/>
        </w:tabs>
        <w:spacing w:line="400" w:lineRule="exact"/>
        <w:ind w:right="-134" w:rightChars="-64"/>
        <w:rPr>
          <w:rFonts w:ascii="宋体" w:hAnsi="宋体" w:cs="Arial"/>
          <w:b/>
          <w:color w:val="auto"/>
          <w:kern w:val="0"/>
          <w:szCs w:val="21"/>
          <w:highlight w:val="none"/>
        </w:rPr>
      </w:pPr>
      <w:r>
        <w:rPr>
          <w:rFonts w:ascii="宋体" w:hAnsi="宋体" w:cs="Arial"/>
          <w:color w:val="auto"/>
          <w:kern w:val="0"/>
          <w:szCs w:val="21"/>
          <w:highlight w:val="none"/>
        </w:rPr>
        <w:t>招标人：</w:t>
      </w:r>
      <w:r>
        <w:rPr>
          <w:rFonts w:hint="eastAsia" w:ascii="宋体" w:hAnsi="宋体"/>
          <w:b/>
          <w:color w:val="auto"/>
          <w:szCs w:val="21"/>
          <w:highlight w:val="none"/>
          <w:u w:val="single"/>
        </w:rPr>
        <w:t>绍兴市基础设施建设投资有限公司</w:t>
      </w:r>
      <w:r>
        <w:rPr>
          <w:rFonts w:ascii="宋体" w:hAnsi="宋体" w:cs="Arial"/>
          <w:color w:val="auto"/>
          <w:kern w:val="0"/>
          <w:szCs w:val="21"/>
          <w:highlight w:val="none"/>
        </w:rPr>
        <w:t>招标代理机构：</w:t>
      </w:r>
      <w:r>
        <w:rPr>
          <w:rFonts w:hint="eastAsia" w:ascii="宋体" w:hAnsi="宋体"/>
          <w:b/>
          <w:color w:val="auto"/>
          <w:szCs w:val="21"/>
          <w:highlight w:val="none"/>
          <w:u w:val="single"/>
        </w:rPr>
        <w:t>浙江明业项目管理有限公司</w:t>
      </w:r>
    </w:p>
    <w:p>
      <w:pPr>
        <w:widowControl/>
        <w:tabs>
          <w:tab w:val="left" w:pos="2694"/>
        </w:tabs>
        <w:spacing w:line="400" w:lineRule="exact"/>
        <w:rPr>
          <w:rFonts w:ascii="宋体" w:hAnsi="宋体"/>
          <w:b/>
          <w:color w:val="auto"/>
          <w:szCs w:val="21"/>
          <w:highlight w:val="none"/>
          <w:u w:val="single"/>
        </w:rPr>
      </w:pPr>
      <w:r>
        <w:rPr>
          <w:rFonts w:ascii="宋体" w:hAnsi="宋体" w:cs="Arial"/>
          <w:color w:val="auto"/>
          <w:kern w:val="0"/>
          <w:szCs w:val="21"/>
          <w:highlight w:val="none"/>
        </w:rPr>
        <w:t>地  址：</w:t>
      </w:r>
      <w:r>
        <w:rPr>
          <w:rFonts w:hint="eastAsia" w:ascii="宋体" w:hAnsi="宋体"/>
          <w:b/>
          <w:color w:val="auto"/>
          <w:szCs w:val="21"/>
          <w:highlight w:val="none"/>
          <w:u w:val="single"/>
        </w:rPr>
        <w:t xml:space="preserve">绍兴市渔化桥河沿207号 </w:t>
      </w:r>
      <w:r>
        <w:rPr>
          <w:rFonts w:hint="eastAsia" w:ascii="宋体" w:hAnsi="宋体"/>
          <w:b/>
          <w:color w:val="auto"/>
          <w:szCs w:val="21"/>
          <w:highlight w:val="none"/>
        </w:rPr>
        <w:t xml:space="preserve">   </w:t>
      </w:r>
      <w:r>
        <w:rPr>
          <w:rFonts w:ascii="宋体" w:hAnsi="宋体" w:cs="Arial"/>
          <w:color w:val="auto"/>
          <w:kern w:val="0"/>
          <w:szCs w:val="21"/>
          <w:highlight w:val="none"/>
        </w:rPr>
        <w:t>地 址：</w:t>
      </w:r>
      <w:r>
        <w:rPr>
          <w:rFonts w:hint="eastAsia" w:ascii="宋体" w:hAnsi="宋体"/>
          <w:b/>
          <w:color w:val="auto"/>
          <w:szCs w:val="21"/>
          <w:highlight w:val="none"/>
          <w:u w:val="single"/>
        </w:rPr>
        <w:t>绍兴市解放大道111号中石化大楼7楼</w:t>
      </w:r>
    </w:p>
    <w:p>
      <w:pPr>
        <w:widowControl/>
        <w:tabs>
          <w:tab w:val="left" w:pos="2694"/>
        </w:tabs>
        <w:spacing w:line="400" w:lineRule="exact"/>
        <w:rPr>
          <w:rFonts w:ascii="宋体" w:hAnsi="宋体" w:cs="Arial"/>
          <w:color w:val="auto"/>
          <w:kern w:val="0"/>
          <w:szCs w:val="21"/>
          <w:highlight w:val="none"/>
        </w:rPr>
      </w:pPr>
      <w:r>
        <w:rPr>
          <w:rFonts w:ascii="宋体" w:hAnsi="宋体" w:cs="Arial"/>
          <w:color w:val="auto"/>
          <w:kern w:val="0"/>
          <w:szCs w:val="21"/>
          <w:highlight w:val="none"/>
        </w:rPr>
        <w:t xml:space="preserve">联系人： </w:t>
      </w:r>
      <w:r>
        <w:rPr>
          <w:rFonts w:hint="eastAsia" w:ascii="宋体" w:hAnsi="宋体"/>
          <w:b/>
          <w:color w:val="auto"/>
          <w:szCs w:val="21"/>
          <w:highlight w:val="none"/>
          <w:u w:val="single"/>
        </w:rPr>
        <w:t xml:space="preserve">田锦   </w:t>
      </w:r>
      <w:r>
        <w:rPr>
          <w:rFonts w:hint="eastAsia" w:ascii="宋体" w:hAnsi="宋体" w:cs="Arial"/>
          <w:b/>
          <w:color w:val="auto"/>
          <w:kern w:val="0"/>
          <w:sz w:val="24"/>
          <w:highlight w:val="none"/>
          <w:u w:val="single"/>
        </w:rPr>
        <w:t xml:space="preserve">              </w:t>
      </w:r>
      <w:r>
        <w:rPr>
          <w:rFonts w:ascii="宋体" w:hAnsi="宋体" w:cs="Arial"/>
          <w:color w:val="auto"/>
          <w:kern w:val="0"/>
          <w:szCs w:val="21"/>
          <w:highlight w:val="none"/>
        </w:rPr>
        <w:t>联 系 人：</w:t>
      </w:r>
      <w:r>
        <w:rPr>
          <w:rFonts w:hint="eastAsia" w:ascii="宋体" w:hAnsi="宋体" w:cs="Arial"/>
          <w:b/>
          <w:bCs/>
          <w:color w:val="auto"/>
          <w:kern w:val="0"/>
          <w:szCs w:val="21"/>
          <w:highlight w:val="none"/>
          <w:u w:val="single"/>
        </w:rPr>
        <w:t xml:space="preserve">张雅美                        </w:t>
      </w:r>
    </w:p>
    <w:p>
      <w:pPr>
        <w:spacing w:line="400" w:lineRule="exact"/>
        <w:jc w:val="left"/>
        <w:rPr>
          <w:rFonts w:ascii="宋体" w:hAnsi="宋体" w:cs="Arial"/>
          <w:color w:val="auto"/>
          <w:kern w:val="0"/>
          <w:szCs w:val="21"/>
          <w:highlight w:val="none"/>
        </w:rPr>
      </w:pPr>
      <w:r>
        <w:rPr>
          <w:rFonts w:ascii="宋体" w:hAnsi="宋体" w:cs="Arial"/>
          <w:color w:val="auto"/>
          <w:kern w:val="0"/>
          <w:szCs w:val="21"/>
          <w:highlight w:val="none"/>
        </w:rPr>
        <w:t>电  话：</w:t>
      </w:r>
      <w:r>
        <w:rPr>
          <w:rFonts w:hint="eastAsia" w:ascii="宋体" w:hAnsi="宋体"/>
          <w:b/>
          <w:color w:val="auto"/>
          <w:szCs w:val="21"/>
          <w:highlight w:val="none"/>
          <w:u w:val="single"/>
        </w:rPr>
        <w:t xml:space="preserve">0575-85136061  </w:t>
      </w:r>
      <w:r>
        <w:rPr>
          <w:rFonts w:hint="eastAsia" w:ascii="宋体" w:hAnsi="宋体" w:cs="Arial"/>
          <w:b/>
          <w:color w:val="auto"/>
          <w:kern w:val="0"/>
          <w:sz w:val="24"/>
          <w:highlight w:val="none"/>
          <w:u w:val="single"/>
        </w:rPr>
        <w:t xml:space="preserve">        </w:t>
      </w:r>
      <w:r>
        <w:rPr>
          <w:rFonts w:ascii="宋体" w:hAnsi="宋体" w:cs="Arial"/>
          <w:color w:val="auto"/>
          <w:kern w:val="0"/>
          <w:szCs w:val="21"/>
          <w:highlight w:val="none"/>
        </w:rPr>
        <w:t>电    话：</w:t>
      </w:r>
      <w:r>
        <w:rPr>
          <w:rFonts w:hint="eastAsia" w:ascii="宋体" w:hAnsi="宋体"/>
          <w:b/>
          <w:bCs/>
          <w:color w:val="auto"/>
          <w:szCs w:val="21"/>
          <w:highlight w:val="none"/>
          <w:u w:val="single"/>
        </w:rPr>
        <w:t xml:space="preserve">0575-85209901                     </w:t>
      </w:r>
    </w:p>
    <w:p>
      <w:pPr>
        <w:widowControl/>
        <w:spacing w:line="400" w:lineRule="exact"/>
        <w:ind w:left="4139" w:leftChars="1971"/>
        <w:rPr>
          <w:rFonts w:ascii="宋体" w:hAnsi="宋体" w:cs="Arial"/>
          <w:color w:val="auto"/>
          <w:kern w:val="0"/>
          <w:szCs w:val="21"/>
          <w:highlight w:val="none"/>
        </w:rPr>
      </w:pPr>
    </w:p>
    <w:p>
      <w:pPr>
        <w:widowControl/>
        <w:spacing w:line="400" w:lineRule="exact"/>
        <w:ind w:left="4139" w:leftChars="1971"/>
        <w:rPr>
          <w:rFonts w:ascii="宋体" w:hAnsi="宋体" w:cs="Arial"/>
          <w:b/>
          <w:color w:val="auto"/>
          <w:kern w:val="0"/>
          <w:szCs w:val="21"/>
          <w:highlight w:val="none"/>
          <w:u w:val="single"/>
        </w:rPr>
      </w:pPr>
      <w:r>
        <w:rPr>
          <w:rFonts w:ascii="宋体" w:hAnsi="宋体" w:cs="Arial"/>
          <w:color w:val="auto"/>
          <w:kern w:val="0"/>
          <w:szCs w:val="21"/>
          <w:highlight w:val="none"/>
        </w:rPr>
        <w:t>招标人：</w:t>
      </w:r>
      <w:r>
        <w:rPr>
          <w:rFonts w:hint="eastAsia" w:ascii="宋体" w:hAnsi="宋体"/>
          <w:b/>
          <w:color w:val="auto"/>
          <w:szCs w:val="21"/>
          <w:highlight w:val="none"/>
          <w:u w:val="single"/>
        </w:rPr>
        <w:t>绍兴市基础设施建设投资有限公司</w:t>
      </w:r>
    </w:p>
    <w:p>
      <w:pPr>
        <w:widowControl/>
        <w:spacing w:line="400" w:lineRule="exact"/>
        <w:ind w:left="4139" w:leftChars="1971"/>
        <w:rPr>
          <w:rFonts w:ascii="宋体" w:hAnsi="宋体" w:cs="Arial"/>
          <w:color w:val="auto"/>
          <w:kern w:val="0"/>
          <w:szCs w:val="21"/>
          <w:highlight w:val="none"/>
        </w:rPr>
      </w:pPr>
      <w:r>
        <w:rPr>
          <w:rFonts w:ascii="宋体" w:hAnsi="宋体" w:cs="Arial"/>
          <w:color w:val="auto"/>
          <w:kern w:val="0"/>
          <w:szCs w:val="21"/>
          <w:highlight w:val="none"/>
        </w:rPr>
        <w:t>招标代理机构：</w:t>
      </w:r>
      <w:r>
        <w:rPr>
          <w:rFonts w:hint="eastAsia" w:ascii="宋体" w:hAnsi="宋体"/>
          <w:b/>
          <w:color w:val="auto"/>
          <w:szCs w:val="21"/>
          <w:highlight w:val="none"/>
          <w:u w:val="single"/>
        </w:rPr>
        <w:t>浙江明业项目管理有限公司</w:t>
      </w:r>
    </w:p>
    <w:p>
      <w:pPr>
        <w:widowControl/>
        <w:wordWrap w:val="0"/>
        <w:spacing w:line="400" w:lineRule="exact"/>
        <w:jc w:val="right"/>
        <w:rPr>
          <w:rFonts w:ascii="宋体" w:hAnsi="宋体" w:cs="Arial"/>
          <w:color w:val="auto"/>
          <w:kern w:val="0"/>
          <w:szCs w:val="21"/>
          <w:highlight w:val="none"/>
        </w:rPr>
      </w:pPr>
      <w:r>
        <w:rPr>
          <w:rFonts w:hint="eastAsia" w:ascii="宋体" w:hAnsi="宋体" w:cs="宋体"/>
          <w:iCs/>
          <w:color w:val="auto"/>
          <w:szCs w:val="21"/>
          <w:highlight w:val="none"/>
          <w:u w:val="single"/>
        </w:rPr>
        <w:t>2021</w:t>
      </w:r>
      <w:r>
        <w:rPr>
          <w:rFonts w:ascii="宋体" w:hAnsi="宋体" w:cs="Arial"/>
          <w:color w:val="auto"/>
          <w:kern w:val="0"/>
          <w:szCs w:val="21"/>
          <w:highlight w:val="none"/>
        </w:rPr>
        <w:t>年</w:t>
      </w:r>
      <w:r>
        <w:rPr>
          <w:rFonts w:hint="eastAsia" w:ascii="宋体" w:hAnsi="宋体" w:cs="Arial"/>
          <w:color w:val="auto"/>
          <w:kern w:val="0"/>
          <w:szCs w:val="21"/>
          <w:highlight w:val="none"/>
        </w:rPr>
        <w:t xml:space="preserve">    </w:t>
      </w:r>
      <w:r>
        <w:rPr>
          <w:rFonts w:ascii="宋体" w:hAnsi="宋体" w:cs="Arial"/>
          <w:color w:val="auto"/>
          <w:kern w:val="0"/>
          <w:szCs w:val="21"/>
          <w:highlight w:val="none"/>
        </w:rPr>
        <w:t>月</w:t>
      </w:r>
      <w:r>
        <w:rPr>
          <w:rFonts w:hint="eastAsia" w:ascii="宋体" w:hAnsi="宋体" w:cs="Arial"/>
          <w:color w:val="auto"/>
          <w:kern w:val="0"/>
          <w:szCs w:val="21"/>
          <w:highlight w:val="none"/>
        </w:rPr>
        <w:t xml:space="preserve">    </w:t>
      </w:r>
      <w:r>
        <w:rPr>
          <w:rFonts w:ascii="宋体" w:hAnsi="宋体" w:cs="Arial"/>
          <w:color w:val="auto"/>
          <w:kern w:val="0"/>
          <w:szCs w:val="21"/>
          <w:highlight w:val="none"/>
        </w:rPr>
        <w:t>日</w:t>
      </w:r>
    </w:p>
    <w:p>
      <w:pPr>
        <w:widowControl/>
        <w:spacing w:line="400" w:lineRule="exact"/>
        <w:rPr>
          <w:rFonts w:ascii="宋体" w:hAnsi="宋体" w:cs="Arial"/>
          <w:color w:val="auto"/>
          <w:kern w:val="0"/>
          <w:szCs w:val="21"/>
          <w:highlight w:val="none"/>
        </w:rPr>
      </w:pPr>
    </w:p>
    <w:p>
      <w:pPr>
        <w:widowControl/>
        <w:spacing w:line="400" w:lineRule="exact"/>
        <w:rPr>
          <w:rFonts w:ascii="宋体" w:hAnsi="宋体" w:cs="Arial"/>
          <w:color w:val="auto"/>
          <w:kern w:val="0"/>
          <w:szCs w:val="21"/>
          <w:highlight w:val="none"/>
        </w:rPr>
      </w:pPr>
    </w:p>
    <w:p>
      <w:pPr>
        <w:widowControl/>
        <w:spacing w:line="400" w:lineRule="exact"/>
        <w:rPr>
          <w:rFonts w:ascii="宋体" w:hAnsi="宋体" w:cs="Arial"/>
          <w:color w:val="auto"/>
          <w:kern w:val="0"/>
          <w:szCs w:val="21"/>
          <w:highlight w:val="none"/>
          <w:u w:val="single"/>
        </w:rPr>
      </w:pPr>
      <w:r>
        <w:rPr>
          <w:rFonts w:hint="eastAsia" w:ascii="宋体" w:hAnsi="宋体" w:cs="Arial"/>
          <w:color w:val="auto"/>
          <w:kern w:val="0"/>
          <w:szCs w:val="21"/>
          <w:highlight w:val="none"/>
        </w:rPr>
        <w:t>招标管理机构意见：                           绍兴市公共资源交易中心意见：</w:t>
      </w:r>
    </w:p>
    <w:p>
      <w:pPr>
        <w:widowControl/>
        <w:spacing w:line="400" w:lineRule="exact"/>
        <w:ind w:firstLine="630" w:firstLineChars="300"/>
        <w:rPr>
          <w:rFonts w:ascii="宋体" w:hAnsi="宋体" w:cs="Arial"/>
          <w:color w:val="auto"/>
          <w:kern w:val="0"/>
          <w:szCs w:val="21"/>
          <w:highlight w:val="none"/>
        </w:rPr>
      </w:pPr>
      <w:r>
        <w:rPr>
          <w:rFonts w:ascii="宋体" w:hAnsi="宋体" w:cs="Arial"/>
          <w:color w:val="auto"/>
          <w:kern w:val="0"/>
          <w:szCs w:val="21"/>
          <w:highlight w:val="none"/>
        </w:rPr>
        <w:t>年</w:t>
      </w:r>
      <w:r>
        <w:rPr>
          <w:rFonts w:hint="eastAsia" w:ascii="宋体" w:hAnsi="宋体" w:cs="Arial"/>
          <w:color w:val="auto"/>
          <w:kern w:val="0"/>
          <w:szCs w:val="21"/>
          <w:highlight w:val="none"/>
          <w:lang w:val="en-US" w:eastAsia="zh-CN"/>
        </w:rPr>
        <w:t xml:space="preserve">  </w:t>
      </w:r>
      <w:r>
        <w:rPr>
          <w:rFonts w:ascii="宋体" w:hAnsi="宋体" w:cs="Arial"/>
          <w:color w:val="auto"/>
          <w:kern w:val="0"/>
          <w:szCs w:val="21"/>
          <w:highlight w:val="none"/>
        </w:rPr>
        <w:t>月</w:t>
      </w:r>
      <w:r>
        <w:rPr>
          <w:rFonts w:hint="eastAsia" w:ascii="宋体" w:hAnsi="宋体" w:cs="Arial"/>
          <w:color w:val="auto"/>
          <w:kern w:val="0"/>
          <w:szCs w:val="21"/>
          <w:highlight w:val="none"/>
          <w:lang w:val="en-US" w:eastAsia="zh-CN"/>
        </w:rPr>
        <w:t xml:space="preserve">  </w:t>
      </w:r>
      <w:r>
        <w:rPr>
          <w:rFonts w:ascii="宋体" w:hAnsi="宋体" w:cs="Arial"/>
          <w:color w:val="auto"/>
          <w:kern w:val="0"/>
          <w:szCs w:val="21"/>
          <w:highlight w:val="none"/>
        </w:rPr>
        <w:t>日</w:t>
      </w:r>
      <w:r>
        <w:rPr>
          <w:rFonts w:hint="eastAsia" w:ascii="宋体" w:hAnsi="宋体" w:cs="Arial"/>
          <w:color w:val="auto"/>
          <w:kern w:val="0"/>
          <w:szCs w:val="21"/>
          <w:highlight w:val="none"/>
          <w:lang w:val="en-US" w:eastAsia="zh-CN"/>
        </w:rPr>
        <w:t xml:space="preserve">                                          </w:t>
      </w:r>
      <w:r>
        <w:rPr>
          <w:rFonts w:ascii="宋体" w:hAnsi="宋体" w:cs="Arial"/>
          <w:color w:val="auto"/>
          <w:kern w:val="0"/>
          <w:szCs w:val="21"/>
          <w:highlight w:val="none"/>
        </w:rPr>
        <w:t>年</w:t>
      </w:r>
      <w:r>
        <w:rPr>
          <w:rFonts w:hint="eastAsia" w:ascii="宋体" w:hAnsi="宋体" w:cs="Arial"/>
          <w:color w:val="auto"/>
          <w:kern w:val="0"/>
          <w:szCs w:val="21"/>
          <w:highlight w:val="none"/>
          <w:lang w:val="en-US" w:eastAsia="zh-CN"/>
        </w:rPr>
        <w:t xml:space="preserve">     </w:t>
      </w:r>
      <w:r>
        <w:rPr>
          <w:rFonts w:ascii="宋体" w:hAnsi="宋体" w:cs="Arial"/>
          <w:color w:val="auto"/>
          <w:kern w:val="0"/>
          <w:szCs w:val="21"/>
          <w:highlight w:val="none"/>
        </w:rPr>
        <w:t>月</w:t>
      </w:r>
      <w:r>
        <w:rPr>
          <w:rFonts w:hint="eastAsia" w:ascii="宋体" w:hAnsi="宋体" w:cs="Arial"/>
          <w:color w:val="auto"/>
          <w:kern w:val="0"/>
          <w:szCs w:val="21"/>
          <w:highlight w:val="none"/>
        </w:rPr>
        <w:t xml:space="preserve">   日</w:t>
      </w:r>
    </w:p>
    <w:p>
      <w:pPr>
        <w:widowControl/>
        <w:spacing w:line="400" w:lineRule="exact"/>
        <w:rPr>
          <w:rFonts w:ascii="宋体" w:hAnsi="宋体" w:cs="Arial"/>
          <w:color w:val="auto"/>
          <w:kern w:val="0"/>
          <w:szCs w:val="21"/>
          <w:highlight w:val="none"/>
        </w:rPr>
      </w:pPr>
      <w:r>
        <w:rPr>
          <w:rFonts w:hint="eastAsia" w:ascii="宋体" w:hAnsi="宋体" w:cs="Arial"/>
          <w:color w:val="auto"/>
          <w:kern w:val="0"/>
          <w:szCs w:val="21"/>
          <w:highlight w:val="none"/>
        </w:rPr>
        <w:t>备注：1、委托中介机构代理的，尚需提供工程建设项目招标代理业务承接情况表。</w:t>
      </w:r>
    </w:p>
    <w:p>
      <w:pPr>
        <w:spacing w:line="400" w:lineRule="exact"/>
        <w:ind w:firstLine="630" w:firstLineChars="300"/>
        <w:rPr>
          <w:rFonts w:ascii="黑体" w:eastAsia="黑体"/>
          <w:color w:val="auto"/>
          <w:szCs w:val="21"/>
          <w:highlight w:val="none"/>
        </w:rPr>
      </w:pPr>
      <w:r>
        <w:rPr>
          <w:rFonts w:hint="eastAsia" w:ascii="宋体" w:hAnsi="宋体"/>
          <w:color w:val="auto"/>
          <w:kern w:val="0"/>
          <w:szCs w:val="21"/>
          <w:highlight w:val="none"/>
        </w:rPr>
        <w:t>2、本表一式三份，招标人、招投标管理机构、中心各一份。</w:t>
      </w:r>
      <w:r>
        <w:rPr>
          <w:rFonts w:ascii="黑体" w:eastAsia="黑体"/>
          <w:color w:val="auto"/>
          <w:szCs w:val="21"/>
          <w:highlight w:val="none"/>
        </w:rPr>
        <w:tab/>
      </w:r>
    </w:p>
    <w:p>
      <w:pPr>
        <w:pStyle w:val="69"/>
        <w:rPr>
          <w:color w:val="auto"/>
          <w:highlight w:val="none"/>
        </w:rPr>
      </w:pPr>
    </w:p>
    <w:p>
      <w:pPr>
        <w:rPr>
          <w:color w:val="auto"/>
          <w:highlight w:val="none"/>
        </w:rPr>
      </w:pPr>
    </w:p>
    <w:p>
      <w:pPr>
        <w:pStyle w:val="69"/>
        <w:rPr>
          <w:color w:val="auto"/>
          <w:highlight w:val="none"/>
        </w:rPr>
      </w:pPr>
    </w:p>
    <w:p>
      <w:pPr>
        <w:rPr>
          <w:color w:val="auto"/>
          <w:highlight w:val="none"/>
        </w:rPr>
      </w:pPr>
    </w:p>
    <w:p>
      <w:pPr>
        <w:pStyle w:val="69"/>
        <w:rPr>
          <w:color w:val="auto"/>
          <w:highlight w:val="none"/>
        </w:rPr>
      </w:pPr>
    </w:p>
    <w:p>
      <w:pPr>
        <w:rPr>
          <w:color w:val="auto"/>
          <w:highlight w:val="none"/>
        </w:rPr>
      </w:pPr>
    </w:p>
    <w:p>
      <w:pPr>
        <w:pStyle w:val="2"/>
        <w:ind w:firstLine="210"/>
        <w:rPr>
          <w:color w:val="auto"/>
          <w:highlight w:val="none"/>
        </w:rPr>
      </w:pPr>
    </w:p>
    <w:p>
      <w:pPr>
        <w:pStyle w:val="2"/>
        <w:ind w:firstLine="210"/>
        <w:rPr>
          <w:color w:val="auto"/>
          <w:highlight w:val="none"/>
        </w:rPr>
      </w:pPr>
    </w:p>
    <w:p>
      <w:pPr>
        <w:pStyle w:val="2"/>
        <w:ind w:firstLine="210"/>
        <w:rPr>
          <w:color w:val="auto"/>
          <w:highlight w:val="none"/>
        </w:rPr>
      </w:pPr>
    </w:p>
    <w:p>
      <w:pPr>
        <w:pStyle w:val="2"/>
        <w:ind w:firstLine="210"/>
        <w:rPr>
          <w:color w:val="auto"/>
          <w:highlight w:val="none"/>
        </w:rPr>
      </w:pPr>
    </w:p>
    <w:p>
      <w:pPr>
        <w:pStyle w:val="4"/>
        <w:spacing w:before="120" w:after="120" w:line="360" w:lineRule="auto"/>
        <w:jc w:val="center"/>
        <w:rPr>
          <w:rFonts w:ascii="黑体" w:eastAsia="黑体"/>
          <w:color w:val="auto"/>
          <w:sz w:val="32"/>
          <w:szCs w:val="32"/>
          <w:highlight w:val="none"/>
        </w:rPr>
      </w:pPr>
      <w:r>
        <w:rPr>
          <w:rFonts w:hint="eastAsia" w:ascii="黑体" w:eastAsia="黑体"/>
          <w:color w:val="auto"/>
          <w:sz w:val="32"/>
          <w:szCs w:val="32"/>
          <w:highlight w:val="none"/>
        </w:rPr>
        <w:t>第二章  投标人须知</w:t>
      </w:r>
    </w:p>
    <w:p>
      <w:pPr>
        <w:shd w:val="clear" w:color="auto" w:fill="FFFFFF"/>
        <w:rPr>
          <w:rFonts w:ascii="黑体" w:eastAsia="黑体"/>
          <w:color w:val="auto"/>
          <w:szCs w:val="21"/>
          <w:highlight w:val="none"/>
        </w:rPr>
      </w:pPr>
      <w:r>
        <w:rPr>
          <w:rFonts w:hint="eastAsia" w:ascii="黑体" w:eastAsia="黑体"/>
          <w:color w:val="auto"/>
          <w:szCs w:val="21"/>
          <w:highlight w:val="none"/>
        </w:rPr>
        <w:t>投标人须知前附表</w:t>
      </w:r>
    </w:p>
    <w:tbl>
      <w:tblPr>
        <w:tblStyle w:val="51"/>
        <w:tblW w:w="9356"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031"/>
        <w:gridCol w:w="2230"/>
        <w:gridCol w:w="6095"/>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2" w:hRule="atLeast"/>
        </w:trPr>
        <w:tc>
          <w:tcPr>
            <w:tcW w:w="1031" w:type="dxa"/>
            <w:vAlign w:val="center"/>
          </w:tcPr>
          <w:p>
            <w:pPr>
              <w:shd w:val="clear" w:color="auto" w:fill="FFFFFF"/>
              <w:jc w:val="center"/>
              <w:rPr>
                <w:b/>
                <w:color w:val="auto"/>
                <w:highlight w:val="none"/>
              </w:rPr>
            </w:pPr>
            <w:r>
              <w:rPr>
                <w:rFonts w:hint="eastAsia"/>
                <w:b/>
                <w:color w:val="auto"/>
                <w:highlight w:val="none"/>
              </w:rPr>
              <w:t>条款号</w:t>
            </w:r>
          </w:p>
        </w:tc>
        <w:tc>
          <w:tcPr>
            <w:tcW w:w="2230" w:type="dxa"/>
            <w:vAlign w:val="center"/>
          </w:tcPr>
          <w:p>
            <w:pPr>
              <w:shd w:val="clear" w:color="auto" w:fill="FFFFFF"/>
              <w:jc w:val="center"/>
              <w:rPr>
                <w:b/>
                <w:color w:val="auto"/>
                <w:highlight w:val="none"/>
              </w:rPr>
            </w:pPr>
            <w:r>
              <w:rPr>
                <w:rFonts w:hint="eastAsia"/>
                <w:b/>
                <w:color w:val="auto"/>
                <w:highlight w:val="none"/>
              </w:rPr>
              <w:t>条  款  名  称</w:t>
            </w:r>
          </w:p>
        </w:tc>
        <w:tc>
          <w:tcPr>
            <w:tcW w:w="6095" w:type="dxa"/>
            <w:vAlign w:val="center"/>
          </w:tcPr>
          <w:p>
            <w:pPr>
              <w:shd w:val="clear" w:color="auto" w:fill="FFFFFF"/>
              <w:jc w:val="center"/>
              <w:rPr>
                <w:b/>
                <w:color w:val="auto"/>
                <w:highlight w:val="none"/>
              </w:rPr>
            </w:pPr>
            <w:r>
              <w:rPr>
                <w:rFonts w:hint="eastAsia"/>
                <w:b/>
                <w:color w:val="auto"/>
                <w:highlight w:val="none"/>
              </w:rPr>
              <w:t>编  列  内  容</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031" w:type="dxa"/>
            <w:vAlign w:val="center"/>
          </w:tcPr>
          <w:p>
            <w:pPr>
              <w:shd w:val="clear" w:color="auto" w:fill="FFFFFF"/>
              <w:spacing w:line="300" w:lineRule="exact"/>
              <w:jc w:val="center"/>
              <w:rPr>
                <w:color w:val="auto"/>
                <w:highlight w:val="none"/>
              </w:rPr>
            </w:pPr>
            <w:r>
              <w:rPr>
                <w:rFonts w:hint="eastAsia"/>
                <w:color w:val="auto"/>
                <w:highlight w:val="none"/>
              </w:rPr>
              <w:t>1.1.2</w:t>
            </w:r>
          </w:p>
        </w:tc>
        <w:tc>
          <w:tcPr>
            <w:tcW w:w="2230" w:type="dxa"/>
            <w:vAlign w:val="center"/>
          </w:tcPr>
          <w:p>
            <w:pPr>
              <w:shd w:val="clear" w:color="auto" w:fill="FFFFFF"/>
              <w:spacing w:line="300" w:lineRule="exact"/>
              <w:rPr>
                <w:color w:val="auto"/>
                <w:highlight w:val="none"/>
              </w:rPr>
            </w:pPr>
            <w:r>
              <w:rPr>
                <w:rFonts w:hint="eastAsia"/>
                <w:color w:val="auto"/>
                <w:highlight w:val="none"/>
              </w:rPr>
              <w:t>招标人</w:t>
            </w:r>
          </w:p>
        </w:tc>
        <w:tc>
          <w:tcPr>
            <w:tcW w:w="6095" w:type="dxa"/>
            <w:vAlign w:val="center"/>
          </w:tcPr>
          <w:p>
            <w:pPr>
              <w:spacing w:line="340" w:lineRule="exact"/>
              <w:rPr>
                <w:color w:val="auto"/>
                <w:highlight w:val="none"/>
              </w:rPr>
            </w:pPr>
            <w:r>
              <w:rPr>
                <w:rFonts w:hint="eastAsia"/>
                <w:color w:val="auto"/>
                <w:highlight w:val="none"/>
              </w:rPr>
              <w:t>名称：</w:t>
            </w:r>
            <w:r>
              <w:rPr>
                <w:rFonts w:hint="eastAsia" w:hAnsi="宋体"/>
                <w:color w:val="auto"/>
                <w:szCs w:val="21"/>
                <w:highlight w:val="none"/>
              </w:rPr>
              <w:t>绍兴市基础设施建设投资有限公司</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031" w:type="dxa"/>
            <w:vAlign w:val="center"/>
          </w:tcPr>
          <w:p>
            <w:pPr>
              <w:shd w:val="clear" w:color="auto" w:fill="FFFFFF"/>
              <w:spacing w:line="300" w:lineRule="exact"/>
              <w:jc w:val="center"/>
              <w:rPr>
                <w:color w:val="auto"/>
                <w:highlight w:val="none"/>
              </w:rPr>
            </w:pPr>
            <w:r>
              <w:rPr>
                <w:rFonts w:hint="eastAsia"/>
                <w:color w:val="auto"/>
                <w:highlight w:val="none"/>
              </w:rPr>
              <w:t>1.1.3</w:t>
            </w:r>
          </w:p>
        </w:tc>
        <w:tc>
          <w:tcPr>
            <w:tcW w:w="2230" w:type="dxa"/>
            <w:vAlign w:val="center"/>
          </w:tcPr>
          <w:p>
            <w:pPr>
              <w:shd w:val="clear" w:color="auto" w:fill="FFFFFF"/>
              <w:spacing w:line="300" w:lineRule="exact"/>
              <w:rPr>
                <w:color w:val="auto"/>
                <w:highlight w:val="none"/>
              </w:rPr>
            </w:pPr>
            <w:r>
              <w:rPr>
                <w:rFonts w:hint="eastAsia"/>
                <w:color w:val="auto"/>
                <w:highlight w:val="none"/>
              </w:rPr>
              <w:t>招标代理机构</w:t>
            </w:r>
          </w:p>
        </w:tc>
        <w:tc>
          <w:tcPr>
            <w:tcW w:w="6095" w:type="dxa"/>
            <w:vAlign w:val="center"/>
          </w:tcPr>
          <w:p>
            <w:pPr>
              <w:spacing w:line="340" w:lineRule="exact"/>
              <w:rPr>
                <w:color w:val="auto"/>
                <w:highlight w:val="none"/>
              </w:rPr>
            </w:pPr>
            <w:r>
              <w:rPr>
                <w:rFonts w:hint="eastAsia"/>
                <w:color w:val="auto"/>
                <w:highlight w:val="none"/>
              </w:rPr>
              <w:t>名称：</w:t>
            </w:r>
            <w:r>
              <w:rPr>
                <w:rFonts w:hint="eastAsia" w:hAnsi="宋体"/>
                <w:color w:val="auto"/>
                <w:szCs w:val="21"/>
                <w:highlight w:val="none"/>
              </w:rPr>
              <w:t>浙江明业项目管理有限公司</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031" w:type="dxa"/>
            <w:vAlign w:val="center"/>
          </w:tcPr>
          <w:p>
            <w:pPr>
              <w:shd w:val="clear" w:color="auto" w:fill="FFFFFF"/>
              <w:spacing w:line="300" w:lineRule="exact"/>
              <w:jc w:val="center"/>
              <w:rPr>
                <w:color w:val="auto"/>
                <w:highlight w:val="none"/>
              </w:rPr>
            </w:pPr>
            <w:r>
              <w:rPr>
                <w:rFonts w:hint="eastAsia"/>
                <w:color w:val="auto"/>
                <w:highlight w:val="none"/>
              </w:rPr>
              <w:t>1.1.4</w:t>
            </w:r>
          </w:p>
        </w:tc>
        <w:tc>
          <w:tcPr>
            <w:tcW w:w="2230" w:type="dxa"/>
            <w:vAlign w:val="center"/>
          </w:tcPr>
          <w:p>
            <w:pPr>
              <w:shd w:val="clear" w:color="auto" w:fill="FFFFFF"/>
              <w:spacing w:line="300" w:lineRule="exact"/>
              <w:rPr>
                <w:color w:val="auto"/>
                <w:highlight w:val="none"/>
              </w:rPr>
            </w:pPr>
            <w:r>
              <w:rPr>
                <w:rFonts w:hint="eastAsia"/>
                <w:color w:val="auto"/>
                <w:highlight w:val="none"/>
              </w:rPr>
              <w:t>项目名称</w:t>
            </w:r>
          </w:p>
        </w:tc>
        <w:tc>
          <w:tcPr>
            <w:tcW w:w="6095" w:type="dxa"/>
            <w:vAlign w:val="center"/>
          </w:tcPr>
          <w:p>
            <w:pPr>
              <w:shd w:val="clear" w:color="auto" w:fill="FFFFFF"/>
              <w:spacing w:line="300" w:lineRule="exact"/>
              <w:rPr>
                <w:color w:val="auto"/>
                <w:highlight w:val="none"/>
              </w:rPr>
            </w:pPr>
            <w:r>
              <w:rPr>
                <w:rFonts w:hint="eastAsia" w:hAnsi="宋体"/>
                <w:color w:val="auto"/>
                <w:szCs w:val="21"/>
                <w:highlight w:val="none"/>
              </w:rPr>
              <w:t>329国道智慧快速路治超非现场执法系统迁改工程（越城段）</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exact"/>
        </w:trPr>
        <w:tc>
          <w:tcPr>
            <w:tcW w:w="1031" w:type="dxa"/>
            <w:vAlign w:val="center"/>
          </w:tcPr>
          <w:p>
            <w:pPr>
              <w:shd w:val="clear" w:color="auto" w:fill="FFFFFF"/>
              <w:spacing w:line="300" w:lineRule="exact"/>
              <w:jc w:val="center"/>
              <w:rPr>
                <w:color w:val="auto"/>
                <w:highlight w:val="none"/>
              </w:rPr>
            </w:pPr>
            <w:r>
              <w:rPr>
                <w:rFonts w:hint="eastAsia"/>
                <w:color w:val="auto"/>
                <w:highlight w:val="none"/>
              </w:rPr>
              <w:t>1.1.5</w:t>
            </w:r>
          </w:p>
        </w:tc>
        <w:tc>
          <w:tcPr>
            <w:tcW w:w="2230" w:type="dxa"/>
            <w:vAlign w:val="center"/>
          </w:tcPr>
          <w:p>
            <w:pPr>
              <w:shd w:val="clear" w:color="auto" w:fill="FFFFFF"/>
              <w:spacing w:line="300" w:lineRule="exact"/>
              <w:rPr>
                <w:color w:val="auto"/>
                <w:highlight w:val="none"/>
              </w:rPr>
            </w:pPr>
            <w:r>
              <w:rPr>
                <w:rFonts w:hint="eastAsia"/>
                <w:color w:val="auto"/>
                <w:highlight w:val="none"/>
              </w:rPr>
              <w:t>建设地点</w:t>
            </w:r>
          </w:p>
        </w:tc>
        <w:tc>
          <w:tcPr>
            <w:tcW w:w="6095" w:type="dxa"/>
            <w:vAlign w:val="center"/>
          </w:tcPr>
          <w:p>
            <w:pPr>
              <w:shd w:val="clear" w:color="auto" w:fill="FFFFFF"/>
              <w:spacing w:line="300" w:lineRule="exact"/>
              <w:rPr>
                <w:color w:val="auto"/>
                <w:highlight w:val="none"/>
              </w:rPr>
            </w:pPr>
            <w:r>
              <w:rPr>
                <w:rFonts w:hint="eastAsia" w:hAnsi="宋体"/>
                <w:color w:val="auto"/>
                <w:szCs w:val="21"/>
                <w:highlight w:val="none"/>
              </w:rPr>
              <w:t>斗门江大桥以东</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exact"/>
        </w:trPr>
        <w:tc>
          <w:tcPr>
            <w:tcW w:w="1031" w:type="dxa"/>
            <w:vAlign w:val="center"/>
          </w:tcPr>
          <w:p>
            <w:pPr>
              <w:shd w:val="clear" w:color="auto" w:fill="FFFFFF"/>
              <w:spacing w:line="300" w:lineRule="exact"/>
              <w:jc w:val="center"/>
              <w:rPr>
                <w:color w:val="auto"/>
                <w:highlight w:val="none"/>
              </w:rPr>
            </w:pPr>
            <w:r>
              <w:rPr>
                <w:rFonts w:hint="eastAsia"/>
                <w:color w:val="auto"/>
                <w:highlight w:val="none"/>
              </w:rPr>
              <w:t>1.2.1</w:t>
            </w:r>
          </w:p>
        </w:tc>
        <w:tc>
          <w:tcPr>
            <w:tcW w:w="2230" w:type="dxa"/>
            <w:vAlign w:val="center"/>
          </w:tcPr>
          <w:p>
            <w:pPr>
              <w:shd w:val="clear" w:color="auto" w:fill="FFFFFF"/>
              <w:spacing w:line="300" w:lineRule="exact"/>
              <w:rPr>
                <w:color w:val="auto"/>
                <w:highlight w:val="none"/>
              </w:rPr>
            </w:pPr>
            <w:r>
              <w:rPr>
                <w:rFonts w:hint="eastAsia"/>
                <w:color w:val="auto"/>
                <w:highlight w:val="none"/>
              </w:rPr>
              <w:t>资金来源</w:t>
            </w:r>
          </w:p>
        </w:tc>
        <w:tc>
          <w:tcPr>
            <w:tcW w:w="6095" w:type="dxa"/>
            <w:vAlign w:val="center"/>
          </w:tcPr>
          <w:p>
            <w:pPr>
              <w:shd w:val="clear" w:color="auto" w:fill="FFFFFF"/>
              <w:spacing w:line="340" w:lineRule="exact"/>
              <w:rPr>
                <w:color w:val="auto"/>
                <w:highlight w:val="none"/>
              </w:rPr>
            </w:pPr>
            <w:r>
              <w:rPr>
                <w:rFonts w:hint="eastAsia"/>
                <w:color w:val="auto"/>
                <w:highlight w:val="none"/>
              </w:rPr>
              <w:t>自筹</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exact"/>
        </w:trPr>
        <w:tc>
          <w:tcPr>
            <w:tcW w:w="1031" w:type="dxa"/>
            <w:vAlign w:val="center"/>
          </w:tcPr>
          <w:p>
            <w:pPr>
              <w:shd w:val="clear" w:color="auto" w:fill="FFFFFF"/>
              <w:spacing w:line="300" w:lineRule="exact"/>
              <w:jc w:val="center"/>
              <w:rPr>
                <w:color w:val="auto"/>
                <w:highlight w:val="none"/>
              </w:rPr>
            </w:pPr>
            <w:r>
              <w:rPr>
                <w:rFonts w:hint="eastAsia"/>
                <w:color w:val="auto"/>
                <w:highlight w:val="none"/>
              </w:rPr>
              <w:t>1.2.2</w:t>
            </w:r>
          </w:p>
        </w:tc>
        <w:tc>
          <w:tcPr>
            <w:tcW w:w="2230" w:type="dxa"/>
            <w:vAlign w:val="center"/>
          </w:tcPr>
          <w:p>
            <w:pPr>
              <w:shd w:val="clear" w:color="auto" w:fill="FFFFFF"/>
              <w:spacing w:line="300" w:lineRule="exact"/>
              <w:rPr>
                <w:color w:val="auto"/>
                <w:highlight w:val="none"/>
              </w:rPr>
            </w:pPr>
            <w:r>
              <w:rPr>
                <w:rFonts w:hint="eastAsia"/>
                <w:color w:val="auto"/>
                <w:highlight w:val="none"/>
              </w:rPr>
              <w:t>出资比例</w:t>
            </w:r>
          </w:p>
        </w:tc>
        <w:tc>
          <w:tcPr>
            <w:tcW w:w="6095" w:type="dxa"/>
            <w:vAlign w:val="center"/>
          </w:tcPr>
          <w:p>
            <w:pPr>
              <w:shd w:val="clear" w:color="auto" w:fill="FFFFFF"/>
              <w:spacing w:line="300" w:lineRule="exact"/>
              <w:rPr>
                <w:color w:val="auto"/>
                <w:highlight w:val="none"/>
              </w:rPr>
            </w:pPr>
            <w:r>
              <w:rPr>
                <w:rFonts w:hint="eastAsia"/>
                <w:color w:val="auto"/>
                <w:highlight w:val="none"/>
              </w:rPr>
              <w:t>100%</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exact"/>
        </w:trPr>
        <w:tc>
          <w:tcPr>
            <w:tcW w:w="1031" w:type="dxa"/>
            <w:vAlign w:val="center"/>
          </w:tcPr>
          <w:p>
            <w:pPr>
              <w:shd w:val="clear" w:color="auto" w:fill="FFFFFF"/>
              <w:spacing w:line="300" w:lineRule="exact"/>
              <w:jc w:val="center"/>
              <w:rPr>
                <w:color w:val="auto"/>
                <w:highlight w:val="none"/>
              </w:rPr>
            </w:pPr>
            <w:r>
              <w:rPr>
                <w:rFonts w:hint="eastAsia"/>
                <w:color w:val="auto"/>
                <w:highlight w:val="none"/>
              </w:rPr>
              <w:t>1.2.3</w:t>
            </w:r>
          </w:p>
        </w:tc>
        <w:tc>
          <w:tcPr>
            <w:tcW w:w="2230" w:type="dxa"/>
            <w:vAlign w:val="center"/>
          </w:tcPr>
          <w:p>
            <w:pPr>
              <w:shd w:val="clear" w:color="auto" w:fill="FFFFFF"/>
              <w:spacing w:line="300" w:lineRule="exact"/>
              <w:rPr>
                <w:color w:val="auto"/>
                <w:highlight w:val="none"/>
              </w:rPr>
            </w:pPr>
            <w:r>
              <w:rPr>
                <w:rFonts w:hint="eastAsia"/>
                <w:color w:val="auto"/>
                <w:highlight w:val="none"/>
              </w:rPr>
              <w:t>资金落实情况</w:t>
            </w:r>
          </w:p>
        </w:tc>
        <w:tc>
          <w:tcPr>
            <w:tcW w:w="6095" w:type="dxa"/>
            <w:vAlign w:val="center"/>
          </w:tcPr>
          <w:p>
            <w:pPr>
              <w:shd w:val="clear" w:color="auto" w:fill="FFFFFF"/>
              <w:spacing w:line="300" w:lineRule="exact"/>
              <w:rPr>
                <w:color w:val="auto"/>
                <w:highlight w:val="none"/>
              </w:rPr>
            </w:pPr>
            <w:r>
              <w:rPr>
                <w:rFonts w:hint="eastAsia"/>
                <w:color w:val="auto"/>
                <w:highlight w:val="none"/>
              </w:rPr>
              <w:t>已落实</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260" w:hRule="atLeast"/>
        </w:trPr>
        <w:tc>
          <w:tcPr>
            <w:tcW w:w="1031" w:type="dxa"/>
            <w:vAlign w:val="center"/>
          </w:tcPr>
          <w:p>
            <w:pPr>
              <w:shd w:val="clear" w:color="auto" w:fill="FFFFFF"/>
              <w:spacing w:line="300" w:lineRule="exact"/>
              <w:jc w:val="center"/>
              <w:rPr>
                <w:color w:val="auto"/>
                <w:highlight w:val="none"/>
              </w:rPr>
            </w:pPr>
            <w:r>
              <w:rPr>
                <w:rFonts w:hint="eastAsia"/>
                <w:color w:val="auto"/>
                <w:highlight w:val="none"/>
              </w:rPr>
              <w:t>1.3.1</w:t>
            </w:r>
          </w:p>
        </w:tc>
        <w:tc>
          <w:tcPr>
            <w:tcW w:w="2230" w:type="dxa"/>
            <w:vAlign w:val="center"/>
          </w:tcPr>
          <w:p>
            <w:pPr>
              <w:shd w:val="clear" w:color="auto" w:fill="FFFFFF"/>
              <w:spacing w:line="300" w:lineRule="exact"/>
              <w:rPr>
                <w:color w:val="auto"/>
                <w:highlight w:val="none"/>
              </w:rPr>
            </w:pPr>
            <w:r>
              <w:rPr>
                <w:rFonts w:hint="eastAsia"/>
                <w:color w:val="auto"/>
                <w:highlight w:val="none"/>
              </w:rPr>
              <w:t>招标范围</w:t>
            </w:r>
          </w:p>
        </w:tc>
        <w:tc>
          <w:tcPr>
            <w:tcW w:w="6095" w:type="dxa"/>
            <w:vAlign w:val="center"/>
          </w:tcPr>
          <w:p>
            <w:pPr>
              <w:shd w:val="clear" w:color="auto" w:fill="FFFFFF"/>
              <w:spacing w:line="340" w:lineRule="exact"/>
              <w:rPr>
                <w:rFonts w:ascii="宋体" w:hAnsi="宋体" w:cs="宋体"/>
                <w:bCs/>
                <w:color w:val="auto"/>
                <w:highlight w:val="none"/>
              </w:rPr>
            </w:pPr>
            <w:r>
              <w:rPr>
                <w:rFonts w:hint="eastAsia" w:ascii="宋体" w:hAnsi="宋体" w:cs="宋体"/>
                <w:bCs/>
                <w:color w:val="auto"/>
                <w:highlight w:val="none"/>
              </w:rPr>
              <w:t>本次招标范围为将329国道原K47+670上虞方向和原K47+750柯桥方向的机动车道内设置治超非现场执法电子检测系统以上监控系统移位至329国道K267+280（对应《329国道智慧快速路改造工程（湖安路至越兴路）》项目设计桩号K15+380），快速路主线全断面设置，包括设备的安装、调试、试运行、并负责调试至验收合格，直至</w:t>
            </w:r>
            <w:r>
              <w:rPr>
                <w:rFonts w:hint="eastAsia" w:ascii="宋体" w:hAnsi="宋体" w:cs="Arial"/>
                <w:color w:val="auto"/>
                <w:kern w:val="0"/>
                <w:szCs w:val="21"/>
                <w:highlight w:val="none"/>
                <w:u w:val="single"/>
              </w:rPr>
              <w:t>移交交通运输综合行政执法部门</w:t>
            </w:r>
            <w:r>
              <w:rPr>
                <w:rFonts w:hint="eastAsia" w:ascii="宋体" w:hAnsi="宋体" w:cs="宋体"/>
                <w:bCs/>
                <w:color w:val="auto"/>
                <w:highlight w:val="none"/>
              </w:rPr>
              <w:t>为止。详细内容参见本招标文件规定和施工招标图。</w:t>
            </w:r>
          </w:p>
          <w:p>
            <w:pPr>
              <w:shd w:val="clear" w:color="auto" w:fill="FFFFFF"/>
              <w:spacing w:line="340" w:lineRule="exact"/>
              <w:rPr>
                <w:color w:val="auto"/>
                <w:highlight w:val="none"/>
              </w:rPr>
            </w:pPr>
            <w:r>
              <w:rPr>
                <w:rFonts w:hint="eastAsia"/>
                <w:color w:val="auto"/>
                <w:highlight w:val="none"/>
              </w:rPr>
              <w:t>共</w:t>
            </w:r>
            <w:r>
              <w:rPr>
                <w:rFonts w:hint="eastAsia"/>
                <w:color w:val="auto"/>
                <w:highlight w:val="none"/>
                <w:u w:val="single"/>
              </w:rPr>
              <w:t xml:space="preserve"> / </w:t>
            </w:r>
            <w:r>
              <w:rPr>
                <w:rFonts w:hint="eastAsia"/>
                <w:color w:val="auto"/>
                <w:highlight w:val="none"/>
              </w:rPr>
              <w:t>个单体；</w:t>
            </w:r>
            <w:r>
              <w:rPr>
                <w:rFonts w:hint="eastAsia" w:ascii="宋体" w:hAnsi="宋体" w:cs="宋体"/>
                <w:color w:val="auto"/>
                <w:highlight w:val="none"/>
                <w:u w:val="single"/>
              </w:rPr>
              <w:t>/</w:t>
            </w:r>
            <w:r>
              <w:rPr>
                <w:rFonts w:hint="eastAsia"/>
                <w:color w:val="auto"/>
                <w:highlight w:val="none"/>
              </w:rPr>
              <w:t xml:space="preserve"> m</w:t>
            </w:r>
            <w:r>
              <w:rPr>
                <w:rFonts w:hint="eastAsia"/>
                <w:color w:val="auto"/>
                <w:highlight w:val="none"/>
                <w:vertAlign w:val="superscript"/>
              </w:rPr>
              <w:t>2</w:t>
            </w:r>
            <w:r>
              <w:rPr>
                <w:rFonts w:hint="eastAsia"/>
                <w:color w:val="auto"/>
                <w:highlight w:val="none"/>
              </w:rPr>
              <w:t>，最高</w:t>
            </w:r>
            <w:r>
              <w:rPr>
                <w:rFonts w:hint="eastAsia"/>
                <w:color w:val="auto"/>
                <w:highlight w:val="none"/>
                <w:u w:val="single"/>
              </w:rPr>
              <w:t xml:space="preserve"> /</w:t>
            </w:r>
            <w:r>
              <w:rPr>
                <w:rFonts w:hint="eastAsia"/>
                <w:color w:val="auto"/>
                <w:highlight w:val="none"/>
              </w:rPr>
              <w:t>层，地下室</w:t>
            </w:r>
            <w:r>
              <w:rPr>
                <w:rFonts w:hint="eastAsia"/>
                <w:color w:val="auto"/>
                <w:highlight w:val="none"/>
                <w:u w:val="single"/>
              </w:rPr>
              <w:t xml:space="preserve"> /</w:t>
            </w:r>
            <w:r>
              <w:rPr>
                <w:rFonts w:hint="eastAsia"/>
                <w:color w:val="auto"/>
                <w:highlight w:val="none"/>
              </w:rPr>
              <w:t>层</w:t>
            </w:r>
            <w:r>
              <w:rPr>
                <w:rFonts w:hint="eastAsia"/>
                <w:color w:val="auto"/>
                <w:highlight w:val="none"/>
                <w:u w:val="single"/>
              </w:rPr>
              <w:t xml:space="preserve">  / </w:t>
            </w:r>
            <w:r>
              <w:rPr>
                <w:rFonts w:hint="eastAsia"/>
                <w:color w:val="auto"/>
                <w:highlight w:val="none"/>
              </w:rPr>
              <w:t>m</w:t>
            </w:r>
            <w:r>
              <w:rPr>
                <w:rFonts w:hint="eastAsia"/>
                <w:color w:val="auto"/>
                <w:highlight w:val="none"/>
                <w:vertAlign w:val="superscript"/>
              </w:rPr>
              <w:t>2</w:t>
            </w:r>
            <w:r>
              <w:rPr>
                <w:rFonts w:hint="eastAsia"/>
                <w:color w:val="auto"/>
                <w:highlight w:val="none"/>
              </w:rPr>
              <w:t>，工程造价约</w:t>
            </w:r>
            <w:r>
              <w:rPr>
                <w:rFonts w:hint="eastAsia"/>
                <w:color w:val="auto"/>
                <w:highlight w:val="none"/>
                <w:u w:val="single"/>
              </w:rPr>
              <w:t>376.3883万</w:t>
            </w:r>
            <w:r>
              <w:rPr>
                <w:rFonts w:hint="eastAsia" w:ascii="宋体" w:hAnsi="宋体"/>
                <w:color w:val="auto"/>
                <w:szCs w:val="21"/>
                <w:highlight w:val="none"/>
                <w:u w:val="single"/>
              </w:rPr>
              <w:t>元</w:t>
            </w:r>
            <w:r>
              <w:rPr>
                <w:rFonts w:hint="eastAsia"/>
                <w:color w:val="auto"/>
                <w:highlight w:val="none"/>
              </w:rPr>
              <w:t>。</w:t>
            </w:r>
          </w:p>
          <w:p>
            <w:pPr>
              <w:shd w:val="clear" w:color="auto" w:fill="FFFFFF"/>
              <w:spacing w:line="340" w:lineRule="exact"/>
              <w:rPr>
                <w:color w:val="auto"/>
                <w:highlight w:val="none"/>
              </w:rPr>
            </w:pPr>
            <w:r>
              <w:rPr>
                <w:rFonts w:hint="eastAsia"/>
                <w:color w:val="auto"/>
                <w:highlight w:val="none"/>
              </w:rPr>
              <w:t>关于招标范围的更详细说明可见第七章“技术标准和要求”。</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009" w:hRule="atLeast"/>
        </w:trPr>
        <w:tc>
          <w:tcPr>
            <w:tcW w:w="1031" w:type="dxa"/>
            <w:vAlign w:val="center"/>
          </w:tcPr>
          <w:p>
            <w:pPr>
              <w:shd w:val="clear" w:color="auto" w:fill="FFFFFF"/>
              <w:spacing w:line="300" w:lineRule="exact"/>
              <w:jc w:val="center"/>
              <w:rPr>
                <w:color w:val="auto"/>
                <w:highlight w:val="none"/>
              </w:rPr>
            </w:pPr>
            <w:r>
              <w:rPr>
                <w:rFonts w:hint="eastAsia"/>
                <w:color w:val="auto"/>
                <w:highlight w:val="none"/>
              </w:rPr>
              <w:t>1.3.2</w:t>
            </w:r>
          </w:p>
        </w:tc>
        <w:tc>
          <w:tcPr>
            <w:tcW w:w="2230" w:type="dxa"/>
            <w:vAlign w:val="center"/>
          </w:tcPr>
          <w:p>
            <w:pPr>
              <w:shd w:val="clear" w:color="auto" w:fill="FFFFFF"/>
              <w:spacing w:line="300" w:lineRule="exact"/>
              <w:rPr>
                <w:color w:val="auto"/>
                <w:highlight w:val="none"/>
              </w:rPr>
            </w:pPr>
            <w:r>
              <w:rPr>
                <w:rFonts w:hint="eastAsia"/>
                <w:color w:val="auto"/>
                <w:highlight w:val="none"/>
              </w:rPr>
              <w:t>计划工期</w:t>
            </w:r>
          </w:p>
        </w:tc>
        <w:tc>
          <w:tcPr>
            <w:tcW w:w="6095" w:type="dxa"/>
            <w:vAlign w:val="center"/>
          </w:tcPr>
          <w:p>
            <w:pPr>
              <w:shd w:val="clear" w:color="auto" w:fill="FFFFFF"/>
              <w:spacing w:line="300" w:lineRule="exact"/>
              <w:rPr>
                <w:color w:val="auto"/>
                <w:highlight w:val="none"/>
              </w:rPr>
            </w:pPr>
            <w:r>
              <w:rPr>
                <w:rFonts w:hint="eastAsia"/>
                <w:color w:val="auto"/>
                <w:highlight w:val="none"/>
              </w:rPr>
              <w:t>计划工期：</w:t>
            </w:r>
            <w:r>
              <w:rPr>
                <w:rFonts w:hint="eastAsia" w:ascii="宋体" w:hAnsi="宋体"/>
                <w:b/>
                <w:color w:val="auto"/>
                <w:szCs w:val="21"/>
                <w:highlight w:val="none"/>
                <w:u w:val="single"/>
                <w:lang w:val="en-US" w:eastAsia="zh-CN"/>
              </w:rPr>
              <w:t>招标人</w:t>
            </w:r>
            <w:r>
              <w:rPr>
                <w:rFonts w:hint="eastAsia" w:ascii="宋体" w:hAnsi="宋体"/>
                <w:b/>
                <w:color w:val="auto"/>
                <w:szCs w:val="21"/>
                <w:highlight w:val="none"/>
                <w:u w:val="single"/>
              </w:rPr>
              <w:t>发出开工通知后90日历天内完成供货、安装、调试、验收</w:t>
            </w:r>
            <w:r>
              <w:rPr>
                <w:rFonts w:hint="eastAsia" w:hAnsi="宋体" w:cs="Arial"/>
                <w:b/>
                <w:bCs/>
                <w:color w:val="auto"/>
                <w:szCs w:val="21"/>
                <w:highlight w:val="none"/>
                <w:u w:val="single"/>
              </w:rPr>
              <w:t>。</w:t>
            </w:r>
          </w:p>
          <w:p>
            <w:pPr>
              <w:shd w:val="clear" w:color="auto" w:fill="FFFFFF"/>
              <w:spacing w:line="300" w:lineRule="exact"/>
              <w:rPr>
                <w:color w:val="auto"/>
                <w:highlight w:val="none"/>
              </w:rPr>
            </w:pPr>
            <w:r>
              <w:rPr>
                <w:rFonts w:hint="eastAsia"/>
                <w:color w:val="auto"/>
                <w:highlight w:val="none"/>
              </w:rPr>
              <w:t>计划开工日期：</w:t>
            </w:r>
            <w:r>
              <w:rPr>
                <w:rFonts w:hint="eastAsia"/>
                <w:color w:val="auto"/>
                <w:highlight w:val="none"/>
                <w:u w:val="single"/>
              </w:rPr>
              <w:t xml:space="preserve">    /  </w:t>
            </w:r>
            <w:r>
              <w:rPr>
                <w:rFonts w:hint="eastAsia"/>
                <w:color w:val="auto"/>
                <w:highlight w:val="none"/>
              </w:rPr>
              <w:t>年</w:t>
            </w:r>
            <w:r>
              <w:rPr>
                <w:rFonts w:hint="eastAsia"/>
                <w:color w:val="auto"/>
                <w:highlight w:val="none"/>
                <w:u w:val="single"/>
              </w:rPr>
              <w:t xml:space="preserve">  /  </w:t>
            </w:r>
            <w:r>
              <w:rPr>
                <w:rFonts w:hint="eastAsia"/>
                <w:color w:val="auto"/>
                <w:highlight w:val="none"/>
              </w:rPr>
              <w:t>月</w:t>
            </w:r>
            <w:r>
              <w:rPr>
                <w:rFonts w:hint="eastAsia"/>
                <w:color w:val="auto"/>
                <w:highlight w:val="none"/>
                <w:u w:val="single"/>
              </w:rPr>
              <w:t xml:space="preserve"> /   </w:t>
            </w:r>
            <w:r>
              <w:rPr>
                <w:rFonts w:hint="eastAsia"/>
                <w:color w:val="auto"/>
                <w:highlight w:val="none"/>
              </w:rPr>
              <w:t>日</w:t>
            </w:r>
          </w:p>
          <w:p>
            <w:pPr>
              <w:shd w:val="clear" w:color="auto" w:fill="FFFFFF"/>
              <w:spacing w:line="300" w:lineRule="exact"/>
              <w:rPr>
                <w:color w:val="auto"/>
                <w:highlight w:val="none"/>
              </w:rPr>
            </w:pPr>
            <w:r>
              <w:rPr>
                <w:rFonts w:hint="eastAsia"/>
                <w:color w:val="auto"/>
                <w:highlight w:val="none"/>
              </w:rPr>
              <w:t>计划竣工日期：</w:t>
            </w:r>
            <w:r>
              <w:rPr>
                <w:rFonts w:hint="eastAsia"/>
                <w:color w:val="auto"/>
                <w:highlight w:val="none"/>
                <w:u w:val="single"/>
              </w:rPr>
              <w:t xml:space="preserve"> /  </w:t>
            </w:r>
            <w:r>
              <w:rPr>
                <w:rFonts w:hint="eastAsia"/>
                <w:color w:val="auto"/>
                <w:highlight w:val="none"/>
              </w:rPr>
              <w:t>年</w:t>
            </w:r>
            <w:r>
              <w:rPr>
                <w:rFonts w:hint="eastAsia"/>
                <w:color w:val="auto"/>
                <w:highlight w:val="none"/>
                <w:u w:val="single"/>
              </w:rPr>
              <w:t xml:space="preserve">  /  </w:t>
            </w:r>
            <w:r>
              <w:rPr>
                <w:rFonts w:hint="eastAsia"/>
                <w:color w:val="auto"/>
                <w:highlight w:val="none"/>
              </w:rPr>
              <w:t>月</w:t>
            </w:r>
            <w:r>
              <w:rPr>
                <w:rFonts w:hint="eastAsia"/>
                <w:color w:val="auto"/>
                <w:highlight w:val="none"/>
                <w:u w:val="single"/>
              </w:rPr>
              <w:t xml:space="preserve">  /  </w:t>
            </w:r>
            <w:r>
              <w:rPr>
                <w:rFonts w:hint="eastAsia"/>
                <w:color w:val="auto"/>
                <w:highlight w:val="none"/>
              </w:rPr>
              <w:t>日</w:t>
            </w:r>
          </w:p>
          <w:p>
            <w:pPr>
              <w:shd w:val="clear" w:color="auto" w:fill="FFFFFF"/>
              <w:spacing w:line="300" w:lineRule="exact"/>
              <w:rPr>
                <w:color w:val="auto"/>
                <w:highlight w:val="none"/>
              </w:rPr>
            </w:pPr>
            <w:r>
              <w:rPr>
                <w:rFonts w:hint="eastAsia"/>
                <w:color w:val="auto"/>
                <w:highlight w:val="none"/>
              </w:rPr>
              <w:t>除上述总工期外，招标人还要求以下区段</w:t>
            </w:r>
          </w:p>
          <w:p>
            <w:pPr>
              <w:shd w:val="clear" w:color="auto" w:fill="FFFFFF"/>
              <w:spacing w:line="300" w:lineRule="exact"/>
              <w:rPr>
                <w:color w:val="auto"/>
                <w:highlight w:val="none"/>
              </w:rPr>
            </w:pPr>
            <w:r>
              <w:rPr>
                <w:rFonts w:hint="eastAsia"/>
                <w:color w:val="auto"/>
                <w:highlight w:val="none"/>
              </w:rPr>
              <w:t>工期：</w:t>
            </w:r>
          </w:p>
          <w:p>
            <w:pPr>
              <w:shd w:val="clear" w:color="auto" w:fill="FFFFFF"/>
              <w:spacing w:line="300" w:lineRule="exact"/>
              <w:rPr>
                <w:color w:val="auto"/>
                <w:highlight w:val="none"/>
                <w:u w:val="single"/>
              </w:rPr>
            </w:pPr>
            <w:r>
              <w:rPr>
                <w:rFonts w:hint="eastAsia"/>
                <w:color w:val="auto"/>
                <w:highlight w:val="none"/>
                <w:u w:val="single"/>
              </w:rPr>
              <w:t xml:space="preserve">                   /                  </w:t>
            </w:r>
          </w:p>
          <w:p>
            <w:pPr>
              <w:shd w:val="clear" w:color="auto" w:fill="FFFFFF"/>
              <w:spacing w:line="300" w:lineRule="exact"/>
              <w:rPr>
                <w:color w:val="auto"/>
                <w:highlight w:val="none"/>
                <w:u w:val="single"/>
              </w:rPr>
            </w:pPr>
            <w:r>
              <w:rPr>
                <w:rFonts w:hint="eastAsia"/>
                <w:color w:val="auto"/>
                <w:highlight w:val="none"/>
              </w:rPr>
              <w:t>有关工期的详细要求见第七章“技术标准和要求”。</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691" w:hRule="atLeast"/>
        </w:trPr>
        <w:tc>
          <w:tcPr>
            <w:tcW w:w="1031" w:type="dxa"/>
            <w:vAlign w:val="center"/>
          </w:tcPr>
          <w:p>
            <w:pPr>
              <w:shd w:val="clear" w:color="auto" w:fill="FFFFFF"/>
              <w:spacing w:line="300" w:lineRule="exact"/>
              <w:jc w:val="center"/>
              <w:rPr>
                <w:color w:val="auto"/>
                <w:highlight w:val="none"/>
              </w:rPr>
            </w:pPr>
            <w:r>
              <w:rPr>
                <w:rFonts w:hint="eastAsia"/>
                <w:color w:val="auto"/>
                <w:highlight w:val="none"/>
              </w:rPr>
              <w:t>1.3.3</w:t>
            </w:r>
          </w:p>
        </w:tc>
        <w:tc>
          <w:tcPr>
            <w:tcW w:w="2230" w:type="dxa"/>
            <w:vAlign w:val="center"/>
          </w:tcPr>
          <w:p>
            <w:pPr>
              <w:shd w:val="clear" w:color="auto" w:fill="FFFFFF"/>
              <w:spacing w:line="300" w:lineRule="exact"/>
              <w:rPr>
                <w:color w:val="auto"/>
                <w:highlight w:val="none"/>
              </w:rPr>
            </w:pPr>
            <w:r>
              <w:rPr>
                <w:rFonts w:hint="eastAsia"/>
                <w:color w:val="auto"/>
                <w:highlight w:val="none"/>
              </w:rPr>
              <w:t>质量要求</w:t>
            </w:r>
          </w:p>
        </w:tc>
        <w:tc>
          <w:tcPr>
            <w:tcW w:w="6095" w:type="dxa"/>
            <w:vAlign w:val="center"/>
          </w:tcPr>
          <w:p>
            <w:pPr>
              <w:shd w:val="clear" w:color="auto" w:fill="FFFFFF"/>
              <w:spacing w:line="300" w:lineRule="exact"/>
              <w:rPr>
                <w:color w:val="auto"/>
                <w:highlight w:val="none"/>
                <w:u w:val="single"/>
              </w:rPr>
            </w:pPr>
            <w:r>
              <w:rPr>
                <w:rFonts w:hint="eastAsia"/>
                <w:color w:val="auto"/>
                <w:highlight w:val="none"/>
              </w:rPr>
              <w:t>质量标准：</w:t>
            </w:r>
            <w:r>
              <w:rPr>
                <w:rFonts w:hint="eastAsia"/>
                <w:color w:val="auto"/>
                <w:highlight w:val="none"/>
                <w:u w:val="single"/>
              </w:rPr>
              <w:t xml:space="preserve">  合格  </w:t>
            </w:r>
          </w:p>
          <w:p>
            <w:pPr>
              <w:shd w:val="clear" w:color="auto" w:fill="FFFFFF"/>
              <w:spacing w:line="300" w:lineRule="exact"/>
              <w:rPr>
                <w:color w:val="auto"/>
                <w:highlight w:val="none"/>
              </w:rPr>
            </w:pPr>
            <w:r>
              <w:rPr>
                <w:rFonts w:hint="eastAsia"/>
                <w:color w:val="auto"/>
                <w:highlight w:val="none"/>
              </w:rPr>
              <w:t>关于质量要求的详细说明见第七章“技术标准和要求”。</w:t>
            </w:r>
          </w:p>
        </w:tc>
      </w:tr>
    </w:tbl>
    <w:p>
      <w:pPr>
        <w:shd w:val="clear" w:color="auto" w:fill="FFFFFF"/>
        <w:spacing w:line="300" w:lineRule="exact"/>
        <w:rPr>
          <w:color w:val="auto"/>
          <w:highlight w:val="none"/>
        </w:rPr>
      </w:pPr>
    </w:p>
    <w:p>
      <w:pPr>
        <w:shd w:val="clear" w:color="auto" w:fill="FFFFFF"/>
        <w:spacing w:line="300" w:lineRule="exact"/>
        <w:rPr>
          <w:color w:val="auto"/>
          <w:highlight w:val="none"/>
        </w:rPr>
      </w:pPr>
    </w:p>
    <w:tbl>
      <w:tblPr>
        <w:tblStyle w:val="51"/>
        <w:tblW w:w="9356" w:type="dxa"/>
        <w:tblInd w:w="108" w:type="dxa"/>
        <w:tblLayout w:type="fixed"/>
        <w:tblCellMar>
          <w:top w:w="0" w:type="dxa"/>
          <w:left w:w="108" w:type="dxa"/>
          <w:bottom w:w="0" w:type="dxa"/>
          <w:right w:w="108" w:type="dxa"/>
        </w:tblCellMar>
      </w:tblPr>
      <w:tblGrid>
        <w:gridCol w:w="906"/>
        <w:gridCol w:w="2352"/>
        <w:gridCol w:w="6098"/>
      </w:tblGrid>
      <w:tr>
        <w:tblPrEx>
          <w:tblCellMar>
            <w:top w:w="0" w:type="dxa"/>
            <w:left w:w="108" w:type="dxa"/>
            <w:bottom w:w="0" w:type="dxa"/>
            <w:right w:w="108" w:type="dxa"/>
          </w:tblCellMar>
        </w:tblPrEx>
        <w:trPr>
          <w:trHeight w:val="411" w:hRule="atLeast"/>
        </w:trPr>
        <w:tc>
          <w:tcPr>
            <w:tcW w:w="906"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00" w:lineRule="exact"/>
              <w:jc w:val="center"/>
              <w:rPr>
                <w:color w:val="auto"/>
                <w:highlight w:val="none"/>
              </w:rPr>
            </w:pPr>
            <w:r>
              <w:rPr>
                <w:rFonts w:hint="eastAsia"/>
                <w:color w:val="auto"/>
                <w:highlight w:val="none"/>
              </w:rPr>
              <w:t>1.4.1</w:t>
            </w:r>
          </w:p>
        </w:tc>
        <w:tc>
          <w:tcPr>
            <w:tcW w:w="2352"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00" w:lineRule="exact"/>
              <w:rPr>
                <w:color w:val="auto"/>
                <w:highlight w:val="none"/>
              </w:rPr>
            </w:pPr>
            <w:r>
              <w:rPr>
                <w:rFonts w:hint="eastAsia"/>
                <w:color w:val="auto"/>
                <w:highlight w:val="none"/>
              </w:rPr>
              <w:t>投标人资质条件、能力和信誉</w:t>
            </w:r>
          </w:p>
          <w:p>
            <w:pPr>
              <w:shd w:val="clear" w:color="auto" w:fill="FFFFFF"/>
              <w:rPr>
                <w:color w:val="auto"/>
                <w:highlight w:val="none"/>
              </w:rPr>
            </w:pPr>
          </w:p>
          <w:p>
            <w:pPr>
              <w:shd w:val="clear" w:color="auto" w:fill="FFFFFF"/>
              <w:rPr>
                <w:color w:val="auto"/>
                <w:highlight w:val="none"/>
              </w:rPr>
            </w:pPr>
          </w:p>
          <w:p>
            <w:pPr>
              <w:shd w:val="clear" w:color="auto" w:fill="FFFFFF"/>
              <w:rPr>
                <w:color w:val="auto"/>
                <w:highlight w:val="none"/>
              </w:rPr>
            </w:pPr>
          </w:p>
          <w:p>
            <w:pPr>
              <w:shd w:val="clear" w:color="auto" w:fill="FFFFFF"/>
              <w:rPr>
                <w:color w:val="auto"/>
                <w:highlight w:val="none"/>
              </w:rPr>
            </w:pPr>
          </w:p>
          <w:p>
            <w:pPr>
              <w:shd w:val="clear" w:color="auto" w:fill="FFFFFF"/>
              <w:rPr>
                <w:color w:val="auto"/>
                <w:highlight w:val="none"/>
              </w:rPr>
            </w:pPr>
          </w:p>
          <w:p>
            <w:pPr>
              <w:shd w:val="clear" w:color="auto" w:fill="FFFFFF"/>
              <w:rPr>
                <w:color w:val="auto"/>
                <w:highlight w:val="none"/>
              </w:rPr>
            </w:pPr>
          </w:p>
          <w:p>
            <w:pPr>
              <w:shd w:val="clear" w:color="auto" w:fill="FFFFFF"/>
              <w:rPr>
                <w:color w:val="auto"/>
                <w:highlight w:val="none"/>
              </w:rPr>
            </w:pPr>
          </w:p>
          <w:p>
            <w:pPr>
              <w:shd w:val="clear" w:color="auto" w:fill="FFFFFF"/>
              <w:rPr>
                <w:color w:val="auto"/>
                <w:highlight w:val="none"/>
              </w:rPr>
            </w:pPr>
          </w:p>
        </w:tc>
        <w:tc>
          <w:tcPr>
            <w:tcW w:w="6098" w:type="dxa"/>
            <w:tcBorders>
              <w:top w:val="single" w:color="auto" w:sz="6" w:space="0"/>
              <w:left w:val="single" w:color="auto" w:sz="6" w:space="0"/>
              <w:bottom w:val="single" w:color="auto" w:sz="6" w:space="0"/>
              <w:right w:val="single" w:color="auto" w:sz="4" w:space="0"/>
            </w:tcBorders>
            <w:vAlign w:val="center"/>
          </w:tcPr>
          <w:p>
            <w:pPr>
              <w:spacing w:line="300" w:lineRule="exact"/>
              <w:rPr>
                <w:rFonts w:hint="eastAsia" w:ascii="宋体" w:hAnsi="宋体"/>
                <w:color w:val="auto"/>
                <w:highlight w:val="none"/>
              </w:rPr>
            </w:pPr>
            <w:r>
              <w:rPr>
                <w:rFonts w:hint="eastAsia" w:ascii="宋体" w:hAnsi="宋体"/>
                <w:color w:val="auto"/>
                <w:highlight w:val="none"/>
              </w:rPr>
              <w:t>资质条件：</w:t>
            </w:r>
            <w:r>
              <w:rPr>
                <w:rFonts w:ascii="宋体" w:hAnsi="宋体" w:cs="Arial"/>
                <w:color w:val="auto"/>
                <w:kern w:val="0"/>
                <w:szCs w:val="21"/>
                <w:highlight w:val="none"/>
              </w:rPr>
              <w:t>具备</w:t>
            </w:r>
            <w:r>
              <w:rPr>
                <w:rFonts w:hint="eastAsia" w:ascii="宋体" w:hAnsi="宋体" w:cs="Arial"/>
                <w:b/>
                <w:iCs/>
                <w:color w:val="auto"/>
                <w:kern w:val="0"/>
                <w:szCs w:val="21"/>
                <w:highlight w:val="none"/>
                <w:u w:val="single"/>
              </w:rPr>
              <w:t>建设行政主管部门核发的公路交通工程专业承包（公路机电工程分项）二级及以上</w:t>
            </w:r>
            <w:r>
              <w:rPr>
                <w:rFonts w:hint="eastAsia" w:ascii="宋体" w:hAnsi="宋体" w:cs="宋体"/>
                <w:b/>
                <w:iCs/>
                <w:color w:val="auto"/>
                <w:szCs w:val="21"/>
                <w:highlight w:val="none"/>
              </w:rPr>
              <w:t>资质，</w:t>
            </w:r>
            <w:r>
              <w:rPr>
                <w:rFonts w:ascii="宋体" w:hAnsi="宋体" w:cs="宋体"/>
                <w:b/>
                <w:iCs/>
                <w:color w:val="auto"/>
                <w:szCs w:val="21"/>
                <w:highlight w:val="none"/>
              </w:rPr>
              <w:t>具有</w:t>
            </w:r>
            <w:r>
              <w:rPr>
                <w:rFonts w:hint="eastAsia" w:ascii="宋体" w:hAnsi="宋体" w:cs="Arial"/>
                <w:b/>
                <w:color w:val="auto"/>
                <w:kern w:val="0"/>
                <w:szCs w:val="21"/>
                <w:highlight w:val="none"/>
                <w:u w:val="single"/>
              </w:rPr>
              <w:t>有效期内安全生产许可证</w:t>
            </w:r>
            <w:r>
              <w:rPr>
                <w:rFonts w:hint="eastAsia" w:ascii="宋体" w:hAnsi="宋体" w:cs="宋体"/>
                <w:b/>
                <w:iCs/>
                <w:color w:val="auto"/>
                <w:szCs w:val="21"/>
                <w:highlight w:val="none"/>
              </w:rPr>
              <w:t>。</w:t>
            </w:r>
          </w:p>
          <w:p>
            <w:pPr>
              <w:spacing w:line="300" w:lineRule="exact"/>
              <w:rPr>
                <w:rFonts w:hint="eastAsia" w:ascii="宋体" w:hAnsi="宋体"/>
                <w:color w:val="auto"/>
                <w:highlight w:val="none"/>
              </w:rPr>
            </w:pPr>
            <w:r>
              <w:rPr>
                <w:rFonts w:hint="eastAsia" w:ascii="宋体" w:hAnsi="宋体"/>
                <w:color w:val="auto"/>
                <w:highlight w:val="none"/>
              </w:rPr>
              <w:t>财务要求：/</w:t>
            </w:r>
          </w:p>
          <w:p>
            <w:pPr>
              <w:spacing w:line="300" w:lineRule="exact"/>
              <w:rPr>
                <w:rFonts w:hint="eastAsia" w:ascii="宋体" w:hAnsi="宋体"/>
                <w:color w:val="auto"/>
                <w:highlight w:val="none"/>
              </w:rPr>
            </w:pPr>
            <w:r>
              <w:rPr>
                <w:rFonts w:hint="eastAsia" w:ascii="宋体" w:hAnsi="宋体"/>
                <w:color w:val="auto"/>
                <w:highlight w:val="none"/>
              </w:rPr>
              <w:t>业绩要求：/</w:t>
            </w:r>
          </w:p>
          <w:p>
            <w:pPr>
              <w:spacing w:line="300" w:lineRule="exact"/>
              <w:rPr>
                <w:rFonts w:hint="eastAsia" w:ascii="宋体" w:hAnsi="宋体"/>
                <w:color w:val="auto"/>
                <w:highlight w:val="none"/>
              </w:rPr>
            </w:pPr>
            <w:r>
              <w:rPr>
                <w:rFonts w:hint="eastAsia" w:ascii="宋体" w:hAnsi="宋体"/>
                <w:color w:val="auto"/>
                <w:highlight w:val="none"/>
              </w:rPr>
              <w:t>信誉要求：/</w:t>
            </w:r>
          </w:p>
          <w:p>
            <w:pPr>
              <w:spacing w:line="300" w:lineRule="exact"/>
              <w:rPr>
                <w:rFonts w:hint="eastAsia" w:ascii="宋体" w:hAnsi="宋体"/>
                <w:color w:val="auto"/>
                <w:highlight w:val="none"/>
              </w:rPr>
            </w:pPr>
            <w:r>
              <w:rPr>
                <w:rFonts w:hint="eastAsia" w:ascii="宋体" w:hAnsi="宋体"/>
                <w:color w:val="auto"/>
                <w:highlight w:val="none"/>
              </w:rPr>
              <w:t>项目负责人资格：</w:t>
            </w:r>
            <w:r>
              <w:rPr>
                <w:rFonts w:hint="eastAsia" w:ascii="宋体" w:hAnsi="宋体" w:cs="Arial"/>
                <w:b/>
                <w:iCs/>
                <w:color w:val="auto"/>
                <w:kern w:val="0"/>
                <w:szCs w:val="21"/>
                <w:highlight w:val="none"/>
                <w:u w:val="single"/>
              </w:rPr>
              <w:t>机电工程</w:t>
            </w:r>
            <w:r>
              <w:rPr>
                <w:rFonts w:hint="eastAsia" w:ascii="宋体" w:hAnsi="宋体"/>
                <w:color w:val="auto"/>
                <w:highlight w:val="none"/>
              </w:rPr>
              <w:t>专业</w:t>
            </w:r>
            <w:r>
              <w:rPr>
                <w:rFonts w:hint="eastAsia" w:ascii="宋体" w:hAnsi="宋体"/>
                <w:b/>
                <w:color w:val="auto"/>
                <w:highlight w:val="none"/>
                <w:u w:val="single"/>
              </w:rPr>
              <w:t>二</w:t>
            </w:r>
            <w:r>
              <w:rPr>
                <w:rFonts w:hint="eastAsia" w:ascii="宋体" w:hAnsi="宋体"/>
                <w:color w:val="auto"/>
                <w:highlight w:val="none"/>
              </w:rPr>
              <w:t>级（含以上级）注册建造师执业资格，具备有效的安全生产考核合格证书，且不得担任过其他未竣工验收的建设工程项目的项目负责人。</w:t>
            </w:r>
          </w:p>
          <w:p>
            <w:pPr>
              <w:spacing w:line="300" w:lineRule="exact"/>
              <w:rPr>
                <w:rFonts w:hint="eastAsia" w:ascii="宋体" w:hAnsi="宋体"/>
                <w:color w:val="auto"/>
                <w:highlight w:val="none"/>
                <w:u w:val="single"/>
              </w:rPr>
            </w:pPr>
            <w:r>
              <w:rPr>
                <w:rFonts w:hint="eastAsia" w:ascii="宋体" w:hAnsi="宋体"/>
                <w:color w:val="auto"/>
                <w:highlight w:val="none"/>
              </w:rPr>
              <w:t>其他要求：</w:t>
            </w:r>
          </w:p>
          <w:p>
            <w:pPr>
              <w:numPr>
                <w:ilvl w:val="0"/>
                <w:numId w:val="6"/>
              </w:numPr>
              <w:spacing w:line="300" w:lineRule="exact"/>
              <w:rPr>
                <w:rFonts w:hint="eastAsia" w:ascii="宋体" w:hAnsi="宋体"/>
                <w:b/>
                <w:color w:val="auto"/>
                <w:highlight w:val="none"/>
              </w:rPr>
            </w:pPr>
            <w:r>
              <w:rPr>
                <w:rFonts w:ascii="宋体" w:hAnsi="宋体"/>
                <w:b/>
                <w:color w:val="auto"/>
                <w:highlight w:val="none"/>
                <w:u w:val="single"/>
              </w:rPr>
              <w:t>具有</w:t>
            </w:r>
            <w:r>
              <w:rPr>
                <w:rFonts w:hint="eastAsia" w:ascii="宋体" w:hAnsi="宋体"/>
                <w:b/>
                <w:color w:val="auto"/>
                <w:highlight w:val="none"/>
                <w:u w:val="single"/>
              </w:rPr>
              <w:t>绍兴市公共资源交易中心工程建设项目2021年度登记</w:t>
            </w:r>
            <w:r>
              <w:rPr>
                <w:rFonts w:ascii="宋体" w:hAnsi="宋体"/>
                <w:b/>
                <w:color w:val="auto"/>
                <w:highlight w:val="none"/>
                <w:u w:val="single"/>
              </w:rPr>
              <w:t>资格</w:t>
            </w:r>
            <w:r>
              <w:rPr>
                <w:rFonts w:hint="eastAsia" w:ascii="宋体" w:hAnsi="宋体"/>
                <w:b/>
                <w:color w:val="auto"/>
                <w:highlight w:val="none"/>
                <w:u w:val="single"/>
              </w:rPr>
              <w:t>并在有效期内</w:t>
            </w:r>
            <w:r>
              <w:rPr>
                <w:rFonts w:hint="eastAsia" w:ascii="宋体" w:hAnsi="宋体"/>
                <w:b/>
                <w:color w:val="auto"/>
                <w:highlight w:val="none"/>
              </w:rPr>
              <w:t>。</w:t>
            </w:r>
          </w:p>
          <w:p>
            <w:pPr>
              <w:numPr>
                <w:ilvl w:val="0"/>
                <w:numId w:val="6"/>
              </w:numPr>
              <w:spacing w:line="300" w:lineRule="exact"/>
              <w:rPr>
                <w:rFonts w:hint="eastAsia" w:ascii="宋体" w:hAnsi="宋体"/>
                <w:color w:val="auto"/>
                <w:highlight w:val="none"/>
                <w:u w:val="single"/>
              </w:rPr>
            </w:pPr>
            <w:r>
              <w:rPr>
                <w:rFonts w:hint="eastAsia" w:ascii="宋体" w:hAnsi="宋体"/>
                <w:b/>
                <w:color w:val="auto"/>
                <w:highlight w:val="none"/>
                <w:u w:val="single"/>
              </w:rPr>
              <w:t>2、浙江省外企业须经浙江省住建厅备案（浙江省内企业不作要求）</w:t>
            </w:r>
            <w:r>
              <w:rPr>
                <w:rFonts w:hint="eastAsia" w:ascii="宋体" w:hAnsi="宋体"/>
                <w:b/>
                <w:color w:val="auto"/>
                <w:highlight w:val="none"/>
              </w:rPr>
              <w:t>。</w:t>
            </w:r>
          </w:p>
          <w:p>
            <w:pPr>
              <w:spacing w:line="300" w:lineRule="exact"/>
              <w:rPr>
                <w:rFonts w:hint="eastAsia" w:ascii="宋体" w:hAnsi="宋体"/>
                <w:b/>
                <w:color w:val="auto"/>
                <w:highlight w:val="none"/>
                <w:u w:val="single"/>
              </w:rPr>
            </w:pPr>
            <w:r>
              <w:rPr>
                <w:rFonts w:hint="eastAsia" w:ascii="宋体" w:hAnsi="宋体"/>
                <w:b/>
                <w:color w:val="auto"/>
                <w:highlight w:val="none"/>
                <w:u w:val="single"/>
              </w:rPr>
              <w:t>3、企业和项目负责人近五年无行贿犯罪记录（投标人提供承诺书）</w:t>
            </w:r>
            <w:r>
              <w:rPr>
                <w:rFonts w:hint="eastAsia" w:ascii="宋体" w:hAnsi="宋体"/>
                <w:b/>
                <w:color w:val="auto"/>
                <w:highlight w:val="none"/>
              </w:rPr>
              <w:t>。</w:t>
            </w:r>
          </w:p>
          <w:p>
            <w:pPr>
              <w:shd w:val="clear" w:color="auto" w:fill="FFFFFF"/>
              <w:spacing w:line="300" w:lineRule="exact"/>
              <w:rPr>
                <w:color w:val="auto"/>
                <w:highlight w:val="none"/>
                <w:u w:val="single"/>
              </w:rPr>
            </w:pPr>
            <w:r>
              <w:rPr>
                <w:rFonts w:hint="eastAsia" w:ascii="宋体" w:hAnsi="宋体"/>
                <w:b/>
                <w:color w:val="auto"/>
                <w:highlight w:val="none"/>
                <w:u w:val="single"/>
              </w:rPr>
              <w:t>4、拟派项目负责人须为投标人在职职工（在职职工不包括离、退休返聘人员），须提供缴费期限包含202</w:t>
            </w:r>
            <w:r>
              <w:rPr>
                <w:rFonts w:hint="eastAsia" w:ascii="宋体" w:hAnsi="宋体"/>
                <w:b/>
                <w:color w:val="auto"/>
                <w:highlight w:val="none"/>
                <w:u w:val="single"/>
                <w:lang w:val="en-US" w:eastAsia="zh-CN"/>
              </w:rPr>
              <w:t>1</w:t>
            </w:r>
            <w:r>
              <w:rPr>
                <w:rFonts w:hint="eastAsia" w:ascii="宋体" w:hAnsi="宋体"/>
                <w:b/>
                <w:color w:val="auto"/>
                <w:highlight w:val="none"/>
                <w:u w:val="single"/>
              </w:rPr>
              <w:t>年</w:t>
            </w:r>
            <w:r>
              <w:rPr>
                <w:rFonts w:hint="eastAsia" w:ascii="宋体" w:hAnsi="宋体"/>
                <w:b/>
                <w:color w:val="auto"/>
                <w:highlight w:val="none"/>
                <w:u w:val="single"/>
                <w:lang w:val="en-US" w:eastAsia="zh-CN"/>
              </w:rPr>
              <w:t>4</w:t>
            </w:r>
            <w:r>
              <w:rPr>
                <w:rFonts w:hint="eastAsia" w:ascii="宋体" w:hAnsi="宋体"/>
                <w:b/>
                <w:color w:val="auto"/>
                <w:highlight w:val="none"/>
                <w:u w:val="single"/>
              </w:rPr>
              <w:t>月至202</w:t>
            </w:r>
            <w:r>
              <w:rPr>
                <w:rFonts w:hint="eastAsia" w:ascii="宋体" w:hAnsi="宋体"/>
                <w:b/>
                <w:color w:val="auto"/>
                <w:highlight w:val="none"/>
                <w:u w:val="single"/>
                <w:lang w:val="en-US" w:eastAsia="zh-CN"/>
              </w:rPr>
              <w:t>1</w:t>
            </w:r>
            <w:r>
              <w:rPr>
                <w:rFonts w:hint="eastAsia" w:ascii="宋体" w:hAnsi="宋体"/>
                <w:b/>
                <w:color w:val="auto"/>
                <w:highlight w:val="none"/>
                <w:u w:val="single"/>
              </w:rPr>
              <w:t>年</w:t>
            </w:r>
            <w:r>
              <w:rPr>
                <w:rFonts w:hint="eastAsia" w:ascii="宋体" w:hAnsi="宋体"/>
                <w:b/>
                <w:color w:val="auto"/>
                <w:highlight w:val="none"/>
                <w:u w:val="single"/>
                <w:lang w:val="en-US" w:eastAsia="zh-CN"/>
              </w:rPr>
              <w:t>6</w:t>
            </w:r>
            <w:r>
              <w:rPr>
                <w:rFonts w:hint="eastAsia" w:ascii="宋体" w:hAnsi="宋体"/>
                <w:b/>
                <w:color w:val="auto"/>
                <w:highlight w:val="none"/>
                <w:u w:val="single"/>
              </w:rPr>
              <w:t>月的投标人所属社保机构养老保险交纳清单或证明（缴费单位和投标单位名称必须一致，并加盖社保缴费证明专用章）</w:t>
            </w:r>
            <w:r>
              <w:rPr>
                <w:rFonts w:hint="eastAsia" w:ascii="宋体" w:hAnsi="宋体"/>
                <w:b/>
                <w:color w:val="auto"/>
                <w:highlight w:val="none"/>
              </w:rPr>
              <w:t>。</w:t>
            </w:r>
          </w:p>
        </w:tc>
      </w:tr>
      <w:tr>
        <w:tblPrEx>
          <w:tblCellMar>
            <w:top w:w="0" w:type="dxa"/>
            <w:left w:w="108" w:type="dxa"/>
            <w:bottom w:w="0" w:type="dxa"/>
            <w:right w:w="108" w:type="dxa"/>
          </w:tblCellMar>
        </w:tblPrEx>
        <w:trPr>
          <w:trHeight w:val="1460" w:hRule="atLeast"/>
        </w:trPr>
        <w:tc>
          <w:tcPr>
            <w:tcW w:w="906"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00" w:lineRule="exact"/>
              <w:jc w:val="center"/>
              <w:rPr>
                <w:color w:val="auto"/>
                <w:highlight w:val="none"/>
              </w:rPr>
            </w:pPr>
            <w:r>
              <w:rPr>
                <w:rFonts w:hint="eastAsia"/>
                <w:color w:val="auto"/>
                <w:highlight w:val="none"/>
              </w:rPr>
              <w:t>1.4.2</w:t>
            </w:r>
          </w:p>
        </w:tc>
        <w:tc>
          <w:tcPr>
            <w:tcW w:w="2352"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00" w:lineRule="exact"/>
              <w:rPr>
                <w:color w:val="auto"/>
                <w:highlight w:val="none"/>
              </w:rPr>
            </w:pPr>
            <w:r>
              <w:rPr>
                <w:rFonts w:hint="eastAsia"/>
                <w:color w:val="auto"/>
                <w:highlight w:val="none"/>
              </w:rPr>
              <w:t>是否接受联合体投标</w:t>
            </w:r>
          </w:p>
        </w:tc>
        <w:tc>
          <w:tcPr>
            <w:tcW w:w="6098"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00" w:lineRule="exact"/>
              <w:rPr>
                <w:color w:val="auto"/>
                <w:highlight w:val="none"/>
              </w:rPr>
            </w:pPr>
            <w:r>
              <w:rPr>
                <w:rFonts w:hint="eastAsia"/>
                <w:color w:val="auto"/>
                <w:highlight w:val="none"/>
                <w:bdr w:val="single" w:color="auto" w:sz="4" w:space="0"/>
              </w:rPr>
              <w:t>√</w:t>
            </w:r>
            <w:r>
              <w:rPr>
                <w:rFonts w:hint="eastAsia"/>
                <w:color w:val="auto"/>
                <w:highlight w:val="none"/>
              </w:rPr>
              <w:t>不接受</w:t>
            </w:r>
          </w:p>
          <w:p>
            <w:pPr>
              <w:shd w:val="clear" w:color="auto" w:fill="FFFFFF"/>
              <w:spacing w:line="300" w:lineRule="exact"/>
              <w:rPr>
                <w:color w:val="auto"/>
                <w:highlight w:val="none"/>
              </w:rPr>
            </w:pPr>
            <w:r>
              <w:rPr>
                <w:rFonts w:hint="eastAsia"/>
                <w:color w:val="auto"/>
                <w:highlight w:val="none"/>
              </w:rPr>
              <w:t>□接受，应满足下列要求：联合体资质按照联合体协议约定的分工认定。</w:t>
            </w:r>
          </w:p>
        </w:tc>
      </w:tr>
      <w:tr>
        <w:tblPrEx>
          <w:tblCellMar>
            <w:top w:w="0" w:type="dxa"/>
            <w:left w:w="108" w:type="dxa"/>
            <w:bottom w:w="0" w:type="dxa"/>
            <w:right w:w="108" w:type="dxa"/>
          </w:tblCellMar>
        </w:tblPrEx>
        <w:trPr>
          <w:trHeight w:val="1007" w:hRule="atLeast"/>
        </w:trPr>
        <w:tc>
          <w:tcPr>
            <w:tcW w:w="906"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00" w:lineRule="exact"/>
              <w:jc w:val="center"/>
              <w:rPr>
                <w:color w:val="auto"/>
                <w:highlight w:val="none"/>
              </w:rPr>
            </w:pPr>
            <w:r>
              <w:rPr>
                <w:rFonts w:hint="eastAsia"/>
                <w:color w:val="auto"/>
                <w:highlight w:val="none"/>
              </w:rPr>
              <w:t>1.9.1</w:t>
            </w:r>
          </w:p>
        </w:tc>
        <w:tc>
          <w:tcPr>
            <w:tcW w:w="2352"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00" w:lineRule="exact"/>
              <w:rPr>
                <w:color w:val="auto"/>
                <w:highlight w:val="none"/>
              </w:rPr>
            </w:pPr>
            <w:r>
              <w:rPr>
                <w:rFonts w:hint="eastAsia"/>
                <w:color w:val="auto"/>
                <w:highlight w:val="none"/>
              </w:rPr>
              <w:t>踏勘现场</w:t>
            </w:r>
          </w:p>
        </w:tc>
        <w:tc>
          <w:tcPr>
            <w:tcW w:w="6098"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00" w:lineRule="exact"/>
              <w:rPr>
                <w:color w:val="auto"/>
                <w:highlight w:val="none"/>
              </w:rPr>
            </w:pPr>
            <w:r>
              <w:rPr>
                <w:rFonts w:hint="eastAsia"/>
                <w:color w:val="auto"/>
                <w:highlight w:val="none"/>
                <w:bdr w:val="single" w:color="auto" w:sz="4" w:space="0"/>
              </w:rPr>
              <w:t>√</w:t>
            </w:r>
            <w:r>
              <w:rPr>
                <w:rFonts w:hint="eastAsia"/>
                <w:color w:val="auto"/>
                <w:highlight w:val="none"/>
              </w:rPr>
              <w:t>不组织</w:t>
            </w:r>
          </w:p>
          <w:p>
            <w:pPr>
              <w:shd w:val="clear" w:color="auto" w:fill="FFFFFF"/>
              <w:spacing w:line="300" w:lineRule="exact"/>
              <w:rPr>
                <w:color w:val="auto"/>
                <w:highlight w:val="none"/>
              </w:rPr>
            </w:pPr>
            <w:r>
              <w:rPr>
                <w:rFonts w:hint="eastAsia"/>
                <w:color w:val="auto"/>
                <w:highlight w:val="none"/>
              </w:rPr>
              <w:t>□组织，踏勘时间：</w:t>
            </w:r>
          </w:p>
          <w:p>
            <w:pPr>
              <w:shd w:val="clear" w:color="auto" w:fill="FFFFFF"/>
              <w:spacing w:line="300" w:lineRule="exact"/>
              <w:rPr>
                <w:color w:val="auto"/>
                <w:highlight w:val="none"/>
              </w:rPr>
            </w:pPr>
            <w:r>
              <w:rPr>
                <w:rFonts w:hint="eastAsia"/>
                <w:color w:val="auto"/>
                <w:highlight w:val="none"/>
              </w:rPr>
              <w:t xml:space="preserve">        踏勘集中地点：</w:t>
            </w:r>
          </w:p>
        </w:tc>
      </w:tr>
      <w:tr>
        <w:tblPrEx>
          <w:tblCellMar>
            <w:top w:w="0" w:type="dxa"/>
            <w:left w:w="108" w:type="dxa"/>
            <w:bottom w:w="0" w:type="dxa"/>
            <w:right w:w="108" w:type="dxa"/>
          </w:tblCellMar>
        </w:tblPrEx>
        <w:trPr>
          <w:trHeight w:val="1235" w:hRule="atLeast"/>
        </w:trPr>
        <w:tc>
          <w:tcPr>
            <w:tcW w:w="906" w:type="dxa"/>
            <w:tcBorders>
              <w:top w:val="single" w:color="auto" w:sz="6" w:space="0"/>
              <w:left w:val="single" w:color="auto" w:sz="4" w:space="0"/>
              <w:bottom w:val="single" w:color="auto" w:sz="6" w:space="0"/>
              <w:right w:val="single" w:color="auto" w:sz="6" w:space="0"/>
            </w:tcBorders>
            <w:vAlign w:val="center"/>
          </w:tcPr>
          <w:p>
            <w:pPr>
              <w:shd w:val="clear" w:color="auto" w:fill="FFFFFF"/>
              <w:jc w:val="center"/>
              <w:rPr>
                <w:color w:val="auto"/>
                <w:highlight w:val="none"/>
              </w:rPr>
            </w:pPr>
            <w:r>
              <w:rPr>
                <w:rFonts w:hint="eastAsia"/>
                <w:color w:val="auto"/>
                <w:highlight w:val="none"/>
              </w:rPr>
              <w:t>1.10.1</w:t>
            </w:r>
          </w:p>
        </w:tc>
        <w:tc>
          <w:tcPr>
            <w:tcW w:w="2352" w:type="dxa"/>
            <w:tcBorders>
              <w:top w:val="single" w:color="auto" w:sz="6" w:space="0"/>
              <w:left w:val="single" w:color="auto" w:sz="6" w:space="0"/>
              <w:bottom w:val="single" w:color="auto" w:sz="6" w:space="0"/>
              <w:right w:val="single" w:color="auto" w:sz="6" w:space="0"/>
            </w:tcBorders>
            <w:vAlign w:val="center"/>
          </w:tcPr>
          <w:p>
            <w:pPr>
              <w:shd w:val="clear" w:color="auto" w:fill="FFFFFF"/>
              <w:tabs>
                <w:tab w:val="center" w:pos="1677"/>
              </w:tabs>
              <w:rPr>
                <w:color w:val="auto"/>
                <w:highlight w:val="none"/>
              </w:rPr>
            </w:pPr>
            <w:r>
              <w:rPr>
                <w:rFonts w:hint="eastAsia"/>
                <w:color w:val="auto"/>
                <w:highlight w:val="none"/>
              </w:rPr>
              <w:t>投标预备会</w:t>
            </w:r>
            <w:r>
              <w:rPr>
                <w:color w:val="auto"/>
                <w:highlight w:val="none"/>
              </w:rPr>
              <w:tab/>
            </w:r>
          </w:p>
        </w:tc>
        <w:tc>
          <w:tcPr>
            <w:tcW w:w="6098"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12" w:lineRule="auto"/>
              <w:rPr>
                <w:color w:val="auto"/>
                <w:highlight w:val="none"/>
              </w:rPr>
            </w:pPr>
            <w:r>
              <w:rPr>
                <w:rFonts w:hint="eastAsia"/>
                <w:color w:val="auto"/>
                <w:highlight w:val="none"/>
                <w:bdr w:val="single" w:color="auto" w:sz="4" w:space="0"/>
              </w:rPr>
              <w:t>√</w:t>
            </w:r>
            <w:r>
              <w:rPr>
                <w:rFonts w:hint="eastAsia"/>
                <w:color w:val="auto"/>
                <w:highlight w:val="none"/>
              </w:rPr>
              <w:t>不召开</w:t>
            </w:r>
          </w:p>
          <w:p>
            <w:pPr>
              <w:shd w:val="clear" w:color="auto" w:fill="FFFFFF"/>
              <w:spacing w:line="312" w:lineRule="auto"/>
              <w:rPr>
                <w:color w:val="auto"/>
                <w:highlight w:val="none"/>
              </w:rPr>
            </w:pPr>
            <w:r>
              <w:rPr>
                <w:rFonts w:hint="eastAsia"/>
                <w:color w:val="auto"/>
                <w:highlight w:val="none"/>
              </w:rPr>
              <w:t>□召开，召开时间：</w:t>
            </w:r>
          </w:p>
          <w:p>
            <w:pPr>
              <w:shd w:val="clear" w:color="auto" w:fill="FFFFFF"/>
              <w:spacing w:line="312" w:lineRule="auto"/>
              <w:rPr>
                <w:color w:val="auto"/>
                <w:highlight w:val="none"/>
              </w:rPr>
            </w:pPr>
            <w:r>
              <w:rPr>
                <w:rFonts w:hint="eastAsia"/>
                <w:color w:val="auto"/>
                <w:highlight w:val="none"/>
              </w:rPr>
              <w:t xml:space="preserve">        召开地点：</w:t>
            </w:r>
          </w:p>
        </w:tc>
      </w:tr>
      <w:tr>
        <w:tblPrEx>
          <w:tblCellMar>
            <w:top w:w="0" w:type="dxa"/>
            <w:left w:w="108" w:type="dxa"/>
            <w:bottom w:w="0" w:type="dxa"/>
            <w:right w:w="108" w:type="dxa"/>
          </w:tblCellMar>
        </w:tblPrEx>
        <w:trPr>
          <w:trHeight w:val="471" w:hRule="atLeast"/>
        </w:trPr>
        <w:tc>
          <w:tcPr>
            <w:tcW w:w="906" w:type="dxa"/>
            <w:tcBorders>
              <w:top w:val="single" w:color="auto" w:sz="6" w:space="0"/>
              <w:left w:val="single" w:color="auto" w:sz="4" w:space="0"/>
              <w:bottom w:val="single" w:color="auto" w:sz="6" w:space="0"/>
              <w:right w:val="single" w:color="auto" w:sz="6" w:space="0"/>
            </w:tcBorders>
            <w:vAlign w:val="center"/>
          </w:tcPr>
          <w:p>
            <w:pPr>
              <w:shd w:val="clear" w:color="auto" w:fill="FFFFFF"/>
              <w:jc w:val="center"/>
              <w:rPr>
                <w:color w:val="auto"/>
                <w:highlight w:val="none"/>
              </w:rPr>
            </w:pPr>
          </w:p>
        </w:tc>
        <w:tc>
          <w:tcPr>
            <w:tcW w:w="2352" w:type="dxa"/>
            <w:tcBorders>
              <w:top w:val="single" w:color="auto" w:sz="6" w:space="0"/>
              <w:left w:val="single" w:color="auto" w:sz="6" w:space="0"/>
              <w:bottom w:val="single" w:color="auto" w:sz="6" w:space="0"/>
              <w:right w:val="single" w:color="auto" w:sz="6" w:space="0"/>
            </w:tcBorders>
            <w:vAlign w:val="center"/>
          </w:tcPr>
          <w:p>
            <w:pPr>
              <w:shd w:val="clear" w:color="auto" w:fill="FFFFFF"/>
              <w:rPr>
                <w:color w:val="auto"/>
                <w:highlight w:val="none"/>
              </w:rPr>
            </w:pPr>
            <w:r>
              <w:rPr>
                <w:rFonts w:hint="eastAsia"/>
                <w:color w:val="auto"/>
                <w:highlight w:val="none"/>
              </w:rPr>
              <w:t>招标人书面澄清的时间</w:t>
            </w:r>
          </w:p>
        </w:tc>
        <w:tc>
          <w:tcPr>
            <w:tcW w:w="6098"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12" w:lineRule="auto"/>
              <w:rPr>
                <w:color w:val="auto"/>
                <w:highlight w:val="none"/>
                <w:u w:val="single"/>
              </w:rPr>
            </w:pPr>
            <w:r>
              <w:rPr>
                <w:rFonts w:hint="eastAsia" w:ascii="宋体" w:hAnsi="宋体"/>
                <w:color w:val="auto"/>
                <w:highlight w:val="none"/>
                <w:u w:val="single"/>
              </w:rPr>
              <w:t>2021</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tc>
      </w:tr>
      <w:tr>
        <w:tblPrEx>
          <w:tblCellMar>
            <w:top w:w="0" w:type="dxa"/>
            <w:left w:w="108" w:type="dxa"/>
            <w:bottom w:w="0" w:type="dxa"/>
            <w:right w:w="108" w:type="dxa"/>
          </w:tblCellMar>
        </w:tblPrEx>
        <w:trPr>
          <w:trHeight w:val="471" w:hRule="atLeast"/>
        </w:trPr>
        <w:tc>
          <w:tcPr>
            <w:tcW w:w="906" w:type="dxa"/>
            <w:tcBorders>
              <w:top w:val="single" w:color="auto" w:sz="6" w:space="0"/>
              <w:left w:val="single" w:color="auto" w:sz="4" w:space="0"/>
              <w:bottom w:val="single" w:color="auto" w:sz="6" w:space="0"/>
              <w:right w:val="single" w:color="auto" w:sz="6" w:space="0"/>
            </w:tcBorders>
            <w:vAlign w:val="center"/>
          </w:tcPr>
          <w:p>
            <w:pPr>
              <w:shd w:val="clear" w:color="auto" w:fill="FFFFFF"/>
              <w:jc w:val="center"/>
              <w:rPr>
                <w:color w:val="auto"/>
                <w:highlight w:val="none"/>
              </w:rPr>
            </w:pPr>
            <w:r>
              <w:rPr>
                <w:rFonts w:hint="eastAsia"/>
                <w:color w:val="auto"/>
                <w:highlight w:val="none"/>
              </w:rPr>
              <w:t>1.10.2</w:t>
            </w:r>
          </w:p>
        </w:tc>
        <w:tc>
          <w:tcPr>
            <w:tcW w:w="2352" w:type="dxa"/>
            <w:tcBorders>
              <w:top w:val="single" w:color="auto" w:sz="6" w:space="0"/>
              <w:left w:val="single" w:color="auto" w:sz="6" w:space="0"/>
              <w:bottom w:val="single" w:color="auto" w:sz="6" w:space="0"/>
              <w:right w:val="single" w:color="auto" w:sz="6" w:space="0"/>
            </w:tcBorders>
            <w:vAlign w:val="center"/>
          </w:tcPr>
          <w:p>
            <w:pPr>
              <w:shd w:val="clear" w:color="auto" w:fill="FFFFFF"/>
              <w:rPr>
                <w:color w:val="auto"/>
                <w:highlight w:val="none"/>
              </w:rPr>
            </w:pPr>
            <w:r>
              <w:rPr>
                <w:rFonts w:hint="eastAsia"/>
                <w:color w:val="auto"/>
                <w:highlight w:val="none"/>
              </w:rPr>
              <w:t>投标人提出问题的截止时间</w:t>
            </w:r>
          </w:p>
        </w:tc>
        <w:tc>
          <w:tcPr>
            <w:tcW w:w="6098"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12" w:lineRule="auto"/>
              <w:rPr>
                <w:color w:val="auto"/>
                <w:highlight w:val="none"/>
              </w:rPr>
            </w:pPr>
            <w:r>
              <w:rPr>
                <w:rFonts w:hint="eastAsia" w:ascii="宋体" w:hAnsi="宋体"/>
                <w:color w:val="auto"/>
                <w:highlight w:val="none"/>
                <w:u w:val="single"/>
              </w:rPr>
              <w:t>2021</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r>
              <w:rPr>
                <w:rFonts w:hint="eastAsia" w:ascii="宋体" w:hAnsi="宋体"/>
                <w:color w:val="auto"/>
                <w:highlight w:val="none"/>
                <w:u w:val="single"/>
              </w:rPr>
              <w:t xml:space="preserve">   </w:t>
            </w:r>
            <w:r>
              <w:rPr>
                <w:rFonts w:hint="eastAsia" w:ascii="宋体" w:hAnsi="宋体"/>
                <w:color w:val="auto"/>
                <w:highlight w:val="none"/>
              </w:rPr>
              <w:t>时</w:t>
            </w:r>
            <w:r>
              <w:rPr>
                <w:rFonts w:hint="eastAsia" w:ascii="宋体" w:hAnsi="宋体"/>
                <w:color w:val="auto"/>
                <w:highlight w:val="none"/>
                <w:u w:val="single"/>
              </w:rPr>
              <w:t xml:space="preserve">   </w:t>
            </w:r>
            <w:r>
              <w:rPr>
                <w:rFonts w:hint="eastAsia" w:ascii="宋体" w:hAnsi="宋体"/>
                <w:color w:val="auto"/>
                <w:highlight w:val="none"/>
              </w:rPr>
              <w:t>分</w:t>
            </w:r>
          </w:p>
        </w:tc>
      </w:tr>
      <w:tr>
        <w:tblPrEx>
          <w:tblCellMar>
            <w:top w:w="0" w:type="dxa"/>
            <w:left w:w="108" w:type="dxa"/>
            <w:bottom w:w="0" w:type="dxa"/>
            <w:right w:w="108" w:type="dxa"/>
          </w:tblCellMar>
        </w:tblPrEx>
        <w:trPr>
          <w:trHeight w:val="471" w:hRule="atLeast"/>
        </w:trPr>
        <w:tc>
          <w:tcPr>
            <w:tcW w:w="906" w:type="dxa"/>
            <w:tcBorders>
              <w:top w:val="single" w:color="auto" w:sz="6" w:space="0"/>
              <w:left w:val="single" w:color="auto" w:sz="4" w:space="0"/>
              <w:bottom w:val="single" w:color="auto" w:sz="6" w:space="0"/>
              <w:right w:val="single" w:color="auto" w:sz="6" w:space="0"/>
            </w:tcBorders>
            <w:vAlign w:val="center"/>
          </w:tcPr>
          <w:p>
            <w:pPr>
              <w:shd w:val="clear" w:color="auto" w:fill="FFFFFF"/>
              <w:jc w:val="center"/>
              <w:rPr>
                <w:color w:val="auto"/>
                <w:highlight w:val="none"/>
              </w:rPr>
            </w:pPr>
            <w:r>
              <w:rPr>
                <w:rFonts w:hint="eastAsia"/>
                <w:color w:val="auto"/>
                <w:highlight w:val="none"/>
              </w:rPr>
              <w:t>1.10.3</w:t>
            </w:r>
          </w:p>
        </w:tc>
        <w:tc>
          <w:tcPr>
            <w:tcW w:w="2352" w:type="dxa"/>
            <w:tcBorders>
              <w:top w:val="single" w:color="auto" w:sz="6" w:space="0"/>
              <w:left w:val="single" w:color="auto" w:sz="6" w:space="0"/>
              <w:bottom w:val="single" w:color="auto" w:sz="6" w:space="0"/>
              <w:right w:val="single" w:color="auto" w:sz="6" w:space="0"/>
            </w:tcBorders>
            <w:vAlign w:val="center"/>
          </w:tcPr>
          <w:p>
            <w:pPr>
              <w:shd w:val="clear" w:color="auto" w:fill="FFFFFF"/>
              <w:rPr>
                <w:color w:val="auto"/>
                <w:highlight w:val="none"/>
              </w:rPr>
            </w:pPr>
            <w:r>
              <w:rPr>
                <w:rFonts w:hint="eastAsia" w:ascii="宋体" w:hAnsi="宋体"/>
                <w:color w:val="auto"/>
                <w:kern w:val="16"/>
                <w:szCs w:val="21"/>
                <w:highlight w:val="none"/>
              </w:rPr>
              <w:t>招标人书面答疑时间</w:t>
            </w:r>
          </w:p>
        </w:tc>
        <w:tc>
          <w:tcPr>
            <w:tcW w:w="6098"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12" w:lineRule="auto"/>
              <w:rPr>
                <w:color w:val="auto"/>
                <w:highlight w:val="none"/>
              </w:rPr>
            </w:pPr>
            <w:r>
              <w:rPr>
                <w:rFonts w:hint="eastAsia" w:ascii="宋体" w:hAnsi="宋体"/>
                <w:color w:val="auto"/>
                <w:highlight w:val="none"/>
                <w:u w:val="single"/>
              </w:rPr>
              <w:t>2021</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tc>
      </w:tr>
      <w:tr>
        <w:tblPrEx>
          <w:tblCellMar>
            <w:top w:w="0" w:type="dxa"/>
            <w:left w:w="108" w:type="dxa"/>
            <w:bottom w:w="0" w:type="dxa"/>
            <w:right w:w="108" w:type="dxa"/>
          </w:tblCellMar>
        </w:tblPrEx>
        <w:trPr>
          <w:trHeight w:val="1798" w:hRule="atLeast"/>
        </w:trPr>
        <w:tc>
          <w:tcPr>
            <w:tcW w:w="906" w:type="dxa"/>
            <w:tcBorders>
              <w:top w:val="single" w:color="auto" w:sz="6" w:space="0"/>
              <w:left w:val="single" w:color="auto" w:sz="4" w:space="0"/>
              <w:bottom w:val="single" w:color="auto" w:sz="6" w:space="0"/>
              <w:right w:val="single" w:color="auto" w:sz="6" w:space="0"/>
            </w:tcBorders>
            <w:vAlign w:val="center"/>
          </w:tcPr>
          <w:p>
            <w:pPr>
              <w:shd w:val="clear" w:color="auto" w:fill="FFFFFF"/>
              <w:jc w:val="center"/>
              <w:rPr>
                <w:color w:val="auto"/>
                <w:highlight w:val="none"/>
              </w:rPr>
            </w:pPr>
            <w:r>
              <w:rPr>
                <w:rFonts w:hint="eastAsia"/>
                <w:color w:val="auto"/>
                <w:highlight w:val="none"/>
              </w:rPr>
              <w:t>1.11</w:t>
            </w:r>
          </w:p>
        </w:tc>
        <w:tc>
          <w:tcPr>
            <w:tcW w:w="2352" w:type="dxa"/>
            <w:tcBorders>
              <w:top w:val="single" w:color="auto" w:sz="6" w:space="0"/>
              <w:left w:val="single" w:color="auto" w:sz="6" w:space="0"/>
              <w:bottom w:val="single" w:color="auto" w:sz="6" w:space="0"/>
              <w:right w:val="single" w:color="auto" w:sz="6" w:space="0"/>
            </w:tcBorders>
            <w:vAlign w:val="center"/>
          </w:tcPr>
          <w:p>
            <w:pPr>
              <w:shd w:val="clear" w:color="auto" w:fill="FFFFFF"/>
              <w:rPr>
                <w:color w:val="auto"/>
                <w:highlight w:val="none"/>
              </w:rPr>
            </w:pPr>
            <w:r>
              <w:rPr>
                <w:rFonts w:hint="eastAsia"/>
                <w:color w:val="auto"/>
                <w:highlight w:val="none"/>
              </w:rPr>
              <w:t>分  包</w:t>
            </w:r>
          </w:p>
        </w:tc>
        <w:tc>
          <w:tcPr>
            <w:tcW w:w="6098" w:type="dxa"/>
            <w:tcBorders>
              <w:top w:val="single" w:color="auto" w:sz="6" w:space="0"/>
              <w:left w:val="single" w:color="auto" w:sz="6" w:space="0"/>
              <w:bottom w:val="single" w:color="auto" w:sz="6" w:space="0"/>
              <w:right w:val="single" w:color="auto" w:sz="4" w:space="0"/>
            </w:tcBorders>
            <w:vAlign w:val="center"/>
          </w:tcPr>
          <w:p>
            <w:pPr>
              <w:spacing w:line="312" w:lineRule="auto"/>
              <w:rPr>
                <w:rFonts w:hint="eastAsia" w:ascii="宋体" w:hAnsi="宋体"/>
                <w:color w:val="auto"/>
                <w:highlight w:val="none"/>
              </w:rPr>
            </w:pPr>
            <w:r>
              <w:rPr>
                <w:rFonts w:hint="eastAsia" w:ascii="宋体" w:hAnsi="宋体"/>
                <w:color w:val="auto"/>
                <w:highlight w:val="none"/>
                <w:bdr w:val="single" w:color="auto" w:sz="4" w:space="0"/>
              </w:rPr>
              <w:t>√</w:t>
            </w:r>
            <w:r>
              <w:rPr>
                <w:rFonts w:hint="eastAsia" w:ascii="宋体" w:hAnsi="宋体"/>
                <w:color w:val="auto"/>
                <w:highlight w:val="none"/>
              </w:rPr>
              <w:t>不允许</w:t>
            </w:r>
          </w:p>
          <w:p>
            <w:pPr>
              <w:spacing w:line="312" w:lineRule="auto"/>
              <w:rPr>
                <w:rFonts w:hint="eastAsia" w:ascii="宋体" w:hAnsi="宋体"/>
                <w:color w:val="auto"/>
                <w:highlight w:val="none"/>
              </w:rPr>
            </w:pPr>
            <w:r>
              <w:rPr>
                <w:rFonts w:hint="eastAsia" w:ascii="宋体" w:hAnsi="宋体"/>
                <w:color w:val="auto"/>
                <w:highlight w:val="none"/>
              </w:rPr>
              <w:t>□允许，分包内容要求：</w:t>
            </w:r>
          </w:p>
          <w:p>
            <w:pPr>
              <w:spacing w:line="312" w:lineRule="auto"/>
              <w:rPr>
                <w:rFonts w:hint="eastAsia" w:ascii="宋体" w:hAnsi="宋体"/>
                <w:color w:val="auto"/>
                <w:highlight w:val="none"/>
              </w:rPr>
            </w:pPr>
            <w:r>
              <w:rPr>
                <w:rFonts w:hint="eastAsia" w:ascii="宋体" w:hAnsi="宋体"/>
                <w:color w:val="auto"/>
                <w:highlight w:val="none"/>
              </w:rPr>
              <w:t xml:space="preserve">        分包金额要求：</w:t>
            </w:r>
          </w:p>
          <w:p>
            <w:pPr>
              <w:spacing w:line="312" w:lineRule="auto"/>
              <w:rPr>
                <w:rFonts w:hint="eastAsia" w:ascii="宋体" w:hAnsi="宋体"/>
                <w:color w:val="auto"/>
                <w:highlight w:val="none"/>
              </w:rPr>
            </w:pPr>
            <w:r>
              <w:rPr>
                <w:rFonts w:hint="eastAsia" w:ascii="宋体" w:hAnsi="宋体"/>
                <w:color w:val="auto"/>
                <w:highlight w:val="none"/>
              </w:rPr>
              <w:t xml:space="preserve">        接受分包的第三人资质要求：</w:t>
            </w:r>
          </w:p>
          <w:p>
            <w:pPr>
              <w:spacing w:line="312" w:lineRule="auto"/>
              <w:ind w:firstLine="420" w:firstLineChars="200"/>
              <w:rPr>
                <w:rFonts w:hint="eastAsia" w:ascii="宋体" w:hAnsi="宋体"/>
                <w:color w:val="auto"/>
                <w:highlight w:val="none"/>
              </w:rPr>
            </w:pPr>
            <w:r>
              <w:rPr>
                <w:rFonts w:hint="eastAsia" w:ascii="宋体" w:hAnsi="宋体"/>
                <w:color w:val="auto"/>
                <w:highlight w:val="none"/>
              </w:rPr>
              <w:t>若按《房屋建筑和市政基础设施工程施工分包管理办法》（建设部令124号）规定发生专业分包时，总包单位可按分包的专业工程造价的</w:t>
            </w:r>
            <w:r>
              <w:rPr>
                <w:rFonts w:hint="eastAsia" w:ascii="宋体" w:hAnsi="宋体"/>
                <w:color w:val="auto"/>
                <w:highlight w:val="none"/>
                <w:u w:val="single"/>
              </w:rPr>
              <w:t xml:space="preserve">    </w:t>
            </w:r>
            <w:r>
              <w:rPr>
                <w:rFonts w:hint="eastAsia" w:ascii="宋体" w:hAnsi="宋体"/>
                <w:color w:val="auto"/>
                <w:highlight w:val="none"/>
              </w:rPr>
              <w:t>%向发包方计取专业发包工程管理费。</w:t>
            </w:r>
          </w:p>
          <w:p>
            <w:pPr>
              <w:shd w:val="clear" w:color="auto" w:fill="FFFFFF"/>
              <w:spacing w:line="312" w:lineRule="auto"/>
              <w:ind w:firstLine="420" w:firstLineChars="200"/>
              <w:rPr>
                <w:color w:val="auto"/>
                <w:highlight w:val="none"/>
              </w:rPr>
            </w:pPr>
          </w:p>
        </w:tc>
      </w:tr>
      <w:tr>
        <w:tblPrEx>
          <w:tblCellMar>
            <w:top w:w="0" w:type="dxa"/>
            <w:left w:w="108" w:type="dxa"/>
            <w:bottom w:w="0" w:type="dxa"/>
            <w:right w:w="108" w:type="dxa"/>
          </w:tblCellMar>
        </w:tblPrEx>
        <w:trPr>
          <w:trHeight w:val="1798" w:hRule="atLeast"/>
        </w:trPr>
        <w:tc>
          <w:tcPr>
            <w:tcW w:w="906" w:type="dxa"/>
            <w:tcBorders>
              <w:top w:val="single" w:color="auto" w:sz="6" w:space="0"/>
              <w:left w:val="single" w:color="auto" w:sz="4" w:space="0"/>
              <w:bottom w:val="single" w:color="auto" w:sz="6" w:space="0"/>
              <w:right w:val="single" w:color="auto" w:sz="6" w:space="0"/>
            </w:tcBorders>
            <w:vAlign w:val="center"/>
          </w:tcPr>
          <w:p>
            <w:pPr>
              <w:shd w:val="clear" w:color="auto" w:fill="FFFFFF"/>
              <w:jc w:val="center"/>
              <w:rPr>
                <w:color w:val="auto"/>
                <w:highlight w:val="none"/>
              </w:rPr>
            </w:pPr>
            <w:r>
              <w:rPr>
                <w:rFonts w:hint="eastAsia"/>
                <w:color w:val="auto"/>
                <w:highlight w:val="none"/>
              </w:rPr>
              <w:t>1.12</w:t>
            </w:r>
          </w:p>
        </w:tc>
        <w:tc>
          <w:tcPr>
            <w:tcW w:w="2352" w:type="dxa"/>
            <w:tcBorders>
              <w:top w:val="single" w:color="auto" w:sz="6" w:space="0"/>
              <w:left w:val="single" w:color="auto" w:sz="6" w:space="0"/>
              <w:bottom w:val="single" w:color="auto" w:sz="6" w:space="0"/>
              <w:right w:val="single" w:color="auto" w:sz="6" w:space="0"/>
            </w:tcBorders>
            <w:vAlign w:val="center"/>
          </w:tcPr>
          <w:p>
            <w:pPr>
              <w:shd w:val="clear" w:color="auto" w:fill="FFFFFF"/>
              <w:rPr>
                <w:color w:val="auto"/>
                <w:highlight w:val="none"/>
              </w:rPr>
            </w:pPr>
            <w:r>
              <w:rPr>
                <w:rFonts w:hint="eastAsia"/>
                <w:color w:val="auto"/>
                <w:highlight w:val="none"/>
              </w:rPr>
              <w:t>偏  离</w:t>
            </w:r>
          </w:p>
        </w:tc>
        <w:tc>
          <w:tcPr>
            <w:tcW w:w="6098"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288" w:lineRule="auto"/>
              <w:rPr>
                <w:color w:val="auto"/>
                <w:highlight w:val="none"/>
              </w:rPr>
            </w:pPr>
          </w:p>
          <w:p>
            <w:pPr>
              <w:shd w:val="clear" w:color="auto" w:fill="FFFFFF"/>
              <w:spacing w:line="288" w:lineRule="auto"/>
              <w:rPr>
                <w:color w:val="auto"/>
                <w:highlight w:val="none"/>
              </w:rPr>
            </w:pPr>
            <w:r>
              <w:rPr>
                <w:rFonts w:hint="eastAsia"/>
                <w:color w:val="auto"/>
                <w:highlight w:val="none"/>
                <w:bdr w:val="single" w:color="auto" w:sz="4" w:space="0"/>
              </w:rPr>
              <w:t>√</w:t>
            </w:r>
            <w:r>
              <w:rPr>
                <w:rFonts w:hint="eastAsia"/>
                <w:color w:val="auto"/>
                <w:highlight w:val="none"/>
              </w:rPr>
              <w:t>不允许</w:t>
            </w:r>
          </w:p>
          <w:p>
            <w:pPr>
              <w:shd w:val="clear" w:color="auto" w:fill="FFFFFF"/>
              <w:spacing w:line="288" w:lineRule="auto"/>
              <w:rPr>
                <w:color w:val="auto"/>
                <w:highlight w:val="none"/>
              </w:rPr>
            </w:pPr>
            <w:r>
              <w:rPr>
                <w:rFonts w:hint="eastAsia"/>
                <w:color w:val="auto"/>
                <w:highlight w:val="none"/>
              </w:rPr>
              <w:t>□允许，可偏离的项目和范围见第七章</w:t>
            </w:r>
          </w:p>
          <w:p>
            <w:pPr>
              <w:shd w:val="clear" w:color="auto" w:fill="FFFFFF"/>
              <w:spacing w:line="288" w:lineRule="auto"/>
              <w:rPr>
                <w:color w:val="auto"/>
                <w:highlight w:val="none"/>
              </w:rPr>
            </w:pPr>
            <w:r>
              <w:rPr>
                <w:rFonts w:hint="eastAsia"/>
                <w:color w:val="auto"/>
                <w:highlight w:val="none"/>
              </w:rPr>
              <w:t xml:space="preserve">       “技术标准和要求”：</w:t>
            </w:r>
          </w:p>
          <w:p>
            <w:pPr>
              <w:shd w:val="clear" w:color="auto" w:fill="FFFFFF"/>
              <w:spacing w:line="288" w:lineRule="auto"/>
              <w:rPr>
                <w:color w:val="auto"/>
                <w:highlight w:val="none"/>
              </w:rPr>
            </w:pPr>
            <w:r>
              <w:rPr>
                <w:rFonts w:hint="eastAsia"/>
                <w:color w:val="auto"/>
                <w:highlight w:val="none"/>
              </w:rPr>
              <w:t xml:space="preserve">        允许偏离最高项数：</w:t>
            </w:r>
            <w:r>
              <w:rPr>
                <w:rFonts w:hint="eastAsia" w:ascii="宋体" w:hAnsi="宋体"/>
                <w:color w:val="auto"/>
                <w:highlight w:val="none"/>
                <w:u w:val="single"/>
              </w:rPr>
              <w:t xml:space="preserve">      </w:t>
            </w:r>
          </w:p>
          <w:p>
            <w:pPr>
              <w:shd w:val="clear" w:color="auto" w:fill="FFFFFF"/>
              <w:spacing w:line="288" w:lineRule="auto"/>
              <w:rPr>
                <w:color w:val="auto"/>
                <w:highlight w:val="none"/>
                <w:u w:val="single"/>
              </w:rPr>
            </w:pPr>
            <w:r>
              <w:rPr>
                <w:rFonts w:hint="eastAsia"/>
                <w:color w:val="auto"/>
                <w:highlight w:val="none"/>
              </w:rPr>
              <w:t xml:space="preserve">        偏差调整方法：</w:t>
            </w:r>
            <w:r>
              <w:rPr>
                <w:rFonts w:hint="eastAsia" w:ascii="宋体" w:hAnsi="宋体"/>
                <w:color w:val="auto"/>
                <w:highlight w:val="none"/>
                <w:u w:val="single"/>
              </w:rPr>
              <w:t xml:space="preserve">            </w:t>
            </w:r>
          </w:p>
          <w:p>
            <w:pPr>
              <w:shd w:val="clear" w:color="auto" w:fill="FFFFFF"/>
              <w:spacing w:line="288" w:lineRule="auto"/>
              <w:rPr>
                <w:color w:val="auto"/>
                <w:highlight w:val="none"/>
              </w:rPr>
            </w:pPr>
          </w:p>
        </w:tc>
      </w:tr>
      <w:tr>
        <w:tblPrEx>
          <w:tblCellMar>
            <w:top w:w="0" w:type="dxa"/>
            <w:left w:w="108" w:type="dxa"/>
            <w:bottom w:w="0" w:type="dxa"/>
            <w:right w:w="108" w:type="dxa"/>
          </w:tblCellMar>
        </w:tblPrEx>
        <w:trPr>
          <w:trHeight w:val="454" w:hRule="atLeast"/>
        </w:trPr>
        <w:tc>
          <w:tcPr>
            <w:tcW w:w="906" w:type="dxa"/>
            <w:tcBorders>
              <w:top w:val="single" w:color="auto" w:sz="4" w:space="0"/>
              <w:left w:val="single" w:color="auto" w:sz="4" w:space="0"/>
              <w:bottom w:val="single" w:color="auto" w:sz="6" w:space="0"/>
              <w:right w:val="single" w:color="auto" w:sz="6" w:space="0"/>
            </w:tcBorders>
            <w:vAlign w:val="center"/>
          </w:tcPr>
          <w:p>
            <w:pPr>
              <w:shd w:val="clear" w:color="auto" w:fill="FFFFFF"/>
              <w:jc w:val="center"/>
              <w:rPr>
                <w:color w:val="auto"/>
                <w:highlight w:val="none"/>
              </w:rPr>
            </w:pPr>
            <w:r>
              <w:rPr>
                <w:rFonts w:hint="eastAsia"/>
                <w:color w:val="auto"/>
                <w:highlight w:val="none"/>
              </w:rPr>
              <w:t>2.1</w:t>
            </w:r>
          </w:p>
        </w:tc>
        <w:tc>
          <w:tcPr>
            <w:tcW w:w="2352" w:type="dxa"/>
            <w:tcBorders>
              <w:top w:val="single" w:color="auto" w:sz="4" w:space="0"/>
              <w:left w:val="single" w:color="auto" w:sz="6" w:space="0"/>
              <w:bottom w:val="single" w:color="auto" w:sz="6" w:space="0"/>
              <w:right w:val="single" w:color="auto" w:sz="6" w:space="0"/>
            </w:tcBorders>
            <w:vAlign w:val="center"/>
          </w:tcPr>
          <w:p>
            <w:pPr>
              <w:shd w:val="clear" w:color="auto" w:fill="FFFFFF"/>
              <w:rPr>
                <w:color w:val="auto"/>
                <w:highlight w:val="none"/>
              </w:rPr>
            </w:pPr>
            <w:r>
              <w:rPr>
                <w:rFonts w:hint="eastAsia"/>
                <w:color w:val="auto"/>
                <w:highlight w:val="none"/>
              </w:rPr>
              <w:t>构成招标文件的其他材料</w:t>
            </w:r>
          </w:p>
        </w:tc>
        <w:tc>
          <w:tcPr>
            <w:tcW w:w="6098" w:type="dxa"/>
            <w:tcBorders>
              <w:top w:val="single" w:color="auto" w:sz="4" w:space="0"/>
              <w:left w:val="single" w:color="auto" w:sz="6" w:space="0"/>
              <w:bottom w:val="single" w:color="auto" w:sz="6" w:space="0"/>
              <w:right w:val="single" w:color="auto" w:sz="4" w:space="0"/>
            </w:tcBorders>
            <w:vAlign w:val="center"/>
          </w:tcPr>
          <w:p>
            <w:pPr>
              <w:shd w:val="clear" w:color="auto" w:fill="FFFFFF"/>
              <w:spacing w:line="288" w:lineRule="auto"/>
              <w:rPr>
                <w:color w:val="auto"/>
                <w:highlight w:val="none"/>
              </w:rPr>
            </w:pPr>
          </w:p>
        </w:tc>
      </w:tr>
      <w:tr>
        <w:tblPrEx>
          <w:tblCellMar>
            <w:top w:w="0" w:type="dxa"/>
            <w:left w:w="108" w:type="dxa"/>
            <w:bottom w:w="0" w:type="dxa"/>
            <w:right w:w="108" w:type="dxa"/>
          </w:tblCellMar>
        </w:tblPrEx>
        <w:trPr>
          <w:trHeight w:val="454" w:hRule="atLeast"/>
        </w:trPr>
        <w:tc>
          <w:tcPr>
            <w:tcW w:w="906" w:type="dxa"/>
            <w:tcBorders>
              <w:top w:val="single" w:color="auto" w:sz="6" w:space="0"/>
              <w:left w:val="single" w:color="auto" w:sz="4" w:space="0"/>
              <w:bottom w:val="single" w:color="auto" w:sz="6" w:space="0"/>
              <w:right w:val="single" w:color="auto" w:sz="6" w:space="0"/>
            </w:tcBorders>
            <w:vAlign w:val="center"/>
          </w:tcPr>
          <w:p>
            <w:pPr>
              <w:shd w:val="clear" w:color="auto" w:fill="FFFFFF"/>
              <w:jc w:val="center"/>
              <w:rPr>
                <w:color w:val="auto"/>
                <w:highlight w:val="none"/>
              </w:rPr>
            </w:pPr>
            <w:r>
              <w:rPr>
                <w:rFonts w:hint="eastAsia"/>
                <w:color w:val="auto"/>
                <w:highlight w:val="none"/>
              </w:rPr>
              <w:t>2.2.2</w:t>
            </w:r>
          </w:p>
        </w:tc>
        <w:tc>
          <w:tcPr>
            <w:tcW w:w="2352" w:type="dxa"/>
            <w:tcBorders>
              <w:top w:val="single" w:color="auto" w:sz="6" w:space="0"/>
              <w:left w:val="single" w:color="auto" w:sz="6" w:space="0"/>
              <w:bottom w:val="single" w:color="auto" w:sz="6" w:space="0"/>
              <w:right w:val="single" w:color="auto" w:sz="6" w:space="0"/>
            </w:tcBorders>
            <w:vAlign w:val="center"/>
          </w:tcPr>
          <w:p>
            <w:pPr>
              <w:shd w:val="clear" w:color="auto" w:fill="FFFFFF"/>
              <w:rPr>
                <w:color w:val="auto"/>
                <w:highlight w:val="none"/>
              </w:rPr>
            </w:pPr>
            <w:r>
              <w:rPr>
                <w:rFonts w:hint="eastAsia"/>
                <w:color w:val="auto"/>
                <w:highlight w:val="none"/>
              </w:rPr>
              <w:t>投标截止时间</w:t>
            </w:r>
          </w:p>
        </w:tc>
        <w:tc>
          <w:tcPr>
            <w:tcW w:w="6098"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288" w:lineRule="auto"/>
              <w:rPr>
                <w:color w:val="auto"/>
                <w:highlight w:val="none"/>
              </w:rPr>
            </w:pPr>
            <w:r>
              <w:rPr>
                <w:rFonts w:hint="eastAsia" w:ascii="宋体" w:hAnsi="宋体"/>
                <w:color w:val="auto"/>
                <w:highlight w:val="none"/>
                <w:u w:val="single"/>
              </w:rPr>
              <w:t>2021</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r>
              <w:rPr>
                <w:rFonts w:hint="eastAsia" w:ascii="宋体" w:hAnsi="宋体"/>
                <w:color w:val="auto"/>
                <w:highlight w:val="none"/>
                <w:u w:val="single"/>
              </w:rPr>
              <w:t xml:space="preserve">    </w:t>
            </w:r>
            <w:r>
              <w:rPr>
                <w:rFonts w:hint="eastAsia" w:ascii="宋体" w:hAnsi="宋体"/>
                <w:color w:val="auto"/>
                <w:highlight w:val="none"/>
              </w:rPr>
              <w:t>时</w:t>
            </w:r>
            <w:r>
              <w:rPr>
                <w:rFonts w:hint="eastAsia" w:ascii="宋体" w:hAnsi="宋体"/>
                <w:color w:val="auto"/>
                <w:highlight w:val="none"/>
                <w:u w:val="single"/>
              </w:rPr>
              <w:t xml:space="preserve">    </w:t>
            </w:r>
            <w:r>
              <w:rPr>
                <w:rFonts w:hint="eastAsia" w:ascii="宋体" w:hAnsi="宋体"/>
                <w:color w:val="auto"/>
                <w:highlight w:val="none"/>
              </w:rPr>
              <w:t>分</w:t>
            </w:r>
          </w:p>
        </w:tc>
      </w:tr>
      <w:tr>
        <w:tblPrEx>
          <w:tblCellMar>
            <w:top w:w="0" w:type="dxa"/>
            <w:left w:w="108" w:type="dxa"/>
            <w:bottom w:w="0" w:type="dxa"/>
            <w:right w:w="108" w:type="dxa"/>
          </w:tblCellMar>
        </w:tblPrEx>
        <w:trPr>
          <w:trHeight w:val="454" w:hRule="atLeast"/>
        </w:trPr>
        <w:tc>
          <w:tcPr>
            <w:tcW w:w="906" w:type="dxa"/>
            <w:tcBorders>
              <w:top w:val="single" w:color="auto" w:sz="6" w:space="0"/>
              <w:left w:val="single" w:color="auto" w:sz="4" w:space="0"/>
              <w:bottom w:val="single" w:color="auto" w:sz="6" w:space="0"/>
              <w:right w:val="single" w:color="auto" w:sz="6" w:space="0"/>
            </w:tcBorders>
            <w:vAlign w:val="center"/>
          </w:tcPr>
          <w:p>
            <w:pPr>
              <w:shd w:val="clear" w:color="auto" w:fill="FFFFFF"/>
              <w:jc w:val="center"/>
              <w:rPr>
                <w:color w:val="auto"/>
                <w:highlight w:val="none"/>
              </w:rPr>
            </w:pPr>
            <w:r>
              <w:rPr>
                <w:rFonts w:hint="eastAsia"/>
                <w:color w:val="auto"/>
                <w:highlight w:val="none"/>
              </w:rPr>
              <w:t>2.2.3</w:t>
            </w:r>
          </w:p>
        </w:tc>
        <w:tc>
          <w:tcPr>
            <w:tcW w:w="2352" w:type="dxa"/>
            <w:tcBorders>
              <w:top w:val="single" w:color="auto" w:sz="6" w:space="0"/>
              <w:left w:val="single" w:color="auto" w:sz="6" w:space="0"/>
              <w:bottom w:val="single" w:color="auto" w:sz="6" w:space="0"/>
              <w:right w:val="single" w:color="auto" w:sz="6" w:space="0"/>
            </w:tcBorders>
            <w:vAlign w:val="center"/>
          </w:tcPr>
          <w:p>
            <w:pPr>
              <w:shd w:val="clear" w:color="auto" w:fill="FFFFFF"/>
              <w:rPr>
                <w:color w:val="auto"/>
                <w:highlight w:val="none"/>
              </w:rPr>
            </w:pPr>
            <w:r>
              <w:rPr>
                <w:rFonts w:hint="eastAsia"/>
                <w:color w:val="auto"/>
                <w:highlight w:val="none"/>
              </w:rPr>
              <w:t>投标人确认收到招标文件澄清的时间</w:t>
            </w:r>
          </w:p>
        </w:tc>
        <w:tc>
          <w:tcPr>
            <w:tcW w:w="6098"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288" w:lineRule="auto"/>
              <w:rPr>
                <w:color w:val="auto"/>
                <w:highlight w:val="none"/>
                <w:u w:val="single"/>
              </w:rPr>
            </w:pPr>
            <w:r>
              <w:rPr>
                <w:rFonts w:hint="eastAsia"/>
                <w:color w:val="auto"/>
                <w:highlight w:val="none"/>
              </w:rPr>
              <w:t>在收到相应澄清文件后</w:t>
            </w:r>
            <w:r>
              <w:rPr>
                <w:rFonts w:hint="eastAsia"/>
                <w:color w:val="auto"/>
                <w:highlight w:val="none"/>
                <w:u w:val="single"/>
              </w:rPr>
              <w:t xml:space="preserve">  3  </w:t>
            </w:r>
            <w:r>
              <w:rPr>
                <w:rFonts w:hint="eastAsia"/>
                <w:color w:val="auto"/>
                <w:highlight w:val="none"/>
              </w:rPr>
              <w:t>小时内</w:t>
            </w:r>
          </w:p>
        </w:tc>
      </w:tr>
      <w:tr>
        <w:tblPrEx>
          <w:tblCellMar>
            <w:top w:w="0" w:type="dxa"/>
            <w:left w:w="108" w:type="dxa"/>
            <w:bottom w:w="0" w:type="dxa"/>
            <w:right w:w="108" w:type="dxa"/>
          </w:tblCellMar>
        </w:tblPrEx>
        <w:trPr>
          <w:trHeight w:val="454" w:hRule="atLeast"/>
        </w:trPr>
        <w:tc>
          <w:tcPr>
            <w:tcW w:w="906" w:type="dxa"/>
            <w:tcBorders>
              <w:top w:val="single" w:color="auto" w:sz="6" w:space="0"/>
              <w:left w:val="single" w:color="auto" w:sz="4" w:space="0"/>
              <w:bottom w:val="single" w:color="auto" w:sz="6" w:space="0"/>
              <w:right w:val="single" w:color="auto" w:sz="6" w:space="0"/>
            </w:tcBorders>
            <w:vAlign w:val="center"/>
          </w:tcPr>
          <w:p>
            <w:pPr>
              <w:shd w:val="clear" w:color="auto" w:fill="FFFFFF"/>
              <w:jc w:val="center"/>
              <w:rPr>
                <w:color w:val="auto"/>
                <w:highlight w:val="none"/>
              </w:rPr>
            </w:pPr>
            <w:r>
              <w:rPr>
                <w:rFonts w:hint="eastAsia"/>
                <w:color w:val="auto"/>
                <w:highlight w:val="none"/>
              </w:rPr>
              <w:t>2.3.2</w:t>
            </w:r>
          </w:p>
        </w:tc>
        <w:tc>
          <w:tcPr>
            <w:tcW w:w="2352" w:type="dxa"/>
            <w:tcBorders>
              <w:top w:val="single" w:color="auto" w:sz="6" w:space="0"/>
              <w:left w:val="single" w:color="auto" w:sz="6" w:space="0"/>
              <w:bottom w:val="single" w:color="auto" w:sz="6" w:space="0"/>
              <w:right w:val="single" w:color="auto" w:sz="6" w:space="0"/>
            </w:tcBorders>
            <w:vAlign w:val="center"/>
          </w:tcPr>
          <w:p>
            <w:pPr>
              <w:shd w:val="clear" w:color="auto" w:fill="FFFFFF"/>
              <w:rPr>
                <w:color w:val="auto"/>
                <w:highlight w:val="none"/>
              </w:rPr>
            </w:pPr>
            <w:r>
              <w:rPr>
                <w:rFonts w:hint="eastAsia"/>
                <w:color w:val="auto"/>
                <w:highlight w:val="none"/>
              </w:rPr>
              <w:t>投标人确认收到招标文件修改的时间</w:t>
            </w:r>
          </w:p>
        </w:tc>
        <w:tc>
          <w:tcPr>
            <w:tcW w:w="6098"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288" w:lineRule="auto"/>
              <w:rPr>
                <w:color w:val="auto"/>
                <w:highlight w:val="none"/>
              </w:rPr>
            </w:pPr>
            <w:r>
              <w:rPr>
                <w:rFonts w:hint="eastAsia"/>
                <w:color w:val="auto"/>
                <w:highlight w:val="none"/>
              </w:rPr>
              <w:t>在收到相应修改文件后</w:t>
            </w:r>
            <w:r>
              <w:rPr>
                <w:rFonts w:hint="eastAsia"/>
                <w:color w:val="auto"/>
                <w:highlight w:val="none"/>
                <w:u w:val="single"/>
              </w:rPr>
              <w:t xml:space="preserve">  3  </w:t>
            </w:r>
            <w:r>
              <w:rPr>
                <w:rFonts w:hint="eastAsia"/>
                <w:color w:val="auto"/>
                <w:highlight w:val="none"/>
              </w:rPr>
              <w:t>小时内</w:t>
            </w:r>
          </w:p>
        </w:tc>
      </w:tr>
      <w:tr>
        <w:tblPrEx>
          <w:tblCellMar>
            <w:top w:w="0" w:type="dxa"/>
            <w:left w:w="108" w:type="dxa"/>
            <w:bottom w:w="0" w:type="dxa"/>
            <w:right w:w="108" w:type="dxa"/>
          </w:tblCellMar>
        </w:tblPrEx>
        <w:trPr>
          <w:trHeight w:val="454" w:hRule="atLeast"/>
        </w:trPr>
        <w:tc>
          <w:tcPr>
            <w:tcW w:w="906" w:type="dxa"/>
            <w:tcBorders>
              <w:top w:val="single" w:color="auto" w:sz="6" w:space="0"/>
              <w:left w:val="single" w:color="auto" w:sz="4" w:space="0"/>
              <w:bottom w:val="single" w:color="auto" w:sz="6" w:space="0"/>
              <w:right w:val="single" w:color="auto" w:sz="6" w:space="0"/>
            </w:tcBorders>
            <w:vAlign w:val="center"/>
          </w:tcPr>
          <w:p>
            <w:pPr>
              <w:shd w:val="clear" w:color="auto" w:fill="FFFFFF"/>
              <w:jc w:val="center"/>
              <w:rPr>
                <w:color w:val="auto"/>
                <w:highlight w:val="none"/>
              </w:rPr>
            </w:pPr>
            <w:r>
              <w:rPr>
                <w:rFonts w:hint="eastAsia"/>
                <w:color w:val="auto"/>
                <w:highlight w:val="none"/>
              </w:rPr>
              <w:t>3.1.1</w:t>
            </w:r>
          </w:p>
        </w:tc>
        <w:tc>
          <w:tcPr>
            <w:tcW w:w="2352" w:type="dxa"/>
            <w:tcBorders>
              <w:top w:val="single" w:color="auto" w:sz="6" w:space="0"/>
              <w:left w:val="single" w:color="auto" w:sz="6" w:space="0"/>
              <w:bottom w:val="single" w:color="auto" w:sz="6" w:space="0"/>
              <w:right w:val="single" w:color="auto" w:sz="6" w:space="0"/>
            </w:tcBorders>
            <w:vAlign w:val="center"/>
          </w:tcPr>
          <w:p>
            <w:pPr>
              <w:shd w:val="clear" w:color="auto" w:fill="FFFFFF"/>
              <w:rPr>
                <w:color w:val="auto"/>
                <w:highlight w:val="none"/>
              </w:rPr>
            </w:pPr>
            <w:r>
              <w:rPr>
                <w:rFonts w:hint="eastAsia"/>
                <w:color w:val="auto"/>
                <w:highlight w:val="none"/>
              </w:rPr>
              <w:t>构成投标文件的其他材料</w:t>
            </w:r>
          </w:p>
        </w:tc>
        <w:tc>
          <w:tcPr>
            <w:tcW w:w="6098"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288" w:lineRule="auto"/>
              <w:rPr>
                <w:color w:val="auto"/>
                <w:highlight w:val="none"/>
              </w:rPr>
            </w:pPr>
          </w:p>
          <w:p>
            <w:pPr>
              <w:shd w:val="clear" w:color="auto" w:fill="FFFFFF"/>
              <w:spacing w:line="288" w:lineRule="auto"/>
              <w:rPr>
                <w:color w:val="auto"/>
                <w:highlight w:val="none"/>
              </w:rPr>
            </w:pPr>
          </w:p>
        </w:tc>
      </w:tr>
      <w:tr>
        <w:tblPrEx>
          <w:tblCellMar>
            <w:top w:w="0" w:type="dxa"/>
            <w:left w:w="108" w:type="dxa"/>
            <w:bottom w:w="0" w:type="dxa"/>
            <w:right w:w="108" w:type="dxa"/>
          </w:tblCellMar>
        </w:tblPrEx>
        <w:trPr>
          <w:trHeight w:val="454" w:hRule="atLeast"/>
        </w:trPr>
        <w:tc>
          <w:tcPr>
            <w:tcW w:w="906" w:type="dxa"/>
            <w:tcBorders>
              <w:top w:val="single" w:color="auto" w:sz="6" w:space="0"/>
              <w:left w:val="single" w:color="auto" w:sz="4" w:space="0"/>
              <w:bottom w:val="single" w:color="auto" w:sz="6" w:space="0"/>
              <w:right w:val="single" w:color="auto" w:sz="6" w:space="0"/>
            </w:tcBorders>
            <w:vAlign w:val="center"/>
          </w:tcPr>
          <w:p>
            <w:pPr>
              <w:shd w:val="clear" w:color="auto" w:fill="FFFFFF"/>
              <w:jc w:val="center"/>
              <w:rPr>
                <w:color w:val="auto"/>
                <w:highlight w:val="none"/>
              </w:rPr>
            </w:pPr>
            <w:r>
              <w:rPr>
                <w:rFonts w:hint="eastAsia"/>
                <w:color w:val="auto"/>
                <w:highlight w:val="none"/>
              </w:rPr>
              <w:t>3.3.1</w:t>
            </w:r>
          </w:p>
        </w:tc>
        <w:tc>
          <w:tcPr>
            <w:tcW w:w="2352" w:type="dxa"/>
            <w:tcBorders>
              <w:top w:val="single" w:color="auto" w:sz="6" w:space="0"/>
              <w:left w:val="single" w:color="auto" w:sz="6" w:space="0"/>
              <w:bottom w:val="single" w:color="auto" w:sz="6" w:space="0"/>
              <w:right w:val="single" w:color="auto" w:sz="6" w:space="0"/>
            </w:tcBorders>
            <w:vAlign w:val="center"/>
          </w:tcPr>
          <w:p>
            <w:pPr>
              <w:shd w:val="clear" w:color="auto" w:fill="FFFFFF"/>
              <w:rPr>
                <w:color w:val="auto"/>
                <w:highlight w:val="none"/>
              </w:rPr>
            </w:pPr>
            <w:r>
              <w:rPr>
                <w:rFonts w:hint="eastAsia"/>
                <w:color w:val="auto"/>
                <w:highlight w:val="none"/>
              </w:rPr>
              <w:t>投标有效期</w:t>
            </w:r>
          </w:p>
        </w:tc>
        <w:tc>
          <w:tcPr>
            <w:tcW w:w="6098"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288" w:lineRule="auto"/>
              <w:rPr>
                <w:color w:val="auto"/>
                <w:highlight w:val="none"/>
              </w:rPr>
            </w:pPr>
            <w:r>
              <w:rPr>
                <w:rFonts w:hint="eastAsia"/>
                <w:color w:val="auto"/>
                <w:highlight w:val="none"/>
              </w:rPr>
              <w:t>60/90/120，确定</w:t>
            </w:r>
            <w:r>
              <w:rPr>
                <w:rFonts w:hint="eastAsia"/>
                <w:color w:val="auto"/>
                <w:highlight w:val="none"/>
                <w:u w:val="single"/>
              </w:rPr>
              <w:t xml:space="preserve"> 90  </w:t>
            </w:r>
            <w:r>
              <w:rPr>
                <w:rFonts w:hint="eastAsia"/>
                <w:color w:val="auto"/>
                <w:highlight w:val="none"/>
              </w:rPr>
              <w:t>天</w:t>
            </w:r>
          </w:p>
        </w:tc>
      </w:tr>
      <w:tr>
        <w:tblPrEx>
          <w:tblCellMar>
            <w:top w:w="0" w:type="dxa"/>
            <w:left w:w="108" w:type="dxa"/>
            <w:bottom w:w="0" w:type="dxa"/>
            <w:right w:w="108" w:type="dxa"/>
          </w:tblCellMar>
        </w:tblPrEx>
        <w:trPr>
          <w:trHeight w:val="719" w:hRule="atLeast"/>
        </w:trPr>
        <w:tc>
          <w:tcPr>
            <w:tcW w:w="906" w:type="dxa"/>
            <w:tcBorders>
              <w:top w:val="single" w:color="auto" w:sz="6" w:space="0"/>
              <w:left w:val="single" w:color="auto" w:sz="4" w:space="0"/>
              <w:bottom w:val="single" w:color="auto" w:sz="6" w:space="0"/>
              <w:right w:val="single" w:color="auto" w:sz="6" w:space="0"/>
            </w:tcBorders>
            <w:vAlign w:val="center"/>
          </w:tcPr>
          <w:p>
            <w:pPr>
              <w:shd w:val="clear" w:color="auto" w:fill="FFFFFF"/>
              <w:jc w:val="center"/>
              <w:rPr>
                <w:color w:val="auto"/>
                <w:highlight w:val="none"/>
              </w:rPr>
            </w:pPr>
            <w:r>
              <w:rPr>
                <w:rFonts w:hint="eastAsia"/>
                <w:color w:val="auto"/>
                <w:highlight w:val="none"/>
              </w:rPr>
              <w:t>3.4.1</w:t>
            </w:r>
          </w:p>
        </w:tc>
        <w:tc>
          <w:tcPr>
            <w:tcW w:w="2352" w:type="dxa"/>
            <w:tcBorders>
              <w:top w:val="single" w:color="auto" w:sz="6" w:space="0"/>
              <w:left w:val="single" w:color="auto" w:sz="6" w:space="0"/>
              <w:bottom w:val="single" w:color="auto" w:sz="6" w:space="0"/>
              <w:right w:val="single" w:color="auto" w:sz="6" w:space="0"/>
            </w:tcBorders>
            <w:vAlign w:val="center"/>
          </w:tcPr>
          <w:p>
            <w:pPr>
              <w:shd w:val="clear" w:color="auto" w:fill="FFFFFF"/>
              <w:rPr>
                <w:color w:val="auto"/>
                <w:highlight w:val="none"/>
              </w:rPr>
            </w:pPr>
            <w:r>
              <w:rPr>
                <w:rFonts w:hint="eastAsia"/>
                <w:color w:val="auto"/>
                <w:highlight w:val="none"/>
              </w:rPr>
              <w:t>投标保证金</w:t>
            </w:r>
          </w:p>
        </w:tc>
        <w:tc>
          <w:tcPr>
            <w:tcW w:w="6098"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260" w:lineRule="exact"/>
              <w:rPr>
                <w:color w:val="auto"/>
                <w:highlight w:val="none"/>
              </w:rPr>
            </w:pPr>
          </w:p>
          <w:p>
            <w:pPr>
              <w:shd w:val="clear" w:color="auto" w:fill="FFFFFF"/>
              <w:spacing w:line="260" w:lineRule="exact"/>
              <w:rPr>
                <w:color w:val="auto"/>
                <w:highlight w:val="none"/>
              </w:rPr>
            </w:pPr>
            <w:r>
              <w:rPr>
                <w:rFonts w:hint="eastAsia"/>
                <w:color w:val="auto"/>
                <w:highlight w:val="none"/>
              </w:rPr>
              <w:t>形式：</w:t>
            </w:r>
            <w:r>
              <w:rPr>
                <w:rFonts w:hint="eastAsia" w:ascii="宋体" w:hAnsi="宋体"/>
                <w:color w:val="auto"/>
                <w:highlight w:val="none"/>
                <w:u w:val="single"/>
              </w:rPr>
              <w:t>见招标公告</w:t>
            </w:r>
          </w:p>
          <w:p>
            <w:pPr>
              <w:shd w:val="clear" w:color="auto" w:fill="FFFFFF"/>
              <w:spacing w:line="260" w:lineRule="exact"/>
              <w:rPr>
                <w:color w:val="auto"/>
                <w:highlight w:val="none"/>
              </w:rPr>
            </w:pPr>
          </w:p>
          <w:p>
            <w:pPr>
              <w:shd w:val="clear" w:color="auto" w:fill="FFFFFF"/>
              <w:spacing w:line="260" w:lineRule="exact"/>
              <w:rPr>
                <w:color w:val="auto"/>
                <w:highlight w:val="none"/>
              </w:rPr>
            </w:pPr>
            <w:r>
              <w:rPr>
                <w:rFonts w:hint="eastAsia"/>
                <w:color w:val="auto"/>
                <w:highlight w:val="none"/>
              </w:rPr>
              <w:t>金额：</w:t>
            </w:r>
            <w:r>
              <w:rPr>
                <w:rFonts w:hint="eastAsia" w:ascii="宋体" w:hAnsi="宋体"/>
                <w:color w:val="auto"/>
                <w:highlight w:val="none"/>
                <w:u w:val="single"/>
              </w:rPr>
              <w:t>见招标公告</w:t>
            </w:r>
          </w:p>
          <w:p>
            <w:pPr>
              <w:shd w:val="clear" w:color="auto" w:fill="FFFFFF"/>
              <w:spacing w:line="260" w:lineRule="exact"/>
              <w:rPr>
                <w:color w:val="auto"/>
                <w:highlight w:val="none"/>
              </w:rPr>
            </w:pPr>
          </w:p>
          <w:p>
            <w:pPr>
              <w:shd w:val="clear" w:color="auto" w:fill="FFFFFF"/>
              <w:spacing w:line="260" w:lineRule="exact"/>
              <w:rPr>
                <w:color w:val="auto"/>
                <w:highlight w:val="none"/>
              </w:rPr>
            </w:pPr>
            <w:r>
              <w:rPr>
                <w:rFonts w:hint="eastAsia"/>
                <w:color w:val="auto"/>
                <w:highlight w:val="none"/>
              </w:rPr>
              <w:t>递交方式：</w:t>
            </w:r>
            <w:r>
              <w:rPr>
                <w:rFonts w:hint="eastAsia" w:ascii="宋体" w:hAnsi="宋体"/>
                <w:color w:val="auto"/>
                <w:highlight w:val="none"/>
                <w:u w:val="single"/>
              </w:rPr>
              <w:t>见招标公告</w:t>
            </w:r>
          </w:p>
          <w:p>
            <w:pPr>
              <w:shd w:val="clear" w:color="auto" w:fill="FFFFFF"/>
              <w:spacing w:line="260" w:lineRule="exact"/>
              <w:rPr>
                <w:color w:val="auto"/>
                <w:highlight w:val="none"/>
              </w:rPr>
            </w:pPr>
          </w:p>
        </w:tc>
      </w:tr>
      <w:tr>
        <w:tblPrEx>
          <w:tblCellMar>
            <w:top w:w="0" w:type="dxa"/>
            <w:left w:w="108" w:type="dxa"/>
            <w:bottom w:w="0" w:type="dxa"/>
            <w:right w:w="108" w:type="dxa"/>
          </w:tblCellMar>
        </w:tblPrEx>
        <w:trPr>
          <w:trHeight w:val="1003" w:hRule="atLeast"/>
        </w:trPr>
        <w:tc>
          <w:tcPr>
            <w:tcW w:w="906" w:type="dxa"/>
            <w:tcBorders>
              <w:top w:val="single" w:color="auto" w:sz="6" w:space="0"/>
              <w:left w:val="single" w:color="auto" w:sz="4" w:space="0"/>
              <w:bottom w:val="single" w:color="auto" w:sz="6" w:space="0"/>
              <w:right w:val="single" w:color="auto" w:sz="6" w:space="0"/>
            </w:tcBorders>
            <w:vAlign w:val="center"/>
          </w:tcPr>
          <w:p>
            <w:pPr>
              <w:shd w:val="clear" w:color="auto" w:fill="FFFFFF"/>
              <w:jc w:val="center"/>
              <w:rPr>
                <w:color w:val="auto"/>
                <w:highlight w:val="none"/>
              </w:rPr>
            </w:pPr>
            <w:r>
              <w:rPr>
                <w:rFonts w:hint="eastAsia"/>
                <w:color w:val="auto"/>
                <w:highlight w:val="none"/>
              </w:rPr>
              <w:t>3.5.2</w:t>
            </w:r>
          </w:p>
        </w:tc>
        <w:tc>
          <w:tcPr>
            <w:tcW w:w="2352" w:type="dxa"/>
            <w:tcBorders>
              <w:top w:val="single" w:color="auto" w:sz="6" w:space="0"/>
              <w:left w:val="single" w:color="auto" w:sz="6" w:space="0"/>
              <w:bottom w:val="single" w:color="auto" w:sz="6" w:space="0"/>
              <w:right w:val="single" w:color="auto" w:sz="6" w:space="0"/>
            </w:tcBorders>
            <w:vAlign w:val="center"/>
          </w:tcPr>
          <w:p>
            <w:pPr>
              <w:shd w:val="clear" w:color="auto" w:fill="FFFFFF"/>
              <w:rPr>
                <w:color w:val="auto"/>
                <w:highlight w:val="none"/>
              </w:rPr>
            </w:pPr>
            <w:r>
              <w:rPr>
                <w:rFonts w:hint="eastAsia"/>
                <w:color w:val="auto"/>
                <w:highlight w:val="none"/>
              </w:rPr>
              <w:t>近年财务状况的年份要求</w:t>
            </w:r>
          </w:p>
        </w:tc>
        <w:tc>
          <w:tcPr>
            <w:tcW w:w="6098"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288" w:lineRule="auto"/>
              <w:rPr>
                <w:color w:val="auto"/>
                <w:highlight w:val="none"/>
              </w:rPr>
            </w:pPr>
            <w:r>
              <w:rPr>
                <w:rFonts w:hint="eastAsia"/>
                <w:color w:val="auto"/>
                <w:highlight w:val="none"/>
                <w:u w:val="single"/>
              </w:rPr>
              <w:t xml:space="preserve">  / </w:t>
            </w:r>
            <w:r>
              <w:rPr>
                <w:rFonts w:hint="eastAsia"/>
                <w:color w:val="auto"/>
                <w:highlight w:val="none"/>
              </w:rPr>
              <w:t>年，指</w:t>
            </w:r>
            <w:r>
              <w:rPr>
                <w:rFonts w:hint="eastAsia"/>
                <w:color w:val="auto"/>
                <w:highlight w:val="none"/>
                <w:u w:val="single"/>
              </w:rPr>
              <w:t xml:space="preserve">  / </w:t>
            </w:r>
            <w:r>
              <w:rPr>
                <w:rFonts w:hint="eastAsia"/>
                <w:color w:val="auto"/>
                <w:highlight w:val="none"/>
              </w:rPr>
              <w:t>年</w:t>
            </w:r>
            <w:r>
              <w:rPr>
                <w:rFonts w:hint="eastAsia"/>
                <w:color w:val="auto"/>
                <w:highlight w:val="none"/>
                <w:u w:val="single"/>
              </w:rPr>
              <w:t xml:space="preserve">  /  </w:t>
            </w:r>
            <w:r>
              <w:rPr>
                <w:rFonts w:hint="eastAsia"/>
                <w:color w:val="auto"/>
                <w:highlight w:val="none"/>
              </w:rPr>
              <w:t>月</w:t>
            </w:r>
            <w:r>
              <w:rPr>
                <w:rFonts w:hint="eastAsia"/>
                <w:color w:val="auto"/>
                <w:highlight w:val="none"/>
                <w:u w:val="single"/>
              </w:rPr>
              <w:t xml:space="preserve">  / </w:t>
            </w:r>
            <w:r>
              <w:rPr>
                <w:rFonts w:hint="eastAsia"/>
                <w:color w:val="auto"/>
                <w:highlight w:val="none"/>
              </w:rPr>
              <w:t>日起至年</w:t>
            </w:r>
            <w:r>
              <w:rPr>
                <w:rFonts w:hint="eastAsia"/>
                <w:color w:val="auto"/>
                <w:highlight w:val="none"/>
                <w:u w:val="single"/>
              </w:rPr>
              <w:t xml:space="preserve">   / </w:t>
            </w:r>
            <w:r>
              <w:rPr>
                <w:rFonts w:hint="eastAsia"/>
                <w:color w:val="auto"/>
                <w:highlight w:val="none"/>
              </w:rPr>
              <w:t>月</w:t>
            </w:r>
            <w:r>
              <w:rPr>
                <w:rFonts w:hint="eastAsia"/>
                <w:color w:val="auto"/>
                <w:highlight w:val="none"/>
                <w:u w:val="single"/>
              </w:rPr>
              <w:t xml:space="preserve">  / </w:t>
            </w:r>
            <w:r>
              <w:rPr>
                <w:rFonts w:hint="eastAsia"/>
                <w:color w:val="auto"/>
                <w:highlight w:val="none"/>
              </w:rPr>
              <w:t>日止。</w:t>
            </w:r>
          </w:p>
        </w:tc>
      </w:tr>
      <w:tr>
        <w:tblPrEx>
          <w:tblCellMar>
            <w:top w:w="0" w:type="dxa"/>
            <w:left w:w="108" w:type="dxa"/>
            <w:bottom w:w="0" w:type="dxa"/>
            <w:right w:w="108" w:type="dxa"/>
          </w:tblCellMar>
        </w:tblPrEx>
        <w:trPr>
          <w:trHeight w:val="1003" w:hRule="atLeast"/>
        </w:trPr>
        <w:tc>
          <w:tcPr>
            <w:tcW w:w="906" w:type="dxa"/>
            <w:tcBorders>
              <w:top w:val="single" w:color="auto" w:sz="6" w:space="0"/>
              <w:left w:val="single" w:color="auto" w:sz="4" w:space="0"/>
              <w:bottom w:val="single" w:color="auto" w:sz="6" w:space="0"/>
              <w:right w:val="single" w:color="auto" w:sz="6" w:space="0"/>
            </w:tcBorders>
            <w:vAlign w:val="center"/>
          </w:tcPr>
          <w:p>
            <w:pPr>
              <w:shd w:val="clear" w:color="auto" w:fill="FFFFFF"/>
              <w:jc w:val="center"/>
              <w:rPr>
                <w:color w:val="auto"/>
                <w:highlight w:val="none"/>
              </w:rPr>
            </w:pPr>
            <w:r>
              <w:rPr>
                <w:rFonts w:hint="eastAsia"/>
                <w:color w:val="auto"/>
                <w:highlight w:val="none"/>
              </w:rPr>
              <w:t>3.5.3</w:t>
            </w:r>
          </w:p>
        </w:tc>
        <w:tc>
          <w:tcPr>
            <w:tcW w:w="2352" w:type="dxa"/>
            <w:tcBorders>
              <w:top w:val="single" w:color="auto" w:sz="6" w:space="0"/>
              <w:left w:val="single" w:color="auto" w:sz="6" w:space="0"/>
              <w:bottom w:val="single" w:color="auto" w:sz="6" w:space="0"/>
              <w:right w:val="single" w:color="auto" w:sz="6" w:space="0"/>
            </w:tcBorders>
            <w:vAlign w:val="center"/>
          </w:tcPr>
          <w:p>
            <w:pPr>
              <w:shd w:val="clear" w:color="auto" w:fill="FFFFFF"/>
              <w:rPr>
                <w:color w:val="auto"/>
                <w:highlight w:val="none"/>
              </w:rPr>
            </w:pPr>
            <w:r>
              <w:rPr>
                <w:rFonts w:hint="eastAsia"/>
                <w:color w:val="auto"/>
                <w:highlight w:val="none"/>
              </w:rPr>
              <w:t>近年完成的类似项目的年份要求</w:t>
            </w:r>
          </w:p>
        </w:tc>
        <w:tc>
          <w:tcPr>
            <w:tcW w:w="6098"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288" w:lineRule="auto"/>
              <w:rPr>
                <w:color w:val="auto"/>
                <w:highlight w:val="none"/>
                <w:u w:val="single"/>
              </w:rPr>
            </w:pPr>
            <w:r>
              <w:rPr>
                <w:rFonts w:hint="eastAsia"/>
                <w:color w:val="auto"/>
                <w:highlight w:val="none"/>
                <w:u w:val="single"/>
              </w:rPr>
              <w:t xml:space="preserve">   /  </w:t>
            </w:r>
            <w:r>
              <w:rPr>
                <w:rFonts w:hint="eastAsia"/>
                <w:color w:val="auto"/>
                <w:highlight w:val="none"/>
              </w:rPr>
              <w:t>年，指</w:t>
            </w:r>
            <w:r>
              <w:rPr>
                <w:rFonts w:hint="eastAsia"/>
                <w:color w:val="auto"/>
                <w:highlight w:val="none"/>
                <w:u w:val="single"/>
              </w:rPr>
              <w:t xml:space="preserve">  /   </w:t>
            </w:r>
            <w:r>
              <w:rPr>
                <w:rFonts w:hint="eastAsia"/>
                <w:color w:val="auto"/>
                <w:highlight w:val="none"/>
              </w:rPr>
              <w:t>年</w:t>
            </w:r>
            <w:r>
              <w:rPr>
                <w:rFonts w:hint="eastAsia"/>
                <w:color w:val="auto"/>
                <w:highlight w:val="none"/>
                <w:u w:val="single"/>
              </w:rPr>
              <w:t xml:space="preserve">  /   </w:t>
            </w:r>
            <w:r>
              <w:rPr>
                <w:rFonts w:hint="eastAsia"/>
                <w:color w:val="auto"/>
                <w:highlight w:val="none"/>
              </w:rPr>
              <w:t>月</w:t>
            </w:r>
            <w:r>
              <w:rPr>
                <w:rFonts w:hint="eastAsia"/>
                <w:color w:val="auto"/>
                <w:highlight w:val="none"/>
                <w:u w:val="single"/>
              </w:rPr>
              <w:t xml:space="preserve">   /  </w:t>
            </w:r>
            <w:r>
              <w:rPr>
                <w:rFonts w:hint="eastAsia"/>
                <w:color w:val="auto"/>
                <w:highlight w:val="none"/>
              </w:rPr>
              <w:t>日起至</w:t>
            </w:r>
            <w:r>
              <w:rPr>
                <w:rFonts w:hint="eastAsia"/>
                <w:color w:val="auto"/>
                <w:highlight w:val="none"/>
                <w:u w:val="single"/>
              </w:rPr>
              <w:t xml:space="preserve"> /    </w:t>
            </w:r>
            <w:r>
              <w:rPr>
                <w:rFonts w:hint="eastAsia"/>
                <w:color w:val="auto"/>
                <w:highlight w:val="none"/>
              </w:rPr>
              <w:t>年</w:t>
            </w:r>
            <w:r>
              <w:rPr>
                <w:rFonts w:hint="eastAsia"/>
                <w:color w:val="auto"/>
                <w:highlight w:val="none"/>
                <w:u w:val="single"/>
              </w:rPr>
              <w:t xml:space="preserve">   /  </w:t>
            </w:r>
            <w:r>
              <w:rPr>
                <w:rFonts w:hint="eastAsia"/>
                <w:color w:val="auto"/>
                <w:highlight w:val="none"/>
              </w:rPr>
              <w:t>月</w:t>
            </w:r>
            <w:r>
              <w:rPr>
                <w:rFonts w:hint="eastAsia"/>
                <w:color w:val="auto"/>
                <w:highlight w:val="none"/>
                <w:u w:val="single"/>
              </w:rPr>
              <w:t xml:space="preserve">   /  </w:t>
            </w:r>
            <w:r>
              <w:rPr>
                <w:rFonts w:hint="eastAsia"/>
                <w:color w:val="auto"/>
                <w:highlight w:val="none"/>
              </w:rPr>
              <w:t>日止。</w:t>
            </w:r>
          </w:p>
        </w:tc>
      </w:tr>
      <w:tr>
        <w:tblPrEx>
          <w:tblCellMar>
            <w:top w:w="0" w:type="dxa"/>
            <w:left w:w="108" w:type="dxa"/>
            <w:bottom w:w="0" w:type="dxa"/>
            <w:right w:w="108" w:type="dxa"/>
          </w:tblCellMar>
        </w:tblPrEx>
        <w:trPr>
          <w:trHeight w:val="1003" w:hRule="atLeast"/>
        </w:trPr>
        <w:tc>
          <w:tcPr>
            <w:tcW w:w="906" w:type="dxa"/>
            <w:tcBorders>
              <w:top w:val="single" w:color="auto" w:sz="6" w:space="0"/>
              <w:left w:val="single" w:color="auto" w:sz="4" w:space="0"/>
              <w:bottom w:val="single" w:color="auto" w:sz="6" w:space="0"/>
              <w:right w:val="single" w:color="auto" w:sz="6" w:space="0"/>
            </w:tcBorders>
            <w:vAlign w:val="center"/>
          </w:tcPr>
          <w:p>
            <w:pPr>
              <w:shd w:val="clear" w:color="auto" w:fill="FFFFFF"/>
              <w:jc w:val="center"/>
              <w:rPr>
                <w:color w:val="auto"/>
                <w:highlight w:val="none"/>
              </w:rPr>
            </w:pPr>
            <w:r>
              <w:rPr>
                <w:rFonts w:hint="eastAsia"/>
                <w:color w:val="auto"/>
                <w:highlight w:val="none"/>
              </w:rPr>
              <w:t>3.5.5</w:t>
            </w:r>
          </w:p>
        </w:tc>
        <w:tc>
          <w:tcPr>
            <w:tcW w:w="2352" w:type="dxa"/>
            <w:tcBorders>
              <w:top w:val="single" w:color="auto" w:sz="6" w:space="0"/>
              <w:left w:val="single" w:color="auto" w:sz="6" w:space="0"/>
              <w:bottom w:val="single" w:color="auto" w:sz="6" w:space="0"/>
              <w:right w:val="single" w:color="auto" w:sz="6" w:space="0"/>
            </w:tcBorders>
            <w:vAlign w:val="center"/>
          </w:tcPr>
          <w:p>
            <w:pPr>
              <w:shd w:val="clear" w:color="auto" w:fill="FFFFFF"/>
              <w:rPr>
                <w:color w:val="auto"/>
                <w:highlight w:val="none"/>
              </w:rPr>
            </w:pPr>
            <w:r>
              <w:rPr>
                <w:rFonts w:hint="eastAsia"/>
                <w:color w:val="auto"/>
                <w:highlight w:val="none"/>
              </w:rPr>
              <w:t>近年发生的诉讼及仲裁情况的</w:t>
            </w:r>
          </w:p>
          <w:p>
            <w:pPr>
              <w:shd w:val="clear" w:color="auto" w:fill="FFFFFF"/>
              <w:rPr>
                <w:color w:val="auto"/>
                <w:highlight w:val="none"/>
              </w:rPr>
            </w:pPr>
            <w:r>
              <w:rPr>
                <w:rFonts w:hint="eastAsia"/>
                <w:color w:val="auto"/>
                <w:highlight w:val="none"/>
              </w:rPr>
              <w:t>年份要求</w:t>
            </w:r>
          </w:p>
        </w:tc>
        <w:tc>
          <w:tcPr>
            <w:tcW w:w="6098"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288" w:lineRule="auto"/>
              <w:rPr>
                <w:color w:val="auto"/>
                <w:highlight w:val="none"/>
                <w:u w:val="single"/>
              </w:rPr>
            </w:pPr>
            <w:r>
              <w:rPr>
                <w:rFonts w:hint="eastAsia"/>
                <w:color w:val="auto"/>
                <w:highlight w:val="none"/>
                <w:u w:val="single"/>
              </w:rPr>
              <w:t xml:space="preserve">   / </w:t>
            </w:r>
            <w:r>
              <w:rPr>
                <w:rFonts w:hint="eastAsia"/>
                <w:color w:val="auto"/>
                <w:highlight w:val="none"/>
              </w:rPr>
              <w:t>年，指</w:t>
            </w:r>
            <w:r>
              <w:rPr>
                <w:rFonts w:hint="eastAsia"/>
                <w:color w:val="auto"/>
                <w:highlight w:val="none"/>
                <w:u w:val="single"/>
              </w:rPr>
              <w:t xml:space="preserve">  /  </w:t>
            </w:r>
            <w:r>
              <w:rPr>
                <w:rFonts w:hint="eastAsia"/>
                <w:color w:val="auto"/>
                <w:highlight w:val="none"/>
              </w:rPr>
              <w:t>年</w:t>
            </w:r>
            <w:r>
              <w:rPr>
                <w:rFonts w:hint="eastAsia"/>
                <w:color w:val="auto"/>
                <w:highlight w:val="none"/>
                <w:u w:val="single"/>
              </w:rPr>
              <w:t xml:space="preserve">  / </w:t>
            </w:r>
            <w:r>
              <w:rPr>
                <w:rFonts w:hint="eastAsia"/>
                <w:color w:val="auto"/>
                <w:highlight w:val="none"/>
              </w:rPr>
              <w:t>月</w:t>
            </w:r>
            <w:r>
              <w:rPr>
                <w:rFonts w:hint="eastAsia"/>
                <w:color w:val="auto"/>
                <w:highlight w:val="none"/>
                <w:u w:val="single"/>
              </w:rPr>
              <w:t xml:space="preserve">  / </w:t>
            </w:r>
            <w:r>
              <w:rPr>
                <w:rFonts w:hint="eastAsia"/>
                <w:color w:val="auto"/>
                <w:highlight w:val="none"/>
              </w:rPr>
              <w:t>日起至</w:t>
            </w:r>
            <w:r>
              <w:rPr>
                <w:rFonts w:hint="eastAsia"/>
                <w:color w:val="auto"/>
                <w:highlight w:val="none"/>
                <w:u w:val="single"/>
              </w:rPr>
              <w:t xml:space="preserve"> /   </w:t>
            </w:r>
            <w:r>
              <w:rPr>
                <w:rFonts w:hint="eastAsia"/>
                <w:color w:val="auto"/>
                <w:highlight w:val="none"/>
              </w:rPr>
              <w:t>年</w:t>
            </w:r>
            <w:r>
              <w:rPr>
                <w:rFonts w:hint="eastAsia"/>
                <w:color w:val="auto"/>
                <w:highlight w:val="none"/>
                <w:u w:val="single"/>
              </w:rPr>
              <w:t xml:space="preserve">  / </w:t>
            </w:r>
            <w:r>
              <w:rPr>
                <w:rFonts w:hint="eastAsia"/>
                <w:color w:val="auto"/>
                <w:highlight w:val="none"/>
              </w:rPr>
              <w:t>月</w:t>
            </w:r>
            <w:r>
              <w:rPr>
                <w:rFonts w:hint="eastAsia"/>
                <w:color w:val="auto"/>
                <w:highlight w:val="none"/>
                <w:u w:val="single"/>
              </w:rPr>
              <w:t xml:space="preserve">  / </w:t>
            </w:r>
            <w:r>
              <w:rPr>
                <w:rFonts w:hint="eastAsia"/>
                <w:color w:val="auto"/>
                <w:highlight w:val="none"/>
              </w:rPr>
              <w:t>日止。</w:t>
            </w:r>
          </w:p>
        </w:tc>
      </w:tr>
      <w:tr>
        <w:tblPrEx>
          <w:tblCellMar>
            <w:top w:w="0" w:type="dxa"/>
            <w:left w:w="108" w:type="dxa"/>
            <w:bottom w:w="0" w:type="dxa"/>
            <w:right w:w="108" w:type="dxa"/>
          </w:tblCellMar>
        </w:tblPrEx>
        <w:trPr>
          <w:trHeight w:val="647" w:hRule="atLeast"/>
        </w:trPr>
        <w:tc>
          <w:tcPr>
            <w:tcW w:w="906" w:type="dxa"/>
            <w:tcBorders>
              <w:top w:val="single" w:color="auto" w:sz="6" w:space="0"/>
              <w:left w:val="single" w:color="auto" w:sz="4" w:space="0"/>
              <w:bottom w:val="single" w:color="auto" w:sz="6" w:space="0"/>
              <w:right w:val="single" w:color="auto" w:sz="6" w:space="0"/>
            </w:tcBorders>
            <w:vAlign w:val="center"/>
          </w:tcPr>
          <w:p>
            <w:pPr>
              <w:shd w:val="clear" w:color="auto" w:fill="FFFFFF"/>
              <w:jc w:val="center"/>
              <w:rPr>
                <w:color w:val="auto"/>
                <w:highlight w:val="none"/>
              </w:rPr>
            </w:pPr>
            <w:r>
              <w:rPr>
                <w:rFonts w:hint="eastAsia"/>
                <w:color w:val="auto"/>
                <w:highlight w:val="none"/>
              </w:rPr>
              <w:t>3.6</w:t>
            </w:r>
          </w:p>
        </w:tc>
        <w:tc>
          <w:tcPr>
            <w:tcW w:w="2352" w:type="dxa"/>
            <w:tcBorders>
              <w:top w:val="single" w:color="auto" w:sz="6" w:space="0"/>
              <w:left w:val="single" w:color="auto" w:sz="6" w:space="0"/>
              <w:bottom w:val="single" w:color="auto" w:sz="6" w:space="0"/>
              <w:right w:val="single" w:color="auto" w:sz="6" w:space="0"/>
            </w:tcBorders>
            <w:vAlign w:val="center"/>
          </w:tcPr>
          <w:p>
            <w:pPr>
              <w:shd w:val="clear" w:color="auto" w:fill="FFFFFF"/>
              <w:rPr>
                <w:color w:val="auto"/>
                <w:highlight w:val="none"/>
              </w:rPr>
            </w:pPr>
            <w:r>
              <w:rPr>
                <w:rFonts w:hint="eastAsia"/>
                <w:color w:val="auto"/>
                <w:highlight w:val="none"/>
              </w:rPr>
              <w:t>是否允许递交备选投标方案</w:t>
            </w:r>
          </w:p>
        </w:tc>
        <w:tc>
          <w:tcPr>
            <w:tcW w:w="6098"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288" w:lineRule="auto"/>
              <w:rPr>
                <w:color w:val="auto"/>
                <w:highlight w:val="none"/>
              </w:rPr>
            </w:pPr>
            <w:r>
              <w:rPr>
                <w:rFonts w:hint="eastAsia"/>
                <w:color w:val="auto"/>
                <w:highlight w:val="none"/>
                <w:bdr w:val="single" w:color="auto" w:sz="4" w:space="0"/>
              </w:rPr>
              <w:t>√</w:t>
            </w:r>
            <w:r>
              <w:rPr>
                <w:rFonts w:hint="eastAsia"/>
                <w:color w:val="auto"/>
                <w:highlight w:val="none"/>
              </w:rPr>
              <w:t>不允许</w:t>
            </w:r>
          </w:p>
          <w:p>
            <w:pPr>
              <w:shd w:val="clear" w:color="auto" w:fill="FFFFFF"/>
              <w:spacing w:line="288" w:lineRule="auto"/>
              <w:rPr>
                <w:color w:val="auto"/>
                <w:highlight w:val="none"/>
                <w:u w:val="single"/>
              </w:rPr>
            </w:pPr>
            <w:r>
              <w:rPr>
                <w:rFonts w:hint="eastAsia"/>
                <w:color w:val="auto"/>
                <w:highlight w:val="none"/>
              </w:rPr>
              <w:t>□允许</w:t>
            </w:r>
          </w:p>
        </w:tc>
      </w:tr>
      <w:tr>
        <w:tblPrEx>
          <w:tblCellMar>
            <w:top w:w="0" w:type="dxa"/>
            <w:left w:w="108" w:type="dxa"/>
            <w:bottom w:w="0" w:type="dxa"/>
            <w:right w:w="108" w:type="dxa"/>
          </w:tblCellMar>
        </w:tblPrEx>
        <w:trPr>
          <w:trHeight w:val="454" w:hRule="atLeast"/>
        </w:trPr>
        <w:tc>
          <w:tcPr>
            <w:tcW w:w="906" w:type="dxa"/>
            <w:tcBorders>
              <w:top w:val="single" w:color="auto" w:sz="6" w:space="0"/>
              <w:left w:val="single" w:color="auto" w:sz="4" w:space="0"/>
              <w:bottom w:val="single" w:color="auto" w:sz="6" w:space="0"/>
              <w:right w:val="single" w:color="auto" w:sz="6" w:space="0"/>
            </w:tcBorders>
            <w:vAlign w:val="center"/>
          </w:tcPr>
          <w:p>
            <w:pPr>
              <w:shd w:val="clear" w:color="auto" w:fill="FFFFFF"/>
              <w:jc w:val="center"/>
              <w:rPr>
                <w:color w:val="auto"/>
                <w:highlight w:val="none"/>
              </w:rPr>
            </w:pPr>
            <w:r>
              <w:rPr>
                <w:rFonts w:hint="eastAsia"/>
                <w:color w:val="auto"/>
                <w:highlight w:val="none"/>
              </w:rPr>
              <w:t>3.7.3</w:t>
            </w:r>
          </w:p>
        </w:tc>
        <w:tc>
          <w:tcPr>
            <w:tcW w:w="2352" w:type="dxa"/>
            <w:tcBorders>
              <w:top w:val="single" w:color="auto" w:sz="6" w:space="0"/>
              <w:left w:val="single" w:color="auto" w:sz="6" w:space="0"/>
              <w:bottom w:val="single" w:color="auto" w:sz="6" w:space="0"/>
              <w:right w:val="single" w:color="auto" w:sz="6" w:space="0"/>
            </w:tcBorders>
            <w:vAlign w:val="center"/>
          </w:tcPr>
          <w:p>
            <w:pPr>
              <w:shd w:val="clear" w:color="auto" w:fill="FFFFFF"/>
              <w:rPr>
                <w:color w:val="auto"/>
                <w:highlight w:val="none"/>
              </w:rPr>
            </w:pPr>
            <w:r>
              <w:rPr>
                <w:rFonts w:hint="eastAsia"/>
                <w:color w:val="auto"/>
                <w:highlight w:val="none"/>
              </w:rPr>
              <w:t>签字和（或）盖章要求</w:t>
            </w:r>
          </w:p>
        </w:tc>
        <w:tc>
          <w:tcPr>
            <w:tcW w:w="6098"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288" w:lineRule="auto"/>
              <w:rPr>
                <w:color w:val="auto"/>
                <w:highlight w:val="none"/>
              </w:rPr>
            </w:pPr>
            <w:r>
              <w:rPr>
                <w:rFonts w:hint="eastAsia"/>
                <w:color w:val="auto"/>
                <w:highlight w:val="none"/>
              </w:rPr>
              <w:t>按招标文件要求</w:t>
            </w:r>
          </w:p>
        </w:tc>
      </w:tr>
      <w:tr>
        <w:tblPrEx>
          <w:tblCellMar>
            <w:top w:w="0" w:type="dxa"/>
            <w:left w:w="108" w:type="dxa"/>
            <w:bottom w:w="0" w:type="dxa"/>
            <w:right w:w="108" w:type="dxa"/>
          </w:tblCellMar>
        </w:tblPrEx>
        <w:trPr>
          <w:trHeight w:val="454" w:hRule="atLeast"/>
        </w:trPr>
        <w:tc>
          <w:tcPr>
            <w:tcW w:w="906" w:type="dxa"/>
            <w:tcBorders>
              <w:top w:val="single" w:color="auto" w:sz="6" w:space="0"/>
              <w:left w:val="single" w:color="auto" w:sz="4" w:space="0"/>
              <w:bottom w:val="single" w:color="auto" w:sz="6" w:space="0"/>
              <w:right w:val="single" w:color="auto" w:sz="6" w:space="0"/>
            </w:tcBorders>
            <w:vAlign w:val="center"/>
          </w:tcPr>
          <w:p>
            <w:pPr>
              <w:shd w:val="clear" w:color="auto" w:fill="FFFFFF"/>
              <w:jc w:val="center"/>
              <w:rPr>
                <w:color w:val="auto"/>
                <w:highlight w:val="none"/>
              </w:rPr>
            </w:pPr>
            <w:r>
              <w:rPr>
                <w:rFonts w:hint="eastAsia"/>
                <w:color w:val="auto"/>
                <w:highlight w:val="none"/>
              </w:rPr>
              <w:t>3.7.4</w:t>
            </w:r>
          </w:p>
        </w:tc>
        <w:tc>
          <w:tcPr>
            <w:tcW w:w="2352" w:type="dxa"/>
            <w:tcBorders>
              <w:top w:val="single" w:color="auto" w:sz="6" w:space="0"/>
              <w:left w:val="single" w:color="auto" w:sz="6" w:space="0"/>
              <w:bottom w:val="single" w:color="auto" w:sz="6" w:space="0"/>
              <w:right w:val="single" w:color="auto" w:sz="6" w:space="0"/>
            </w:tcBorders>
            <w:vAlign w:val="center"/>
          </w:tcPr>
          <w:p>
            <w:pPr>
              <w:shd w:val="clear" w:color="auto" w:fill="FFFFFF"/>
              <w:rPr>
                <w:color w:val="auto"/>
                <w:highlight w:val="none"/>
              </w:rPr>
            </w:pPr>
            <w:r>
              <w:rPr>
                <w:rFonts w:hint="eastAsia"/>
                <w:color w:val="auto"/>
                <w:highlight w:val="none"/>
              </w:rPr>
              <w:t>投标文件副本份数</w:t>
            </w:r>
          </w:p>
        </w:tc>
        <w:tc>
          <w:tcPr>
            <w:tcW w:w="6098"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288" w:lineRule="auto"/>
              <w:rPr>
                <w:color w:val="auto"/>
                <w:highlight w:val="none"/>
                <w:u w:val="single"/>
              </w:rPr>
            </w:pPr>
            <w:r>
              <w:rPr>
                <w:rFonts w:hint="eastAsia"/>
                <w:color w:val="auto"/>
                <w:highlight w:val="none"/>
                <w:u w:val="single"/>
              </w:rPr>
              <w:t xml:space="preserve">资格审查资料 正本1份，副本6 份； </w:t>
            </w:r>
          </w:p>
          <w:p>
            <w:pPr>
              <w:pStyle w:val="2"/>
              <w:ind w:firstLine="0" w:firstLineChars="0"/>
              <w:rPr>
                <w:color w:val="auto"/>
                <w:highlight w:val="none"/>
                <w:u w:val="single"/>
              </w:rPr>
            </w:pPr>
            <w:r>
              <w:rPr>
                <w:rFonts w:hint="eastAsia"/>
                <w:color w:val="auto"/>
                <w:highlight w:val="none"/>
                <w:u w:val="single"/>
              </w:rPr>
              <w:t>商务标正本1份，副本6 份；</w:t>
            </w:r>
          </w:p>
          <w:p>
            <w:pPr>
              <w:shd w:val="clear" w:color="auto" w:fill="FFFFFF"/>
              <w:spacing w:line="288" w:lineRule="auto"/>
              <w:rPr>
                <w:color w:val="auto"/>
                <w:highlight w:val="none"/>
              </w:rPr>
            </w:pPr>
            <w:r>
              <w:rPr>
                <w:rFonts w:hint="eastAsia"/>
                <w:color w:val="auto"/>
                <w:highlight w:val="none"/>
                <w:u w:val="single"/>
              </w:rPr>
              <w:t>技术标正本1份，副本6 份。</w:t>
            </w:r>
          </w:p>
        </w:tc>
      </w:tr>
      <w:tr>
        <w:tblPrEx>
          <w:tblCellMar>
            <w:top w:w="0" w:type="dxa"/>
            <w:left w:w="108" w:type="dxa"/>
            <w:bottom w:w="0" w:type="dxa"/>
            <w:right w:w="108" w:type="dxa"/>
          </w:tblCellMar>
        </w:tblPrEx>
        <w:trPr>
          <w:trHeight w:val="3013" w:hRule="atLeast"/>
        </w:trPr>
        <w:tc>
          <w:tcPr>
            <w:tcW w:w="906" w:type="dxa"/>
            <w:tcBorders>
              <w:top w:val="single" w:color="auto" w:sz="6" w:space="0"/>
              <w:left w:val="single" w:color="auto" w:sz="4" w:space="0"/>
              <w:bottom w:val="single" w:color="auto" w:sz="4" w:space="0"/>
              <w:right w:val="single" w:color="auto" w:sz="6" w:space="0"/>
            </w:tcBorders>
            <w:vAlign w:val="center"/>
          </w:tcPr>
          <w:p>
            <w:pPr>
              <w:shd w:val="clear" w:color="auto" w:fill="FFFFFF"/>
              <w:jc w:val="center"/>
              <w:rPr>
                <w:color w:val="auto"/>
                <w:highlight w:val="none"/>
              </w:rPr>
            </w:pPr>
            <w:r>
              <w:rPr>
                <w:rFonts w:hint="eastAsia"/>
                <w:color w:val="auto"/>
                <w:highlight w:val="none"/>
              </w:rPr>
              <w:t>3.7.5</w:t>
            </w:r>
          </w:p>
        </w:tc>
        <w:tc>
          <w:tcPr>
            <w:tcW w:w="2352" w:type="dxa"/>
            <w:tcBorders>
              <w:top w:val="single" w:color="auto" w:sz="6" w:space="0"/>
              <w:left w:val="single" w:color="auto" w:sz="6" w:space="0"/>
              <w:bottom w:val="single" w:color="auto" w:sz="4" w:space="0"/>
              <w:right w:val="single" w:color="auto" w:sz="6" w:space="0"/>
            </w:tcBorders>
            <w:vAlign w:val="center"/>
          </w:tcPr>
          <w:p>
            <w:pPr>
              <w:shd w:val="clear" w:color="auto" w:fill="FFFFFF"/>
              <w:rPr>
                <w:color w:val="auto"/>
                <w:highlight w:val="none"/>
              </w:rPr>
            </w:pPr>
            <w:r>
              <w:rPr>
                <w:rFonts w:hint="eastAsia"/>
                <w:color w:val="auto"/>
                <w:highlight w:val="none"/>
              </w:rPr>
              <w:t>装订要求（采用计算机辅助评标的不作要求）</w:t>
            </w:r>
          </w:p>
        </w:tc>
        <w:tc>
          <w:tcPr>
            <w:tcW w:w="6098" w:type="dxa"/>
            <w:tcBorders>
              <w:top w:val="single" w:color="auto" w:sz="6" w:space="0"/>
              <w:left w:val="single" w:color="auto" w:sz="6" w:space="0"/>
              <w:bottom w:val="single" w:color="auto" w:sz="4" w:space="0"/>
              <w:right w:val="single" w:color="auto" w:sz="4" w:space="0"/>
            </w:tcBorders>
            <w:vAlign w:val="center"/>
          </w:tcPr>
          <w:p>
            <w:pPr>
              <w:shd w:val="clear" w:color="auto" w:fill="FFFFFF"/>
              <w:spacing w:line="288" w:lineRule="auto"/>
              <w:rPr>
                <w:color w:val="auto"/>
                <w:highlight w:val="none"/>
              </w:rPr>
            </w:pPr>
            <w:r>
              <w:rPr>
                <w:rFonts w:hint="eastAsia"/>
                <w:color w:val="auto"/>
                <w:highlight w:val="none"/>
              </w:rPr>
              <w:t>按照投标人须知第3.1.1项规定的投标文件组成内容，投标文件应按以下要求装订：</w:t>
            </w:r>
          </w:p>
          <w:p>
            <w:pPr>
              <w:shd w:val="clear" w:color="auto" w:fill="FFFFFF"/>
              <w:spacing w:line="288" w:lineRule="auto"/>
              <w:rPr>
                <w:color w:val="auto"/>
                <w:highlight w:val="none"/>
              </w:rPr>
            </w:pPr>
            <w:r>
              <w:rPr>
                <w:rFonts w:hint="eastAsia"/>
                <w:color w:val="auto"/>
                <w:highlight w:val="none"/>
              </w:rPr>
              <w:t>□不分册装订</w:t>
            </w:r>
          </w:p>
          <w:p>
            <w:pPr>
              <w:shd w:val="clear" w:color="auto" w:fill="FFFFFF"/>
              <w:spacing w:line="288" w:lineRule="auto"/>
              <w:rPr>
                <w:color w:val="auto"/>
                <w:highlight w:val="none"/>
              </w:rPr>
            </w:pPr>
            <w:r>
              <w:rPr>
                <w:rFonts w:hint="eastAsia"/>
                <w:color w:val="auto"/>
                <w:highlight w:val="none"/>
                <w:bdr w:val="single" w:color="auto" w:sz="4" w:space="0"/>
              </w:rPr>
              <w:t>√</w:t>
            </w:r>
            <w:r>
              <w:rPr>
                <w:rFonts w:hint="eastAsia"/>
                <w:color w:val="auto"/>
                <w:highlight w:val="none"/>
              </w:rPr>
              <w:t>分册装订</w:t>
            </w:r>
          </w:p>
          <w:p>
            <w:pPr>
              <w:shd w:val="clear" w:color="auto" w:fill="FFFFFF"/>
              <w:spacing w:line="288" w:lineRule="auto"/>
              <w:rPr>
                <w:color w:val="auto"/>
                <w:highlight w:val="none"/>
              </w:rPr>
            </w:pPr>
            <w:r>
              <w:rPr>
                <w:rFonts w:hint="eastAsia"/>
                <w:color w:val="auto"/>
                <w:highlight w:val="none"/>
              </w:rPr>
              <w:t xml:space="preserve">    1、资格审查资料</w:t>
            </w:r>
          </w:p>
          <w:p>
            <w:pPr>
              <w:shd w:val="clear" w:color="auto" w:fill="FFFFFF"/>
              <w:spacing w:line="288" w:lineRule="auto"/>
              <w:ind w:firstLine="420" w:firstLineChars="200"/>
              <w:rPr>
                <w:strike/>
                <w:color w:val="auto"/>
                <w:highlight w:val="none"/>
              </w:rPr>
            </w:pPr>
            <w:r>
              <w:rPr>
                <w:rFonts w:hint="eastAsia"/>
                <w:strike/>
                <w:color w:val="auto"/>
                <w:highlight w:val="none"/>
              </w:rPr>
              <w:t>2、投标函</w:t>
            </w:r>
          </w:p>
          <w:p>
            <w:pPr>
              <w:shd w:val="clear" w:color="auto" w:fill="FFFFFF"/>
              <w:spacing w:line="288" w:lineRule="auto"/>
              <w:rPr>
                <w:color w:val="auto"/>
                <w:highlight w:val="none"/>
              </w:rPr>
            </w:pPr>
            <w:r>
              <w:rPr>
                <w:rFonts w:hint="eastAsia"/>
                <w:color w:val="auto"/>
                <w:highlight w:val="none"/>
              </w:rPr>
              <w:t xml:space="preserve">    3、商务标</w:t>
            </w:r>
          </w:p>
          <w:p>
            <w:pPr>
              <w:shd w:val="clear" w:color="auto" w:fill="FFFFFF"/>
              <w:spacing w:line="288" w:lineRule="auto"/>
              <w:rPr>
                <w:color w:val="auto"/>
                <w:highlight w:val="none"/>
              </w:rPr>
            </w:pPr>
            <w:r>
              <w:rPr>
                <w:rFonts w:hint="eastAsia"/>
                <w:color w:val="auto"/>
                <w:highlight w:val="none"/>
              </w:rPr>
              <w:t xml:space="preserve">    4、技术标</w:t>
            </w:r>
          </w:p>
          <w:p>
            <w:pPr>
              <w:shd w:val="clear" w:color="auto" w:fill="FFFFFF"/>
              <w:spacing w:line="288" w:lineRule="auto"/>
              <w:ind w:firstLine="420" w:firstLineChars="200"/>
              <w:rPr>
                <w:color w:val="auto"/>
                <w:highlight w:val="none"/>
              </w:rPr>
            </w:pPr>
            <w:r>
              <w:rPr>
                <w:rFonts w:hint="eastAsia" w:ascii="宋体" w:hAnsi="宋体"/>
                <w:color w:val="auto"/>
                <w:kern w:val="16"/>
                <w:szCs w:val="21"/>
                <w:highlight w:val="none"/>
              </w:rPr>
              <w:t>分册装订的资格审查资料、</w:t>
            </w:r>
            <w:r>
              <w:rPr>
                <w:rFonts w:hint="eastAsia" w:ascii="宋体" w:hAnsi="宋体"/>
                <w:strike/>
                <w:color w:val="auto"/>
                <w:kern w:val="16"/>
                <w:szCs w:val="21"/>
                <w:highlight w:val="none"/>
              </w:rPr>
              <w:t>投标函、</w:t>
            </w:r>
            <w:r>
              <w:rPr>
                <w:rFonts w:hint="eastAsia" w:ascii="宋体" w:hAnsi="宋体"/>
                <w:color w:val="auto"/>
                <w:kern w:val="16"/>
                <w:szCs w:val="21"/>
                <w:highlight w:val="none"/>
              </w:rPr>
              <w:t>商务标、技术标应采取分装密封。</w:t>
            </w:r>
          </w:p>
        </w:tc>
      </w:tr>
      <w:tr>
        <w:tblPrEx>
          <w:tblCellMar>
            <w:top w:w="0" w:type="dxa"/>
            <w:left w:w="108" w:type="dxa"/>
            <w:bottom w:w="0" w:type="dxa"/>
            <w:right w:w="108" w:type="dxa"/>
          </w:tblCellMar>
        </w:tblPrEx>
        <w:trPr>
          <w:trHeight w:val="1757" w:hRule="atLeast"/>
        </w:trPr>
        <w:tc>
          <w:tcPr>
            <w:tcW w:w="906" w:type="dxa"/>
            <w:tcBorders>
              <w:top w:val="single" w:color="auto" w:sz="6" w:space="0"/>
              <w:left w:val="single" w:color="auto" w:sz="4" w:space="0"/>
              <w:bottom w:val="single" w:color="auto" w:sz="6" w:space="0"/>
              <w:right w:val="single" w:color="auto" w:sz="6" w:space="0"/>
            </w:tcBorders>
            <w:vAlign w:val="center"/>
          </w:tcPr>
          <w:p>
            <w:pPr>
              <w:shd w:val="clear" w:color="auto" w:fill="FFFFFF"/>
              <w:jc w:val="center"/>
              <w:rPr>
                <w:color w:val="auto"/>
                <w:highlight w:val="none"/>
              </w:rPr>
            </w:pPr>
            <w:r>
              <w:rPr>
                <w:rFonts w:hint="eastAsia"/>
                <w:color w:val="auto"/>
                <w:highlight w:val="none"/>
              </w:rPr>
              <w:t>4.1.2</w:t>
            </w:r>
          </w:p>
        </w:tc>
        <w:tc>
          <w:tcPr>
            <w:tcW w:w="2352" w:type="dxa"/>
            <w:tcBorders>
              <w:top w:val="single" w:color="auto" w:sz="6" w:space="0"/>
              <w:left w:val="single" w:color="auto" w:sz="6" w:space="0"/>
              <w:bottom w:val="single" w:color="auto" w:sz="6" w:space="0"/>
              <w:right w:val="single" w:color="auto" w:sz="6" w:space="0"/>
            </w:tcBorders>
            <w:vAlign w:val="center"/>
          </w:tcPr>
          <w:p>
            <w:pPr>
              <w:shd w:val="clear" w:color="auto" w:fill="FFFFFF"/>
              <w:rPr>
                <w:color w:val="auto"/>
                <w:highlight w:val="none"/>
              </w:rPr>
            </w:pPr>
            <w:r>
              <w:rPr>
                <w:rFonts w:hint="eastAsia"/>
                <w:color w:val="auto"/>
                <w:highlight w:val="none"/>
              </w:rPr>
              <w:t>封套形式及要求写明</w:t>
            </w:r>
          </w:p>
        </w:tc>
        <w:tc>
          <w:tcPr>
            <w:tcW w:w="6098"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288" w:lineRule="auto"/>
              <w:rPr>
                <w:color w:val="auto"/>
                <w:highlight w:val="none"/>
              </w:rPr>
            </w:pPr>
            <w:r>
              <w:rPr>
                <w:rFonts w:hint="eastAsia"/>
                <w:color w:val="auto"/>
                <w:highlight w:val="none"/>
              </w:rPr>
              <w:t>1.封套形式：</w:t>
            </w:r>
          </w:p>
          <w:p>
            <w:pPr>
              <w:shd w:val="clear" w:color="auto" w:fill="FFFFFF"/>
              <w:spacing w:line="288" w:lineRule="auto"/>
              <w:rPr>
                <w:color w:val="auto"/>
                <w:highlight w:val="none"/>
                <w:u w:val="single"/>
              </w:rPr>
            </w:pPr>
            <w:r>
              <w:rPr>
                <w:rFonts w:hint="eastAsia"/>
                <w:color w:val="auto"/>
                <w:highlight w:val="none"/>
              </w:rPr>
              <w:t>2.写明内容：</w:t>
            </w:r>
            <w:bookmarkStart w:id="0" w:name="_Hlk11846288"/>
            <w:r>
              <w:rPr>
                <w:rFonts w:hint="eastAsia"/>
                <w:color w:val="auto"/>
                <w:highlight w:val="none"/>
              </w:rPr>
              <w:t xml:space="preserve">      招标人地址：        </w:t>
            </w:r>
          </w:p>
          <w:p>
            <w:pPr>
              <w:shd w:val="clear" w:color="auto" w:fill="FFFFFF"/>
              <w:spacing w:line="288" w:lineRule="auto"/>
              <w:ind w:left="420" w:hanging="420" w:hangingChars="200"/>
              <w:rPr>
                <w:strike/>
                <w:color w:val="auto"/>
                <w:highlight w:val="none"/>
              </w:rPr>
            </w:pPr>
            <w:r>
              <w:rPr>
                <w:rFonts w:hint="eastAsia"/>
                <w:color w:val="auto"/>
                <w:highlight w:val="none"/>
              </w:rPr>
              <w:t>招标人名称：</w:t>
            </w:r>
            <w:r>
              <w:rPr>
                <w:rFonts w:hint="eastAsia"/>
                <w:color w:val="auto"/>
                <w:highlight w:val="none"/>
                <w:u w:val="single"/>
              </w:rPr>
              <w:t xml:space="preserve">          </w:t>
            </w:r>
            <w:r>
              <w:rPr>
                <w:rFonts w:hint="eastAsia"/>
                <w:color w:val="auto"/>
                <w:highlight w:val="none"/>
              </w:rPr>
              <w:t>（项目名称）</w:t>
            </w:r>
            <w:r>
              <w:rPr>
                <w:rFonts w:hint="eastAsia"/>
                <w:color w:val="auto"/>
                <w:highlight w:val="none"/>
                <w:u w:val="single"/>
              </w:rPr>
              <w:t xml:space="preserve"> /</w:t>
            </w:r>
            <w:r>
              <w:rPr>
                <w:rFonts w:hint="eastAsia"/>
                <w:color w:val="auto"/>
                <w:highlight w:val="none"/>
              </w:rPr>
              <w:t>标段投标文件在</w:t>
            </w:r>
            <w:r>
              <w:rPr>
                <w:rFonts w:hint="eastAsia"/>
                <w:color w:val="auto"/>
                <w:highlight w:val="none"/>
                <w:lang w:val="en-US" w:eastAsia="zh-CN"/>
              </w:rPr>
              <w:t xml:space="preserve">   </w:t>
            </w:r>
            <w:r>
              <w:rPr>
                <w:rFonts w:hint="eastAsia"/>
                <w:color w:val="auto"/>
                <w:highlight w:val="none"/>
              </w:rPr>
              <w:t>年</w:t>
            </w:r>
            <w:r>
              <w:rPr>
                <w:rFonts w:hint="eastAsia"/>
                <w:color w:val="auto"/>
                <w:highlight w:val="none"/>
                <w:lang w:val="en-US" w:eastAsia="zh-CN"/>
              </w:rPr>
              <w:t xml:space="preserve">  </w:t>
            </w:r>
            <w:r>
              <w:rPr>
                <w:rFonts w:hint="eastAsia"/>
                <w:color w:val="auto"/>
                <w:highlight w:val="none"/>
              </w:rPr>
              <w:t>月日</w:t>
            </w:r>
            <w:r>
              <w:rPr>
                <w:rFonts w:hint="eastAsia"/>
                <w:color w:val="auto"/>
                <w:highlight w:val="none"/>
                <w:lang w:val="en-US" w:eastAsia="zh-CN"/>
              </w:rPr>
              <w:t xml:space="preserve">   </w:t>
            </w:r>
            <w:r>
              <w:rPr>
                <w:rFonts w:hint="eastAsia"/>
                <w:color w:val="auto"/>
                <w:highlight w:val="none"/>
              </w:rPr>
              <w:t>时</w:t>
            </w:r>
            <w:r>
              <w:rPr>
                <w:rFonts w:hint="eastAsia"/>
                <w:color w:val="auto"/>
                <w:highlight w:val="none"/>
                <w:lang w:val="en-US" w:eastAsia="zh-CN"/>
              </w:rPr>
              <w:t xml:space="preserve">  </w:t>
            </w:r>
            <w:r>
              <w:rPr>
                <w:rFonts w:hint="eastAsia"/>
                <w:color w:val="auto"/>
                <w:highlight w:val="none"/>
              </w:rPr>
              <w:t>分前不得开启。</w:t>
            </w:r>
            <w:bookmarkEnd w:id="0"/>
          </w:p>
        </w:tc>
      </w:tr>
      <w:tr>
        <w:tblPrEx>
          <w:tblCellMar>
            <w:top w:w="0" w:type="dxa"/>
            <w:left w:w="108" w:type="dxa"/>
            <w:bottom w:w="0" w:type="dxa"/>
            <w:right w:w="108" w:type="dxa"/>
          </w:tblCellMar>
        </w:tblPrEx>
        <w:trPr>
          <w:trHeight w:val="1072" w:hRule="atLeast"/>
        </w:trPr>
        <w:tc>
          <w:tcPr>
            <w:tcW w:w="906" w:type="dxa"/>
            <w:tcBorders>
              <w:top w:val="single" w:color="auto" w:sz="6" w:space="0"/>
              <w:left w:val="single" w:color="auto" w:sz="4" w:space="0"/>
              <w:bottom w:val="single" w:color="auto" w:sz="6" w:space="0"/>
              <w:right w:val="single" w:color="auto" w:sz="6" w:space="0"/>
            </w:tcBorders>
            <w:vAlign w:val="center"/>
          </w:tcPr>
          <w:p>
            <w:pPr>
              <w:shd w:val="clear" w:color="auto" w:fill="FFFFFF"/>
              <w:jc w:val="center"/>
              <w:rPr>
                <w:color w:val="auto"/>
                <w:highlight w:val="none"/>
              </w:rPr>
            </w:pPr>
            <w:r>
              <w:rPr>
                <w:rFonts w:hint="eastAsia"/>
                <w:color w:val="auto"/>
                <w:highlight w:val="none"/>
              </w:rPr>
              <w:t>4.2.2</w:t>
            </w:r>
          </w:p>
        </w:tc>
        <w:tc>
          <w:tcPr>
            <w:tcW w:w="2352" w:type="dxa"/>
            <w:tcBorders>
              <w:top w:val="single" w:color="auto" w:sz="6" w:space="0"/>
              <w:left w:val="single" w:color="auto" w:sz="6" w:space="0"/>
              <w:bottom w:val="single" w:color="auto" w:sz="6" w:space="0"/>
              <w:right w:val="single" w:color="auto" w:sz="6" w:space="0"/>
            </w:tcBorders>
            <w:vAlign w:val="center"/>
          </w:tcPr>
          <w:p>
            <w:pPr>
              <w:shd w:val="clear" w:color="auto" w:fill="FFFFFF"/>
              <w:rPr>
                <w:color w:val="auto"/>
                <w:highlight w:val="none"/>
              </w:rPr>
            </w:pPr>
            <w:r>
              <w:rPr>
                <w:rFonts w:hint="eastAsia"/>
                <w:color w:val="auto"/>
                <w:highlight w:val="none"/>
              </w:rPr>
              <w:t>递交投标文件地点</w:t>
            </w:r>
          </w:p>
        </w:tc>
        <w:tc>
          <w:tcPr>
            <w:tcW w:w="6098"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60" w:lineRule="auto"/>
              <w:jc w:val="left"/>
              <w:rPr>
                <w:color w:val="auto"/>
                <w:highlight w:val="none"/>
                <w:u w:val="single"/>
              </w:rPr>
            </w:pPr>
            <w:r>
              <w:rPr>
                <w:rFonts w:hint="eastAsia"/>
                <w:color w:val="auto"/>
                <w:highlight w:val="none"/>
                <w:u w:val="single"/>
              </w:rPr>
              <w:t>本项目采用“不见面”开标方式，不强制要求投标人参加现场开标会。</w:t>
            </w:r>
          </w:p>
          <w:p>
            <w:pPr>
              <w:spacing w:line="312" w:lineRule="auto"/>
              <w:ind w:firstLine="422" w:firstLineChars="200"/>
              <w:jc w:val="left"/>
              <w:rPr>
                <w:rFonts w:ascii="宋体" w:hAnsi="宋体"/>
                <w:b/>
                <w:color w:val="auto"/>
                <w:highlight w:val="none"/>
              </w:rPr>
            </w:pPr>
            <w:r>
              <w:rPr>
                <w:rFonts w:hint="eastAsia" w:ascii="宋体" w:hAnsi="宋体"/>
                <w:b/>
                <w:color w:val="auto"/>
                <w:highlight w:val="none"/>
              </w:rPr>
              <w:t>本项目投标人采用现场递交或邮寄标书递交，采用现场递交的，将密封的标书在开标当日9：00至9：30递交至绍兴市公共资源交易中心四楼指定开标室，递交标书后即交即走。采用邮寄标书递交的，将密封的标书在开标当日9：30前（以签收时间为准）邮寄至绍兴市公共资源交易中心（地址：</w:t>
            </w:r>
            <w:r>
              <w:rPr>
                <w:rFonts w:hint="eastAsia"/>
                <w:color w:val="auto"/>
                <w:highlight w:val="none"/>
              </w:rPr>
              <w:fldChar w:fldCharType="begin"/>
            </w:r>
            <w:r>
              <w:rPr>
                <w:color w:val="auto"/>
                <w:highlight w:val="none"/>
              </w:rPr>
              <w:instrText xml:space="preserve"> HYPERLINK "http://www.sxztb.gov.cn/sxweb/ReadAttachFile.aspx?AttachID=37f9b03b-ad6a-42af-b0e6-b5a96971394e" \t "_blank" </w:instrText>
            </w:r>
            <w:r>
              <w:rPr>
                <w:rFonts w:hint="eastAsia"/>
                <w:color w:val="auto"/>
                <w:highlight w:val="none"/>
              </w:rPr>
              <w:fldChar w:fldCharType="separate"/>
            </w:r>
            <w:r>
              <w:rPr>
                <w:rFonts w:hint="eastAsia" w:ascii="宋体" w:hAnsi="宋体"/>
                <w:b/>
                <w:color w:val="auto"/>
                <w:highlight w:val="none"/>
              </w:rPr>
              <w:t>绍兴市迪荡新城惠利街20号鼎盛时代大厦</w:t>
            </w:r>
            <w:r>
              <w:rPr>
                <w:rFonts w:hint="eastAsia" w:ascii="宋体" w:hAnsi="宋体"/>
                <w:b/>
                <w:color w:val="auto"/>
                <w:highlight w:val="none"/>
              </w:rPr>
              <w:fldChar w:fldCharType="end"/>
            </w:r>
            <w:r>
              <w:rPr>
                <w:rFonts w:hint="eastAsia" w:ascii="宋体" w:hAnsi="宋体"/>
                <w:b/>
                <w:color w:val="auto"/>
                <w:highlight w:val="none"/>
              </w:rPr>
              <w:t>绍兴市公共资源交易中心四楼，收件人：陈振宇，电话0575-88307031，建议采用邮政EMS邮寄）。投标人在开标现场不需要书面签字确认等有关操作。</w:t>
            </w:r>
          </w:p>
          <w:p>
            <w:pPr>
              <w:spacing w:line="312" w:lineRule="auto"/>
              <w:ind w:firstLine="422" w:firstLineChars="200"/>
              <w:jc w:val="left"/>
              <w:rPr>
                <w:rFonts w:ascii="宋体" w:hAnsi="宋体"/>
                <w:b/>
                <w:color w:val="auto"/>
                <w:highlight w:val="none"/>
              </w:rPr>
            </w:pPr>
            <w:r>
              <w:rPr>
                <w:rFonts w:hint="eastAsia" w:ascii="宋体" w:hAnsi="宋体"/>
                <w:b/>
                <w:color w:val="auto"/>
                <w:highlight w:val="none"/>
              </w:rPr>
              <w:t>注：（1）因邮寄过程中出现投标文件包封破损、文件丢失、文件送达时间延误等引起投标文件无法按时按要求送达的，其责任由投标人自行承担；（2）不接受同一单位同一项目2份或2份以上的快递形式投标文件，仅以第一份收取的快递投标文件为准。（3）接收快递方仅对快递外包装负责，对于外包装内部的密封情况由投标人自行承担责任。</w:t>
            </w:r>
          </w:p>
          <w:p>
            <w:pPr>
              <w:shd w:val="clear" w:color="auto" w:fill="FFFFFF"/>
              <w:spacing w:line="360" w:lineRule="auto"/>
              <w:jc w:val="left"/>
              <w:rPr>
                <w:color w:val="auto"/>
                <w:highlight w:val="none"/>
              </w:rPr>
            </w:pPr>
            <w:r>
              <w:rPr>
                <w:rFonts w:ascii="宋体" w:hAnsi="宋体"/>
                <w:b/>
                <w:color w:val="auto"/>
                <w:highlight w:val="none"/>
              </w:rPr>
              <w:t>投标人的法定代表人或授权委托人、项目</w:t>
            </w:r>
            <w:r>
              <w:rPr>
                <w:rFonts w:hint="eastAsia" w:ascii="宋体" w:hAnsi="宋体"/>
                <w:b/>
                <w:color w:val="auto"/>
                <w:highlight w:val="none"/>
                <w:lang w:val="en-US" w:eastAsia="zh-CN"/>
              </w:rPr>
              <w:t>负责人</w:t>
            </w:r>
            <w:r>
              <w:rPr>
                <w:rFonts w:ascii="宋体" w:hAnsi="宋体"/>
                <w:b/>
                <w:color w:val="auto"/>
                <w:highlight w:val="none"/>
              </w:rPr>
              <w:t>等均可不参加开标会议。若投标人法定代表人或授权委托人不在现场参加开标会议的，投标人需向招标代理机构人员告知联系方式，以备询标等事宜。</w:t>
            </w:r>
          </w:p>
        </w:tc>
      </w:tr>
      <w:tr>
        <w:tblPrEx>
          <w:tblCellMar>
            <w:top w:w="0" w:type="dxa"/>
            <w:left w:w="108" w:type="dxa"/>
            <w:bottom w:w="0" w:type="dxa"/>
            <w:right w:w="108" w:type="dxa"/>
          </w:tblCellMar>
        </w:tblPrEx>
        <w:trPr>
          <w:trHeight w:val="903" w:hRule="atLeast"/>
        </w:trPr>
        <w:tc>
          <w:tcPr>
            <w:tcW w:w="906" w:type="dxa"/>
            <w:tcBorders>
              <w:top w:val="single" w:color="auto" w:sz="6" w:space="0"/>
              <w:left w:val="single" w:color="auto" w:sz="4" w:space="0"/>
              <w:bottom w:val="single" w:color="auto" w:sz="6" w:space="0"/>
              <w:right w:val="single" w:color="auto" w:sz="6" w:space="0"/>
            </w:tcBorders>
            <w:vAlign w:val="center"/>
          </w:tcPr>
          <w:p>
            <w:pPr>
              <w:shd w:val="clear" w:color="auto" w:fill="FFFFFF"/>
              <w:jc w:val="center"/>
              <w:rPr>
                <w:color w:val="auto"/>
                <w:highlight w:val="none"/>
              </w:rPr>
            </w:pPr>
            <w:r>
              <w:rPr>
                <w:rFonts w:hint="eastAsia"/>
                <w:color w:val="auto"/>
                <w:highlight w:val="none"/>
              </w:rPr>
              <w:t>4.2.3</w:t>
            </w:r>
          </w:p>
        </w:tc>
        <w:tc>
          <w:tcPr>
            <w:tcW w:w="2352" w:type="dxa"/>
            <w:tcBorders>
              <w:top w:val="single" w:color="auto" w:sz="6" w:space="0"/>
              <w:left w:val="single" w:color="auto" w:sz="6" w:space="0"/>
              <w:bottom w:val="single" w:color="auto" w:sz="6" w:space="0"/>
              <w:right w:val="single" w:color="auto" w:sz="6" w:space="0"/>
            </w:tcBorders>
            <w:vAlign w:val="center"/>
          </w:tcPr>
          <w:p>
            <w:pPr>
              <w:shd w:val="clear" w:color="auto" w:fill="FFFFFF"/>
              <w:rPr>
                <w:color w:val="auto"/>
                <w:highlight w:val="none"/>
              </w:rPr>
            </w:pPr>
            <w:r>
              <w:rPr>
                <w:rFonts w:hint="eastAsia"/>
                <w:color w:val="auto"/>
                <w:highlight w:val="none"/>
              </w:rPr>
              <w:t>是否退还投标文件</w:t>
            </w:r>
          </w:p>
        </w:tc>
        <w:tc>
          <w:tcPr>
            <w:tcW w:w="6098"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288" w:lineRule="auto"/>
              <w:rPr>
                <w:color w:val="auto"/>
                <w:highlight w:val="none"/>
              </w:rPr>
            </w:pPr>
            <w:r>
              <w:rPr>
                <w:rFonts w:hint="eastAsia" w:ascii="宋体" w:hAnsi="宋体"/>
                <w:color w:val="auto"/>
                <w:highlight w:val="none"/>
                <w:bdr w:val="single" w:color="auto" w:sz="4" w:space="0"/>
              </w:rPr>
              <w:t>√</w:t>
            </w:r>
            <w:r>
              <w:rPr>
                <w:rFonts w:hint="eastAsia"/>
                <w:color w:val="auto"/>
                <w:highlight w:val="none"/>
              </w:rPr>
              <w:t>否</w:t>
            </w:r>
          </w:p>
          <w:p>
            <w:pPr>
              <w:shd w:val="clear" w:color="auto" w:fill="FFFFFF"/>
              <w:spacing w:line="288" w:lineRule="auto"/>
              <w:rPr>
                <w:color w:val="auto"/>
                <w:highlight w:val="none"/>
                <w:u w:val="single"/>
              </w:rPr>
            </w:pPr>
            <w:r>
              <w:rPr>
                <w:rFonts w:hint="eastAsia"/>
                <w:color w:val="auto"/>
                <w:highlight w:val="none"/>
              </w:rPr>
              <w:t>□是，退还安排：</w:t>
            </w:r>
          </w:p>
        </w:tc>
      </w:tr>
      <w:tr>
        <w:tblPrEx>
          <w:tblCellMar>
            <w:top w:w="0" w:type="dxa"/>
            <w:left w:w="108" w:type="dxa"/>
            <w:bottom w:w="0" w:type="dxa"/>
            <w:right w:w="108" w:type="dxa"/>
          </w:tblCellMar>
        </w:tblPrEx>
        <w:trPr>
          <w:trHeight w:val="988" w:hRule="atLeast"/>
        </w:trPr>
        <w:tc>
          <w:tcPr>
            <w:tcW w:w="906" w:type="dxa"/>
            <w:tcBorders>
              <w:top w:val="single" w:color="auto" w:sz="6" w:space="0"/>
              <w:left w:val="single" w:color="auto" w:sz="4" w:space="0"/>
              <w:bottom w:val="single" w:color="auto" w:sz="6" w:space="0"/>
              <w:right w:val="single" w:color="auto" w:sz="6" w:space="0"/>
            </w:tcBorders>
            <w:vAlign w:val="center"/>
          </w:tcPr>
          <w:p>
            <w:pPr>
              <w:shd w:val="clear" w:color="auto" w:fill="FFFFFF"/>
              <w:jc w:val="center"/>
              <w:rPr>
                <w:color w:val="auto"/>
                <w:highlight w:val="none"/>
              </w:rPr>
            </w:pPr>
            <w:r>
              <w:rPr>
                <w:rFonts w:hint="eastAsia"/>
                <w:color w:val="auto"/>
                <w:highlight w:val="none"/>
              </w:rPr>
              <w:t>5.1</w:t>
            </w:r>
          </w:p>
        </w:tc>
        <w:tc>
          <w:tcPr>
            <w:tcW w:w="2352" w:type="dxa"/>
            <w:tcBorders>
              <w:top w:val="single" w:color="auto" w:sz="6" w:space="0"/>
              <w:left w:val="single" w:color="auto" w:sz="6" w:space="0"/>
              <w:bottom w:val="single" w:color="auto" w:sz="6" w:space="0"/>
              <w:right w:val="single" w:color="auto" w:sz="6" w:space="0"/>
            </w:tcBorders>
            <w:vAlign w:val="center"/>
          </w:tcPr>
          <w:p>
            <w:pPr>
              <w:shd w:val="clear" w:color="auto" w:fill="FFFFFF"/>
              <w:rPr>
                <w:color w:val="auto"/>
                <w:highlight w:val="none"/>
              </w:rPr>
            </w:pPr>
            <w:r>
              <w:rPr>
                <w:rFonts w:hint="eastAsia"/>
                <w:color w:val="auto"/>
                <w:highlight w:val="none"/>
              </w:rPr>
              <w:t>开标时间和地点</w:t>
            </w:r>
          </w:p>
        </w:tc>
        <w:tc>
          <w:tcPr>
            <w:tcW w:w="6098"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288" w:lineRule="auto"/>
              <w:rPr>
                <w:color w:val="auto"/>
                <w:highlight w:val="none"/>
              </w:rPr>
            </w:pPr>
            <w:r>
              <w:rPr>
                <w:rFonts w:hint="eastAsia"/>
                <w:color w:val="auto"/>
                <w:highlight w:val="none"/>
              </w:rPr>
              <w:t>开标时间：同投标截止时间</w:t>
            </w:r>
          </w:p>
          <w:p>
            <w:pPr>
              <w:shd w:val="clear" w:color="auto" w:fill="FFFFFF"/>
              <w:spacing w:line="288" w:lineRule="auto"/>
              <w:rPr>
                <w:color w:val="auto"/>
                <w:highlight w:val="none"/>
                <w:u w:val="single"/>
              </w:rPr>
            </w:pPr>
            <w:r>
              <w:rPr>
                <w:rFonts w:hint="eastAsia"/>
                <w:color w:val="auto"/>
                <w:highlight w:val="none"/>
              </w:rPr>
              <w:t>开标地点：</w:t>
            </w:r>
            <w:r>
              <w:rPr>
                <w:rFonts w:hint="eastAsia"/>
                <w:color w:val="auto"/>
                <w:highlight w:val="none"/>
                <w:u w:val="single"/>
                <w:lang w:val="en-US" w:eastAsia="zh-CN"/>
              </w:rPr>
              <w:t>绍兴</w:t>
            </w:r>
            <w:r>
              <w:rPr>
                <w:rFonts w:hint="eastAsia" w:ascii="宋体" w:hAnsi="宋体"/>
                <w:color w:val="auto"/>
                <w:highlight w:val="none"/>
                <w:u w:val="single"/>
              </w:rPr>
              <w:t>市公共资源交易中心指定开标室</w:t>
            </w:r>
          </w:p>
        </w:tc>
      </w:tr>
      <w:tr>
        <w:tblPrEx>
          <w:tblCellMar>
            <w:top w:w="0" w:type="dxa"/>
            <w:left w:w="108" w:type="dxa"/>
            <w:bottom w:w="0" w:type="dxa"/>
            <w:right w:w="108" w:type="dxa"/>
          </w:tblCellMar>
        </w:tblPrEx>
        <w:trPr>
          <w:trHeight w:val="2657" w:hRule="atLeast"/>
        </w:trPr>
        <w:tc>
          <w:tcPr>
            <w:tcW w:w="906" w:type="dxa"/>
            <w:tcBorders>
              <w:top w:val="single" w:color="auto" w:sz="6" w:space="0"/>
              <w:left w:val="single" w:color="auto" w:sz="4" w:space="0"/>
              <w:bottom w:val="single" w:color="auto" w:sz="6" w:space="0"/>
              <w:right w:val="single" w:color="auto" w:sz="6" w:space="0"/>
            </w:tcBorders>
            <w:vAlign w:val="center"/>
          </w:tcPr>
          <w:p>
            <w:pPr>
              <w:shd w:val="clear" w:color="auto" w:fill="FFFFFF"/>
              <w:jc w:val="center"/>
              <w:rPr>
                <w:color w:val="auto"/>
                <w:highlight w:val="none"/>
              </w:rPr>
            </w:pPr>
            <w:r>
              <w:rPr>
                <w:rFonts w:hint="eastAsia"/>
                <w:color w:val="auto"/>
                <w:highlight w:val="none"/>
              </w:rPr>
              <w:t>5.2</w:t>
            </w:r>
          </w:p>
        </w:tc>
        <w:tc>
          <w:tcPr>
            <w:tcW w:w="2352" w:type="dxa"/>
            <w:tcBorders>
              <w:top w:val="single" w:color="auto" w:sz="6" w:space="0"/>
              <w:left w:val="single" w:color="auto" w:sz="6" w:space="0"/>
              <w:bottom w:val="single" w:color="auto" w:sz="6" w:space="0"/>
              <w:right w:val="single" w:color="auto" w:sz="6" w:space="0"/>
            </w:tcBorders>
            <w:vAlign w:val="center"/>
          </w:tcPr>
          <w:p>
            <w:pPr>
              <w:shd w:val="clear" w:color="auto" w:fill="FFFFFF"/>
              <w:rPr>
                <w:color w:val="auto"/>
                <w:highlight w:val="none"/>
              </w:rPr>
            </w:pPr>
            <w:r>
              <w:rPr>
                <w:rFonts w:hint="eastAsia"/>
                <w:color w:val="auto"/>
                <w:highlight w:val="none"/>
              </w:rPr>
              <w:t>开标程序</w:t>
            </w:r>
          </w:p>
        </w:tc>
        <w:tc>
          <w:tcPr>
            <w:tcW w:w="6098"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288" w:lineRule="auto"/>
              <w:rPr>
                <w:color w:val="auto"/>
                <w:highlight w:val="none"/>
              </w:rPr>
            </w:pPr>
            <w:r>
              <w:rPr>
                <w:rFonts w:hint="eastAsia"/>
                <w:color w:val="auto"/>
                <w:highlight w:val="none"/>
              </w:rPr>
              <w:t>（1）密封情况检查：</w:t>
            </w:r>
          </w:p>
          <w:p>
            <w:pPr>
              <w:shd w:val="clear" w:color="auto" w:fill="FFFFFF"/>
              <w:spacing w:line="288" w:lineRule="auto"/>
              <w:rPr>
                <w:color w:val="auto"/>
                <w:highlight w:val="none"/>
              </w:rPr>
            </w:pPr>
            <w:r>
              <w:rPr>
                <w:rFonts w:hint="eastAsia"/>
                <w:color w:val="auto"/>
                <w:highlight w:val="none"/>
              </w:rPr>
              <w:t>（2）开标顺序：</w:t>
            </w:r>
          </w:p>
          <w:p>
            <w:pPr>
              <w:shd w:val="clear" w:color="auto" w:fill="FFFFFF"/>
              <w:spacing w:line="288" w:lineRule="auto"/>
              <w:rPr>
                <w:color w:val="auto"/>
                <w:highlight w:val="none"/>
              </w:rPr>
            </w:pPr>
            <w:r>
              <w:rPr>
                <w:rFonts w:hint="eastAsia"/>
                <w:color w:val="auto"/>
                <w:highlight w:val="none"/>
              </w:rPr>
              <w:sym w:font="Wingdings 2" w:char="00A3"/>
            </w:r>
            <w:r>
              <w:rPr>
                <w:rFonts w:hint="eastAsia"/>
                <w:color w:val="auto"/>
                <w:highlight w:val="none"/>
              </w:rPr>
              <w:t>按评标入围产生顺序依次开标</w:t>
            </w:r>
          </w:p>
          <w:p>
            <w:pPr>
              <w:shd w:val="clear" w:color="auto" w:fill="FFFFFF"/>
              <w:spacing w:line="288" w:lineRule="auto"/>
              <w:rPr>
                <w:color w:val="auto"/>
                <w:highlight w:val="none"/>
              </w:rPr>
            </w:pPr>
            <w:r>
              <w:rPr>
                <w:rFonts w:hint="eastAsia" w:ascii="宋体" w:hAnsi="宋体"/>
                <w:color w:val="auto"/>
                <w:highlight w:val="none"/>
                <w:bdr w:val="single" w:color="auto" w:sz="4" w:space="0"/>
              </w:rPr>
              <w:t>√</w:t>
            </w:r>
            <w:r>
              <w:rPr>
                <w:rFonts w:hint="eastAsia"/>
                <w:color w:val="auto"/>
                <w:highlight w:val="none"/>
              </w:rPr>
              <w:t>按投标报名顺序依次开标</w:t>
            </w:r>
          </w:p>
          <w:p>
            <w:pPr>
              <w:shd w:val="clear" w:color="auto" w:fill="FFFFFF"/>
              <w:spacing w:line="288" w:lineRule="auto"/>
              <w:rPr>
                <w:color w:val="auto"/>
                <w:sz w:val="18"/>
                <w:szCs w:val="18"/>
                <w:highlight w:val="none"/>
              </w:rPr>
            </w:pPr>
            <w:r>
              <w:rPr>
                <w:rFonts w:hint="eastAsia"/>
                <w:color w:val="auto"/>
                <w:highlight w:val="none"/>
              </w:rPr>
              <w:t>（为确保开评标现场的疫情防控安全，到现场参与开评标的各类人员应出示浙江省健康码。为减少人员聚集程度及滞留时间，招标人、招标代理工作人员原则上不超过三人，投标人不需在开标现场。）</w:t>
            </w:r>
          </w:p>
        </w:tc>
      </w:tr>
      <w:tr>
        <w:tblPrEx>
          <w:tblCellMar>
            <w:top w:w="0" w:type="dxa"/>
            <w:left w:w="108" w:type="dxa"/>
            <w:bottom w:w="0" w:type="dxa"/>
            <w:right w:w="108" w:type="dxa"/>
          </w:tblCellMar>
        </w:tblPrEx>
        <w:trPr>
          <w:trHeight w:val="1388" w:hRule="atLeast"/>
        </w:trPr>
        <w:tc>
          <w:tcPr>
            <w:tcW w:w="906" w:type="dxa"/>
            <w:tcBorders>
              <w:top w:val="single" w:color="auto" w:sz="6" w:space="0"/>
              <w:left w:val="single" w:color="auto" w:sz="4" w:space="0"/>
              <w:bottom w:val="single" w:color="auto" w:sz="6" w:space="0"/>
              <w:right w:val="single" w:color="auto" w:sz="6" w:space="0"/>
            </w:tcBorders>
            <w:vAlign w:val="center"/>
          </w:tcPr>
          <w:p>
            <w:pPr>
              <w:shd w:val="clear" w:color="auto" w:fill="FFFFFF"/>
              <w:jc w:val="center"/>
              <w:rPr>
                <w:color w:val="auto"/>
                <w:highlight w:val="none"/>
              </w:rPr>
            </w:pPr>
            <w:r>
              <w:rPr>
                <w:rFonts w:hint="eastAsia"/>
                <w:color w:val="auto"/>
                <w:highlight w:val="none"/>
              </w:rPr>
              <w:t>6.1.1</w:t>
            </w:r>
          </w:p>
        </w:tc>
        <w:tc>
          <w:tcPr>
            <w:tcW w:w="2352" w:type="dxa"/>
            <w:tcBorders>
              <w:top w:val="single" w:color="auto" w:sz="6" w:space="0"/>
              <w:left w:val="single" w:color="auto" w:sz="6" w:space="0"/>
              <w:bottom w:val="single" w:color="auto" w:sz="6" w:space="0"/>
              <w:right w:val="single" w:color="auto" w:sz="6" w:space="0"/>
            </w:tcBorders>
            <w:vAlign w:val="center"/>
          </w:tcPr>
          <w:p>
            <w:pPr>
              <w:shd w:val="clear" w:color="auto" w:fill="FFFFFF"/>
              <w:rPr>
                <w:color w:val="auto"/>
                <w:highlight w:val="none"/>
              </w:rPr>
            </w:pPr>
            <w:r>
              <w:rPr>
                <w:rFonts w:hint="eastAsia"/>
                <w:color w:val="auto"/>
                <w:highlight w:val="none"/>
              </w:rPr>
              <w:t>评标委员会的组建</w:t>
            </w:r>
          </w:p>
        </w:tc>
        <w:tc>
          <w:tcPr>
            <w:tcW w:w="6098"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288" w:lineRule="auto"/>
              <w:rPr>
                <w:color w:val="auto"/>
                <w:highlight w:val="none"/>
              </w:rPr>
            </w:pPr>
            <w:r>
              <w:rPr>
                <w:rFonts w:hint="eastAsia"/>
                <w:color w:val="auto"/>
                <w:highlight w:val="none"/>
              </w:rPr>
              <w:t>评标委员会构成：</w:t>
            </w:r>
            <w:r>
              <w:rPr>
                <w:rFonts w:hint="eastAsia"/>
                <w:color w:val="auto"/>
                <w:highlight w:val="none"/>
                <w:u w:val="single"/>
              </w:rPr>
              <w:t xml:space="preserve">  按规定   </w:t>
            </w:r>
            <w:r>
              <w:rPr>
                <w:rFonts w:hint="eastAsia"/>
                <w:color w:val="auto"/>
                <w:highlight w:val="none"/>
              </w:rPr>
              <w:t>；</w:t>
            </w:r>
          </w:p>
          <w:p>
            <w:pPr>
              <w:shd w:val="clear" w:color="auto" w:fill="FFFFFF"/>
              <w:spacing w:line="288" w:lineRule="auto"/>
              <w:rPr>
                <w:color w:val="auto"/>
                <w:highlight w:val="none"/>
              </w:rPr>
            </w:pPr>
            <w:r>
              <w:rPr>
                <w:rFonts w:hint="eastAsia"/>
                <w:color w:val="auto"/>
                <w:highlight w:val="none"/>
              </w:rPr>
              <w:t>评标专家确定方式：</w:t>
            </w:r>
            <w:r>
              <w:rPr>
                <w:rFonts w:hint="eastAsia"/>
                <w:color w:val="auto"/>
                <w:highlight w:val="none"/>
                <w:u w:val="single"/>
              </w:rPr>
              <w:t xml:space="preserve">  按规定   </w:t>
            </w:r>
            <w:r>
              <w:rPr>
                <w:rFonts w:hint="eastAsia"/>
                <w:color w:val="auto"/>
                <w:highlight w:val="none"/>
              </w:rPr>
              <w:t>。</w:t>
            </w:r>
          </w:p>
        </w:tc>
      </w:tr>
      <w:tr>
        <w:tblPrEx>
          <w:tblCellMar>
            <w:top w:w="0" w:type="dxa"/>
            <w:left w:w="108" w:type="dxa"/>
            <w:bottom w:w="0" w:type="dxa"/>
            <w:right w:w="108" w:type="dxa"/>
          </w:tblCellMar>
        </w:tblPrEx>
        <w:trPr>
          <w:trHeight w:val="454" w:hRule="atLeast"/>
        </w:trPr>
        <w:tc>
          <w:tcPr>
            <w:tcW w:w="906" w:type="dxa"/>
            <w:tcBorders>
              <w:top w:val="single" w:color="auto" w:sz="6" w:space="0"/>
              <w:left w:val="single" w:color="auto" w:sz="4" w:space="0"/>
              <w:bottom w:val="single" w:color="auto" w:sz="6" w:space="0"/>
              <w:right w:val="single" w:color="auto" w:sz="6" w:space="0"/>
            </w:tcBorders>
            <w:vAlign w:val="center"/>
          </w:tcPr>
          <w:p>
            <w:pPr>
              <w:shd w:val="clear" w:color="auto" w:fill="FFFFFF"/>
              <w:jc w:val="center"/>
              <w:rPr>
                <w:color w:val="auto"/>
                <w:highlight w:val="none"/>
              </w:rPr>
            </w:pPr>
            <w:r>
              <w:rPr>
                <w:rFonts w:hint="eastAsia"/>
                <w:color w:val="auto"/>
                <w:highlight w:val="none"/>
              </w:rPr>
              <w:t>7.1</w:t>
            </w:r>
          </w:p>
        </w:tc>
        <w:tc>
          <w:tcPr>
            <w:tcW w:w="2352" w:type="dxa"/>
            <w:tcBorders>
              <w:top w:val="single" w:color="auto" w:sz="6" w:space="0"/>
              <w:left w:val="single" w:color="auto" w:sz="6" w:space="0"/>
              <w:bottom w:val="single" w:color="auto" w:sz="6" w:space="0"/>
              <w:right w:val="single" w:color="auto" w:sz="6" w:space="0"/>
            </w:tcBorders>
            <w:vAlign w:val="center"/>
          </w:tcPr>
          <w:p>
            <w:pPr>
              <w:shd w:val="clear" w:color="auto" w:fill="FFFFFF"/>
              <w:rPr>
                <w:color w:val="auto"/>
                <w:highlight w:val="none"/>
              </w:rPr>
            </w:pPr>
            <w:r>
              <w:rPr>
                <w:rFonts w:hint="eastAsia"/>
                <w:color w:val="auto"/>
                <w:highlight w:val="none"/>
              </w:rPr>
              <w:t>评标委员会推荐中标侯选人数量</w:t>
            </w:r>
          </w:p>
        </w:tc>
        <w:tc>
          <w:tcPr>
            <w:tcW w:w="6098"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288" w:lineRule="auto"/>
              <w:rPr>
                <w:color w:val="auto"/>
                <w:highlight w:val="none"/>
              </w:rPr>
            </w:pPr>
            <w:r>
              <w:rPr>
                <w:rFonts w:hint="eastAsia"/>
                <w:color w:val="auto"/>
                <w:highlight w:val="none"/>
                <w:u w:val="single"/>
              </w:rPr>
              <w:t xml:space="preserve">   1   </w:t>
            </w:r>
            <w:r>
              <w:rPr>
                <w:rFonts w:hint="eastAsia"/>
                <w:color w:val="auto"/>
                <w:highlight w:val="none"/>
              </w:rPr>
              <w:t>名</w:t>
            </w:r>
          </w:p>
        </w:tc>
      </w:tr>
      <w:tr>
        <w:tblPrEx>
          <w:tblCellMar>
            <w:top w:w="0" w:type="dxa"/>
            <w:left w:w="108" w:type="dxa"/>
            <w:bottom w:w="0" w:type="dxa"/>
            <w:right w:w="108" w:type="dxa"/>
          </w:tblCellMar>
        </w:tblPrEx>
        <w:trPr>
          <w:trHeight w:val="454" w:hRule="atLeast"/>
        </w:trPr>
        <w:tc>
          <w:tcPr>
            <w:tcW w:w="906" w:type="dxa"/>
            <w:tcBorders>
              <w:top w:val="single" w:color="auto" w:sz="6" w:space="0"/>
              <w:left w:val="single" w:color="auto" w:sz="4" w:space="0"/>
              <w:bottom w:val="single" w:color="auto" w:sz="4" w:space="0"/>
              <w:right w:val="single" w:color="auto" w:sz="6" w:space="0"/>
            </w:tcBorders>
            <w:vAlign w:val="center"/>
          </w:tcPr>
          <w:p>
            <w:pPr>
              <w:shd w:val="clear" w:color="auto" w:fill="FFFFFF"/>
              <w:jc w:val="center"/>
              <w:rPr>
                <w:color w:val="auto"/>
                <w:highlight w:val="none"/>
              </w:rPr>
            </w:pPr>
            <w:r>
              <w:rPr>
                <w:rFonts w:hint="eastAsia"/>
                <w:color w:val="auto"/>
                <w:highlight w:val="none"/>
              </w:rPr>
              <w:t>7.3.1</w:t>
            </w:r>
          </w:p>
        </w:tc>
        <w:tc>
          <w:tcPr>
            <w:tcW w:w="2352" w:type="dxa"/>
            <w:tcBorders>
              <w:top w:val="single" w:color="auto" w:sz="6" w:space="0"/>
              <w:left w:val="single" w:color="auto" w:sz="6" w:space="0"/>
              <w:bottom w:val="single" w:color="auto" w:sz="4" w:space="0"/>
              <w:right w:val="single" w:color="auto" w:sz="6" w:space="0"/>
            </w:tcBorders>
            <w:vAlign w:val="center"/>
          </w:tcPr>
          <w:p>
            <w:pPr>
              <w:shd w:val="clear" w:color="auto" w:fill="FFFFFF"/>
              <w:rPr>
                <w:color w:val="auto"/>
                <w:highlight w:val="none"/>
              </w:rPr>
            </w:pPr>
            <w:r>
              <w:rPr>
                <w:rFonts w:hint="eastAsia"/>
                <w:color w:val="auto"/>
                <w:highlight w:val="none"/>
              </w:rPr>
              <w:t>履约担保</w:t>
            </w:r>
          </w:p>
        </w:tc>
        <w:tc>
          <w:tcPr>
            <w:tcW w:w="6098" w:type="dxa"/>
            <w:tcBorders>
              <w:top w:val="single" w:color="auto" w:sz="6" w:space="0"/>
              <w:left w:val="single" w:color="auto" w:sz="6" w:space="0"/>
              <w:bottom w:val="single" w:color="auto" w:sz="4" w:space="0"/>
              <w:right w:val="single" w:color="auto" w:sz="4" w:space="0"/>
            </w:tcBorders>
            <w:vAlign w:val="center"/>
          </w:tcPr>
          <w:p>
            <w:pPr>
              <w:pStyle w:val="19"/>
              <w:rPr>
                <w:b/>
                <w:bCs/>
                <w:color w:val="auto"/>
                <w:szCs w:val="21"/>
                <w:highlight w:val="none"/>
              </w:rPr>
            </w:pPr>
            <w:r>
              <w:rPr>
                <w:rFonts w:hint="eastAsia"/>
                <w:b/>
                <w:bCs/>
                <w:color w:val="auto"/>
                <w:szCs w:val="21"/>
                <w:highlight w:val="none"/>
              </w:rPr>
              <w:t>担保形式采用以下形式：</w:t>
            </w:r>
            <w:r>
              <w:rPr>
                <w:rFonts w:hint="eastAsia" w:ascii="宋体" w:hAnsi="宋体"/>
                <w:b/>
                <w:bCs/>
                <w:color w:val="auto"/>
                <w:highlight w:val="none"/>
                <w:bdr w:val="single" w:color="auto" w:sz="4" w:space="0"/>
              </w:rPr>
              <w:t>√</w:t>
            </w:r>
            <w:r>
              <w:rPr>
                <w:rFonts w:hint="eastAsia"/>
                <w:b/>
                <w:bCs/>
                <w:color w:val="auto"/>
                <w:szCs w:val="21"/>
                <w:highlight w:val="none"/>
              </w:rPr>
              <w:t>保险公司保险（</w:t>
            </w:r>
            <w:r>
              <w:rPr>
                <w:rFonts w:hint="eastAsia" w:ascii="宋体" w:hAnsi="宋体" w:cs="宋体"/>
                <w:b/>
                <w:bCs/>
                <w:color w:val="auto"/>
                <w:kern w:val="0"/>
                <w:szCs w:val="21"/>
                <w:highlight w:val="none"/>
              </w:rPr>
              <w:t>须经绍兴市住建局和保险行业协会报备的绍兴市建设工程综合保险共保体保单</w:t>
            </w:r>
            <w:r>
              <w:rPr>
                <w:rFonts w:ascii="宋体" w:hAnsi="宋体" w:cs="宋体"/>
                <w:b/>
                <w:bCs/>
                <w:color w:val="auto"/>
                <w:kern w:val="0"/>
                <w:szCs w:val="21"/>
                <w:highlight w:val="none"/>
              </w:rPr>
              <w:t>或</w:t>
            </w:r>
            <w:r>
              <w:rPr>
                <w:rFonts w:hint="eastAsia" w:ascii="宋体" w:hAnsi="宋体" w:cs="宋体"/>
                <w:b/>
                <w:bCs/>
                <w:color w:val="auto"/>
                <w:kern w:val="0"/>
                <w:szCs w:val="21"/>
                <w:highlight w:val="none"/>
              </w:rPr>
              <w:t>保函）</w:t>
            </w:r>
            <w:r>
              <w:rPr>
                <w:rFonts w:hint="eastAsia"/>
                <w:b/>
                <w:bCs/>
                <w:color w:val="auto"/>
                <w:szCs w:val="21"/>
                <w:highlight w:val="none"/>
              </w:rPr>
              <w:t>、</w:t>
            </w:r>
            <w:r>
              <w:rPr>
                <w:rFonts w:hint="eastAsia" w:ascii="宋体" w:hAnsi="宋体"/>
                <w:b/>
                <w:bCs/>
                <w:color w:val="auto"/>
                <w:highlight w:val="none"/>
                <w:bdr w:val="single" w:color="auto" w:sz="4" w:space="0"/>
              </w:rPr>
              <w:t>√</w:t>
            </w:r>
            <w:r>
              <w:rPr>
                <w:rFonts w:hint="eastAsia"/>
                <w:b/>
                <w:bCs/>
                <w:color w:val="auto"/>
                <w:szCs w:val="21"/>
                <w:highlight w:val="none"/>
              </w:rPr>
              <w:t>银行保函（市区范围内符合规定要求的银行业金融机构的保函）</w:t>
            </w:r>
            <w:r>
              <w:rPr>
                <w:rFonts w:hint="eastAsia"/>
                <w:b/>
                <w:bCs/>
                <w:color w:val="auto"/>
                <w:highlight w:val="none"/>
              </w:rPr>
              <w:t>。</w:t>
            </w:r>
          </w:p>
        </w:tc>
      </w:tr>
      <w:tr>
        <w:tblPrEx>
          <w:tblCellMar>
            <w:top w:w="0" w:type="dxa"/>
            <w:left w:w="108" w:type="dxa"/>
            <w:bottom w:w="0" w:type="dxa"/>
            <w:right w:w="108" w:type="dxa"/>
          </w:tblCellMar>
        </w:tblPrEx>
        <w:trPr>
          <w:trHeight w:val="454" w:hRule="atLeast"/>
        </w:trPr>
        <w:tc>
          <w:tcPr>
            <w:tcW w:w="9356" w:type="dxa"/>
            <w:gridSpan w:val="3"/>
            <w:tcBorders>
              <w:top w:val="single" w:color="auto" w:sz="6" w:space="0"/>
              <w:left w:val="single" w:color="auto" w:sz="4" w:space="0"/>
              <w:bottom w:val="single" w:color="auto" w:sz="6" w:space="0"/>
              <w:right w:val="single" w:color="auto" w:sz="4" w:space="0"/>
            </w:tcBorders>
            <w:vAlign w:val="center"/>
          </w:tcPr>
          <w:p>
            <w:pPr>
              <w:shd w:val="clear" w:color="auto" w:fill="FFFFFF"/>
              <w:spacing w:line="312" w:lineRule="auto"/>
              <w:rPr>
                <w:rFonts w:ascii="宋体" w:hAnsi="宋体"/>
                <w:color w:val="auto"/>
                <w:szCs w:val="21"/>
                <w:highlight w:val="none"/>
              </w:rPr>
            </w:pPr>
            <w:r>
              <w:rPr>
                <w:rFonts w:hint="eastAsia"/>
                <w:color w:val="auto"/>
                <w:highlight w:val="none"/>
              </w:rPr>
              <w:t xml:space="preserve">10.  </w:t>
            </w:r>
            <w:r>
              <w:rPr>
                <w:rFonts w:hint="eastAsia" w:ascii="宋体" w:hAnsi="宋体"/>
                <w:color w:val="auto"/>
                <w:szCs w:val="21"/>
                <w:highlight w:val="none"/>
              </w:rPr>
              <w:t>需要补充的其他内容</w:t>
            </w:r>
          </w:p>
        </w:tc>
      </w:tr>
      <w:tr>
        <w:tblPrEx>
          <w:tblCellMar>
            <w:top w:w="0" w:type="dxa"/>
            <w:left w:w="108" w:type="dxa"/>
            <w:bottom w:w="0" w:type="dxa"/>
            <w:right w:w="108" w:type="dxa"/>
          </w:tblCellMar>
        </w:tblPrEx>
        <w:trPr>
          <w:trHeight w:val="454" w:hRule="atLeast"/>
        </w:trPr>
        <w:tc>
          <w:tcPr>
            <w:tcW w:w="9356" w:type="dxa"/>
            <w:gridSpan w:val="3"/>
            <w:tcBorders>
              <w:top w:val="single" w:color="auto" w:sz="6" w:space="0"/>
              <w:left w:val="single" w:color="auto" w:sz="4" w:space="0"/>
              <w:bottom w:val="single" w:color="auto" w:sz="6" w:space="0"/>
              <w:right w:val="single" w:color="auto" w:sz="4" w:space="0"/>
            </w:tcBorders>
            <w:vAlign w:val="center"/>
          </w:tcPr>
          <w:p>
            <w:pPr>
              <w:shd w:val="clear" w:color="auto" w:fill="FFFFFF"/>
              <w:spacing w:line="312" w:lineRule="auto"/>
              <w:rPr>
                <w:color w:val="auto"/>
                <w:highlight w:val="none"/>
              </w:rPr>
            </w:pPr>
            <w:r>
              <w:rPr>
                <w:rFonts w:hint="eastAsia"/>
                <w:color w:val="auto"/>
                <w:highlight w:val="none"/>
              </w:rPr>
              <w:t>10.1 词语定义</w:t>
            </w:r>
          </w:p>
        </w:tc>
      </w:tr>
      <w:tr>
        <w:tblPrEx>
          <w:tblCellMar>
            <w:top w:w="0" w:type="dxa"/>
            <w:left w:w="108" w:type="dxa"/>
            <w:bottom w:w="0" w:type="dxa"/>
            <w:right w:w="108" w:type="dxa"/>
          </w:tblCellMar>
        </w:tblPrEx>
        <w:trPr>
          <w:trHeight w:val="454" w:hRule="atLeast"/>
        </w:trPr>
        <w:tc>
          <w:tcPr>
            <w:tcW w:w="906"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12" w:lineRule="auto"/>
              <w:jc w:val="center"/>
              <w:rPr>
                <w:color w:val="auto"/>
                <w:highlight w:val="none"/>
              </w:rPr>
            </w:pPr>
            <w:r>
              <w:rPr>
                <w:rFonts w:hint="eastAsia"/>
                <w:color w:val="auto"/>
                <w:highlight w:val="none"/>
              </w:rPr>
              <w:t>10.1.1</w:t>
            </w:r>
          </w:p>
        </w:tc>
        <w:tc>
          <w:tcPr>
            <w:tcW w:w="2352"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12" w:lineRule="auto"/>
              <w:rPr>
                <w:color w:val="auto"/>
                <w:highlight w:val="none"/>
              </w:rPr>
            </w:pPr>
            <w:r>
              <w:rPr>
                <w:rFonts w:hint="eastAsia"/>
                <w:color w:val="auto"/>
                <w:highlight w:val="none"/>
              </w:rPr>
              <w:t>类似项目</w:t>
            </w:r>
          </w:p>
        </w:tc>
        <w:tc>
          <w:tcPr>
            <w:tcW w:w="6098"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12" w:lineRule="auto"/>
              <w:rPr>
                <w:color w:val="auto"/>
                <w:highlight w:val="none"/>
                <w:u w:val="single"/>
              </w:rPr>
            </w:pPr>
            <w:r>
              <w:rPr>
                <w:rFonts w:hint="eastAsia"/>
                <w:color w:val="auto"/>
                <w:highlight w:val="none"/>
              </w:rPr>
              <w:t>类似项目是指：</w:t>
            </w:r>
            <w:r>
              <w:rPr>
                <w:rFonts w:hint="eastAsia"/>
                <w:color w:val="auto"/>
                <w:highlight w:val="none"/>
                <w:u w:val="single"/>
              </w:rPr>
              <w:t xml:space="preserve">    /     </w:t>
            </w:r>
          </w:p>
        </w:tc>
      </w:tr>
      <w:tr>
        <w:tblPrEx>
          <w:tblCellMar>
            <w:top w:w="0" w:type="dxa"/>
            <w:left w:w="108" w:type="dxa"/>
            <w:bottom w:w="0" w:type="dxa"/>
            <w:right w:w="108" w:type="dxa"/>
          </w:tblCellMar>
        </w:tblPrEx>
        <w:trPr>
          <w:trHeight w:val="454" w:hRule="atLeast"/>
        </w:trPr>
        <w:tc>
          <w:tcPr>
            <w:tcW w:w="906" w:type="dxa"/>
            <w:tcBorders>
              <w:top w:val="single" w:color="auto" w:sz="6" w:space="0"/>
              <w:left w:val="single" w:color="auto" w:sz="4" w:space="0"/>
              <w:bottom w:val="single" w:color="auto" w:sz="6" w:space="0"/>
              <w:right w:val="single" w:color="auto" w:sz="6" w:space="0"/>
            </w:tcBorders>
          </w:tcPr>
          <w:p>
            <w:pPr>
              <w:shd w:val="clear" w:color="auto" w:fill="FFFFFF"/>
              <w:spacing w:line="312" w:lineRule="auto"/>
              <w:jc w:val="center"/>
              <w:rPr>
                <w:color w:val="auto"/>
                <w:highlight w:val="none"/>
              </w:rPr>
            </w:pPr>
            <w:r>
              <w:rPr>
                <w:rFonts w:hint="eastAsia"/>
                <w:color w:val="auto"/>
                <w:highlight w:val="none"/>
              </w:rPr>
              <w:t>10.1.2</w:t>
            </w:r>
          </w:p>
        </w:tc>
        <w:tc>
          <w:tcPr>
            <w:tcW w:w="2352"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12" w:lineRule="auto"/>
              <w:rPr>
                <w:color w:val="auto"/>
                <w:highlight w:val="none"/>
              </w:rPr>
            </w:pPr>
            <w:r>
              <w:rPr>
                <w:rFonts w:hint="eastAsia"/>
                <w:color w:val="auto"/>
                <w:highlight w:val="none"/>
              </w:rPr>
              <w:t>不良行为记录</w:t>
            </w:r>
          </w:p>
        </w:tc>
        <w:tc>
          <w:tcPr>
            <w:tcW w:w="6098"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12" w:lineRule="auto"/>
              <w:rPr>
                <w:color w:val="auto"/>
                <w:highlight w:val="none"/>
                <w:u w:val="single"/>
              </w:rPr>
            </w:pPr>
            <w:r>
              <w:rPr>
                <w:rFonts w:hint="eastAsia"/>
                <w:color w:val="auto"/>
                <w:highlight w:val="none"/>
              </w:rPr>
              <w:t>不良行为记录是指：</w:t>
            </w:r>
            <w:r>
              <w:rPr>
                <w:rFonts w:hint="eastAsia" w:ascii="宋体" w:hAnsi="宋体"/>
                <w:b/>
                <w:color w:val="auto"/>
                <w:highlight w:val="none"/>
                <w:u w:val="single"/>
              </w:rPr>
              <w:t>1、主管业务部门停接业务处分；2、企业和项目负责人近五年有行贿犯罪记录。</w:t>
            </w:r>
          </w:p>
        </w:tc>
      </w:tr>
      <w:tr>
        <w:tblPrEx>
          <w:tblCellMar>
            <w:top w:w="0" w:type="dxa"/>
            <w:left w:w="108" w:type="dxa"/>
            <w:bottom w:w="0" w:type="dxa"/>
            <w:right w:w="108" w:type="dxa"/>
          </w:tblCellMar>
        </w:tblPrEx>
        <w:trPr>
          <w:trHeight w:val="424" w:hRule="atLeast"/>
        </w:trPr>
        <w:tc>
          <w:tcPr>
            <w:tcW w:w="906"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12" w:lineRule="auto"/>
              <w:jc w:val="center"/>
              <w:rPr>
                <w:color w:val="auto"/>
                <w:highlight w:val="none"/>
              </w:rPr>
            </w:pPr>
            <w:r>
              <w:rPr>
                <w:rFonts w:hint="eastAsia"/>
                <w:color w:val="auto"/>
                <w:highlight w:val="none"/>
              </w:rPr>
              <w:t>…</w:t>
            </w:r>
          </w:p>
        </w:tc>
        <w:tc>
          <w:tcPr>
            <w:tcW w:w="2352"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12" w:lineRule="auto"/>
              <w:rPr>
                <w:color w:val="auto"/>
                <w:highlight w:val="none"/>
              </w:rPr>
            </w:pPr>
            <w:r>
              <w:rPr>
                <w:rFonts w:hint="eastAsia"/>
                <w:color w:val="auto"/>
                <w:highlight w:val="none"/>
              </w:rPr>
              <w:t>…</w:t>
            </w:r>
          </w:p>
        </w:tc>
        <w:tc>
          <w:tcPr>
            <w:tcW w:w="6098"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12" w:lineRule="auto"/>
              <w:rPr>
                <w:color w:val="auto"/>
                <w:highlight w:val="none"/>
              </w:rPr>
            </w:pPr>
          </w:p>
        </w:tc>
      </w:tr>
      <w:tr>
        <w:tblPrEx>
          <w:tblCellMar>
            <w:top w:w="0" w:type="dxa"/>
            <w:left w:w="108" w:type="dxa"/>
            <w:bottom w:w="0" w:type="dxa"/>
            <w:right w:w="108" w:type="dxa"/>
          </w:tblCellMar>
        </w:tblPrEx>
        <w:trPr>
          <w:trHeight w:val="454" w:hRule="atLeast"/>
        </w:trPr>
        <w:tc>
          <w:tcPr>
            <w:tcW w:w="9356" w:type="dxa"/>
            <w:gridSpan w:val="3"/>
            <w:tcBorders>
              <w:top w:val="single" w:color="auto" w:sz="6" w:space="0"/>
              <w:left w:val="single" w:color="auto" w:sz="4" w:space="0"/>
              <w:bottom w:val="single" w:color="auto" w:sz="6" w:space="0"/>
              <w:right w:val="single" w:color="auto" w:sz="4" w:space="0"/>
            </w:tcBorders>
            <w:vAlign w:val="center"/>
          </w:tcPr>
          <w:p>
            <w:pPr>
              <w:shd w:val="clear" w:color="auto" w:fill="FFFFFF"/>
              <w:spacing w:line="312" w:lineRule="auto"/>
              <w:rPr>
                <w:color w:val="auto"/>
                <w:highlight w:val="none"/>
              </w:rPr>
            </w:pPr>
            <w:r>
              <w:rPr>
                <w:rFonts w:hint="eastAsia"/>
                <w:color w:val="auto"/>
                <w:highlight w:val="none"/>
              </w:rPr>
              <w:t>10.2  招标控制价</w:t>
            </w:r>
          </w:p>
        </w:tc>
      </w:tr>
      <w:tr>
        <w:tblPrEx>
          <w:tblCellMar>
            <w:top w:w="0" w:type="dxa"/>
            <w:left w:w="108" w:type="dxa"/>
            <w:bottom w:w="0" w:type="dxa"/>
            <w:right w:w="108" w:type="dxa"/>
          </w:tblCellMar>
        </w:tblPrEx>
        <w:trPr>
          <w:trHeight w:val="1379" w:hRule="atLeast"/>
        </w:trPr>
        <w:tc>
          <w:tcPr>
            <w:tcW w:w="906"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12" w:lineRule="auto"/>
              <w:jc w:val="center"/>
              <w:rPr>
                <w:color w:val="auto"/>
                <w:highlight w:val="none"/>
              </w:rPr>
            </w:pPr>
            <w:r>
              <w:rPr>
                <w:rFonts w:hint="eastAsia"/>
                <w:color w:val="auto"/>
                <w:highlight w:val="none"/>
              </w:rPr>
              <w:t>10.2.1</w:t>
            </w:r>
          </w:p>
        </w:tc>
        <w:tc>
          <w:tcPr>
            <w:tcW w:w="2352"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12" w:lineRule="auto"/>
              <w:rPr>
                <w:color w:val="auto"/>
                <w:highlight w:val="none"/>
              </w:rPr>
            </w:pPr>
            <w:r>
              <w:rPr>
                <w:rFonts w:hint="eastAsia"/>
                <w:color w:val="auto"/>
                <w:highlight w:val="none"/>
              </w:rPr>
              <w:t>招标控制价：</w:t>
            </w:r>
          </w:p>
        </w:tc>
        <w:tc>
          <w:tcPr>
            <w:tcW w:w="6098"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12" w:lineRule="auto"/>
              <w:ind w:firstLine="420" w:firstLineChars="200"/>
              <w:rPr>
                <w:color w:val="auto"/>
                <w:highlight w:val="none"/>
              </w:rPr>
            </w:pPr>
            <w:r>
              <w:rPr>
                <w:rFonts w:hint="eastAsia"/>
                <w:color w:val="auto"/>
                <w:highlight w:val="none"/>
              </w:rPr>
              <w:t>□不设招标控制价</w:t>
            </w:r>
          </w:p>
          <w:p>
            <w:pPr>
              <w:shd w:val="clear" w:color="auto" w:fill="FFFFFF"/>
              <w:spacing w:line="312" w:lineRule="auto"/>
              <w:ind w:firstLine="420" w:firstLineChars="200"/>
              <w:rPr>
                <w:color w:val="auto"/>
                <w:highlight w:val="none"/>
              </w:rPr>
            </w:pPr>
            <w:r>
              <w:rPr>
                <w:rFonts w:hint="eastAsia"/>
                <w:color w:val="auto"/>
                <w:highlight w:val="none"/>
                <w:bdr w:val="single" w:color="auto" w:sz="4" w:space="0"/>
              </w:rPr>
              <w:t>√</w:t>
            </w:r>
            <w:r>
              <w:rPr>
                <w:rFonts w:hint="eastAsia"/>
                <w:color w:val="auto"/>
                <w:highlight w:val="none"/>
              </w:rPr>
              <w:t>设招标控制价，</w:t>
            </w:r>
            <w:r>
              <w:rPr>
                <w:rFonts w:hint="eastAsia"/>
                <w:strike/>
                <w:color w:val="auto"/>
                <w:highlight w:val="none"/>
              </w:rPr>
              <w:t>见本招标项目经审定后的标底或工程造价。</w:t>
            </w:r>
          </w:p>
        </w:tc>
      </w:tr>
      <w:tr>
        <w:tblPrEx>
          <w:tblCellMar>
            <w:top w:w="0" w:type="dxa"/>
            <w:left w:w="108" w:type="dxa"/>
            <w:bottom w:w="0" w:type="dxa"/>
            <w:right w:w="108" w:type="dxa"/>
          </w:tblCellMar>
        </w:tblPrEx>
        <w:trPr>
          <w:trHeight w:val="471" w:hRule="atLeast"/>
        </w:trPr>
        <w:tc>
          <w:tcPr>
            <w:tcW w:w="906"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12" w:lineRule="auto"/>
              <w:jc w:val="center"/>
              <w:rPr>
                <w:color w:val="auto"/>
                <w:highlight w:val="none"/>
              </w:rPr>
            </w:pPr>
            <w:r>
              <w:rPr>
                <w:rFonts w:hint="eastAsia"/>
                <w:color w:val="auto"/>
                <w:highlight w:val="none"/>
              </w:rPr>
              <w:t>10.2.2</w:t>
            </w:r>
          </w:p>
        </w:tc>
        <w:tc>
          <w:tcPr>
            <w:tcW w:w="2352"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12" w:lineRule="auto"/>
              <w:rPr>
                <w:color w:val="auto"/>
                <w:highlight w:val="none"/>
              </w:rPr>
            </w:pPr>
            <w:r>
              <w:rPr>
                <w:rFonts w:hint="eastAsia"/>
                <w:color w:val="auto"/>
                <w:highlight w:val="none"/>
              </w:rPr>
              <w:t>招标控制价的编制依据：</w:t>
            </w:r>
          </w:p>
        </w:tc>
        <w:tc>
          <w:tcPr>
            <w:tcW w:w="6098" w:type="dxa"/>
            <w:tcBorders>
              <w:top w:val="single" w:color="auto" w:sz="6" w:space="0"/>
              <w:left w:val="single" w:color="auto" w:sz="6" w:space="0"/>
              <w:bottom w:val="single" w:color="auto" w:sz="6" w:space="0"/>
              <w:right w:val="single" w:color="auto" w:sz="4" w:space="0"/>
            </w:tcBorders>
            <w:vAlign w:val="center"/>
          </w:tcPr>
          <w:p>
            <w:pPr>
              <w:pStyle w:val="130"/>
              <w:numPr>
                <w:ilvl w:val="0"/>
                <w:numId w:val="3"/>
              </w:numPr>
              <w:tabs>
                <w:tab w:val="left" w:pos="-63"/>
                <w:tab w:val="left" w:pos="360"/>
                <w:tab w:val="left" w:pos="540"/>
                <w:tab w:val="left" w:pos="780"/>
                <w:tab w:val="left" w:pos="1800"/>
              </w:tabs>
              <w:spacing w:line="360" w:lineRule="exact"/>
              <w:ind w:firstLineChars="0"/>
              <w:rPr>
                <w:rFonts w:ascii="宋体" w:hAnsi="宋体"/>
                <w:color w:val="auto"/>
                <w:szCs w:val="21"/>
                <w:highlight w:val="none"/>
              </w:rPr>
            </w:pPr>
            <w:r>
              <w:rPr>
                <w:rFonts w:ascii="宋体" w:hAnsi="宋体"/>
                <w:color w:val="auto"/>
                <w:szCs w:val="21"/>
                <w:highlight w:val="none"/>
              </w:rPr>
              <w:t>定额套用：</w:t>
            </w:r>
            <w:r>
              <w:rPr>
                <w:rFonts w:hint="eastAsia" w:ascii="宋体" w:hAnsi="宋体"/>
                <w:color w:val="auto"/>
                <w:szCs w:val="21"/>
                <w:highlight w:val="none"/>
              </w:rPr>
              <w:t>/。</w:t>
            </w:r>
          </w:p>
          <w:p>
            <w:pPr>
              <w:tabs>
                <w:tab w:val="left" w:pos="-63"/>
                <w:tab w:val="left" w:pos="360"/>
                <w:tab w:val="left" w:pos="540"/>
                <w:tab w:val="left" w:pos="780"/>
                <w:tab w:val="left" w:pos="1800"/>
              </w:tabs>
              <w:spacing w:line="360" w:lineRule="exact"/>
              <w:rPr>
                <w:rFonts w:ascii="宋体" w:hAnsi="宋体"/>
                <w:color w:val="auto"/>
                <w:szCs w:val="21"/>
                <w:highlight w:val="none"/>
              </w:rPr>
            </w:pPr>
            <w:r>
              <w:rPr>
                <w:rFonts w:hint="eastAsia" w:ascii="宋体" w:hAnsi="宋体"/>
                <w:color w:val="auto"/>
                <w:szCs w:val="21"/>
                <w:highlight w:val="none"/>
              </w:rPr>
              <w:t>二、费用计取：/</w:t>
            </w:r>
          </w:p>
          <w:p>
            <w:pPr>
              <w:rPr>
                <w:color w:val="auto"/>
                <w:highlight w:val="none"/>
              </w:rPr>
            </w:pPr>
            <w:r>
              <w:rPr>
                <w:rFonts w:hint="eastAsia"/>
                <w:color w:val="auto"/>
                <w:highlight w:val="none"/>
              </w:rPr>
              <w:t>三、所选用材料及人工的计价依据：/</w:t>
            </w:r>
          </w:p>
          <w:p>
            <w:pPr>
              <w:rPr>
                <w:color w:val="auto"/>
                <w:highlight w:val="none"/>
              </w:rPr>
            </w:pPr>
            <w:r>
              <w:rPr>
                <w:rFonts w:hint="eastAsia"/>
                <w:color w:val="auto"/>
                <w:highlight w:val="none"/>
              </w:rPr>
              <w:t>1、材料价格：/。</w:t>
            </w:r>
          </w:p>
          <w:p>
            <w:pPr>
              <w:tabs>
                <w:tab w:val="left" w:pos="-63"/>
                <w:tab w:val="left" w:pos="360"/>
                <w:tab w:val="left" w:pos="540"/>
                <w:tab w:val="left" w:pos="780"/>
                <w:tab w:val="left" w:pos="1800"/>
              </w:tabs>
              <w:spacing w:line="360" w:lineRule="exact"/>
              <w:rPr>
                <w:color w:val="auto"/>
                <w:highlight w:val="none"/>
              </w:rPr>
            </w:pPr>
            <w:r>
              <w:rPr>
                <w:rFonts w:hint="eastAsia"/>
                <w:color w:val="auto"/>
                <w:highlight w:val="none"/>
              </w:rPr>
              <w:t>2、人工单价（包括机械人工单价）：/。</w:t>
            </w:r>
          </w:p>
        </w:tc>
      </w:tr>
      <w:tr>
        <w:tblPrEx>
          <w:tblCellMar>
            <w:top w:w="0" w:type="dxa"/>
            <w:left w:w="108" w:type="dxa"/>
            <w:bottom w:w="0" w:type="dxa"/>
            <w:right w:w="108" w:type="dxa"/>
          </w:tblCellMar>
        </w:tblPrEx>
        <w:trPr>
          <w:trHeight w:val="590" w:hRule="atLeast"/>
        </w:trPr>
        <w:tc>
          <w:tcPr>
            <w:tcW w:w="9356" w:type="dxa"/>
            <w:gridSpan w:val="3"/>
            <w:tcBorders>
              <w:top w:val="single" w:color="auto" w:sz="4" w:space="0"/>
              <w:left w:val="single" w:color="auto" w:sz="4" w:space="0"/>
              <w:bottom w:val="single" w:color="auto" w:sz="6" w:space="0"/>
              <w:right w:val="single" w:color="auto" w:sz="4" w:space="0"/>
            </w:tcBorders>
            <w:vAlign w:val="center"/>
          </w:tcPr>
          <w:p>
            <w:pPr>
              <w:shd w:val="clear" w:color="auto" w:fill="FFFFFF"/>
              <w:spacing w:line="312" w:lineRule="auto"/>
              <w:rPr>
                <w:color w:val="auto"/>
                <w:highlight w:val="none"/>
              </w:rPr>
            </w:pPr>
            <w:r>
              <w:rPr>
                <w:rFonts w:hint="eastAsia"/>
                <w:color w:val="auto"/>
                <w:highlight w:val="none"/>
              </w:rPr>
              <w:t>10.3  “暗标”评审</w:t>
            </w:r>
          </w:p>
        </w:tc>
      </w:tr>
      <w:tr>
        <w:tblPrEx>
          <w:tblCellMar>
            <w:top w:w="0" w:type="dxa"/>
            <w:left w:w="108" w:type="dxa"/>
            <w:bottom w:w="0" w:type="dxa"/>
            <w:right w:w="108" w:type="dxa"/>
          </w:tblCellMar>
        </w:tblPrEx>
        <w:trPr>
          <w:trHeight w:val="2413" w:hRule="atLeast"/>
        </w:trPr>
        <w:tc>
          <w:tcPr>
            <w:tcW w:w="906" w:type="dxa"/>
            <w:tcBorders>
              <w:top w:val="single" w:color="auto" w:sz="6" w:space="0"/>
              <w:left w:val="single" w:color="auto" w:sz="4" w:space="0"/>
              <w:bottom w:val="single" w:color="auto" w:sz="6" w:space="0"/>
              <w:right w:val="single" w:color="auto" w:sz="6" w:space="0"/>
            </w:tcBorders>
            <w:vAlign w:val="center"/>
          </w:tcPr>
          <w:p>
            <w:pPr>
              <w:shd w:val="clear" w:color="auto" w:fill="FFFFFF"/>
              <w:spacing w:line="312" w:lineRule="auto"/>
              <w:jc w:val="center"/>
              <w:rPr>
                <w:color w:val="auto"/>
                <w:highlight w:val="none"/>
              </w:rPr>
            </w:pPr>
          </w:p>
        </w:tc>
        <w:tc>
          <w:tcPr>
            <w:tcW w:w="2352"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12" w:lineRule="auto"/>
              <w:rPr>
                <w:color w:val="auto"/>
                <w:highlight w:val="none"/>
              </w:rPr>
            </w:pPr>
            <w:r>
              <w:rPr>
                <w:rFonts w:hint="eastAsia"/>
                <w:color w:val="auto"/>
                <w:highlight w:val="none"/>
              </w:rPr>
              <w:t>施工组织设计是否采用“暗标”评审方式</w:t>
            </w:r>
          </w:p>
        </w:tc>
        <w:tc>
          <w:tcPr>
            <w:tcW w:w="6098" w:type="dxa"/>
            <w:tcBorders>
              <w:top w:val="single" w:color="auto" w:sz="6" w:space="0"/>
              <w:left w:val="single" w:color="auto" w:sz="6" w:space="0"/>
              <w:bottom w:val="single" w:color="auto" w:sz="6" w:space="0"/>
              <w:right w:val="single" w:color="auto" w:sz="4" w:space="0"/>
            </w:tcBorders>
            <w:vAlign w:val="center"/>
          </w:tcPr>
          <w:p>
            <w:pPr>
              <w:shd w:val="clear" w:color="auto" w:fill="FFFFFF"/>
              <w:spacing w:line="312" w:lineRule="auto"/>
              <w:rPr>
                <w:color w:val="auto"/>
                <w:highlight w:val="none"/>
              </w:rPr>
            </w:pPr>
            <w:r>
              <w:rPr>
                <w:rFonts w:hint="eastAsia"/>
                <w:color w:val="auto"/>
                <w:highlight w:val="none"/>
                <w:bdr w:val="single" w:color="auto" w:sz="4" w:space="0"/>
              </w:rPr>
              <w:t>√</w:t>
            </w:r>
            <w:r>
              <w:rPr>
                <w:rFonts w:hint="eastAsia"/>
                <w:color w:val="auto"/>
                <w:highlight w:val="none"/>
              </w:rPr>
              <w:t>不采用</w:t>
            </w:r>
          </w:p>
          <w:p>
            <w:pPr>
              <w:shd w:val="clear" w:color="auto" w:fill="FFFFFF"/>
              <w:spacing w:line="312" w:lineRule="auto"/>
              <w:rPr>
                <w:color w:val="auto"/>
                <w:highlight w:val="none"/>
              </w:rPr>
            </w:pPr>
            <w:r>
              <w:rPr>
                <w:rFonts w:hint="eastAsia"/>
                <w:color w:val="auto"/>
                <w:highlight w:val="none"/>
              </w:rPr>
              <w:t>□采用，投标人应严格按照第八章“投标</w:t>
            </w:r>
          </w:p>
          <w:p>
            <w:pPr>
              <w:shd w:val="clear" w:color="auto" w:fill="FFFFFF"/>
              <w:spacing w:line="312" w:lineRule="auto"/>
              <w:rPr>
                <w:color w:val="auto"/>
                <w:highlight w:val="none"/>
              </w:rPr>
            </w:pPr>
            <w:r>
              <w:rPr>
                <w:rFonts w:hint="eastAsia"/>
                <w:color w:val="auto"/>
                <w:highlight w:val="none"/>
              </w:rPr>
              <w:t xml:space="preserve">  文件格式”中“施工组织设计（技术暗</w:t>
            </w:r>
          </w:p>
          <w:p>
            <w:pPr>
              <w:shd w:val="clear" w:color="auto" w:fill="FFFFFF"/>
              <w:spacing w:line="312" w:lineRule="auto"/>
              <w:rPr>
                <w:color w:val="auto"/>
                <w:highlight w:val="none"/>
              </w:rPr>
            </w:pPr>
            <w:r>
              <w:rPr>
                <w:rFonts w:hint="eastAsia"/>
                <w:color w:val="auto"/>
                <w:highlight w:val="none"/>
              </w:rPr>
              <w:t xml:space="preserve">  标）编制及装订要求”编制和装订施工</w:t>
            </w:r>
          </w:p>
          <w:p>
            <w:pPr>
              <w:shd w:val="clear" w:color="auto" w:fill="FFFFFF"/>
              <w:spacing w:line="312" w:lineRule="auto"/>
              <w:rPr>
                <w:color w:val="auto"/>
                <w:highlight w:val="none"/>
              </w:rPr>
            </w:pPr>
            <w:r>
              <w:rPr>
                <w:rFonts w:hint="eastAsia"/>
                <w:color w:val="auto"/>
                <w:highlight w:val="none"/>
              </w:rPr>
              <w:t xml:space="preserve">  组织设计</w:t>
            </w:r>
          </w:p>
        </w:tc>
      </w:tr>
      <w:tr>
        <w:tblPrEx>
          <w:tblCellMar>
            <w:top w:w="0" w:type="dxa"/>
            <w:left w:w="108" w:type="dxa"/>
            <w:bottom w:w="0" w:type="dxa"/>
            <w:right w:w="108" w:type="dxa"/>
          </w:tblCellMar>
        </w:tblPrEx>
        <w:trPr>
          <w:trHeight w:val="673" w:hRule="atLeast"/>
        </w:trPr>
        <w:tc>
          <w:tcPr>
            <w:tcW w:w="9356" w:type="dxa"/>
            <w:gridSpan w:val="3"/>
            <w:tcBorders>
              <w:top w:val="single" w:color="auto" w:sz="6" w:space="0"/>
              <w:left w:val="single" w:color="auto" w:sz="4" w:space="0"/>
              <w:bottom w:val="single" w:color="auto" w:sz="6" w:space="0"/>
              <w:right w:val="single" w:color="auto" w:sz="4" w:space="0"/>
            </w:tcBorders>
            <w:vAlign w:val="center"/>
          </w:tcPr>
          <w:p>
            <w:pPr>
              <w:shd w:val="clear" w:color="auto" w:fill="FFFFFF"/>
              <w:spacing w:line="312" w:lineRule="auto"/>
              <w:rPr>
                <w:strike/>
                <w:color w:val="auto"/>
                <w:highlight w:val="none"/>
              </w:rPr>
            </w:pPr>
            <w:r>
              <w:rPr>
                <w:rFonts w:hint="eastAsia"/>
                <w:strike/>
                <w:color w:val="auto"/>
                <w:highlight w:val="none"/>
              </w:rPr>
              <w:t>10.4  电子投标</w:t>
            </w:r>
          </w:p>
        </w:tc>
      </w:tr>
      <w:tr>
        <w:tblPrEx>
          <w:tblCellMar>
            <w:top w:w="0" w:type="dxa"/>
            <w:left w:w="108" w:type="dxa"/>
            <w:bottom w:w="0" w:type="dxa"/>
            <w:right w:w="108" w:type="dxa"/>
          </w:tblCellMar>
        </w:tblPrEx>
        <w:trPr>
          <w:trHeight w:val="992" w:hRule="atLeast"/>
        </w:trPr>
        <w:tc>
          <w:tcPr>
            <w:tcW w:w="906" w:type="dxa"/>
            <w:tcBorders>
              <w:top w:val="single" w:color="auto" w:sz="6" w:space="0"/>
              <w:left w:val="single" w:color="auto" w:sz="4" w:space="0"/>
              <w:bottom w:val="single" w:color="auto" w:sz="4" w:space="0"/>
              <w:right w:val="single" w:color="auto" w:sz="4" w:space="0"/>
            </w:tcBorders>
            <w:vAlign w:val="center"/>
          </w:tcPr>
          <w:p>
            <w:pPr>
              <w:shd w:val="clear" w:color="auto" w:fill="FFFFFF"/>
              <w:spacing w:line="312" w:lineRule="auto"/>
              <w:jc w:val="center"/>
              <w:rPr>
                <w:strike/>
                <w:color w:val="auto"/>
                <w:highlight w:val="none"/>
              </w:rPr>
            </w:pPr>
            <w:r>
              <w:rPr>
                <w:rFonts w:hint="eastAsia"/>
                <w:strike/>
                <w:color w:val="auto"/>
                <w:highlight w:val="none"/>
              </w:rPr>
              <w:t>10.4.1</w:t>
            </w:r>
          </w:p>
        </w:tc>
        <w:tc>
          <w:tcPr>
            <w:tcW w:w="2352" w:type="dxa"/>
            <w:tcBorders>
              <w:top w:val="single" w:color="auto" w:sz="4" w:space="0"/>
              <w:left w:val="single" w:color="auto" w:sz="4" w:space="0"/>
              <w:bottom w:val="single" w:color="auto" w:sz="4" w:space="0"/>
              <w:right w:val="single" w:color="auto" w:sz="6" w:space="0"/>
            </w:tcBorders>
            <w:vAlign w:val="center"/>
          </w:tcPr>
          <w:p>
            <w:pPr>
              <w:shd w:val="clear" w:color="auto" w:fill="FFFFFF"/>
              <w:spacing w:line="312" w:lineRule="auto"/>
              <w:jc w:val="left"/>
              <w:rPr>
                <w:strike/>
                <w:color w:val="auto"/>
                <w:highlight w:val="none"/>
              </w:rPr>
            </w:pPr>
            <w:r>
              <w:rPr>
                <w:rFonts w:hint="eastAsia"/>
                <w:strike/>
                <w:color w:val="auto"/>
                <w:highlight w:val="none"/>
              </w:rPr>
              <w:t>是否实施电子投标</w:t>
            </w:r>
          </w:p>
        </w:tc>
        <w:tc>
          <w:tcPr>
            <w:tcW w:w="6098" w:type="dxa"/>
            <w:tcBorders>
              <w:top w:val="single" w:color="auto" w:sz="4" w:space="0"/>
              <w:left w:val="single" w:color="auto" w:sz="6" w:space="0"/>
              <w:bottom w:val="single" w:color="auto" w:sz="4" w:space="0"/>
              <w:right w:val="single" w:color="auto" w:sz="4" w:space="0"/>
            </w:tcBorders>
            <w:vAlign w:val="center"/>
          </w:tcPr>
          <w:p>
            <w:pPr>
              <w:shd w:val="clear" w:color="auto" w:fill="FFFFFF"/>
              <w:spacing w:line="312" w:lineRule="auto"/>
              <w:rPr>
                <w:strike/>
                <w:color w:val="auto"/>
                <w:highlight w:val="none"/>
              </w:rPr>
            </w:pPr>
            <w:r>
              <w:rPr>
                <w:rFonts w:hint="eastAsia"/>
                <w:strike/>
                <w:color w:val="auto"/>
                <w:highlight w:val="none"/>
              </w:rPr>
              <w:t>□否</w:t>
            </w:r>
          </w:p>
          <w:p>
            <w:pPr>
              <w:shd w:val="clear" w:color="auto" w:fill="FFFFFF"/>
              <w:spacing w:line="312" w:lineRule="auto"/>
              <w:rPr>
                <w:strike/>
                <w:color w:val="auto"/>
                <w:sz w:val="22"/>
                <w:highlight w:val="none"/>
              </w:rPr>
            </w:pPr>
            <w:r>
              <w:rPr>
                <w:rFonts w:ascii="Wingdings 2" w:hAnsi="Wingdings 2"/>
                <w:strike/>
                <w:color w:val="auto"/>
                <w:sz w:val="24"/>
                <w:highlight w:val="none"/>
              </w:rPr>
              <w:t></w:t>
            </w:r>
            <w:r>
              <w:rPr>
                <w:rFonts w:hint="eastAsia"/>
                <w:strike/>
                <w:color w:val="auto"/>
                <w:highlight w:val="none"/>
              </w:rPr>
              <w:t>是</w:t>
            </w:r>
          </w:p>
          <w:p>
            <w:pPr>
              <w:shd w:val="clear" w:color="auto" w:fill="FFFFFF"/>
              <w:spacing w:line="312" w:lineRule="auto"/>
              <w:rPr>
                <w:strike/>
                <w:color w:val="auto"/>
                <w:highlight w:val="none"/>
              </w:rPr>
            </w:pPr>
          </w:p>
        </w:tc>
      </w:tr>
      <w:tr>
        <w:tblPrEx>
          <w:tblCellMar>
            <w:top w:w="0" w:type="dxa"/>
            <w:left w:w="108" w:type="dxa"/>
            <w:bottom w:w="0" w:type="dxa"/>
            <w:right w:w="108" w:type="dxa"/>
          </w:tblCellMar>
        </w:tblPrEx>
        <w:trPr>
          <w:trHeight w:val="2913" w:hRule="atLeast"/>
        </w:trPr>
        <w:tc>
          <w:tcPr>
            <w:tcW w:w="906" w:type="dxa"/>
            <w:tcBorders>
              <w:top w:val="single" w:color="auto" w:sz="4" w:space="0"/>
              <w:left w:val="single" w:color="auto" w:sz="4" w:space="0"/>
              <w:right w:val="single" w:color="auto" w:sz="6" w:space="0"/>
            </w:tcBorders>
            <w:vAlign w:val="center"/>
          </w:tcPr>
          <w:p>
            <w:pPr>
              <w:shd w:val="clear" w:color="auto" w:fill="FFFFFF"/>
              <w:spacing w:line="312" w:lineRule="auto"/>
              <w:rPr>
                <w:strike/>
                <w:color w:val="auto"/>
                <w:highlight w:val="none"/>
              </w:rPr>
            </w:pPr>
            <w:r>
              <w:rPr>
                <w:rFonts w:hint="eastAsia"/>
                <w:strike/>
                <w:color w:val="auto"/>
                <w:highlight w:val="none"/>
              </w:rPr>
              <w:t>10.4.2</w:t>
            </w:r>
          </w:p>
        </w:tc>
        <w:tc>
          <w:tcPr>
            <w:tcW w:w="2352" w:type="dxa"/>
            <w:tcBorders>
              <w:top w:val="single" w:color="auto" w:sz="4" w:space="0"/>
              <w:left w:val="single" w:color="auto" w:sz="6" w:space="0"/>
              <w:right w:val="single" w:color="auto" w:sz="6" w:space="0"/>
            </w:tcBorders>
            <w:vAlign w:val="center"/>
          </w:tcPr>
          <w:p>
            <w:pPr>
              <w:shd w:val="clear" w:color="auto" w:fill="FFFFFF"/>
              <w:spacing w:line="312" w:lineRule="auto"/>
              <w:rPr>
                <w:strike/>
                <w:color w:val="auto"/>
                <w:highlight w:val="none"/>
              </w:rPr>
            </w:pPr>
            <w:r>
              <w:rPr>
                <w:rFonts w:hint="eastAsia"/>
                <w:strike/>
                <w:color w:val="auto"/>
                <w:highlight w:val="none"/>
              </w:rPr>
              <w:t>电子投标文件（加密及非加密）编制、递交要求（实施电子投标项目）</w:t>
            </w:r>
          </w:p>
        </w:tc>
        <w:tc>
          <w:tcPr>
            <w:tcW w:w="6098" w:type="dxa"/>
            <w:tcBorders>
              <w:top w:val="single" w:color="auto" w:sz="4" w:space="0"/>
              <w:left w:val="single" w:color="auto" w:sz="6" w:space="0"/>
              <w:bottom w:val="single" w:color="auto" w:sz="6" w:space="0"/>
              <w:right w:val="single" w:color="auto" w:sz="4" w:space="0"/>
            </w:tcBorders>
            <w:vAlign w:val="center"/>
          </w:tcPr>
          <w:p>
            <w:pPr>
              <w:shd w:val="clear" w:color="auto" w:fill="FFFFFF"/>
              <w:spacing w:line="360" w:lineRule="exact"/>
              <w:ind w:firstLine="420" w:firstLineChars="200"/>
              <w:jc w:val="left"/>
              <w:rPr>
                <w:strike/>
                <w:color w:val="auto"/>
                <w:highlight w:val="none"/>
              </w:rPr>
            </w:pPr>
            <w:r>
              <w:rPr>
                <w:rFonts w:hint="eastAsia"/>
                <w:strike/>
                <w:color w:val="auto"/>
                <w:highlight w:val="none"/>
              </w:rPr>
              <w:t>投标文件电子版内容：按本须知</w:t>
            </w:r>
            <w:r>
              <w:rPr>
                <w:rFonts w:cs="宋体"/>
                <w:strike/>
                <w:color w:val="auto"/>
                <w:highlight w:val="none"/>
              </w:rPr>
              <w:t>3.7.6</w:t>
            </w:r>
            <w:r>
              <w:rPr>
                <w:rFonts w:hint="eastAsia"/>
                <w:strike/>
                <w:color w:val="auto"/>
                <w:highlight w:val="none"/>
              </w:rPr>
              <w:t>“电子投标文件编制要求”</w:t>
            </w:r>
          </w:p>
          <w:p>
            <w:pPr>
              <w:shd w:val="clear" w:color="auto" w:fill="FFFFFF"/>
              <w:spacing w:line="312" w:lineRule="auto"/>
              <w:jc w:val="left"/>
              <w:rPr>
                <w:strike/>
                <w:color w:val="auto"/>
                <w:highlight w:val="none"/>
              </w:rPr>
            </w:pPr>
            <w:r>
              <w:rPr>
                <w:rFonts w:hint="eastAsia"/>
                <w:strike/>
                <w:color w:val="auto"/>
                <w:highlight w:val="none"/>
              </w:rPr>
              <w:t xml:space="preserve">    投标文件电子版份数：按本须知</w:t>
            </w:r>
            <w:r>
              <w:rPr>
                <w:rFonts w:cs="宋体"/>
                <w:strike/>
                <w:color w:val="auto"/>
                <w:highlight w:val="none"/>
              </w:rPr>
              <w:t>3.7.6</w:t>
            </w:r>
            <w:r>
              <w:rPr>
                <w:rFonts w:hint="eastAsia"/>
                <w:strike/>
                <w:color w:val="auto"/>
                <w:highlight w:val="none"/>
              </w:rPr>
              <w:t xml:space="preserve"> “电子投标文件编制要求”</w:t>
            </w:r>
          </w:p>
          <w:p>
            <w:pPr>
              <w:shd w:val="clear" w:color="auto" w:fill="FFFFFF"/>
              <w:spacing w:line="312" w:lineRule="auto"/>
              <w:ind w:firstLine="420" w:firstLineChars="200"/>
              <w:jc w:val="left"/>
              <w:rPr>
                <w:strike/>
                <w:color w:val="auto"/>
                <w:highlight w:val="none"/>
              </w:rPr>
            </w:pPr>
            <w:r>
              <w:rPr>
                <w:rFonts w:hint="eastAsia"/>
                <w:strike/>
                <w:color w:val="auto"/>
                <w:highlight w:val="none"/>
              </w:rPr>
              <w:t>投标文件电子版形式：按本须知</w:t>
            </w:r>
            <w:r>
              <w:rPr>
                <w:strike/>
                <w:color w:val="auto"/>
                <w:highlight w:val="none"/>
              </w:rPr>
              <w:t xml:space="preserve">3.7.6 </w:t>
            </w:r>
            <w:r>
              <w:rPr>
                <w:rFonts w:hint="eastAsia"/>
                <w:strike/>
                <w:color w:val="auto"/>
                <w:highlight w:val="none"/>
              </w:rPr>
              <w:t xml:space="preserve"> “电子投标文件编制要求”和</w:t>
            </w:r>
            <w:r>
              <w:rPr>
                <w:rFonts w:hint="eastAsia" w:cs="宋体"/>
                <w:strike/>
                <w:color w:val="auto"/>
                <w:highlight w:val="none"/>
              </w:rPr>
              <w:t>4</w:t>
            </w:r>
            <w:r>
              <w:rPr>
                <w:rFonts w:cs="宋体"/>
                <w:strike/>
                <w:color w:val="auto"/>
                <w:highlight w:val="none"/>
              </w:rPr>
              <w:t>.2.6</w:t>
            </w:r>
            <w:r>
              <w:rPr>
                <w:rFonts w:hint="eastAsia" w:cs="宋体"/>
                <w:strike/>
                <w:color w:val="auto"/>
                <w:highlight w:val="none"/>
              </w:rPr>
              <w:t>“电子投标文件报送要求”</w:t>
            </w:r>
          </w:p>
          <w:p>
            <w:pPr>
              <w:shd w:val="clear" w:color="auto" w:fill="FFFFFF"/>
              <w:spacing w:line="312" w:lineRule="auto"/>
              <w:rPr>
                <w:strike/>
                <w:color w:val="auto"/>
                <w:highlight w:val="none"/>
              </w:rPr>
            </w:pPr>
          </w:p>
        </w:tc>
      </w:tr>
      <w:tr>
        <w:tblPrEx>
          <w:tblCellMar>
            <w:top w:w="0" w:type="dxa"/>
            <w:left w:w="108" w:type="dxa"/>
            <w:bottom w:w="0" w:type="dxa"/>
            <w:right w:w="108" w:type="dxa"/>
          </w:tblCellMar>
        </w:tblPrEx>
        <w:trPr>
          <w:trHeight w:val="607" w:hRule="atLeast"/>
        </w:trPr>
        <w:tc>
          <w:tcPr>
            <w:tcW w:w="9356"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spacing w:line="312" w:lineRule="auto"/>
              <w:rPr>
                <w:color w:val="auto"/>
                <w:highlight w:val="none"/>
              </w:rPr>
            </w:pPr>
            <w:r>
              <w:rPr>
                <w:rFonts w:hint="eastAsia"/>
                <w:color w:val="auto"/>
                <w:highlight w:val="none"/>
              </w:rPr>
              <w:t>10.5  计算机辅助评标</w:t>
            </w:r>
          </w:p>
        </w:tc>
      </w:tr>
      <w:tr>
        <w:tblPrEx>
          <w:tblCellMar>
            <w:top w:w="0" w:type="dxa"/>
            <w:left w:w="108" w:type="dxa"/>
            <w:bottom w:w="0" w:type="dxa"/>
            <w:right w:w="108" w:type="dxa"/>
          </w:tblCellMar>
        </w:tblPrEx>
        <w:tc>
          <w:tcPr>
            <w:tcW w:w="906" w:type="dxa"/>
            <w:vMerge w:val="restart"/>
            <w:tcBorders>
              <w:top w:val="single" w:color="auto" w:sz="6" w:space="0"/>
              <w:left w:val="single" w:color="auto" w:sz="6" w:space="0"/>
              <w:right w:val="single" w:color="auto" w:sz="6" w:space="0"/>
            </w:tcBorders>
            <w:vAlign w:val="center"/>
          </w:tcPr>
          <w:p>
            <w:pPr>
              <w:shd w:val="clear" w:color="auto" w:fill="FFFFFF"/>
              <w:spacing w:line="312" w:lineRule="auto"/>
              <w:jc w:val="center"/>
              <w:rPr>
                <w:color w:val="auto"/>
                <w:highlight w:val="none"/>
              </w:rPr>
            </w:pPr>
          </w:p>
        </w:tc>
        <w:tc>
          <w:tcPr>
            <w:tcW w:w="2352" w:type="dxa"/>
            <w:vMerge w:val="restart"/>
            <w:tcBorders>
              <w:top w:val="single" w:color="auto" w:sz="6" w:space="0"/>
              <w:left w:val="single" w:color="auto" w:sz="6" w:space="0"/>
              <w:right w:val="single" w:color="auto" w:sz="6" w:space="0"/>
            </w:tcBorders>
            <w:vAlign w:val="center"/>
          </w:tcPr>
          <w:p>
            <w:pPr>
              <w:shd w:val="clear" w:color="auto" w:fill="FFFFFF"/>
              <w:spacing w:line="312" w:lineRule="auto"/>
              <w:rPr>
                <w:color w:val="auto"/>
                <w:highlight w:val="none"/>
              </w:rPr>
            </w:pPr>
            <w:r>
              <w:rPr>
                <w:rFonts w:hint="eastAsia"/>
                <w:color w:val="auto"/>
                <w:highlight w:val="none"/>
              </w:rPr>
              <w:t>是否实行计算机辅助评标</w:t>
            </w:r>
          </w:p>
        </w:tc>
        <w:tc>
          <w:tcPr>
            <w:tcW w:w="6098"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12" w:lineRule="auto"/>
              <w:rPr>
                <w:color w:val="auto"/>
                <w:highlight w:val="none"/>
              </w:rPr>
            </w:pPr>
            <w:r>
              <w:rPr>
                <w:rFonts w:hint="eastAsia"/>
                <w:color w:val="auto"/>
                <w:highlight w:val="none"/>
              </w:rPr>
              <w:sym w:font="Wingdings 2" w:char="0052"/>
            </w:r>
            <w:r>
              <w:rPr>
                <w:rFonts w:hint="eastAsia"/>
                <w:color w:val="auto"/>
                <w:highlight w:val="none"/>
              </w:rPr>
              <w:t>否</w:t>
            </w:r>
          </w:p>
        </w:tc>
      </w:tr>
      <w:tr>
        <w:tblPrEx>
          <w:tblCellMar>
            <w:top w:w="0" w:type="dxa"/>
            <w:left w:w="108" w:type="dxa"/>
            <w:bottom w:w="0" w:type="dxa"/>
            <w:right w:w="108" w:type="dxa"/>
          </w:tblCellMar>
        </w:tblPrEx>
        <w:tc>
          <w:tcPr>
            <w:tcW w:w="906" w:type="dxa"/>
            <w:vMerge w:val="continue"/>
            <w:tcBorders>
              <w:left w:val="single" w:color="auto" w:sz="6" w:space="0"/>
              <w:bottom w:val="single" w:color="auto" w:sz="6" w:space="0"/>
              <w:right w:val="single" w:color="auto" w:sz="6" w:space="0"/>
            </w:tcBorders>
          </w:tcPr>
          <w:p>
            <w:pPr>
              <w:shd w:val="clear" w:color="auto" w:fill="FFFFFF"/>
              <w:spacing w:line="312" w:lineRule="auto"/>
              <w:jc w:val="center"/>
              <w:rPr>
                <w:color w:val="auto"/>
                <w:highlight w:val="none"/>
              </w:rPr>
            </w:pPr>
          </w:p>
        </w:tc>
        <w:tc>
          <w:tcPr>
            <w:tcW w:w="2352" w:type="dxa"/>
            <w:vMerge w:val="continue"/>
            <w:tcBorders>
              <w:left w:val="single" w:color="auto" w:sz="6" w:space="0"/>
              <w:bottom w:val="single" w:color="auto" w:sz="6" w:space="0"/>
              <w:right w:val="single" w:color="auto" w:sz="6" w:space="0"/>
            </w:tcBorders>
          </w:tcPr>
          <w:p>
            <w:pPr>
              <w:shd w:val="clear" w:color="auto" w:fill="FFFFFF"/>
              <w:spacing w:line="312" w:lineRule="auto"/>
              <w:rPr>
                <w:color w:val="auto"/>
                <w:highlight w:val="none"/>
              </w:rPr>
            </w:pPr>
          </w:p>
        </w:tc>
        <w:tc>
          <w:tcPr>
            <w:tcW w:w="6098"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12" w:lineRule="auto"/>
              <w:ind w:left="210" w:hanging="210" w:hangingChars="100"/>
              <w:rPr>
                <w:color w:val="auto"/>
                <w:highlight w:val="none"/>
              </w:rPr>
            </w:pPr>
            <w:r>
              <w:rPr>
                <w:rFonts w:hint="eastAsia"/>
                <w:color w:val="auto"/>
                <w:highlight w:val="none"/>
              </w:rPr>
              <w:sym w:font="Wingdings 2" w:char="00A3"/>
            </w:r>
            <w:r>
              <w:rPr>
                <w:rFonts w:hint="eastAsia"/>
                <w:color w:val="auto"/>
                <w:highlight w:val="none"/>
              </w:rPr>
              <w:t>是</w:t>
            </w:r>
          </w:p>
          <w:p>
            <w:pPr>
              <w:shd w:val="clear" w:color="auto" w:fill="FFFFFF"/>
              <w:spacing w:line="312" w:lineRule="auto"/>
              <w:ind w:left="210" w:hanging="210" w:hangingChars="100"/>
              <w:rPr>
                <w:color w:val="auto"/>
                <w:highlight w:val="none"/>
              </w:rPr>
            </w:pPr>
            <w:r>
              <w:rPr>
                <w:rFonts w:hint="eastAsia"/>
                <w:color w:val="auto"/>
                <w:highlight w:val="none"/>
              </w:rPr>
              <w:t>计算机辅助评标方法见第三章“评标办法”。</w:t>
            </w:r>
          </w:p>
        </w:tc>
      </w:tr>
      <w:tr>
        <w:tblPrEx>
          <w:tblCellMar>
            <w:top w:w="0" w:type="dxa"/>
            <w:left w:w="108" w:type="dxa"/>
            <w:bottom w:w="0" w:type="dxa"/>
            <w:right w:w="108" w:type="dxa"/>
          </w:tblCellMar>
        </w:tblPrEx>
        <w:trPr>
          <w:trHeight w:val="513" w:hRule="atLeast"/>
        </w:trPr>
        <w:tc>
          <w:tcPr>
            <w:tcW w:w="9356"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spacing w:line="312" w:lineRule="auto"/>
              <w:ind w:left="210" w:hanging="210" w:hangingChars="100"/>
              <w:rPr>
                <w:color w:val="auto"/>
                <w:highlight w:val="none"/>
              </w:rPr>
            </w:pPr>
            <w:r>
              <w:rPr>
                <w:rFonts w:hint="eastAsia"/>
                <w:color w:val="auto"/>
                <w:highlight w:val="none"/>
              </w:rPr>
              <w:t>10.6  投标人代表出席开标会</w:t>
            </w:r>
          </w:p>
        </w:tc>
      </w:tr>
      <w:tr>
        <w:tblPrEx>
          <w:tblCellMar>
            <w:top w:w="0" w:type="dxa"/>
            <w:left w:w="108" w:type="dxa"/>
            <w:bottom w:w="0" w:type="dxa"/>
            <w:right w:w="108" w:type="dxa"/>
          </w:tblCellMar>
        </w:tblPrEx>
        <w:trPr>
          <w:trHeight w:val="553" w:hRule="atLeast"/>
        </w:trPr>
        <w:tc>
          <w:tcPr>
            <w:tcW w:w="906"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12" w:lineRule="auto"/>
              <w:rPr>
                <w:color w:val="auto"/>
                <w:highlight w:val="none"/>
              </w:rPr>
            </w:pPr>
          </w:p>
        </w:tc>
        <w:tc>
          <w:tcPr>
            <w:tcW w:w="8450" w:type="dxa"/>
            <w:gridSpan w:val="2"/>
            <w:tcBorders>
              <w:top w:val="single" w:color="auto" w:sz="6" w:space="0"/>
              <w:left w:val="single" w:color="auto" w:sz="6" w:space="0"/>
              <w:bottom w:val="single" w:color="auto" w:sz="6" w:space="0"/>
              <w:right w:val="single" w:color="auto" w:sz="6" w:space="0"/>
            </w:tcBorders>
            <w:vAlign w:val="center"/>
          </w:tcPr>
          <w:p>
            <w:pPr>
              <w:pStyle w:val="137"/>
              <w:spacing w:line="312" w:lineRule="auto"/>
              <w:ind w:firstLineChars="0"/>
              <w:rPr>
                <w:rFonts w:ascii="宋体" w:hAnsi="宋体"/>
                <w:strike/>
                <w:color w:val="auto"/>
                <w:highlight w:val="none"/>
              </w:rPr>
            </w:pPr>
            <w:r>
              <w:rPr>
                <w:rFonts w:hint="eastAsia" w:ascii="宋体" w:hAnsi="宋体"/>
                <w:strike/>
                <w:color w:val="auto"/>
                <w:highlight w:val="none"/>
              </w:rPr>
              <w:t>1、投标人法定代表人（企业负责人、技术负责人）或其授权委托人及项目负责人应按时参加开标会议。</w:t>
            </w:r>
          </w:p>
          <w:p>
            <w:pPr>
              <w:spacing w:line="312" w:lineRule="auto"/>
              <w:ind w:firstLine="420" w:firstLineChars="200"/>
              <w:rPr>
                <w:rFonts w:ascii="宋体" w:hAnsi="宋体"/>
                <w:bCs/>
                <w:strike/>
                <w:color w:val="auto"/>
                <w:highlight w:val="none"/>
              </w:rPr>
            </w:pPr>
            <w:r>
              <w:rPr>
                <w:rFonts w:hint="eastAsia" w:ascii="宋体" w:hAnsi="宋体"/>
                <w:bCs/>
                <w:strike/>
                <w:color w:val="auto"/>
                <w:highlight w:val="none"/>
              </w:rPr>
              <w:t>2、投标人的法定代表人（企业负责人、技术负责人）应与市公共资源交易中心入库登记中企业资质证书的内容一致。若企业资质证书上无企业负责人和技术负责人信息的，应与省（自治区、直辖市）住房城乡建设主管部门建筑市场监管与诚信信息平台登记的人员信息一致。以上人员在参加开标会议时携带本人身份证、省（自治区、直辖市）住房城乡建设主管部门建筑市场监管与诚信信息平台载明人员信息的网页打印件并加盖公章，否则视为自愿放弃投标。</w:t>
            </w:r>
          </w:p>
          <w:p>
            <w:pPr>
              <w:spacing w:line="312" w:lineRule="auto"/>
              <w:ind w:firstLine="315" w:firstLineChars="150"/>
              <w:rPr>
                <w:rFonts w:ascii="宋体" w:hAnsi="宋体"/>
                <w:bCs/>
                <w:strike/>
                <w:color w:val="auto"/>
                <w:highlight w:val="none"/>
              </w:rPr>
            </w:pPr>
            <w:r>
              <w:rPr>
                <w:rFonts w:hint="eastAsia" w:ascii="宋体" w:hAnsi="宋体"/>
                <w:bCs/>
                <w:strike/>
                <w:color w:val="auto"/>
                <w:highlight w:val="none"/>
              </w:rPr>
              <w:t>3、参加投标会议的投标人代表均须随带本人居民二代身份证准时参加开标，否则视为自愿放弃投标。</w:t>
            </w:r>
          </w:p>
          <w:p>
            <w:pPr>
              <w:ind w:firstLine="420" w:firstLineChars="200"/>
              <w:rPr>
                <w:strike/>
                <w:color w:val="auto"/>
                <w:highlight w:val="none"/>
              </w:rPr>
            </w:pPr>
            <w:r>
              <w:rPr>
                <w:rFonts w:hint="eastAsia"/>
                <w:strike/>
                <w:color w:val="auto"/>
                <w:highlight w:val="none"/>
              </w:rPr>
              <w:t>4、非电子投标项目，授权委托人参加开标的，应出示授权委托书，否则不接受其投标。</w:t>
            </w:r>
          </w:p>
          <w:p>
            <w:pPr>
              <w:shd w:val="clear" w:color="auto" w:fill="FFFFFF"/>
              <w:spacing w:line="360" w:lineRule="auto"/>
              <w:ind w:firstLine="420" w:firstLineChars="200"/>
              <w:jc w:val="left"/>
              <w:rPr>
                <w:strike/>
                <w:color w:val="auto"/>
                <w:highlight w:val="none"/>
              </w:rPr>
            </w:pPr>
            <w:r>
              <w:rPr>
                <w:rFonts w:hint="eastAsia"/>
                <w:strike/>
                <w:color w:val="auto"/>
                <w:highlight w:val="none"/>
              </w:rPr>
              <w:t>5、投标人法定代表人的授权委托人必须为绍兴市公共资源交易中心交易员，否则不接受其投标。</w:t>
            </w:r>
          </w:p>
          <w:p>
            <w:pPr>
              <w:shd w:val="clear" w:color="auto" w:fill="FFFFFF"/>
              <w:spacing w:line="360" w:lineRule="auto"/>
              <w:ind w:firstLine="422" w:firstLineChars="200"/>
              <w:jc w:val="left"/>
              <w:rPr>
                <w:rFonts w:ascii="宋体" w:hAnsi="宋体" w:cs="宋体"/>
                <w:b/>
                <w:color w:val="auto"/>
                <w:szCs w:val="21"/>
                <w:highlight w:val="none"/>
              </w:rPr>
            </w:pPr>
            <w:r>
              <w:rPr>
                <w:rFonts w:hint="eastAsia" w:ascii="宋体" w:hAnsi="宋体" w:cs="宋体"/>
                <w:b/>
                <w:color w:val="auto"/>
                <w:szCs w:val="21"/>
                <w:highlight w:val="none"/>
              </w:rPr>
              <w:t>投标人的法定代表人或授权委托人、项目负责人等均可不参加开标会议。若投标人法定代表人或授权委托人不在现场参加开标会议的，投标人需向招标代理机构人员告知联系方式，以备询标等事宜。若委派授权委托人在现场参加开标会议的，授权委托人均由投标人自行选择确定，但不得委派受疫情影响需要隔离的人员。</w:t>
            </w:r>
          </w:p>
          <w:p>
            <w:pPr>
              <w:shd w:val="clear" w:color="auto" w:fill="FFFFFF"/>
              <w:ind w:firstLine="420" w:firstLineChars="200"/>
              <w:rPr>
                <w:strike/>
                <w:color w:val="auto"/>
                <w:highlight w:val="none"/>
              </w:rPr>
            </w:pPr>
          </w:p>
        </w:tc>
      </w:tr>
      <w:tr>
        <w:tblPrEx>
          <w:tblCellMar>
            <w:top w:w="0" w:type="dxa"/>
            <w:left w:w="108" w:type="dxa"/>
            <w:bottom w:w="0" w:type="dxa"/>
            <w:right w:w="108" w:type="dxa"/>
          </w:tblCellMar>
        </w:tblPrEx>
        <w:trPr>
          <w:trHeight w:val="513" w:hRule="atLeast"/>
        </w:trPr>
        <w:tc>
          <w:tcPr>
            <w:tcW w:w="9356"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rPr>
                <w:color w:val="auto"/>
                <w:highlight w:val="none"/>
              </w:rPr>
            </w:pPr>
            <w:r>
              <w:rPr>
                <w:rFonts w:hint="eastAsia"/>
                <w:color w:val="auto"/>
                <w:highlight w:val="none"/>
              </w:rPr>
              <w:t>10.7  中标公示</w:t>
            </w:r>
          </w:p>
        </w:tc>
      </w:tr>
      <w:tr>
        <w:tblPrEx>
          <w:tblCellMar>
            <w:top w:w="0" w:type="dxa"/>
            <w:left w:w="108" w:type="dxa"/>
            <w:bottom w:w="0" w:type="dxa"/>
            <w:right w:w="108" w:type="dxa"/>
          </w:tblCellMar>
        </w:tblPrEx>
        <w:trPr>
          <w:trHeight w:val="1108" w:hRule="atLeast"/>
        </w:trPr>
        <w:tc>
          <w:tcPr>
            <w:tcW w:w="906"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12" w:lineRule="auto"/>
              <w:rPr>
                <w:color w:val="auto"/>
                <w:highlight w:val="none"/>
              </w:rPr>
            </w:pPr>
          </w:p>
        </w:tc>
        <w:tc>
          <w:tcPr>
            <w:tcW w:w="8450" w:type="dxa"/>
            <w:gridSpan w:val="2"/>
            <w:tcBorders>
              <w:top w:val="single" w:color="auto" w:sz="6" w:space="0"/>
              <w:left w:val="single" w:color="auto" w:sz="6" w:space="0"/>
              <w:bottom w:val="single" w:color="auto" w:sz="6" w:space="0"/>
              <w:right w:val="single" w:color="auto" w:sz="6" w:space="0"/>
            </w:tcBorders>
            <w:vAlign w:val="center"/>
          </w:tcPr>
          <w:p>
            <w:pPr>
              <w:pStyle w:val="122"/>
              <w:shd w:val="clear" w:color="auto" w:fill="FFFFFF"/>
              <w:autoSpaceDN w:val="0"/>
              <w:spacing w:line="432" w:lineRule="auto"/>
              <w:jc w:val="left"/>
              <w:rPr>
                <w:color w:val="auto"/>
                <w:highlight w:val="none"/>
              </w:rPr>
            </w:pPr>
            <w:r>
              <w:rPr>
                <w:rFonts w:hint="eastAsia" w:ascii="宋体" w:hAnsi="宋体"/>
                <w:color w:val="auto"/>
                <w:highlight w:val="none"/>
                <w:shd w:val="clear" w:color="auto" w:fill="FCFCFC"/>
              </w:rPr>
              <w:t>在中标公示前，招标人通过中国裁判文书网（http://wenshu.court.gov.cn/）按照招标文件约定对拟中标单位及其拟派项目负责人的行贿犯罪记录进行查询，查询结果以网站页面显示内容为准。如无行贿犯罪记录，则对中标候选人的情况（有业绩要求的，包括业绩）在绍兴公共资源交易网予以公示，公示期间招标人将对业绩及相关资质、证书原件等进行核查并</w:t>
            </w:r>
            <w:r>
              <w:rPr>
                <w:rFonts w:hint="eastAsia"/>
                <w:color w:val="auto"/>
                <w:highlight w:val="none"/>
              </w:rPr>
              <w:t>将相关核查资料存档备案</w:t>
            </w:r>
            <w:r>
              <w:rPr>
                <w:rFonts w:hint="eastAsia" w:ascii="宋体" w:hAnsi="宋体"/>
                <w:color w:val="auto"/>
                <w:highlight w:val="none"/>
                <w:shd w:val="clear" w:color="auto" w:fill="FCFCFC"/>
              </w:rPr>
              <w:t>，公示期为3个工作日。</w:t>
            </w:r>
          </w:p>
        </w:tc>
      </w:tr>
      <w:tr>
        <w:tblPrEx>
          <w:tblCellMar>
            <w:top w:w="0" w:type="dxa"/>
            <w:left w:w="108" w:type="dxa"/>
            <w:bottom w:w="0" w:type="dxa"/>
            <w:right w:w="108" w:type="dxa"/>
          </w:tblCellMar>
        </w:tblPrEx>
        <w:trPr>
          <w:trHeight w:val="513" w:hRule="atLeast"/>
        </w:trPr>
        <w:tc>
          <w:tcPr>
            <w:tcW w:w="9356"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spacing w:line="312" w:lineRule="auto"/>
              <w:ind w:left="210" w:hanging="210" w:hangingChars="100"/>
              <w:rPr>
                <w:color w:val="auto"/>
                <w:highlight w:val="none"/>
              </w:rPr>
            </w:pPr>
            <w:r>
              <w:rPr>
                <w:rFonts w:hint="eastAsia"/>
                <w:color w:val="auto"/>
                <w:highlight w:val="none"/>
              </w:rPr>
              <w:t>10.8  知识产权</w:t>
            </w:r>
          </w:p>
        </w:tc>
      </w:tr>
      <w:tr>
        <w:tblPrEx>
          <w:tblCellMar>
            <w:top w:w="0" w:type="dxa"/>
            <w:left w:w="108" w:type="dxa"/>
            <w:bottom w:w="0" w:type="dxa"/>
            <w:right w:w="108" w:type="dxa"/>
          </w:tblCellMar>
        </w:tblPrEx>
        <w:trPr>
          <w:trHeight w:val="1203" w:hRule="atLeast"/>
        </w:trPr>
        <w:tc>
          <w:tcPr>
            <w:tcW w:w="906"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12" w:lineRule="auto"/>
              <w:rPr>
                <w:color w:val="auto"/>
                <w:highlight w:val="none"/>
              </w:rPr>
            </w:pPr>
          </w:p>
        </w:tc>
        <w:tc>
          <w:tcPr>
            <w:tcW w:w="8450"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spacing w:line="312" w:lineRule="auto"/>
              <w:ind w:firstLine="420" w:firstLineChars="200"/>
              <w:rPr>
                <w:color w:val="auto"/>
                <w:highlight w:val="none"/>
              </w:rPr>
            </w:pPr>
            <w:r>
              <w:rPr>
                <w:rFonts w:hint="eastAsia"/>
                <w:color w:val="auto"/>
                <w:highlight w:val="none"/>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得擅自复印或提供给第三人。</w:t>
            </w:r>
          </w:p>
        </w:tc>
      </w:tr>
      <w:tr>
        <w:tblPrEx>
          <w:tblCellMar>
            <w:top w:w="0" w:type="dxa"/>
            <w:left w:w="108" w:type="dxa"/>
            <w:bottom w:w="0" w:type="dxa"/>
            <w:right w:w="108" w:type="dxa"/>
          </w:tblCellMar>
        </w:tblPrEx>
        <w:trPr>
          <w:trHeight w:val="513" w:hRule="atLeast"/>
        </w:trPr>
        <w:tc>
          <w:tcPr>
            <w:tcW w:w="9356"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rPr>
                <w:color w:val="auto"/>
                <w:highlight w:val="none"/>
              </w:rPr>
            </w:pPr>
            <w:r>
              <w:rPr>
                <w:rFonts w:hint="eastAsia"/>
                <w:color w:val="auto"/>
                <w:highlight w:val="none"/>
              </w:rPr>
              <w:t>10.9  重新招标的其他情形</w:t>
            </w:r>
          </w:p>
        </w:tc>
      </w:tr>
      <w:tr>
        <w:tblPrEx>
          <w:tblCellMar>
            <w:top w:w="0" w:type="dxa"/>
            <w:left w:w="108" w:type="dxa"/>
            <w:bottom w:w="0" w:type="dxa"/>
            <w:right w:w="108" w:type="dxa"/>
          </w:tblCellMar>
        </w:tblPrEx>
        <w:trPr>
          <w:trHeight w:val="810" w:hRule="atLeast"/>
        </w:trPr>
        <w:tc>
          <w:tcPr>
            <w:tcW w:w="906"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12" w:lineRule="auto"/>
              <w:rPr>
                <w:color w:val="auto"/>
                <w:highlight w:val="none"/>
              </w:rPr>
            </w:pPr>
          </w:p>
        </w:tc>
        <w:tc>
          <w:tcPr>
            <w:tcW w:w="8450"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ind w:firstLine="420" w:firstLineChars="200"/>
              <w:rPr>
                <w:color w:val="auto"/>
                <w:highlight w:val="none"/>
              </w:rPr>
            </w:pPr>
          </w:p>
          <w:p>
            <w:pPr>
              <w:shd w:val="clear" w:color="auto" w:fill="FFFFFF"/>
              <w:ind w:firstLine="420" w:firstLineChars="200"/>
              <w:rPr>
                <w:color w:val="auto"/>
                <w:highlight w:val="none"/>
              </w:rPr>
            </w:pPr>
            <w:r>
              <w:rPr>
                <w:rFonts w:hint="eastAsia"/>
                <w:color w:val="auto"/>
                <w:highlight w:val="none"/>
              </w:rPr>
              <w:t>除投标人须知正文第8条规定的情形外，除非已经产生中标候选人，在投标有效期内同意延长投标有效期的投标人少于三个的，招标人应当依法重新招标。</w:t>
            </w:r>
          </w:p>
          <w:p>
            <w:pPr>
              <w:shd w:val="clear" w:color="auto" w:fill="FFFFFF"/>
              <w:ind w:firstLine="420" w:firstLineChars="200"/>
              <w:rPr>
                <w:color w:val="auto"/>
                <w:highlight w:val="none"/>
              </w:rPr>
            </w:pPr>
          </w:p>
        </w:tc>
      </w:tr>
      <w:tr>
        <w:tblPrEx>
          <w:tblCellMar>
            <w:top w:w="0" w:type="dxa"/>
            <w:left w:w="108" w:type="dxa"/>
            <w:bottom w:w="0" w:type="dxa"/>
            <w:right w:w="108" w:type="dxa"/>
          </w:tblCellMar>
        </w:tblPrEx>
        <w:trPr>
          <w:trHeight w:val="513" w:hRule="atLeast"/>
        </w:trPr>
        <w:tc>
          <w:tcPr>
            <w:tcW w:w="9356"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spacing w:line="312" w:lineRule="auto"/>
              <w:ind w:left="210" w:hanging="210" w:hangingChars="100"/>
              <w:rPr>
                <w:color w:val="auto"/>
                <w:highlight w:val="none"/>
              </w:rPr>
            </w:pPr>
            <w:r>
              <w:rPr>
                <w:rFonts w:hint="eastAsia"/>
                <w:color w:val="auto"/>
                <w:highlight w:val="none"/>
              </w:rPr>
              <w:t>10.10  同义词语</w:t>
            </w:r>
          </w:p>
        </w:tc>
      </w:tr>
      <w:tr>
        <w:tblPrEx>
          <w:tblCellMar>
            <w:top w:w="0" w:type="dxa"/>
            <w:left w:w="108" w:type="dxa"/>
            <w:bottom w:w="0" w:type="dxa"/>
            <w:right w:w="108" w:type="dxa"/>
          </w:tblCellMar>
        </w:tblPrEx>
        <w:trPr>
          <w:trHeight w:val="90" w:hRule="atLeast"/>
        </w:trPr>
        <w:tc>
          <w:tcPr>
            <w:tcW w:w="906"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12" w:lineRule="auto"/>
              <w:rPr>
                <w:color w:val="auto"/>
                <w:highlight w:val="none"/>
              </w:rPr>
            </w:pPr>
          </w:p>
        </w:tc>
        <w:tc>
          <w:tcPr>
            <w:tcW w:w="8450"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ind w:firstLine="420" w:firstLineChars="200"/>
              <w:rPr>
                <w:color w:val="auto"/>
                <w:highlight w:val="none"/>
              </w:rPr>
            </w:pPr>
            <w:r>
              <w:rPr>
                <w:rFonts w:hint="eastAsia"/>
                <w:color w:val="auto"/>
                <w:highlight w:val="none"/>
              </w:rPr>
              <w:t>构成招标文件组成部分的“通用合同条款”、“专用合同条款”、“技术标准和要求”和“工程量清单”等章节中出现的措辞“招标人”和“承包人”，在招标投标阶段应当分别按“招标人”和“投标人”进行理解，“项目负责人”按“项目负责人”进行理解。</w:t>
            </w:r>
          </w:p>
        </w:tc>
      </w:tr>
      <w:tr>
        <w:tblPrEx>
          <w:tblCellMar>
            <w:top w:w="0" w:type="dxa"/>
            <w:left w:w="108" w:type="dxa"/>
            <w:bottom w:w="0" w:type="dxa"/>
            <w:right w:w="108" w:type="dxa"/>
          </w:tblCellMar>
        </w:tblPrEx>
        <w:trPr>
          <w:trHeight w:val="513" w:hRule="atLeast"/>
        </w:trPr>
        <w:tc>
          <w:tcPr>
            <w:tcW w:w="9356"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spacing w:line="312" w:lineRule="auto"/>
              <w:ind w:left="210" w:hanging="210" w:hangingChars="100"/>
              <w:rPr>
                <w:color w:val="auto"/>
                <w:highlight w:val="none"/>
              </w:rPr>
            </w:pPr>
            <w:r>
              <w:rPr>
                <w:rFonts w:hint="eastAsia"/>
                <w:color w:val="auto"/>
                <w:highlight w:val="none"/>
              </w:rPr>
              <w:t>10.11  监  督</w:t>
            </w:r>
          </w:p>
        </w:tc>
      </w:tr>
      <w:tr>
        <w:tblPrEx>
          <w:tblCellMar>
            <w:top w:w="0" w:type="dxa"/>
            <w:left w:w="108" w:type="dxa"/>
            <w:bottom w:w="0" w:type="dxa"/>
            <w:right w:w="108" w:type="dxa"/>
          </w:tblCellMar>
        </w:tblPrEx>
        <w:trPr>
          <w:trHeight w:val="847" w:hRule="atLeast"/>
        </w:trPr>
        <w:tc>
          <w:tcPr>
            <w:tcW w:w="906"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12" w:lineRule="auto"/>
              <w:rPr>
                <w:color w:val="auto"/>
                <w:highlight w:val="none"/>
              </w:rPr>
            </w:pPr>
          </w:p>
        </w:tc>
        <w:tc>
          <w:tcPr>
            <w:tcW w:w="8450"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spacing w:line="312" w:lineRule="auto"/>
              <w:ind w:firstLine="420" w:firstLineChars="200"/>
              <w:rPr>
                <w:color w:val="auto"/>
                <w:highlight w:val="none"/>
              </w:rPr>
            </w:pPr>
            <w:r>
              <w:rPr>
                <w:rFonts w:hint="eastAsia"/>
                <w:color w:val="auto"/>
                <w:highlight w:val="none"/>
              </w:rPr>
              <w:t>本项目的招标投标活动及其相关当事人应当接受市区建设工程招标投标监督管理部门依法实施的监督。</w:t>
            </w:r>
          </w:p>
        </w:tc>
      </w:tr>
      <w:tr>
        <w:tblPrEx>
          <w:tblCellMar>
            <w:top w:w="0" w:type="dxa"/>
            <w:left w:w="108" w:type="dxa"/>
            <w:bottom w:w="0" w:type="dxa"/>
            <w:right w:w="108" w:type="dxa"/>
          </w:tblCellMar>
        </w:tblPrEx>
        <w:trPr>
          <w:trHeight w:val="513" w:hRule="atLeast"/>
        </w:trPr>
        <w:tc>
          <w:tcPr>
            <w:tcW w:w="9356"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spacing w:line="312" w:lineRule="auto"/>
              <w:ind w:left="210" w:hanging="210" w:hangingChars="100"/>
              <w:rPr>
                <w:color w:val="auto"/>
                <w:highlight w:val="none"/>
              </w:rPr>
            </w:pPr>
            <w:r>
              <w:rPr>
                <w:rFonts w:hint="eastAsia"/>
                <w:color w:val="auto"/>
                <w:highlight w:val="none"/>
              </w:rPr>
              <w:t>10.12  解释权</w:t>
            </w:r>
          </w:p>
        </w:tc>
      </w:tr>
      <w:tr>
        <w:tblPrEx>
          <w:tblCellMar>
            <w:top w:w="0" w:type="dxa"/>
            <w:left w:w="108" w:type="dxa"/>
            <w:bottom w:w="0" w:type="dxa"/>
            <w:right w:w="108" w:type="dxa"/>
          </w:tblCellMar>
        </w:tblPrEx>
        <w:trPr>
          <w:trHeight w:val="2328" w:hRule="atLeast"/>
        </w:trPr>
        <w:tc>
          <w:tcPr>
            <w:tcW w:w="906"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12" w:lineRule="auto"/>
              <w:rPr>
                <w:color w:val="auto"/>
                <w:highlight w:val="none"/>
              </w:rPr>
            </w:pPr>
          </w:p>
        </w:tc>
        <w:tc>
          <w:tcPr>
            <w:tcW w:w="8450"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spacing w:line="312" w:lineRule="auto"/>
              <w:ind w:firstLine="315" w:firstLineChars="150"/>
              <w:rPr>
                <w:color w:val="auto"/>
                <w:highlight w:val="none"/>
              </w:rPr>
            </w:pPr>
            <w:r>
              <w:rPr>
                <w:rFonts w:hint="eastAsia"/>
                <w:color w:val="auto"/>
                <w:highlight w:val="none"/>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tblPrEx>
          <w:tblCellMar>
            <w:top w:w="0" w:type="dxa"/>
            <w:left w:w="108" w:type="dxa"/>
            <w:bottom w:w="0" w:type="dxa"/>
            <w:right w:w="108" w:type="dxa"/>
          </w:tblCellMar>
        </w:tblPrEx>
        <w:trPr>
          <w:trHeight w:val="512" w:hRule="atLeast"/>
        </w:trPr>
        <w:tc>
          <w:tcPr>
            <w:tcW w:w="9356"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rPr>
                <w:color w:val="auto"/>
                <w:highlight w:val="none"/>
              </w:rPr>
            </w:pPr>
            <w:r>
              <w:rPr>
                <w:rFonts w:hint="eastAsia"/>
                <w:color w:val="auto"/>
                <w:highlight w:val="none"/>
              </w:rPr>
              <w:t>10.13  招标人补充的其他内容</w:t>
            </w:r>
          </w:p>
        </w:tc>
      </w:tr>
      <w:tr>
        <w:tblPrEx>
          <w:tblCellMar>
            <w:top w:w="0" w:type="dxa"/>
            <w:left w:w="108" w:type="dxa"/>
            <w:bottom w:w="0" w:type="dxa"/>
            <w:right w:w="108" w:type="dxa"/>
          </w:tblCellMar>
        </w:tblPrEx>
        <w:trPr>
          <w:trHeight w:val="680" w:hRule="atLeast"/>
        </w:trPr>
        <w:tc>
          <w:tcPr>
            <w:tcW w:w="906"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12" w:lineRule="auto"/>
              <w:rPr>
                <w:color w:val="auto"/>
                <w:highlight w:val="none"/>
              </w:rPr>
            </w:pPr>
            <w:r>
              <w:rPr>
                <w:rFonts w:hint="eastAsia"/>
                <w:color w:val="auto"/>
                <w:highlight w:val="none"/>
              </w:rPr>
              <w:t>10.13.1</w:t>
            </w:r>
          </w:p>
        </w:tc>
        <w:tc>
          <w:tcPr>
            <w:tcW w:w="8450"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ind w:firstLine="315" w:firstLineChars="150"/>
              <w:rPr>
                <w:color w:val="auto"/>
                <w:highlight w:val="none"/>
              </w:rPr>
            </w:pPr>
          </w:p>
          <w:p>
            <w:pPr>
              <w:shd w:val="clear" w:color="auto" w:fill="FFFFFF"/>
              <w:ind w:firstLine="315" w:firstLineChars="150"/>
              <w:rPr>
                <w:color w:val="auto"/>
                <w:highlight w:val="none"/>
              </w:rPr>
            </w:pPr>
            <w:r>
              <w:rPr>
                <w:rFonts w:hint="eastAsia"/>
                <w:color w:val="auto"/>
                <w:highlight w:val="none"/>
              </w:rPr>
              <w:t>本招标项目由</w:t>
            </w:r>
            <w:r>
              <w:rPr>
                <w:rFonts w:hint="eastAsia"/>
                <w:b/>
                <w:bCs/>
                <w:color w:val="auto"/>
                <w:highlight w:val="none"/>
                <w:u w:val="single"/>
              </w:rPr>
              <w:t>绍兴市交通运输局</w:t>
            </w:r>
            <w:r>
              <w:rPr>
                <w:rFonts w:hint="eastAsia"/>
                <w:color w:val="auto"/>
                <w:highlight w:val="none"/>
              </w:rPr>
              <w:t>参与监督，并请</w:t>
            </w:r>
            <w:r>
              <w:rPr>
                <w:rFonts w:hint="eastAsia"/>
                <w:color w:val="auto"/>
                <w:highlight w:val="none"/>
                <w:u w:val="single"/>
              </w:rPr>
              <w:t xml:space="preserve">  </w:t>
            </w:r>
            <w:r>
              <w:rPr>
                <w:rFonts w:hint="eastAsia"/>
                <w:b/>
                <w:bCs/>
                <w:color w:val="auto"/>
                <w:highlight w:val="none"/>
                <w:u w:val="single"/>
              </w:rPr>
              <w:t>绍兴市国信公证处</w:t>
            </w:r>
            <w:r>
              <w:rPr>
                <w:rFonts w:hint="eastAsia"/>
                <w:color w:val="auto"/>
                <w:highlight w:val="none"/>
              </w:rPr>
              <w:t>予以公证。</w:t>
            </w:r>
          </w:p>
        </w:tc>
      </w:tr>
      <w:tr>
        <w:tblPrEx>
          <w:tblCellMar>
            <w:top w:w="0" w:type="dxa"/>
            <w:left w:w="108" w:type="dxa"/>
            <w:bottom w:w="0" w:type="dxa"/>
            <w:right w:w="108" w:type="dxa"/>
          </w:tblCellMar>
        </w:tblPrEx>
        <w:trPr>
          <w:trHeight w:val="1007" w:hRule="atLeast"/>
        </w:trPr>
        <w:tc>
          <w:tcPr>
            <w:tcW w:w="906"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12" w:lineRule="auto"/>
              <w:rPr>
                <w:color w:val="auto"/>
                <w:highlight w:val="none"/>
              </w:rPr>
            </w:pPr>
            <w:r>
              <w:rPr>
                <w:rFonts w:hint="eastAsia"/>
                <w:color w:val="auto"/>
                <w:highlight w:val="none"/>
              </w:rPr>
              <w:t>10.13.2</w:t>
            </w:r>
          </w:p>
        </w:tc>
        <w:tc>
          <w:tcPr>
            <w:tcW w:w="8450"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ind w:firstLine="315" w:firstLineChars="150"/>
              <w:rPr>
                <w:color w:val="auto"/>
                <w:highlight w:val="none"/>
              </w:rPr>
            </w:pPr>
            <w:r>
              <w:rPr>
                <w:rFonts w:hint="eastAsia"/>
                <w:strike/>
                <w:dstrike w:val="0"/>
                <w:color w:val="auto"/>
                <w:highlight w:val="none"/>
              </w:rPr>
              <w:t>本项目提供业主支付担保，担保形式</w:t>
            </w:r>
            <w:r>
              <w:rPr>
                <w:rFonts w:hint="eastAsia"/>
                <w:strike/>
                <w:dstrike w:val="0"/>
                <w:color w:val="auto"/>
                <w:szCs w:val="21"/>
                <w:highlight w:val="none"/>
              </w:rPr>
              <w:t>采用以下形式：</w:t>
            </w:r>
            <w:r>
              <w:rPr>
                <w:rFonts w:hint="eastAsia" w:ascii="宋体" w:hAnsi="宋体"/>
                <w:strike/>
                <w:dstrike w:val="0"/>
                <w:color w:val="auto"/>
                <w:highlight w:val="none"/>
                <w:bdr w:val="single" w:color="auto" w:sz="4" w:space="0"/>
              </w:rPr>
              <w:t>√</w:t>
            </w:r>
            <w:r>
              <w:rPr>
                <w:rFonts w:hint="eastAsia"/>
                <w:strike/>
                <w:dstrike w:val="0"/>
                <w:color w:val="auto"/>
                <w:szCs w:val="21"/>
                <w:highlight w:val="none"/>
              </w:rPr>
              <w:t>保险公司保险（</w:t>
            </w:r>
            <w:r>
              <w:rPr>
                <w:rFonts w:hint="eastAsia" w:ascii="宋体" w:hAnsi="宋体" w:cs="宋体"/>
                <w:strike/>
                <w:dstrike w:val="0"/>
                <w:color w:val="auto"/>
                <w:kern w:val="0"/>
                <w:szCs w:val="21"/>
                <w:highlight w:val="none"/>
              </w:rPr>
              <w:t>须经绍兴市住建局和保险行业协会报备的绍兴市建设工程综合保险共保体保单</w:t>
            </w:r>
            <w:r>
              <w:rPr>
                <w:rFonts w:ascii="宋体" w:hAnsi="宋体" w:cs="宋体"/>
                <w:strike/>
                <w:dstrike w:val="0"/>
                <w:color w:val="auto"/>
                <w:kern w:val="0"/>
                <w:szCs w:val="21"/>
                <w:highlight w:val="none"/>
              </w:rPr>
              <w:t>或</w:t>
            </w:r>
            <w:r>
              <w:rPr>
                <w:rFonts w:hint="eastAsia" w:ascii="宋体" w:hAnsi="宋体" w:cs="宋体"/>
                <w:strike/>
                <w:dstrike w:val="0"/>
                <w:color w:val="auto"/>
                <w:kern w:val="0"/>
                <w:szCs w:val="21"/>
                <w:highlight w:val="none"/>
              </w:rPr>
              <w:t>保函）</w:t>
            </w:r>
            <w:r>
              <w:rPr>
                <w:rFonts w:hint="eastAsia"/>
                <w:strike/>
                <w:dstrike w:val="0"/>
                <w:color w:val="auto"/>
                <w:szCs w:val="21"/>
                <w:highlight w:val="none"/>
              </w:rPr>
              <w:t>、</w:t>
            </w:r>
            <w:r>
              <w:rPr>
                <w:rFonts w:hint="eastAsia" w:ascii="宋体" w:hAnsi="宋体"/>
                <w:strike/>
                <w:dstrike w:val="0"/>
                <w:color w:val="auto"/>
                <w:highlight w:val="none"/>
                <w:bdr w:val="single" w:color="auto" w:sz="4" w:space="0"/>
              </w:rPr>
              <w:t>√</w:t>
            </w:r>
            <w:r>
              <w:rPr>
                <w:rFonts w:hint="eastAsia"/>
                <w:strike/>
                <w:dstrike w:val="0"/>
                <w:color w:val="auto"/>
                <w:szCs w:val="21"/>
                <w:highlight w:val="none"/>
              </w:rPr>
              <w:t>银行保函（市区范围内符合规定要求的银行业金融机构的保函）</w:t>
            </w:r>
            <w:r>
              <w:rPr>
                <w:rFonts w:hint="eastAsia"/>
                <w:strike/>
                <w:dstrike w:val="0"/>
                <w:color w:val="auto"/>
                <w:highlight w:val="none"/>
              </w:rPr>
              <w:t>。</w:t>
            </w:r>
          </w:p>
        </w:tc>
      </w:tr>
      <w:tr>
        <w:tblPrEx>
          <w:tblCellMar>
            <w:top w:w="0" w:type="dxa"/>
            <w:left w:w="108" w:type="dxa"/>
            <w:bottom w:w="0" w:type="dxa"/>
            <w:right w:w="108" w:type="dxa"/>
          </w:tblCellMar>
        </w:tblPrEx>
        <w:trPr>
          <w:trHeight w:val="836" w:hRule="atLeast"/>
        </w:trPr>
        <w:tc>
          <w:tcPr>
            <w:tcW w:w="906"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12" w:lineRule="auto"/>
              <w:rPr>
                <w:color w:val="auto"/>
                <w:highlight w:val="none"/>
              </w:rPr>
            </w:pPr>
            <w:r>
              <w:rPr>
                <w:rFonts w:hint="eastAsia"/>
                <w:color w:val="auto"/>
                <w:highlight w:val="none"/>
              </w:rPr>
              <w:t>10.13.3</w:t>
            </w:r>
          </w:p>
        </w:tc>
        <w:tc>
          <w:tcPr>
            <w:tcW w:w="8450"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ind w:firstLine="420" w:firstLineChars="200"/>
              <w:rPr>
                <w:strike/>
                <w:color w:val="auto"/>
                <w:highlight w:val="none"/>
              </w:rPr>
            </w:pPr>
            <w:r>
              <w:rPr>
                <w:rFonts w:hint="eastAsia"/>
                <w:strike/>
                <w:color w:val="auto"/>
                <w:highlight w:val="none"/>
              </w:rPr>
              <w:t>本项目招标开标时，要求投标人提供以下证件</w:t>
            </w:r>
            <w:r>
              <w:rPr>
                <w:rFonts w:hint="eastAsia" w:ascii="宋体" w:hAnsi="宋体"/>
                <w:strike/>
                <w:color w:val="auto"/>
                <w:szCs w:val="21"/>
                <w:highlight w:val="none"/>
              </w:rPr>
              <w:t>1、</w:t>
            </w:r>
            <w:r>
              <w:rPr>
                <w:rFonts w:hint="eastAsia" w:ascii="宋体" w:hAnsi="宋体"/>
                <w:b/>
                <w:strike/>
                <w:color w:val="auto"/>
                <w:szCs w:val="21"/>
                <w:highlight w:val="none"/>
                <w:u w:val="single"/>
              </w:rPr>
              <w:t>要求参加开标的人员本人身份证；</w:t>
            </w:r>
            <w:r>
              <w:rPr>
                <w:rFonts w:hint="eastAsia" w:ascii="宋体" w:hAnsi="宋体"/>
                <w:strike/>
                <w:color w:val="auto"/>
                <w:szCs w:val="21"/>
                <w:highlight w:val="none"/>
                <w:u w:val="single"/>
              </w:rPr>
              <w:t>2、</w:t>
            </w:r>
            <w:r>
              <w:rPr>
                <w:rFonts w:hint="eastAsia" w:ascii="宋体" w:hAnsi="宋体"/>
                <w:b/>
                <w:strike/>
                <w:color w:val="auto"/>
                <w:szCs w:val="21"/>
                <w:highlight w:val="none"/>
                <w:u w:val="single"/>
              </w:rPr>
              <w:t>授权委托书（如有）；</w:t>
            </w:r>
            <w:r>
              <w:rPr>
                <w:rFonts w:hint="eastAsia" w:ascii="宋体" w:hAnsi="宋体"/>
                <w:strike/>
                <w:color w:val="auto"/>
                <w:szCs w:val="21"/>
                <w:highlight w:val="none"/>
                <w:u w:val="single"/>
              </w:rPr>
              <w:t xml:space="preserve"> 3、</w:t>
            </w:r>
            <w:r>
              <w:rPr>
                <w:rFonts w:hint="eastAsia" w:ascii="宋体" w:hAnsi="宋体"/>
                <w:b/>
                <w:strike/>
                <w:color w:val="auto"/>
                <w:szCs w:val="21"/>
                <w:highlight w:val="none"/>
                <w:u w:val="single"/>
              </w:rPr>
              <w:t>省外企业须提供浙江省住建厅核发的有效期备案证明（省内企业不作要求） 。</w:t>
            </w:r>
          </w:p>
          <w:p>
            <w:pPr>
              <w:shd w:val="clear" w:color="auto" w:fill="FFFFFF"/>
              <w:ind w:firstLine="420" w:firstLineChars="200"/>
              <w:rPr>
                <w:strike/>
                <w:color w:val="auto"/>
                <w:highlight w:val="none"/>
              </w:rPr>
            </w:pPr>
            <w:r>
              <w:rPr>
                <w:rFonts w:hint="eastAsia"/>
                <w:strike/>
                <w:color w:val="auto"/>
                <w:highlight w:val="none"/>
              </w:rPr>
              <w:t>投标人项目负责人在开标时必须按时到场，并在</w:t>
            </w:r>
            <w:r>
              <w:rPr>
                <w:rFonts w:hint="eastAsia" w:ascii="宋体" w:hAnsi="宋体"/>
                <w:b/>
                <w:strike/>
                <w:color w:val="auto"/>
                <w:szCs w:val="21"/>
                <w:highlight w:val="none"/>
                <w:u w:val="single"/>
              </w:rPr>
              <w:t>投标截止</w:t>
            </w:r>
            <w:r>
              <w:rPr>
                <w:rFonts w:hint="eastAsia"/>
                <w:strike/>
                <w:color w:val="auto"/>
                <w:highlight w:val="none"/>
              </w:rPr>
              <w:t>时出示以下证件：1、身份证；2、</w:t>
            </w:r>
            <w:r>
              <w:rPr>
                <w:rFonts w:hint="eastAsia"/>
                <w:strike/>
                <w:color w:val="auto"/>
                <w:highlight w:val="none"/>
                <w:u w:val="single"/>
              </w:rPr>
              <w:t xml:space="preserve">    /    </w:t>
            </w:r>
            <w:r>
              <w:rPr>
                <w:rFonts w:hint="eastAsia"/>
                <w:strike/>
                <w:color w:val="auto"/>
                <w:highlight w:val="none"/>
              </w:rPr>
              <w:t>；3、</w:t>
            </w:r>
            <w:r>
              <w:rPr>
                <w:rFonts w:hint="eastAsia"/>
                <w:strike/>
                <w:color w:val="auto"/>
                <w:highlight w:val="none"/>
                <w:u w:val="single"/>
              </w:rPr>
              <w:t xml:space="preserve">  /    </w:t>
            </w:r>
            <w:r>
              <w:rPr>
                <w:rFonts w:hint="eastAsia"/>
                <w:strike/>
                <w:color w:val="auto"/>
                <w:highlight w:val="none"/>
              </w:rPr>
              <w:t xml:space="preserve"> 。</w:t>
            </w:r>
          </w:p>
          <w:p>
            <w:pPr>
              <w:shd w:val="clear" w:color="auto" w:fill="FFFFFF"/>
              <w:spacing w:line="300" w:lineRule="exact"/>
              <w:ind w:firstLine="422" w:firstLineChars="200"/>
              <w:rPr>
                <w:rFonts w:ascii="宋体" w:hAnsi="宋体"/>
                <w:b/>
                <w:strike/>
                <w:color w:val="auto"/>
                <w:szCs w:val="21"/>
                <w:highlight w:val="none"/>
              </w:rPr>
            </w:pPr>
            <w:r>
              <w:rPr>
                <w:rFonts w:hint="eastAsia" w:ascii="宋体" w:hAnsi="宋体"/>
                <w:b/>
                <w:strike/>
                <w:color w:val="auto"/>
                <w:szCs w:val="21"/>
                <w:highlight w:val="none"/>
              </w:rPr>
              <w:t>上述证件均须原件。</w:t>
            </w:r>
          </w:p>
          <w:p>
            <w:pPr>
              <w:shd w:val="clear" w:color="auto" w:fill="FFFFFF"/>
              <w:ind w:firstLine="422" w:firstLineChars="200"/>
              <w:rPr>
                <w:rFonts w:ascii="宋体" w:hAnsi="宋体"/>
                <w:b/>
                <w:strike/>
                <w:color w:val="auto"/>
                <w:szCs w:val="21"/>
                <w:highlight w:val="none"/>
              </w:rPr>
            </w:pPr>
            <w:r>
              <w:rPr>
                <w:rFonts w:hint="eastAsia" w:ascii="宋体" w:hAnsi="宋体"/>
                <w:b/>
                <w:strike/>
                <w:color w:val="auto"/>
                <w:szCs w:val="21"/>
                <w:highlight w:val="none"/>
              </w:rPr>
              <w:t>注：未能符合上述要求的，其投标按自动放弃处理；投标人未带齐上述规定的证件或未能在开标会议开始前送达的，投标人法定代表人或授权委托人（授权委托人必须为绍兴市公共资源交易中心交易员，下同）未按时参加开标会议的，均视为自动放弃投标。</w:t>
            </w:r>
          </w:p>
          <w:p>
            <w:pPr>
              <w:shd w:val="clear" w:color="auto" w:fill="FFFFFF"/>
              <w:ind w:firstLine="316" w:firstLineChars="150"/>
              <w:rPr>
                <w:rFonts w:ascii="宋体" w:hAnsi="宋体"/>
                <w:b/>
                <w:strike/>
                <w:color w:val="auto"/>
                <w:szCs w:val="21"/>
                <w:highlight w:val="none"/>
              </w:rPr>
            </w:pPr>
            <w:r>
              <w:rPr>
                <w:rFonts w:hint="eastAsia" w:ascii="宋体" w:hAnsi="宋体"/>
                <w:b/>
                <w:strike/>
                <w:color w:val="auto"/>
                <w:szCs w:val="21"/>
                <w:highlight w:val="none"/>
              </w:rPr>
              <w:t>招标文件内要求提交的所有原件均不作要求，由业主负责事后对中标候选人进行核验。</w:t>
            </w:r>
          </w:p>
        </w:tc>
      </w:tr>
      <w:tr>
        <w:tblPrEx>
          <w:tblCellMar>
            <w:top w:w="0" w:type="dxa"/>
            <w:left w:w="108" w:type="dxa"/>
            <w:bottom w:w="0" w:type="dxa"/>
            <w:right w:w="108" w:type="dxa"/>
          </w:tblCellMar>
        </w:tblPrEx>
        <w:trPr>
          <w:trHeight w:val="959" w:hRule="atLeast"/>
        </w:trPr>
        <w:tc>
          <w:tcPr>
            <w:tcW w:w="906"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12" w:lineRule="auto"/>
              <w:rPr>
                <w:color w:val="auto"/>
                <w:highlight w:val="none"/>
              </w:rPr>
            </w:pPr>
            <w:r>
              <w:rPr>
                <w:rFonts w:hint="eastAsia"/>
                <w:color w:val="auto"/>
                <w:highlight w:val="none"/>
              </w:rPr>
              <w:t>10.13.4</w:t>
            </w:r>
          </w:p>
        </w:tc>
        <w:tc>
          <w:tcPr>
            <w:tcW w:w="8450"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ind w:firstLine="420" w:firstLineChars="200"/>
              <w:rPr>
                <w:color w:val="auto"/>
                <w:highlight w:val="none"/>
              </w:rPr>
            </w:pPr>
            <w:r>
              <w:rPr>
                <w:rFonts w:hint="eastAsia"/>
                <w:color w:val="auto"/>
                <w:highlight w:val="none"/>
              </w:rPr>
              <w:t>投标人提交的各类文件格式、内容、文字、次序与本招标文件规定不相符的，其有效性由本项目评标委员会进行甄别。评标委员会可以认定投标人提交的不符合本招标文件规定格式、内容及文字、次序的相关文件为无效文件。</w:t>
            </w:r>
          </w:p>
        </w:tc>
      </w:tr>
      <w:tr>
        <w:tblPrEx>
          <w:tblCellMar>
            <w:top w:w="0" w:type="dxa"/>
            <w:left w:w="108" w:type="dxa"/>
            <w:bottom w:w="0" w:type="dxa"/>
            <w:right w:w="108" w:type="dxa"/>
          </w:tblCellMar>
        </w:tblPrEx>
        <w:trPr>
          <w:trHeight w:val="636" w:hRule="atLeast"/>
        </w:trPr>
        <w:tc>
          <w:tcPr>
            <w:tcW w:w="906"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12" w:lineRule="auto"/>
              <w:rPr>
                <w:color w:val="auto"/>
                <w:highlight w:val="none"/>
              </w:rPr>
            </w:pPr>
            <w:r>
              <w:rPr>
                <w:rFonts w:hint="eastAsia"/>
                <w:color w:val="auto"/>
                <w:highlight w:val="none"/>
              </w:rPr>
              <w:t>10.13.5</w:t>
            </w:r>
          </w:p>
        </w:tc>
        <w:tc>
          <w:tcPr>
            <w:tcW w:w="8450"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ind w:firstLine="420" w:firstLineChars="200"/>
              <w:rPr>
                <w:color w:val="auto"/>
                <w:highlight w:val="none"/>
              </w:rPr>
            </w:pPr>
            <w:r>
              <w:rPr>
                <w:rFonts w:hint="eastAsia"/>
                <w:color w:val="auto"/>
                <w:highlight w:val="none"/>
              </w:rPr>
              <w:t>评标委员会推荐的第一中标候选人在公示期间，被举报、投诉存在有资质、资格、报价、业绩等方面缺陷不能作为中标人时，招标人将在有关部门调查核实后，重新组织招标。</w:t>
            </w:r>
          </w:p>
        </w:tc>
      </w:tr>
      <w:tr>
        <w:tblPrEx>
          <w:tblCellMar>
            <w:top w:w="0" w:type="dxa"/>
            <w:left w:w="108" w:type="dxa"/>
            <w:bottom w:w="0" w:type="dxa"/>
            <w:right w:w="108" w:type="dxa"/>
          </w:tblCellMar>
        </w:tblPrEx>
        <w:trPr>
          <w:trHeight w:val="1267" w:hRule="atLeast"/>
        </w:trPr>
        <w:tc>
          <w:tcPr>
            <w:tcW w:w="906"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12" w:lineRule="auto"/>
              <w:rPr>
                <w:color w:val="auto"/>
                <w:highlight w:val="none"/>
              </w:rPr>
            </w:pPr>
            <w:r>
              <w:rPr>
                <w:rFonts w:hint="eastAsia"/>
                <w:color w:val="auto"/>
                <w:highlight w:val="none"/>
              </w:rPr>
              <w:t>10.13.6</w:t>
            </w:r>
          </w:p>
        </w:tc>
        <w:tc>
          <w:tcPr>
            <w:tcW w:w="8450"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ind w:firstLine="420" w:firstLineChars="200"/>
              <w:rPr>
                <w:color w:val="auto"/>
                <w:highlight w:val="none"/>
              </w:rPr>
            </w:pPr>
            <w:r>
              <w:rPr>
                <w:rFonts w:hint="eastAsia"/>
                <w:color w:val="auto"/>
                <w:highlight w:val="none"/>
              </w:rPr>
              <w:t>本项目招标评标采用</w:t>
            </w:r>
            <w:r>
              <w:rPr>
                <w:rFonts w:hint="eastAsia" w:ascii="宋体" w:hAnsi="宋体"/>
                <w:b/>
                <w:color w:val="auto"/>
                <w:highlight w:val="none"/>
                <w:u w:val="single"/>
              </w:rPr>
              <w:t>综合评分法（设技术标）</w:t>
            </w:r>
            <w:r>
              <w:rPr>
                <w:rFonts w:hint="eastAsia"/>
                <w:color w:val="auto"/>
                <w:highlight w:val="none"/>
              </w:rPr>
              <w:t xml:space="preserve"> 方式评标。</w:t>
            </w:r>
          </w:p>
          <w:p>
            <w:pPr>
              <w:shd w:val="clear" w:color="auto" w:fill="FFFFFF"/>
              <w:ind w:firstLine="420" w:firstLineChars="200"/>
              <w:rPr>
                <w:strike/>
                <w:color w:val="auto"/>
                <w:highlight w:val="none"/>
              </w:rPr>
            </w:pPr>
            <w:r>
              <w:rPr>
                <w:rFonts w:hint="eastAsia"/>
                <w:strike/>
                <w:color w:val="auto"/>
                <w:highlight w:val="none"/>
              </w:rPr>
              <w:t>本项目规费取费按浙建建﹝2018﹞61号规定的标准费率的</w:t>
            </w:r>
            <w:r>
              <w:rPr>
                <w:rFonts w:hint="eastAsia"/>
                <w:strike/>
                <w:color w:val="auto"/>
                <w:highlight w:val="none"/>
                <w:u w:val="single"/>
              </w:rPr>
              <w:t xml:space="preserve">  50 %</w:t>
            </w:r>
            <w:r>
              <w:rPr>
                <w:rFonts w:hint="eastAsia"/>
                <w:strike/>
                <w:color w:val="auto"/>
                <w:highlight w:val="none"/>
              </w:rPr>
              <w:t>计算。</w:t>
            </w:r>
          </w:p>
          <w:p>
            <w:pPr>
              <w:shd w:val="clear" w:color="auto" w:fill="FFFFFF"/>
              <w:ind w:firstLine="420" w:firstLineChars="200"/>
              <w:rPr>
                <w:color w:val="auto"/>
                <w:highlight w:val="none"/>
              </w:rPr>
            </w:pPr>
            <w:r>
              <w:rPr>
                <w:rFonts w:hint="eastAsia"/>
                <w:color w:val="auto"/>
                <w:highlight w:val="none"/>
              </w:rPr>
              <w:t>中标方式：</w:t>
            </w:r>
            <w:r>
              <w:rPr>
                <w:rFonts w:hint="eastAsia" w:ascii="宋体" w:hAnsi="宋体"/>
                <w:color w:val="auto"/>
                <w:szCs w:val="21"/>
                <w:highlight w:val="none"/>
                <w:u w:val="single"/>
              </w:rPr>
              <w:t>总得分最高者为中标候选人。若出现最高总得分相同的情况，取其中报价较低者为中标候选人，若报价也相同，则由招标人当场抽签确定中标候选人</w:t>
            </w:r>
            <w:r>
              <w:rPr>
                <w:rFonts w:hint="eastAsia"/>
                <w:color w:val="auto"/>
                <w:highlight w:val="none"/>
              </w:rPr>
              <w:t>。</w:t>
            </w:r>
          </w:p>
        </w:tc>
      </w:tr>
      <w:tr>
        <w:tblPrEx>
          <w:tblCellMar>
            <w:top w:w="0" w:type="dxa"/>
            <w:left w:w="108" w:type="dxa"/>
            <w:bottom w:w="0" w:type="dxa"/>
            <w:right w:w="108" w:type="dxa"/>
          </w:tblCellMar>
        </w:tblPrEx>
        <w:trPr>
          <w:trHeight w:val="499" w:hRule="atLeast"/>
        </w:trPr>
        <w:tc>
          <w:tcPr>
            <w:tcW w:w="9356" w:type="dxa"/>
            <w:gridSpan w:val="3"/>
            <w:tcBorders>
              <w:top w:val="single" w:color="auto" w:sz="6" w:space="0"/>
              <w:left w:val="single" w:color="auto" w:sz="6" w:space="0"/>
              <w:bottom w:val="single" w:color="auto" w:sz="6" w:space="0"/>
              <w:right w:val="single" w:color="auto" w:sz="6" w:space="0"/>
            </w:tcBorders>
            <w:vAlign w:val="center"/>
          </w:tcPr>
          <w:p>
            <w:pPr>
              <w:shd w:val="clear" w:color="auto" w:fill="FFFFFF"/>
              <w:ind w:firstLine="420" w:firstLineChars="200"/>
              <w:rPr>
                <w:strike/>
                <w:color w:val="auto"/>
                <w:highlight w:val="none"/>
              </w:rPr>
            </w:pPr>
            <w:r>
              <w:rPr>
                <w:rFonts w:hint="eastAsia"/>
                <w:strike/>
                <w:color w:val="auto"/>
                <w:highlight w:val="none"/>
              </w:rPr>
              <w:t>10.14  项目负责人验证及入围员额补充方法</w:t>
            </w:r>
          </w:p>
        </w:tc>
      </w:tr>
      <w:tr>
        <w:tblPrEx>
          <w:tblCellMar>
            <w:top w:w="0" w:type="dxa"/>
            <w:left w:w="108" w:type="dxa"/>
            <w:bottom w:w="0" w:type="dxa"/>
            <w:right w:w="108" w:type="dxa"/>
          </w:tblCellMar>
        </w:tblPrEx>
        <w:trPr>
          <w:trHeight w:val="1679" w:hRule="atLeast"/>
        </w:trPr>
        <w:tc>
          <w:tcPr>
            <w:tcW w:w="906"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12" w:lineRule="auto"/>
              <w:rPr>
                <w:strike/>
                <w:color w:val="auto"/>
                <w:highlight w:val="none"/>
              </w:rPr>
            </w:pPr>
          </w:p>
        </w:tc>
        <w:tc>
          <w:tcPr>
            <w:tcW w:w="8450" w:type="dxa"/>
            <w:gridSpan w:val="2"/>
            <w:tcBorders>
              <w:top w:val="single" w:color="auto" w:sz="6" w:space="0"/>
              <w:left w:val="single" w:color="auto" w:sz="6" w:space="0"/>
              <w:bottom w:val="single" w:color="auto" w:sz="6" w:space="0"/>
              <w:right w:val="single" w:color="auto" w:sz="6" w:space="0"/>
            </w:tcBorders>
            <w:vAlign w:val="center"/>
          </w:tcPr>
          <w:p>
            <w:pPr>
              <w:numPr>
                <w:ilvl w:val="0"/>
                <w:numId w:val="4"/>
              </w:numPr>
              <w:rPr>
                <w:strike/>
                <w:color w:val="auto"/>
                <w:highlight w:val="none"/>
              </w:rPr>
            </w:pPr>
            <w:r>
              <w:rPr>
                <w:rFonts w:hint="eastAsia"/>
                <w:strike/>
                <w:color w:val="auto"/>
                <w:highlight w:val="none"/>
              </w:rPr>
              <w:t>招标人要求项目负责人参加开标的，项目负责人必须在投标截止时间前到达开标现场，投标人资格审查资料纸质原件必须在提交投标文件时随身携带。</w:t>
            </w:r>
          </w:p>
          <w:p>
            <w:pPr>
              <w:numPr>
                <w:ilvl w:val="0"/>
                <w:numId w:val="4"/>
              </w:numPr>
              <w:rPr>
                <w:strike/>
                <w:color w:val="auto"/>
                <w:highlight w:val="none"/>
              </w:rPr>
            </w:pPr>
            <w:r>
              <w:rPr>
                <w:rFonts w:hint="eastAsia"/>
                <w:strike/>
                <w:color w:val="auto"/>
                <w:highlight w:val="none"/>
              </w:rPr>
              <w:t>项目负责人验证：□评标入围后对入围的项目负责人进行验证，□评标入围前对所有项目负责人进行验证。</w:t>
            </w:r>
          </w:p>
          <w:p>
            <w:pPr>
              <w:numPr>
                <w:ilvl w:val="0"/>
                <w:numId w:val="4"/>
              </w:numPr>
              <w:rPr>
                <w:strike/>
                <w:color w:val="auto"/>
                <w:highlight w:val="none"/>
              </w:rPr>
            </w:pPr>
            <w:r>
              <w:rPr>
                <w:rFonts w:hint="eastAsia"/>
                <w:strike/>
                <w:color w:val="auto"/>
                <w:highlight w:val="none"/>
              </w:rPr>
              <w:t>采用评标入围后对入围的项目负责人进行验证的，出现项目负责人没有到场或其居民身份证未带情形的，取消其投标人入围资格，在未入围的投标人中随机抽签补足评标入围家数。</w:t>
            </w:r>
          </w:p>
          <w:p>
            <w:pPr>
              <w:numPr>
                <w:ilvl w:val="0"/>
                <w:numId w:val="4"/>
              </w:numPr>
              <w:rPr>
                <w:strike/>
                <w:color w:val="auto"/>
                <w:highlight w:val="none"/>
              </w:rPr>
            </w:pPr>
            <w:r>
              <w:rPr>
                <w:rFonts w:hint="eastAsia"/>
                <w:strike/>
                <w:color w:val="auto"/>
                <w:highlight w:val="none"/>
              </w:rPr>
              <w:t xml:space="preserve">因项目负责人未到或其居民身份证未带被取消其入围资格·，且未在随机抽取评标入围前主动说明、影响正常开标程序的投标人，其行为将列入不良诚信行为记录，报市政务服务办及市建设工程招标投标监督管理部门备案。 </w:t>
            </w:r>
          </w:p>
          <w:p>
            <w:pPr>
              <w:shd w:val="clear" w:color="auto" w:fill="FFFFFF"/>
              <w:ind w:firstLine="420" w:firstLineChars="200"/>
              <w:rPr>
                <w:strike/>
                <w:color w:val="auto"/>
                <w:highlight w:val="none"/>
              </w:rPr>
            </w:pPr>
          </w:p>
        </w:tc>
      </w:tr>
      <w:tr>
        <w:tblPrEx>
          <w:tblCellMar>
            <w:top w:w="0" w:type="dxa"/>
            <w:left w:w="108" w:type="dxa"/>
            <w:bottom w:w="0" w:type="dxa"/>
            <w:right w:w="108" w:type="dxa"/>
          </w:tblCellMar>
        </w:tblPrEx>
        <w:trPr>
          <w:trHeight w:val="1679" w:hRule="atLeast"/>
        </w:trPr>
        <w:tc>
          <w:tcPr>
            <w:tcW w:w="906"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312" w:lineRule="auto"/>
              <w:rPr>
                <w:rFonts w:hint="default" w:eastAsia="宋体"/>
                <w:strike w:val="0"/>
                <w:color w:val="auto"/>
                <w:sz w:val="21"/>
                <w:szCs w:val="21"/>
                <w:highlight w:val="none"/>
                <w:lang w:val="en-US" w:eastAsia="zh-CN"/>
              </w:rPr>
            </w:pPr>
            <w:r>
              <w:rPr>
                <w:rFonts w:hint="eastAsia"/>
                <w:strike w:val="0"/>
                <w:color w:val="auto"/>
                <w:sz w:val="21"/>
                <w:szCs w:val="21"/>
                <w:highlight w:val="none"/>
                <w:lang w:val="en-US" w:eastAsia="zh-CN"/>
              </w:rPr>
              <w:t>10.15</w:t>
            </w:r>
          </w:p>
        </w:tc>
        <w:tc>
          <w:tcPr>
            <w:tcW w:w="8450" w:type="dxa"/>
            <w:gridSpan w:val="2"/>
            <w:tcBorders>
              <w:top w:val="single" w:color="auto" w:sz="6" w:space="0"/>
              <w:left w:val="single" w:color="auto" w:sz="6" w:space="0"/>
              <w:bottom w:val="single" w:color="auto" w:sz="6" w:space="0"/>
              <w:right w:val="single" w:color="auto" w:sz="6" w:space="0"/>
            </w:tcBorders>
            <w:vAlign w:val="center"/>
          </w:tcPr>
          <w:p>
            <w:pPr>
              <w:snapToGrid w:val="0"/>
              <w:spacing w:line="420" w:lineRule="exact"/>
              <w:rPr>
                <w:rFonts w:hint="eastAsia" w:ascii="宋体" w:hAnsi="宋体" w:cs="宋体"/>
                <w:strike w:val="0"/>
                <w:color w:val="auto"/>
                <w:sz w:val="21"/>
                <w:szCs w:val="21"/>
                <w:highlight w:val="none"/>
              </w:rPr>
            </w:pPr>
            <w:r>
              <w:rPr>
                <w:rFonts w:hint="eastAsia" w:ascii="宋体" w:hAnsi="宋体" w:cs="宋体"/>
                <w:strike w:val="0"/>
                <w:color w:val="auto"/>
                <w:sz w:val="21"/>
                <w:szCs w:val="21"/>
                <w:highlight w:val="none"/>
              </w:rPr>
              <w:t>招标代理服务费：</w:t>
            </w:r>
          </w:p>
          <w:p>
            <w:pPr>
              <w:snapToGrid w:val="0"/>
              <w:spacing w:line="420" w:lineRule="exact"/>
              <w:ind w:firstLine="315" w:firstLineChars="150"/>
              <w:rPr>
                <w:rFonts w:hint="eastAsia" w:ascii="宋体" w:hAnsi="宋体" w:cs="宋体"/>
                <w:strike w:val="0"/>
                <w:color w:val="auto"/>
                <w:sz w:val="21"/>
                <w:szCs w:val="21"/>
                <w:highlight w:val="none"/>
              </w:rPr>
            </w:pPr>
            <w:r>
              <w:rPr>
                <w:rFonts w:hint="eastAsia" w:ascii="宋体" w:hAnsi="宋体" w:cs="宋体"/>
                <w:strike w:val="0"/>
                <w:color w:val="auto"/>
                <w:sz w:val="21"/>
                <w:szCs w:val="21"/>
                <w:highlight w:val="none"/>
              </w:rPr>
              <w:t>中标人须向招标代理机构交纳代理服务费</w:t>
            </w:r>
            <w:r>
              <w:rPr>
                <w:rFonts w:hint="eastAsia" w:ascii="宋体" w:hAnsi="宋体" w:cs="宋体"/>
                <w:strike w:val="0"/>
                <w:color w:val="auto"/>
                <w:sz w:val="21"/>
                <w:szCs w:val="21"/>
                <w:highlight w:val="none"/>
                <w:lang w:val="en-US" w:eastAsia="zh-CN"/>
              </w:rPr>
              <w:t>10000万。</w:t>
            </w:r>
          </w:p>
          <w:p>
            <w:pPr>
              <w:snapToGrid w:val="0"/>
              <w:spacing w:line="420" w:lineRule="exact"/>
              <w:ind w:firstLine="315" w:firstLineChars="150"/>
              <w:rPr>
                <w:rFonts w:hint="eastAsia" w:ascii="宋体" w:hAnsi="宋体" w:cs="宋体"/>
                <w:strike w:val="0"/>
                <w:color w:val="auto"/>
                <w:sz w:val="21"/>
                <w:szCs w:val="21"/>
                <w:highlight w:val="none"/>
              </w:rPr>
            </w:pPr>
            <w:r>
              <w:rPr>
                <w:rFonts w:hint="eastAsia" w:ascii="宋体" w:hAnsi="宋体" w:cs="宋体"/>
                <w:strike w:val="0"/>
                <w:color w:val="auto"/>
                <w:sz w:val="21"/>
                <w:szCs w:val="21"/>
                <w:highlight w:val="none"/>
              </w:rPr>
              <w:t>（1）招标代理服务费的交纳方式：</w:t>
            </w:r>
          </w:p>
          <w:p>
            <w:pPr>
              <w:snapToGrid w:val="0"/>
              <w:spacing w:line="420" w:lineRule="exact"/>
              <w:ind w:firstLine="315" w:firstLineChars="150"/>
              <w:rPr>
                <w:rFonts w:hint="eastAsia" w:ascii="宋体" w:hAnsi="宋体" w:cs="宋体"/>
                <w:strike w:val="0"/>
                <w:color w:val="auto"/>
                <w:sz w:val="21"/>
                <w:szCs w:val="21"/>
                <w:highlight w:val="none"/>
              </w:rPr>
            </w:pPr>
            <w:r>
              <w:rPr>
                <w:rFonts w:hint="eastAsia" w:ascii="宋体" w:hAnsi="宋体" w:cs="宋体"/>
                <w:strike w:val="0"/>
                <w:color w:val="auto"/>
                <w:sz w:val="21"/>
                <w:szCs w:val="21"/>
                <w:highlight w:val="none"/>
              </w:rPr>
              <w:t>用银行支票、汇票、电汇等付款方式直接交纳代理服务费。</w:t>
            </w:r>
          </w:p>
          <w:p>
            <w:pPr>
              <w:snapToGrid w:val="0"/>
              <w:spacing w:line="420" w:lineRule="exact"/>
              <w:ind w:firstLine="315" w:firstLineChars="150"/>
              <w:rPr>
                <w:rFonts w:hint="eastAsia" w:ascii="宋体" w:hAnsi="宋体" w:cs="宋体"/>
                <w:strike w:val="0"/>
                <w:color w:val="auto"/>
                <w:sz w:val="21"/>
                <w:szCs w:val="21"/>
                <w:highlight w:val="none"/>
              </w:rPr>
            </w:pPr>
            <w:r>
              <w:rPr>
                <w:rFonts w:hint="eastAsia" w:ascii="宋体" w:hAnsi="宋体" w:cs="宋体"/>
                <w:strike w:val="0"/>
                <w:color w:val="auto"/>
                <w:sz w:val="21"/>
                <w:szCs w:val="21"/>
                <w:highlight w:val="none"/>
              </w:rPr>
              <w:t>公司名称：浙江明业项目管理有限公司</w:t>
            </w:r>
          </w:p>
          <w:p>
            <w:pPr>
              <w:snapToGrid w:val="0"/>
              <w:spacing w:line="420" w:lineRule="exact"/>
              <w:ind w:firstLine="315" w:firstLineChars="150"/>
              <w:rPr>
                <w:rFonts w:hint="eastAsia" w:ascii="宋体" w:hAnsi="宋体" w:cs="宋体"/>
                <w:strike w:val="0"/>
                <w:color w:val="auto"/>
                <w:sz w:val="21"/>
                <w:szCs w:val="21"/>
                <w:highlight w:val="none"/>
              </w:rPr>
            </w:pPr>
            <w:r>
              <w:rPr>
                <w:rFonts w:hint="eastAsia" w:ascii="宋体" w:hAnsi="宋体" w:cs="宋体"/>
                <w:strike w:val="0"/>
                <w:color w:val="auto"/>
                <w:sz w:val="21"/>
                <w:szCs w:val="21"/>
                <w:highlight w:val="none"/>
              </w:rPr>
              <w:t>账    号：389658340837</w:t>
            </w:r>
          </w:p>
          <w:p>
            <w:pPr>
              <w:snapToGrid w:val="0"/>
              <w:spacing w:line="420" w:lineRule="exact"/>
              <w:ind w:firstLine="315" w:firstLineChars="150"/>
              <w:rPr>
                <w:rFonts w:hint="eastAsia" w:ascii="宋体" w:hAnsi="宋体" w:cs="宋体"/>
                <w:strike w:val="0"/>
                <w:color w:val="auto"/>
                <w:sz w:val="21"/>
                <w:szCs w:val="21"/>
                <w:highlight w:val="none"/>
              </w:rPr>
            </w:pPr>
            <w:r>
              <w:rPr>
                <w:rFonts w:hint="eastAsia" w:ascii="宋体" w:hAnsi="宋体" w:cs="宋体"/>
                <w:strike w:val="0"/>
                <w:color w:val="auto"/>
                <w:sz w:val="21"/>
                <w:szCs w:val="21"/>
                <w:highlight w:val="none"/>
              </w:rPr>
              <w:t>开 户 行：中国银行绍兴柯桥支行</w:t>
            </w:r>
          </w:p>
          <w:p>
            <w:pPr>
              <w:shd w:val="clear" w:color="auto" w:fill="FFFFFF"/>
              <w:ind w:firstLine="420" w:firstLineChars="200"/>
              <w:rPr>
                <w:rFonts w:hint="eastAsia" w:eastAsia="宋体"/>
                <w:strike w:val="0"/>
                <w:color w:val="auto"/>
                <w:sz w:val="21"/>
                <w:szCs w:val="21"/>
                <w:highlight w:val="none"/>
                <w:lang w:eastAsia="zh-CN"/>
              </w:rPr>
            </w:pPr>
            <w:r>
              <w:rPr>
                <w:rFonts w:hint="eastAsia" w:ascii="宋体" w:hAnsi="宋体" w:cs="宋体"/>
                <w:strike w:val="0"/>
                <w:color w:val="auto"/>
                <w:sz w:val="21"/>
                <w:szCs w:val="21"/>
                <w:highlight w:val="none"/>
              </w:rPr>
              <w:t>（2）招标代理服务费的交纳时间：领取中标通知书前交纳。</w:t>
            </w:r>
          </w:p>
        </w:tc>
      </w:tr>
    </w:tbl>
    <w:p>
      <w:pPr>
        <w:rPr>
          <w:color w:val="auto"/>
          <w:highlight w:val="none"/>
        </w:rPr>
      </w:pPr>
    </w:p>
    <w:p>
      <w:pPr>
        <w:pStyle w:val="2"/>
        <w:rPr>
          <w:rFonts w:hint="eastAsia"/>
          <w:color w:val="auto"/>
          <w:highlight w:val="none"/>
        </w:rPr>
      </w:pPr>
      <w:bookmarkStart w:id="1" w:name="_Toc152045529"/>
      <w:bookmarkStart w:id="2" w:name="_Toc152042305"/>
      <w:bookmarkStart w:id="3" w:name="_Toc179632546"/>
      <w:bookmarkStart w:id="4" w:name="_Toc144974497"/>
    </w:p>
    <w:p>
      <w:pPr>
        <w:pStyle w:val="129"/>
        <w:shd w:val="clear" w:color="auto" w:fill="FFFFFF"/>
        <w:spacing w:line="440" w:lineRule="exact"/>
        <w:rPr>
          <w:color w:val="auto"/>
          <w:highlight w:val="none"/>
        </w:rPr>
      </w:pPr>
      <w:r>
        <w:rPr>
          <w:rFonts w:hint="eastAsia"/>
          <w:color w:val="auto"/>
          <w:highlight w:val="none"/>
        </w:rPr>
        <w:t>1. 总则</w:t>
      </w:r>
      <w:bookmarkEnd w:id="1"/>
      <w:bookmarkEnd w:id="2"/>
      <w:bookmarkEnd w:id="3"/>
      <w:bookmarkEnd w:id="4"/>
    </w:p>
    <w:p>
      <w:pPr>
        <w:pStyle w:val="124"/>
        <w:shd w:val="clear" w:color="auto" w:fill="FFFFFF"/>
        <w:spacing w:line="440" w:lineRule="exact"/>
        <w:rPr>
          <w:color w:val="auto"/>
          <w:highlight w:val="none"/>
        </w:rPr>
      </w:pPr>
      <w:bookmarkStart w:id="5" w:name="_Toc152045530"/>
      <w:bookmarkStart w:id="6" w:name="_Toc179632547"/>
      <w:bookmarkStart w:id="7" w:name="_Toc144974498"/>
      <w:bookmarkStart w:id="8" w:name="_Toc152042306"/>
      <w:r>
        <w:rPr>
          <w:rFonts w:hint="eastAsia"/>
          <w:color w:val="auto"/>
          <w:highlight w:val="none"/>
        </w:rPr>
        <w:t>1.1 项目概况</w:t>
      </w:r>
      <w:bookmarkEnd w:id="5"/>
      <w:bookmarkEnd w:id="6"/>
      <w:bookmarkEnd w:id="7"/>
      <w:bookmarkEnd w:id="8"/>
    </w:p>
    <w:p>
      <w:pPr>
        <w:shd w:val="clear" w:color="auto" w:fill="FFFFFF"/>
        <w:spacing w:line="440" w:lineRule="exact"/>
        <w:ind w:firstLine="420" w:firstLineChars="200"/>
        <w:rPr>
          <w:color w:val="auto"/>
          <w:highlight w:val="none"/>
        </w:rPr>
      </w:pPr>
      <w:r>
        <w:rPr>
          <w:rFonts w:hint="eastAsia"/>
          <w:color w:val="auto"/>
          <w:highlight w:val="none"/>
        </w:rPr>
        <w:t>1.1.1根据《中华人民共和国招标投标法》等有关法律、法规和规章的规定，本招标项目已具备招标条件，现对本标段施工进行招标。</w:t>
      </w:r>
    </w:p>
    <w:p>
      <w:pPr>
        <w:shd w:val="clear" w:color="auto" w:fill="FFFFFF"/>
        <w:spacing w:line="440" w:lineRule="exact"/>
        <w:ind w:firstLine="420" w:firstLineChars="200"/>
        <w:rPr>
          <w:color w:val="auto"/>
          <w:highlight w:val="none"/>
        </w:rPr>
      </w:pPr>
      <w:r>
        <w:rPr>
          <w:rFonts w:hint="eastAsia"/>
          <w:color w:val="auto"/>
          <w:highlight w:val="none"/>
        </w:rPr>
        <w:t>1.1.2 本招标项目招标人：见投标人须知前附表。</w:t>
      </w:r>
    </w:p>
    <w:p>
      <w:pPr>
        <w:shd w:val="clear" w:color="auto" w:fill="FFFFFF"/>
        <w:spacing w:line="440" w:lineRule="exact"/>
        <w:ind w:firstLine="420" w:firstLineChars="200"/>
        <w:rPr>
          <w:color w:val="auto"/>
          <w:highlight w:val="none"/>
        </w:rPr>
      </w:pPr>
      <w:r>
        <w:rPr>
          <w:rFonts w:hint="eastAsia"/>
          <w:color w:val="auto"/>
          <w:highlight w:val="none"/>
        </w:rPr>
        <w:t>1.1.3 本标段招标代理机构：见投标人须知前附表。</w:t>
      </w:r>
    </w:p>
    <w:p>
      <w:pPr>
        <w:shd w:val="clear" w:color="auto" w:fill="FFFFFF"/>
        <w:spacing w:line="440" w:lineRule="exact"/>
        <w:ind w:firstLine="420" w:firstLineChars="200"/>
        <w:rPr>
          <w:color w:val="auto"/>
          <w:highlight w:val="none"/>
        </w:rPr>
      </w:pPr>
      <w:r>
        <w:rPr>
          <w:rFonts w:hint="eastAsia"/>
          <w:color w:val="auto"/>
          <w:highlight w:val="none"/>
        </w:rPr>
        <w:t>1.1.4 本招标项目名称：见投标人须知前附表。</w:t>
      </w:r>
    </w:p>
    <w:p>
      <w:pPr>
        <w:shd w:val="clear" w:color="auto" w:fill="FFFFFF"/>
        <w:spacing w:line="440" w:lineRule="exact"/>
        <w:ind w:firstLine="420" w:firstLineChars="200"/>
        <w:rPr>
          <w:color w:val="auto"/>
          <w:highlight w:val="none"/>
        </w:rPr>
      </w:pPr>
      <w:r>
        <w:rPr>
          <w:rFonts w:hint="eastAsia"/>
          <w:color w:val="auto"/>
          <w:highlight w:val="none"/>
        </w:rPr>
        <w:t>1.1.5 本标段建设地点：见投标人须知前附表。</w:t>
      </w:r>
    </w:p>
    <w:p>
      <w:pPr>
        <w:pStyle w:val="124"/>
        <w:shd w:val="clear" w:color="auto" w:fill="FFFFFF"/>
        <w:spacing w:line="440" w:lineRule="exact"/>
        <w:rPr>
          <w:color w:val="auto"/>
          <w:highlight w:val="none"/>
        </w:rPr>
      </w:pPr>
      <w:bookmarkStart w:id="9" w:name="_Toc152042307"/>
      <w:bookmarkStart w:id="10" w:name="_Toc152045531"/>
      <w:bookmarkStart w:id="11" w:name="_Toc144974499"/>
      <w:bookmarkStart w:id="12" w:name="_Toc179632548"/>
      <w:r>
        <w:rPr>
          <w:rFonts w:hint="eastAsia"/>
          <w:color w:val="auto"/>
          <w:highlight w:val="none"/>
        </w:rPr>
        <w:t>1.2 资金来源和落实情况</w:t>
      </w:r>
      <w:bookmarkEnd w:id="9"/>
      <w:bookmarkEnd w:id="10"/>
      <w:bookmarkEnd w:id="11"/>
      <w:bookmarkEnd w:id="12"/>
    </w:p>
    <w:p>
      <w:pPr>
        <w:shd w:val="clear" w:color="auto" w:fill="FFFFFF"/>
        <w:spacing w:line="440" w:lineRule="exact"/>
        <w:ind w:firstLine="420" w:firstLineChars="200"/>
        <w:rPr>
          <w:color w:val="auto"/>
          <w:highlight w:val="none"/>
        </w:rPr>
      </w:pPr>
      <w:r>
        <w:rPr>
          <w:rFonts w:hint="eastAsia"/>
          <w:color w:val="auto"/>
          <w:highlight w:val="none"/>
        </w:rPr>
        <w:t>1.2.1 本招标项目的资金来源：见投标人须知前附表。</w:t>
      </w:r>
    </w:p>
    <w:p>
      <w:pPr>
        <w:shd w:val="clear" w:color="auto" w:fill="FFFFFF"/>
        <w:spacing w:line="440" w:lineRule="exact"/>
        <w:ind w:firstLine="420" w:firstLineChars="200"/>
        <w:rPr>
          <w:color w:val="auto"/>
          <w:highlight w:val="none"/>
        </w:rPr>
      </w:pPr>
      <w:r>
        <w:rPr>
          <w:rFonts w:hint="eastAsia"/>
          <w:color w:val="auto"/>
          <w:highlight w:val="none"/>
        </w:rPr>
        <w:t>1.2.2 本招标项目的出资比例：见投标人须知前附表。</w:t>
      </w:r>
    </w:p>
    <w:p>
      <w:pPr>
        <w:shd w:val="clear" w:color="auto" w:fill="FFFFFF"/>
        <w:spacing w:line="440" w:lineRule="exact"/>
        <w:ind w:firstLine="420" w:firstLineChars="200"/>
        <w:rPr>
          <w:color w:val="auto"/>
          <w:highlight w:val="none"/>
        </w:rPr>
      </w:pPr>
      <w:r>
        <w:rPr>
          <w:rFonts w:hint="eastAsia"/>
          <w:color w:val="auto"/>
          <w:highlight w:val="none"/>
        </w:rPr>
        <w:t>1.2.3 本招标项目的资金落实情况：见投标人须知前附表。</w:t>
      </w:r>
    </w:p>
    <w:p>
      <w:pPr>
        <w:pStyle w:val="124"/>
        <w:shd w:val="clear" w:color="auto" w:fill="FFFFFF"/>
        <w:spacing w:line="440" w:lineRule="exact"/>
        <w:rPr>
          <w:color w:val="auto"/>
          <w:highlight w:val="none"/>
        </w:rPr>
      </w:pPr>
      <w:bookmarkStart w:id="13" w:name="_Toc144974500"/>
      <w:bookmarkStart w:id="14" w:name="_Toc152045532"/>
      <w:bookmarkStart w:id="15" w:name="_Toc179632549"/>
      <w:bookmarkStart w:id="16" w:name="_Toc152042308"/>
      <w:r>
        <w:rPr>
          <w:rFonts w:hint="eastAsia"/>
          <w:color w:val="auto"/>
          <w:highlight w:val="none"/>
        </w:rPr>
        <w:t>1.3 招标范围、计划工期和质量要求</w:t>
      </w:r>
      <w:bookmarkEnd w:id="13"/>
      <w:bookmarkEnd w:id="14"/>
      <w:bookmarkEnd w:id="15"/>
      <w:bookmarkEnd w:id="16"/>
    </w:p>
    <w:p>
      <w:pPr>
        <w:shd w:val="clear" w:color="auto" w:fill="FFFFFF"/>
        <w:spacing w:line="440" w:lineRule="exact"/>
        <w:ind w:firstLine="420" w:firstLineChars="200"/>
        <w:rPr>
          <w:color w:val="auto"/>
          <w:highlight w:val="none"/>
        </w:rPr>
      </w:pPr>
      <w:r>
        <w:rPr>
          <w:rFonts w:hint="eastAsia"/>
          <w:color w:val="auto"/>
          <w:highlight w:val="none"/>
        </w:rPr>
        <w:t>1.3.1 本次招标范围：见投标人须知前附表。</w:t>
      </w:r>
    </w:p>
    <w:p>
      <w:pPr>
        <w:shd w:val="clear" w:color="auto" w:fill="FFFFFF"/>
        <w:spacing w:line="440" w:lineRule="exact"/>
        <w:ind w:firstLine="420" w:firstLineChars="200"/>
        <w:rPr>
          <w:color w:val="auto"/>
          <w:highlight w:val="none"/>
        </w:rPr>
      </w:pPr>
      <w:r>
        <w:rPr>
          <w:rFonts w:hint="eastAsia"/>
          <w:color w:val="auto"/>
          <w:highlight w:val="none"/>
        </w:rPr>
        <w:t>1.3.2 本标段的计划工期：见投标人须知前附表。</w:t>
      </w:r>
    </w:p>
    <w:p>
      <w:pPr>
        <w:shd w:val="clear" w:color="auto" w:fill="FFFFFF"/>
        <w:spacing w:line="440" w:lineRule="exact"/>
        <w:ind w:firstLine="420" w:firstLineChars="200"/>
        <w:rPr>
          <w:color w:val="auto"/>
          <w:highlight w:val="none"/>
        </w:rPr>
      </w:pPr>
      <w:r>
        <w:rPr>
          <w:rFonts w:hint="eastAsia"/>
          <w:color w:val="auto"/>
          <w:highlight w:val="none"/>
        </w:rPr>
        <w:t>1.3.3 本标段的质量要求：见投标人须知前附表。</w:t>
      </w:r>
    </w:p>
    <w:p>
      <w:pPr>
        <w:pStyle w:val="124"/>
        <w:shd w:val="clear" w:color="auto" w:fill="FFFFFF"/>
        <w:spacing w:line="440" w:lineRule="exact"/>
        <w:rPr>
          <w:color w:val="auto"/>
          <w:highlight w:val="none"/>
        </w:rPr>
      </w:pPr>
      <w:bookmarkStart w:id="17" w:name="_Toc179632550"/>
      <w:bookmarkStart w:id="18" w:name="_Toc152042309"/>
      <w:bookmarkStart w:id="19" w:name="_Toc144974501"/>
      <w:bookmarkStart w:id="20" w:name="_Toc152045533"/>
      <w:r>
        <w:rPr>
          <w:rFonts w:hint="eastAsia"/>
          <w:color w:val="auto"/>
          <w:highlight w:val="none"/>
        </w:rPr>
        <w:t>1.4 投标人资格要求（适用于已进行资格预审的）</w:t>
      </w:r>
      <w:bookmarkEnd w:id="17"/>
      <w:bookmarkEnd w:id="18"/>
      <w:bookmarkEnd w:id="19"/>
      <w:bookmarkEnd w:id="20"/>
    </w:p>
    <w:p>
      <w:pPr>
        <w:shd w:val="clear" w:color="auto" w:fill="FFFFFF"/>
        <w:spacing w:line="440" w:lineRule="exact"/>
        <w:ind w:firstLine="420" w:firstLineChars="200"/>
        <w:rPr>
          <w:color w:val="auto"/>
          <w:highlight w:val="none"/>
        </w:rPr>
      </w:pPr>
      <w:r>
        <w:rPr>
          <w:rFonts w:hint="eastAsia"/>
          <w:color w:val="auto"/>
          <w:highlight w:val="none"/>
        </w:rPr>
        <w:t>投标人应是收到招标人发出投标邀请书的单位。</w:t>
      </w:r>
    </w:p>
    <w:p>
      <w:pPr>
        <w:pStyle w:val="124"/>
        <w:shd w:val="clear" w:color="auto" w:fill="FFFFFF"/>
        <w:spacing w:line="440" w:lineRule="exact"/>
        <w:rPr>
          <w:color w:val="auto"/>
          <w:highlight w:val="none"/>
        </w:rPr>
      </w:pPr>
      <w:bookmarkStart w:id="21" w:name="_Toc152042310"/>
      <w:bookmarkStart w:id="22" w:name="_Toc144974502"/>
      <w:bookmarkStart w:id="23" w:name="_Toc152045534"/>
      <w:bookmarkStart w:id="24" w:name="_Toc179632551"/>
      <w:r>
        <w:rPr>
          <w:rFonts w:hint="eastAsia"/>
          <w:color w:val="auto"/>
          <w:highlight w:val="none"/>
        </w:rPr>
        <w:t>1.4 投标人资格要求（适用于未进行资格预审的）</w:t>
      </w:r>
      <w:bookmarkEnd w:id="21"/>
      <w:bookmarkEnd w:id="22"/>
      <w:bookmarkEnd w:id="23"/>
      <w:bookmarkEnd w:id="24"/>
    </w:p>
    <w:p>
      <w:pPr>
        <w:shd w:val="clear" w:color="auto" w:fill="FFFFFF"/>
        <w:spacing w:line="440" w:lineRule="exact"/>
        <w:ind w:firstLine="420" w:firstLineChars="200"/>
        <w:rPr>
          <w:color w:val="auto"/>
          <w:highlight w:val="none"/>
        </w:rPr>
      </w:pPr>
      <w:r>
        <w:rPr>
          <w:rFonts w:hint="eastAsia"/>
          <w:color w:val="auto"/>
          <w:highlight w:val="none"/>
        </w:rPr>
        <w:t>1.4.1投标人应具备承担本标段施工的资质条件、能力和信誉。</w:t>
      </w:r>
    </w:p>
    <w:p>
      <w:pPr>
        <w:shd w:val="clear" w:color="auto" w:fill="FFFFFF"/>
        <w:spacing w:line="440" w:lineRule="exact"/>
        <w:ind w:firstLine="718" w:firstLineChars="342"/>
        <w:rPr>
          <w:color w:val="auto"/>
          <w:highlight w:val="none"/>
        </w:rPr>
      </w:pPr>
      <w:r>
        <w:rPr>
          <w:rFonts w:hint="eastAsia"/>
          <w:color w:val="auto"/>
          <w:highlight w:val="none"/>
        </w:rPr>
        <w:t>（1）资质条件：见投标人须知前附表；</w:t>
      </w:r>
    </w:p>
    <w:p>
      <w:pPr>
        <w:shd w:val="clear" w:color="auto" w:fill="FFFFFF"/>
        <w:spacing w:line="440" w:lineRule="exact"/>
        <w:ind w:firstLine="718" w:firstLineChars="342"/>
        <w:rPr>
          <w:color w:val="auto"/>
          <w:highlight w:val="none"/>
        </w:rPr>
      </w:pPr>
      <w:r>
        <w:rPr>
          <w:rFonts w:hint="eastAsia"/>
          <w:color w:val="auto"/>
          <w:highlight w:val="none"/>
        </w:rPr>
        <w:t>（2）财务要求：见投标人须知前附表；</w:t>
      </w:r>
    </w:p>
    <w:p>
      <w:pPr>
        <w:shd w:val="clear" w:color="auto" w:fill="FFFFFF"/>
        <w:spacing w:line="440" w:lineRule="exact"/>
        <w:ind w:firstLine="718" w:firstLineChars="342"/>
        <w:rPr>
          <w:color w:val="auto"/>
          <w:highlight w:val="none"/>
        </w:rPr>
      </w:pPr>
      <w:r>
        <w:rPr>
          <w:rFonts w:hint="eastAsia"/>
          <w:color w:val="auto"/>
          <w:highlight w:val="none"/>
        </w:rPr>
        <w:t>（3）业绩要求：见投标人须知前附表；</w:t>
      </w:r>
    </w:p>
    <w:p>
      <w:pPr>
        <w:shd w:val="clear" w:color="auto" w:fill="FFFFFF"/>
        <w:spacing w:line="440" w:lineRule="exact"/>
        <w:ind w:firstLine="718" w:firstLineChars="342"/>
        <w:rPr>
          <w:color w:val="auto"/>
          <w:highlight w:val="none"/>
        </w:rPr>
      </w:pPr>
      <w:r>
        <w:rPr>
          <w:rFonts w:hint="eastAsia"/>
          <w:color w:val="auto"/>
          <w:highlight w:val="none"/>
        </w:rPr>
        <w:t>（4）信誉要求：见投标人须知前附表;</w:t>
      </w:r>
    </w:p>
    <w:p>
      <w:pPr>
        <w:shd w:val="clear" w:color="auto" w:fill="FFFFFF"/>
        <w:spacing w:line="440" w:lineRule="exact"/>
        <w:ind w:firstLine="735" w:firstLineChars="350"/>
        <w:rPr>
          <w:color w:val="auto"/>
          <w:highlight w:val="none"/>
        </w:rPr>
      </w:pPr>
      <w:r>
        <w:rPr>
          <w:rFonts w:hint="eastAsia"/>
          <w:color w:val="auto"/>
          <w:highlight w:val="none"/>
        </w:rPr>
        <w:t>（5）项目负责人资格：见投标人须知前附表；</w:t>
      </w:r>
    </w:p>
    <w:p>
      <w:pPr>
        <w:shd w:val="clear" w:color="auto" w:fill="FFFFFF"/>
        <w:spacing w:line="440" w:lineRule="exact"/>
        <w:ind w:firstLine="735" w:firstLineChars="350"/>
        <w:rPr>
          <w:color w:val="auto"/>
          <w:highlight w:val="none"/>
        </w:rPr>
      </w:pPr>
      <w:r>
        <w:rPr>
          <w:rFonts w:hint="eastAsia"/>
          <w:color w:val="auto"/>
          <w:highlight w:val="none"/>
        </w:rPr>
        <w:t>（6）其他要求：见投标人须知前附表。</w:t>
      </w:r>
    </w:p>
    <w:p>
      <w:pPr>
        <w:shd w:val="clear" w:color="auto" w:fill="FFFFFF"/>
        <w:spacing w:line="440" w:lineRule="exact"/>
        <w:ind w:firstLine="420" w:firstLineChars="200"/>
        <w:rPr>
          <w:strike/>
          <w:color w:val="auto"/>
          <w:highlight w:val="none"/>
        </w:rPr>
      </w:pPr>
      <w:r>
        <w:rPr>
          <w:rFonts w:hint="eastAsia"/>
          <w:strike/>
          <w:color w:val="auto"/>
          <w:highlight w:val="none"/>
        </w:rPr>
        <w:t xml:space="preserve">1.4.2 投标人须知前附表规定接受联合体投标的，除应符合本章第1.4.1项和投标人须知前附表的要求外，还应遵守以下规定： </w:t>
      </w:r>
    </w:p>
    <w:p>
      <w:pPr>
        <w:shd w:val="clear" w:color="auto" w:fill="FFFFFF"/>
        <w:spacing w:line="440" w:lineRule="exact"/>
        <w:ind w:firstLine="718" w:firstLineChars="342"/>
        <w:rPr>
          <w:strike/>
          <w:color w:val="auto"/>
          <w:highlight w:val="none"/>
        </w:rPr>
      </w:pPr>
      <w:r>
        <w:rPr>
          <w:rFonts w:hint="eastAsia"/>
          <w:strike/>
          <w:color w:val="auto"/>
          <w:highlight w:val="none"/>
        </w:rPr>
        <w:t>（1）联合体各方应按招标文件提供的格式签订联合体协议书，明确联合体牵头人和各方权利义务；</w:t>
      </w:r>
    </w:p>
    <w:p>
      <w:pPr>
        <w:shd w:val="clear" w:color="auto" w:fill="FFFFFF"/>
        <w:spacing w:line="440" w:lineRule="exact"/>
        <w:ind w:firstLine="718" w:firstLineChars="342"/>
        <w:rPr>
          <w:strike/>
          <w:color w:val="auto"/>
          <w:highlight w:val="none"/>
        </w:rPr>
      </w:pPr>
      <w:r>
        <w:rPr>
          <w:rFonts w:hint="eastAsia"/>
          <w:strike/>
          <w:color w:val="auto"/>
          <w:highlight w:val="none"/>
        </w:rPr>
        <w:t xml:space="preserve">（2）由同一专业的单位组成的联合体，按照资质等级较低的单位确定资质等级； </w:t>
      </w:r>
    </w:p>
    <w:p>
      <w:pPr>
        <w:shd w:val="clear" w:color="auto" w:fill="FFFFFF"/>
        <w:spacing w:line="440" w:lineRule="exact"/>
        <w:ind w:firstLine="718" w:firstLineChars="342"/>
        <w:rPr>
          <w:strike/>
          <w:color w:val="auto"/>
          <w:highlight w:val="none"/>
        </w:rPr>
      </w:pPr>
      <w:r>
        <w:rPr>
          <w:rFonts w:hint="eastAsia"/>
          <w:strike/>
          <w:color w:val="auto"/>
          <w:highlight w:val="none"/>
        </w:rPr>
        <w:t>（3）联合体各方不得再以自己名义单独或参加其他联合体在同一标段中投标。</w:t>
      </w:r>
    </w:p>
    <w:p>
      <w:pPr>
        <w:shd w:val="clear" w:color="auto" w:fill="FFFFFF"/>
        <w:spacing w:line="440" w:lineRule="exact"/>
        <w:ind w:firstLine="420" w:firstLineChars="200"/>
        <w:rPr>
          <w:color w:val="auto"/>
          <w:highlight w:val="none"/>
        </w:rPr>
      </w:pPr>
      <w:r>
        <w:rPr>
          <w:rFonts w:hint="eastAsia"/>
          <w:color w:val="auto"/>
          <w:highlight w:val="none"/>
        </w:rPr>
        <w:t>1.4.3 投标人不得存在下列情形之一：</w:t>
      </w:r>
    </w:p>
    <w:p>
      <w:pPr>
        <w:shd w:val="clear" w:color="auto" w:fill="FFFFFF"/>
        <w:spacing w:line="440" w:lineRule="exact"/>
        <w:ind w:firstLine="718" w:firstLineChars="342"/>
        <w:rPr>
          <w:color w:val="auto"/>
          <w:highlight w:val="none"/>
        </w:rPr>
      </w:pPr>
      <w:r>
        <w:rPr>
          <w:rFonts w:hint="eastAsia"/>
          <w:color w:val="auto"/>
          <w:highlight w:val="none"/>
        </w:rPr>
        <w:t xml:space="preserve">（1）为招标人不具有独立法人资格的附属机构（单位）； </w:t>
      </w:r>
    </w:p>
    <w:p>
      <w:pPr>
        <w:shd w:val="clear" w:color="auto" w:fill="FFFFFF"/>
        <w:spacing w:line="440" w:lineRule="exact"/>
        <w:ind w:firstLine="718" w:firstLineChars="342"/>
        <w:rPr>
          <w:color w:val="auto"/>
          <w:highlight w:val="none"/>
        </w:rPr>
      </w:pPr>
      <w:r>
        <w:rPr>
          <w:rFonts w:hint="eastAsia"/>
          <w:color w:val="auto"/>
          <w:highlight w:val="none"/>
        </w:rPr>
        <w:t xml:space="preserve">（2）为本标段前期准备提供设计或咨询服务的，但设计施工总承包的除外； </w:t>
      </w:r>
    </w:p>
    <w:p>
      <w:pPr>
        <w:shd w:val="clear" w:color="auto" w:fill="FFFFFF"/>
        <w:spacing w:line="440" w:lineRule="exact"/>
        <w:ind w:firstLine="718" w:firstLineChars="342"/>
        <w:rPr>
          <w:color w:val="auto"/>
          <w:highlight w:val="none"/>
        </w:rPr>
      </w:pPr>
      <w:r>
        <w:rPr>
          <w:rFonts w:hint="eastAsia"/>
          <w:color w:val="auto"/>
          <w:highlight w:val="none"/>
        </w:rPr>
        <w:t>（3）为本标段的监理人；</w:t>
      </w:r>
    </w:p>
    <w:p>
      <w:pPr>
        <w:shd w:val="clear" w:color="auto" w:fill="FFFFFF"/>
        <w:spacing w:line="440" w:lineRule="exact"/>
        <w:ind w:firstLine="718" w:firstLineChars="342"/>
        <w:rPr>
          <w:color w:val="auto"/>
          <w:highlight w:val="none"/>
        </w:rPr>
      </w:pPr>
      <w:r>
        <w:rPr>
          <w:rFonts w:hint="eastAsia"/>
          <w:color w:val="auto"/>
          <w:highlight w:val="none"/>
        </w:rPr>
        <w:t xml:space="preserve">（4）为本标段的代建人； </w:t>
      </w:r>
    </w:p>
    <w:p>
      <w:pPr>
        <w:shd w:val="clear" w:color="auto" w:fill="FFFFFF"/>
        <w:spacing w:line="440" w:lineRule="exact"/>
        <w:ind w:firstLine="718" w:firstLineChars="342"/>
        <w:rPr>
          <w:color w:val="auto"/>
          <w:highlight w:val="none"/>
        </w:rPr>
      </w:pPr>
      <w:r>
        <w:rPr>
          <w:rFonts w:hint="eastAsia"/>
          <w:color w:val="auto"/>
          <w:highlight w:val="none"/>
        </w:rPr>
        <w:t xml:space="preserve">（5）为本标段提供招标代理服务的； </w:t>
      </w:r>
    </w:p>
    <w:p>
      <w:pPr>
        <w:shd w:val="clear" w:color="auto" w:fill="FFFFFF"/>
        <w:spacing w:line="440" w:lineRule="exact"/>
        <w:ind w:firstLine="718" w:firstLineChars="342"/>
        <w:rPr>
          <w:color w:val="auto"/>
          <w:highlight w:val="none"/>
        </w:rPr>
      </w:pPr>
      <w:r>
        <w:rPr>
          <w:rFonts w:hint="eastAsia"/>
          <w:color w:val="auto"/>
          <w:highlight w:val="none"/>
        </w:rPr>
        <w:t>（6）与本标段的监理人或代建人或招标代理机构同为一个法定代表人的；</w:t>
      </w:r>
    </w:p>
    <w:p>
      <w:pPr>
        <w:shd w:val="clear" w:color="auto" w:fill="FFFFFF"/>
        <w:spacing w:line="440" w:lineRule="exact"/>
        <w:ind w:firstLine="718" w:firstLineChars="342"/>
        <w:rPr>
          <w:color w:val="auto"/>
          <w:highlight w:val="none"/>
        </w:rPr>
      </w:pPr>
      <w:r>
        <w:rPr>
          <w:rFonts w:hint="eastAsia"/>
          <w:color w:val="auto"/>
          <w:highlight w:val="none"/>
        </w:rPr>
        <w:t>（7）与本标段的监理人或代建人或招标代理机构相互控股或参股的；</w:t>
      </w:r>
    </w:p>
    <w:p>
      <w:pPr>
        <w:shd w:val="clear" w:color="auto" w:fill="FFFFFF"/>
        <w:spacing w:line="440" w:lineRule="exact"/>
        <w:ind w:firstLine="718" w:firstLineChars="342"/>
        <w:rPr>
          <w:color w:val="auto"/>
          <w:highlight w:val="none"/>
        </w:rPr>
      </w:pPr>
      <w:r>
        <w:rPr>
          <w:rFonts w:hint="eastAsia"/>
          <w:color w:val="auto"/>
          <w:highlight w:val="none"/>
        </w:rPr>
        <w:t>（8）与本标段的监理人或代建人或招标代理机构相互任职或工作的；</w:t>
      </w:r>
    </w:p>
    <w:p>
      <w:pPr>
        <w:shd w:val="clear" w:color="auto" w:fill="FFFFFF"/>
        <w:spacing w:line="440" w:lineRule="exact"/>
        <w:ind w:firstLine="718" w:firstLineChars="342"/>
        <w:rPr>
          <w:color w:val="auto"/>
          <w:highlight w:val="none"/>
        </w:rPr>
      </w:pPr>
      <w:r>
        <w:rPr>
          <w:rFonts w:hint="eastAsia"/>
          <w:color w:val="auto"/>
          <w:highlight w:val="none"/>
        </w:rPr>
        <w:t xml:space="preserve">（9）被责令停业的； </w:t>
      </w:r>
    </w:p>
    <w:p>
      <w:pPr>
        <w:shd w:val="clear" w:color="auto" w:fill="FFFFFF"/>
        <w:spacing w:line="440" w:lineRule="exact"/>
        <w:ind w:firstLine="718" w:firstLineChars="342"/>
        <w:rPr>
          <w:color w:val="auto"/>
          <w:highlight w:val="none"/>
        </w:rPr>
      </w:pPr>
      <w:r>
        <w:rPr>
          <w:rFonts w:hint="eastAsia"/>
          <w:color w:val="auto"/>
          <w:highlight w:val="none"/>
        </w:rPr>
        <w:t xml:space="preserve">（10）被暂停或取消投标资格的； </w:t>
      </w:r>
    </w:p>
    <w:p>
      <w:pPr>
        <w:shd w:val="clear" w:color="auto" w:fill="FFFFFF"/>
        <w:spacing w:line="440" w:lineRule="exact"/>
        <w:ind w:firstLine="718" w:firstLineChars="342"/>
        <w:rPr>
          <w:color w:val="auto"/>
          <w:highlight w:val="none"/>
        </w:rPr>
      </w:pPr>
      <w:r>
        <w:rPr>
          <w:rFonts w:hint="eastAsia"/>
          <w:color w:val="auto"/>
          <w:highlight w:val="none"/>
        </w:rPr>
        <w:t>（11）财产被接管或冻结的；</w:t>
      </w:r>
    </w:p>
    <w:p>
      <w:pPr>
        <w:shd w:val="clear" w:color="auto" w:fill="FFFFFF"/>
        <w:spacing w:line="440" w:lineRule="exact"/>
        <w:ind w:firstLine="718" w:firstLineChars="342"/>
        <w:rPr>
          <w:color w:val="auto"/>
          <w:highlight w:val="none"/>
        </w:rPr>
      </w:pPr>
      <w:r>
        <w:rPr>
          <w:rFonts w:hint="eastAsia"/>
          <w:color w:val="auto"/>
          <w:highlight w:val="none"/>
        </w:rPr>
        <w:t>（12）在最近三年内有骗取中标或严重违约或重大工程质量问题的。</w:t>
      </w:r>
    </w:p>
    <w:p>
      <w:pPr>
        <w:pStyle w:val="124"/>
        <w:shd w:val="clear" w:color="auto" w:fill="FFFFFF"/>
        <w:spacing w:line="440" w:lineRule="exact"/>
        <w:rPr>
          <w:color w:val="auto"/>
          <w:highlight w:val="none"/>
        </w:rPr>
      </w:pPr>
      <w:bookmarkStart w:id="25" w:name="_Toc152042311"/>
      <w:bookmarkStart w:id="26" w:name="_Toc144974503"/>
      <w:bookmarkStart w:id="27" w:name="_Toc152045535"/>
      <w:bookmarkStart w:id="28" w:name="_Toc179632552"/>
      <w:r>
        <w:rPr>
          <w:rFonts w:hint="eastAsia"/>
          <w:color w:val="auto"/>
          <w:highlight w:val="none"/>
        </w:rPr>
        <w:t>1.5 费用承担</w:t>
      </w:r>
      <w:bookmarkEnd w:id="25"/>
      <w:bookmarkEnd w:id="26"/>
      <w:bookmarkEnd w:id="27"/>
      <w:bookmarkEnd w:id="28"/>
    </w:p>
    <w:p>
      <w:pPr>
        <w:shd w:val="clear" w:color="auto" w:fill="FFFFFF"/>
        <w:spacing w:line="440" w:lineRule="exact"/>
        <w:ind w:firstLine="420" w:firstLineChars="200"/>
        <w:rPr>
          <w:color w:val="auto"/>
          <w:highlight w:val="none"/>
        </w:rPr>
      </w:pPr>
      <w:r>
        <w:rPr>
          <w:rFonts w:hint="eastAsia"/>
          <w:color w:val="auto"/>
          <w:highlight w:val="none"/>
        </w:rPr>
        <w:t>投标人准备和参加投标活动发生的费用自理。</w:t>
      </w:r>
    </w:p>
    <w:p>
      <w:pPr>
        <w:pStyle w:val="124"/>
        <w:shd w:val="clear" w:color="auto" w:fill="FFFFFF"/>
        <w:spacing w:line="440" w:lineRule="exact"/>
        <w:rPr>
          <w:color w:val="auto"/>
          <w:highlight w:val="none"/>
        </w:rPr>
      </w:pPr>
      <w:bookmarkStart w:id="29" w:name="_Toc179632553"/>
      <w:bookmarkStart w:id="30" w:name="_Toc144974504"/>
      <w:bookmarkStart w:id="31" w:name="_Toc152045536"/>
      <w:bookmarkStart w:id="32" w:name="_Toc152042312"/>
      <w:r>
        <w:rPr>
          <w:rFonts w:hint="eastAsia"/>
          <w:color w:val="auto"/>
          <w:highlight w:val="none"/>
        </w:rPr>
        <w:t>1.6 保密</w:t>
      </w:r>
      <w:bookmarkEnd w:id="29"/>
      <w:bookmarkEnd w:id="30"/>
      <w:bookmarkEnd w:id="31"/>
      <w:bookmarkEnd w:id="32"/>
    </w:p>
    <w:p>
      <w:pPr>
        <w:shd w:val="clear" w:color="auto" w:fill="FFFFFF"/>
        <w:spacing w:line="440" w:lineRule="exact"/>
        <w:ind w:firstLine="420" w:firstLineChars="200"/>
        <w:rPr>
          <w:color w:val="auto"/>
          <w:highlight w:val="none"/>
        </w:rPr>
      </w:pPr>
      <w:r>
        <w:rPr>
          <w:rFonts w:hint="eastAsia"/>
          <w:color w:val="auto"/>
          <w:highlight w:val="none"/>
        </w:rPr>
        <w:t xml:space="preserve">参与招标投标活动的各方应对招标文件和投标文件中的商业和技术等秘密保密，违者应对由此造成的后果承担法律责任。 </w:t>
      </w:r>
    </w:p>
    <w:p>
      <w:pPr>
        <w:pStyle w:val="124"/>
        <w:shd w:val="clear" w:color="auto" w:fill="FFFFFF"/>
        <w:spacing w:line="440" w:lineRule="exact"/>
        <w:rPr>
          <w:color w:val="auto"/>
          <w:highlight w:val="none"/>
        </w:rPr>
      </w:pPr>
      <w:bookmarkStart w:id="33" w:name="_Toc144974505"/>
      <w:bookmarkStart w:id="34" w:name="_Toc152042313"/>
      <w:bookmarkStart w:id="35" w:name="_Toc179632554"/>
      <w:bookmarkStart w:id="36" w:name="_Toc152045537"/>
      <w:r>
        <w:rPr>
          <w:rFonts w:hint="eastAsia"/>
          <w:color w:val="auto"/>
          <w:highlight w:val="none"/>
        </w:rPr>
        <w:t>1.7 语言</w:t>
      </w:r>
      <w:bookmarkEnd w:id="33"/>
      <w:r>
        <w:rPr>
          <w:rFonts w:hint="eastAsia"/>
          <w:color w:val="auto"/>
          <w:highlight w:val="none"/>
        </w:rPr>
        <w:t>文字</w:t>
      </w:r>
      <w:bookmarkEnd w:id="34"/>
      <w:bookmarkEnd w:id="35"/>
      <w:bookmarkEnd w:id="36"/>
    </w:p>
    <w:p>
      <w:pPr>
        <w:shd w:val="clear" w:color="auto" w:fill="FFFFFF"/>
        <w:spacing w:line="440" w:lineRule="exact"/>
        <w:ind w:firstLine="420" w:firstLineChars="200"/>
        <w:rPr>
          <w:color w:val="auto"/>
          <w:highlight w:val="none"/>
        </w:rPr>
      </w:pPr>
      <w:r>
        <w:rPr>
          <w:rFonts w:hint="eastAsia"/>
          <w:color w:val="auto"/>
          <w:highlight w:val="none"/>
        </w:rPr>
        <w:t>除专用术语外，与招标投标有关的语言均使用中文。必要时专用术语应附有中文注释。</w:t>
      </w:r>
    </w:p>
    <w:p>
      <w:pPr>
        <w:pStyle w:val="124"/>
        <w:shd w:val="clear" w:color="auto" w:fill="FFFFFF"/>
        <w:spacing w:line="440" w:lineRule="exact"/>
        <w:rPr>
          <w:color w:val="auto"/>
          <w:highlight w:val="none"/>
        </w:rPr>
      </w:pPr>
      <w:bookmarkStart w:id="37" w:name="_Toc144974506"/>
      <w:bookmarkStart w:id="38" w:name="_Toc179632555"/>
      <w:bookmarkStart w:id="39" w:name="_Toc152045538"/>
      <w:bookmarkStart w:id="40" w:name="_Toc152042314"/>
      <w:r>
        <w:rPr>
          <w:rFonts w:hint="eastAsia"/>
          <w:color w:val="auto"/>
          <w:highlight w:val="none"/>
        </w:rPr>
        <w:t>1.8 计量单位</w:t>
      </w:r>
      <w:bookmarkEnd w:id="37"/>
      <w:bookmarkEnd w:id="38"/>
      <w:bookmarkEnd w:id="39"/>
      <w:bookmarkEnd w:id="40"/>
    </w:p>
    <w:p>
      <w:pPr>
        <w:shd w:val="clear" w:color="auto" w:fill="FFFFFF"/>
        <w:spacing w:line="440" w:lineRule="exact"/>
        <w:ind w:firstLine="420" w:firstLineChars="200"/>
        <w:rPr>
          <w:color w:val="auto"/>
          <w:highlight w:val="none"/>
        </w:rPr>
      </w:pPr>
      <w:r>
        <w:rPr>
          <w:rFonts w:hint="eastAsia"/>
          <w:color w:val="auto"/>
          <w:highlight w:val="none"/>
        </w:rPr>
        <w:t>所有计量均采用中华人民共和国法定计量单位。</w:t>
      </w:r>
    </w:p>
    <w:p>
      <w:pPr>
        <w:pStyle w:val="124"/>
        <w:shd w:val="clear" w:color="auto" w:fill="FFFFFF"/>
        <w:spacing w:line="440" w:lineRule="exact"/>
        <w:rPr>
          <w:color w:val="auto"/>
          <w:highlight w:val="none"/>
        </w:rPr>
      </w:pPr>
      <w:bookmarkStart w:id="41" w:name="_Toc152045539"/>
      <w:bookmarkStart w:id="42" w:name="_Toc179632556"/>
      <w:bookmarkStart w:id="43" w:name="_Toc152042315"/>
      <w:bookmarkStart w:id="44" w:name="_Toc144974507"/>
      <w:r>
        <w:rPr>
          <w:rFonts w:hint="eastAsia"/>
          <w:color w:val="auto"/>
          <w:highlight w:val="none"/>
        </w:rPr>
        <w:t>1.9 踏勘现场</w:t>
      </w:r>
      <w:bookmarkEnd w:id="41"/>
      <w:bookmarkEnd w:id="42"/>
      <w:bookmarkEnd w:id="43"/>
      <w:bookmarkEnd w:id="44"/>
    </w:p>
    <w:p>
      <w:pPr>
        <w:shd w:val="clear" w:color="auto" w:fill="FFFFFF"/>
        <w:spacing w:line="440" w:lineRule="exact"/>
        <w:ind w:firstLine="420" w:firstLineChars="200"/>
        <w:rPr>
          <w:color w:val="auto"/>
          <w:highlight w:val="none"/>
        </w:rPr>
      </w:pPr>
      <w:r>
        <w:rPr>
          <w:rFonts w:hint="eastAsia"/>
          <w:color w:val="auto"/>
          <w:highlight w:val="none"/>
        </w:rPr>
        <w:t xml:space="preserve">1.9.1 投标人须知前附表规定组织踏勘现场的，招标人按投标人须知前附表规定的时间、地点组织投标人踏勘项目现场。 </w:t>
      </w:r>
    </w:p>
    <w:p>
      <w:pPr>
        <w:shd w:val="clear" w:color="auto" w:fill="FFFFFF"/>
        <w:spacing w:line="440" w:lineRule="exact"/>
        <w:ind w:firstLine="420" w:firstLineChars="200"/>
        <w:rPr>
          <w:color w:val="auto"/>
          <w:highlight w:val="none"/>
        </w:rPr>
      </w:pPr>
      <w:r>
        <w:rPr>
          <w:rFonts w:hint="eastAsia"/>
          <w:color w:val="auto"/>
          <w:highlight w:val="none"/>
        </w:rPr>
        <w:t>1.9.2 投标人踏勘现场发生的费用自理。</w:t>
      </w:r>
    </w:p>
    <w:p>
      <w:pPr>
        <w:shd w:val="clear" w:color="auto" w:fill="FFFFFF"/>
        <w:spacing w:line="440" w:lineRule="exact"/>
        <w:ind w:firstLine="420" w:firstLineChars="200"/>
        <w:rPr>
          <w:color w:val="auto"/>
          <w:highlight w:val="none"/>
        </w:rPr>
      </w:pPr>
      <w:r>
        <w:rPr>
          <w:rFonts w:hint="eastAsia"/>
          <w:color w:val="auto"/>
          <w:highlight w:val="none"/>
        </w:rPr>
        <w:t>1.9.3 除招标人的原因外，投标人自行负责在踏勘现场中所发生的人员伤亡和财产损失。</w:t>
      </w:r>
    </w:p>
    <w:p>
      <w:pPr>
        <w:shd w:val="clear" w:color="auto" w:fill="FFFFFF"/>
        <w:spacing w:line="440" w:lineRule="exact"/>
        <w:ind w:firstLine="420" w:firstLineChars="200"/>
        <w:rPr>
          <w:color w:val="auto"/>
          <w:highlight w:val="none"/>
        </w:rPr>
      </w:pPr>
      <w:r>
        <w:rPr>
          <w:rFonts w:hint="eastAsia"/>
          <w:color w:val="auto"/>
          <w:highlight w:val="none"/>
        </w:rPr>
        <w:t>1.9.4 招标人在踏勘现场中介绍的工程场地和相关的周边环境情况，供投标人在编制投标文件时参考，招标人不对投标人据此作出的判断和决策负责。</w:t>
      </w:r>
    </w:p>
    <w:p>
      <w:pPr>
        <w:pStyle w:val="124"/>
        <w:shd w:val="clear" w:color="auto" w:fill="FFFFFF"/>
        <w:spacing w:line="440" w:lineRule="exact"/>
        <w:rPr>
          <w:color w:val="auto"/>
          <w:highlight w:val="none"/>
        </w:rPr>
      </w:pPr>
      <w:bookmarkStart w:id="45" w:name="_Toc144974508"/>
      <w:bookmarkStart w:id="46" w:name="_Toc152042316"/>
      <w:bookmarkStart w:id="47" w:name="_Toc179632557"/>
      <w:bookmarkStart w:id="48" w:name="_Toc152045540"/>
      <w:r>
        <w:rPr>
          <w:rFonts w:hint="eastAsia"/>
          <w:color w:val="auto"/>
          <w:highlight w:val="none"/>
        </w:rPr>
        <w:t>1.10 投标预备会</w:t>
      </w:r>
      <w:bookmarkEnd w:id="45"/>
      <w:bookmarkEnd w:id="46"/>
      <w:bookmarkEnd w:id="47"/>
      <w:bookmarkEnd w:id="48"/>
    </w:p>
    <w:p>
      <w:pPr>
        <w:shd w:val="clear" w:color="auto" w:fill="FFFFFF"/>
        <w:spacing w:line="440" w:lineRule="exact"/>
        <w:ind w:firstLine="420" w:firstLineChars="200"/>
        <w:rPr>
          <w:color w:val="auto"/>
          <w:highlight w:val="none"/>
        </w:rPr>
      </w:pPr>
      <w:r>
        <w:rPr>
          <w:rFonts w:hint="eastAsia"/>
          <w:color w:val="auto"/>
          <w:highlight w:val="none"/>
        </w:rPr>
        <w:t>1.10.1 投标人须知前附表规定召开投标预备会的，招标人按投标人须知前附表规定的时间和地点召开投标预备会，澄清投标人提出的问题。</w:t>
      </w:r>
    </w:p>
    <w:p>
      <w:pPr>
        <w:shd w:val="clear" w:color="auto" w:fill="FFFFFF"/>
        <w:spacing w:line="440" w:lineRule="exact"/>
        <w:ind w:firstLine="420" w:firstLineChars="200"/>
        <w:rPr>
          <w:color w:val="auto"/>
          <w:highlight w:val="none"/>
        </w:rPr>
      </w:pPr>
      <w:r>
        <w:rPr>
          <w:rFonts w:hint="eastAsia"/>
          <w:color w:val="auto"/>
          <w:highlight w:val="none"/>
        </w:rPr>
        <w:t>1.10.2 投标人应在投标人须知前附表规定的时间前，以书面形式将提出的问题送达招标人，以便招标人在会议期间澄清。</w:t>
      </w:r>
    </w:p>
    <w:p>
      <w:pPr>
        <w:shd w:val="clear" w:color="auto" w:fill="FFFFFF"/>
        <w:spacing w:line="440" w:lineRule="exact"/>
        <w:ind w:firstLine="420" w:firstLineChars="200"/>
        <w:rPr>
          <w:color w:val="auto"/>
          <w:highlight w:val="none"/>
        </w:rPr>
      </w:pPr>
      <w:r>
        <w:rPr>
          <w:rFonts w:hint="eastAsia"/>
          <w:color w:val="auto"/>
          <w:highlight w:val="none"/>
        </w:rPr>
        <w:t>1.10.3 投标预备会后，招标人在投标人须知前附表规定的时间内，将对投标人所提问题的澄清，以书面方式通知所有购买招标文件的投标人。该澄清内容为招标文件的组成部分。</w:t>
      </w:r>
    </w:p>
    <w:p>
      <w:pPr>
        <w:pStyle w:val="124"/>
        <w:shd w:val="clear" w:color="auto" w:fill="FFFFFF"/>
        <w:spacing w:line="440" w:lineRule="exact"/>
        <w:rPr>
          <w:color w:val="auto"/>
          <w:highlight w:val="none"/>
        </w:rPr>
      </w:pPr>
      <w:bookmarkStart w:id="49" w:name="_Toc179632558"/>
      <w:bookmarkStart w:id="50" w:name="_Toc152045541"/>
      <w:bookmarkStart w:id="51" w:name="_Toc152042317"/>
      <w:bookmarkStart w:id="52" w:name="_Toc144974509"/>
      <w:r>
        <w:rPr>
          <w:rFonts w:hint="eastAsia"/>
          <w:color w:val="auto"/>
          <w:highlight w:val="none"/>
        </w:rPr>
        <w:t>1.11 分包</w:t>
      </w:r>
      <w:bookmarkEnd w:id="49"/>
      <w:bookmarkEnd w:id="50"/>
      <w:bookmarkEnd w:id="51"/>
      <w:bookmarkEnd w:id="52"/>
    </w:p>
    <w:p>
      <w:pPr>
        <w:shd w:val="clear" w:color="auto" w:fill="FFFFFF"/>
        <w:spacing w:line="440" w:lineRule="exact"/>
        <w:ind w:firstLine="420" w:firstLineChars="200"/>
        <w:rPr>
          <w:color w:val="auto"/>
          <w:highlight w:val="none"/>
        </w:rPr>
      </w:pPr>
      <w:r>
        <w:rPr>
          <w:rFonts w:hint="eastAsia"/>
          <w:color w:val="auto"/>
          <w:highlight w:val="none"/>
        </w:rPr>
        <w:t>投标人拟在中标后将中标项目的部分非主体、非关键性工作进行分包的，应符合投标人须知前附表规定的分包内容、分包金额和接受分包的第三人资质要求等限制性条件。</w:t>
      </w:r>
    </w:p>
    <w:p>
      <w:pPr>
        <w:pStyle w:val="124"/>
        <w:shd w:val="clear" w:color="auto" w:fill="FFFFFF"/>
        <w:spacing w:line="440" w:lineRule="exact"/>
        <w:rPr>
          <w:color w:val="auto"/>
          <w:highlight w:val="none"/>
        </w:rPr>
      </w:pPr>
      <w:bookmarkStart w:id="53" w:name="_Toc179632559"/>
      <w:r>
        <w:rPr>
          <w:rFonts w:hint="eastAsia"/>
          <w:color w:val="auto"/>
          <w:highlight w:val="none"/>
        </w:rPr>
        <w:t>1.12 偏离</w:t>
      </w:r>
      <w:bookmarkEnd w:id="53"/>
    </w:p>
    <w:p>
      <w:pPr>
        <w:shd w:val="clear" w:color="auto" w:fill="FFFFFF"/>
        <w:spacing w:line="440" w:lineRule="exact"/>
        <w:ind w:firstLine="462" w:firstLineChars="220"/>
        <w:rPr>
          <w:color w:val="auto"/>
          <w:highlight w:val="none"/>
        </w:rPr>
      </w:pPr>
      <w:r>
        <w:rPr>
          <w:rFonts w:hint="eastAsia"/>
          <w:color w:val="auto"/>
          <w:highlight w:val="none"/>
        </w:rPr>
        <w:t>投标人须知前附表允许投标文件偏离招标文件某些要求的，偏离应当符合招标文件规定的偏离范围和幅度。</w:t>
      </w:r>
    </w:p>
    <w:p>
      <w:pPr>
        <w:pStyle w:val="129"/>
        <w:shd w:val="clear" w:color="auto" w:fill="FFFFFF"/>
        <w:spacing w:line="440" w:lineRule="exact"/>
        <w:rPr>
          <w:color w:val="auto"/>
          <w:highlight w:val="none"/>
        </w:rPr>
      </w:pPr>
      <w:bookmarkStart w:id="54" w:name="_Toc179632560"/>
      <w:bookmarkStart w:id="55" w:name="_Toc152045542"/>
      <w:bookmarkStart w:id="56" w:name="_Toc144974510"/>
      <w:bookmarkStart w:id="57" w:name="_Toc152042318"/>
      <w:r>
        <w:rPr>
          <w:rFonts w:hint="eastAsia"/>
          <w:color w:val="auto"/>
          <w:highlight w:val="none"/>
        </w:rPr>
        <w:t>2. 招标文件</w:t>
      </w:r>
      <w:bookmarkEnd w:id="54"/>
      <w:bookmarkEnd w:id="55"/>
      <w:bookmarkEnd w:id="56"/>
      <w:bookmarkEnd w:id="57"/>
    </w:p>
    <w:p>
      <w:pPr>
        <w:pStyle w:val="124"/>
        <w:shd w:val="clear" w:color="auto" w:fill="FFFFFF"/>
        <w:spacing w:line="440" w:lineRule="exact"/>
        <w:rPr>
          <w:color w:val="auto"/>
          <w:highlight w:val="none"/>
        </w:rPr>
      </w:pPr>
      <w:bookmarkStart w:id="58" w:name="_Toc179632561"/>
      <w:bookmarkStart w:id="59" w:name="_Toc152042319"/>
      <w:bookmarkStart w:id="60" w:name="_Toc152045543"/>
      <w:bookmarkStart w:id="61" w:name="_Toc144974511"/>
      <w:r>
        <w:rPr>
          <w:rFonts w:hint="eastAsia"/>
          <w:color w:val="auto"/>
          <w:highlight w:val="none"/>
        </w:rPr>
        <w:t>2.1 招标文件的组成</w:t>
      </w:r>
      <w:bookmarkEnd w:id="58"/>
      <w:bookmarkEnd w:id="59"/>
      <w:bookmarkEnd w:id="60"/>
      <w:bookmarkEnd w:id="61"/>
    </w:p>
    <w:p>
      <w:pPr>
        <w:shd w:val="clear" w:color="auto" w:fill="FFFFFF"/>
        <w:spacing w:line="440" w:lineRule="exact"/>
        <w:ind w:firstLine="420" w:firstLineChars="200"/>
        <w:rPr>
          <w:color w:val="auto"/>
          <w:highlight w:val="none"/>
        </w:rPr>
      </w:pPr>
      <w:r>
        <w:rPr>
          <w:rFonts w:hint="eastAsia"/>
          <w:color w:val="auto"/>
          <w:highlight w:val="none"/>
        </w:rPr>
        <w:t>本招标文件包括：</w:t>
      </w:r>
    </w:p>
    <w:p>
      <w:pPr>
        <w:shd w:val="clear" w:color="auto" w:fill="FFFFFF"/>
        <w:spacing w:line="440" w:lineRule="exact"/>
        <w:ind w:firstLine="359" w:firstLineChars="171"/>
        <w:rPr>
          <w:color w:val="auto"/>
          <w:highlight w:val="none"/>
        </w:rPr>
      </w:pPr>
      <w:r>
        <w:rPr>
          <w:rFonts w:hint="eastAsia"/>
          <w:color w:val="auto"/>
          <w:highlight w:val="none"/>
        </w:rPr>
        <w:t>（1）招标公告（或投标邀请书）；</w:t>
      </w:r>
    </w:p>
    <w:p>
      <w:pPr>
        <w:shd w:val="clear" w:color="auto" w:fill="FFFFFF"/>
        <w:spacing w:line="440" w:lineRule="exact"/>
        <w:ind w:firstLine="359" w:firstLineChars="171"/>
        <w:rPr>
          <w:color w:val="auto"/>
          <w:highlight w:val="none"/>
        </w:rPr>
      </w:pPr>
      <w:r>
        <w:rPr>
          <w:rFonts w:hint="eastAsia"/>
          <w:color w:val="auto"/>
          <w:highlight w:val="none"/>
        </w:rPr>
        <w:t>（2）投标人须知；</w:t>
      </w:r>
    </w:p>
    <w:p>
      <w:pPr>
        <w:shd w:val="clear" w:color="auto" w:fill="FFFFFF"/>
        <w:spacing w:line="440" w:lineRule="exact"/>
        <w:ind w:firstLine="359" w:firstLineChars="171"/>
        <w:rPr>
          <w:color w:val="auto"/>
          <w:highlight w:val="none"/>
        </w:rPr>
      </w:pPr>
      <w:r>
        <w:rPr>
          <w:rFonts w:hint="eastAsia"/>
          <w:color w:val="auto"/>
          <w:highlight w:val="none"/>
        </w:rPr>
        <w:t>（3）评标办法；</w:t>
      </w:r>
    </w:p>
    <w:p>
      <w:pPr>
        <w:shd w:val="clear" w:color="auto" w:fill="FFFFFF"/>
        <w:spacing w:line="440" w:lineRule="exact"/>
        <w:ind w:firstLine="359" w:firstLineChars="171"/>
        <w:rPr>
          <w:color w:val="auto"/>
          <w:highlight w:val="none"/>
        </w:rPr>
      </w:pPr>
      <w:r>
        <w:rPr>
          <w:rFonts w:hint="eastAsia"/>
          <w:color w:val="auto"/>
          <w:highlight w:val="none"/>
        </w:rPr>
        <w:t>（4）合同条款及格式；</w:t>
      </w:r>
    </w:p>
    <w:p>
      <w:pPr>
        <w:shd w:val="clear" w:color="auto" w:fill="FFFFFF"/>
        <w:spacing w:line="440" w:lineRule="exact"/>
        <w:ind w:firstLine="359" w:firstLineChars="171"/>
        <w:rPr>
          <w:color w:val="auto"/>
          <w:highlight w:val="none"/>
        </w:rPr>
      </w:pPr>
      <w:r>
        <w:rPr>
          <w:rFonts w:hint="eastAsia"/>
          <w:color w:val="auto"/>
          <w:highlight w:val="none"/>
        </w:rPr>
        <w:t xml:space="preserve">（5）工程量清单； </w:t>
      </w:r>
    </w:p>
    <w:p>
      <w:pPr>
        <w:shd w:val="clear" w:color="auto" w:fill="FFFFFF"/>
        <w:spacing w:line="440" w:lineRule="exact"/>
        <w:ind w:firstLine="359" w:firstLineChars="171"/>
        <w:rPr>
          <w:color w:val="auto"/>
          <w:highlight w:val="none"/>
        </w:rPr>
      </w:pPr>
      <w:r>
        <w:rPr>
          <w:rFonts w:hint="eastAsia"/>
          <w:color w:val="auto"/>
          <w:highlight w:val="none"/>
        </w:rPr>
        <w:t xml:space="preserve">（6）图纸； </w:t>
      </w:r>
    </w:p>
    <w:p>
      <w:pPr>
        <w:shd w:val="clear" w:color="auto" w:fill="FFFFFF"/>
        <w:spacing w:line="440" w:lineRule="exact"/>
        <w:ind w:firstLine="359" w:firstLineChars="171"/>
        <w:rPr>
          <w:color w:val="auto"/>
          <w:highlight w:val="none"/>
        </w:rPr>
      </w:pPr>
      <w:r>
        <w:rPr>
          <w:rFonts w:hint="eastAsia"/>
          <w:color w:val="auto"/>
          <w:highlight w:val="none"/>
        </w:rPr>
        <w:t xml:space="preserve">（7）技术标准和要求； </w:t>
      </w:r>
    </w:p>
    <w:p>
      <w:pPr>
        <w:shd w:val="clear" w:color="auto" w:fill="FFFFFF"/>
        <w:spacing w:line="440" w:lineRule="exact"/>
        <w:ind w:firstLine="359" w:firstLineChars="171"/>
        <w:rPr>
          <w:color w:val="auto"/>
          <w:highlight w:val="none"/>
        </w:rPr>
      </w:pPr>
      <w:r>
        <w:rPr>
          <w:rFonts w:hint="eastAsia"/>
          <w:color w:val="auto"/>
          <w:highlight w:val="none"/>
        </w:rPr>
        <w:t>（8）投标文件格式；</w:t>
      </w:r>
    </w:p>
    <w:p>
      <w:pPr>
        <w:shd w:val="clear" w:color="auto" w:fill="FFFFFF"/>
        <w:spacing w:line="440" w:lineRule="exact"/>
        <w:ind w:firstLine="359" w:firstLineChars="171"/>
        <w:rPr>
          <w:color w:val="auto"/>
          <w:highlight w:val="none"/>
        </w:rPr>
      </w:pPr>
      <w:r>
        <w:rPr>
          <w:rFonts w:hint="eastAsia"/>
          <w:color w:val="auto"/>
          <w:highlight w:val="none"/>
        </w:rPr>
        <w:t>（9）投标人须知前附表规定的其他材料。</w:t>
      </w:r>
    </w:p>
    <w:p>
      <w:pPr>
        <w:shd w:val="clear" w:color="auto" w:fill="FFFFFF"/>
        <w:spacing w:line="440" w:lineRule="exact"/>
        <w:ind w:firstLine="420" w:firstLineChars="200"/>
        <w:rPr>
          <w:color w:val="auto"/>
          <w:highlight w:val="none"/>
        </w:rPr>
      </w:pPr>
      <w:r>
        <w:rPr>
          <w:rFonts w:hint="eastAsia"/>
          <w:color w:val="auto"/>
          <w:highlight w:val="none"/>
        </w:rPr>
        <w:t>根据本章第1.10款、第2.2款和第2.3款对招标文件所作的澄清、修改，构成招标文件的组成部分。</w:t>
      </w:r>
    </w:p>
    <w:p>
      <w:pPr>
        <w:pStyle w:val="124"/>
        <w:shd w:val="clear" w:color="auto" w:fill="FFFFFF"/>
        <w:spacing w:line="440" w:lineRule="exact"/>
        <w:rPr>
          <w:color w:val="auto"/>
          <w:highlight w:val="none"/>
        </w:rPr>
      </w:pPr>
      <w:bookmarkStart w:id="62" w:name="_Toc152045544"/>
      <w:bookmarkStart w:id="63" w:name="_Toc144974512"/>
      <w:bookmarkStart w:id="64" w:name="_Toc152042320"/>
      <w:bookmarkStart w:id="65" w:name="_Toc179632562"/>
      <w:r>
        <w:rPr>
          <w:rFonts w:hint="eastAsia"/>
          <w:color w:val="auto"/>
          <w:highlight w:val="none"/>
        </w:rPr>
        <w:t>2.2 招标文件的澄清</w:t>
      </w:r>
      <w:bookmarkEnd w:id="62"/>
      <w:bookmarkEnd w:id="63"/>
      <w:bookmarkEnd w:id="64"/>
      <w:bookmarkEnd w:id="65"/>
      <w:r>
        <w:rPr>
          <w:rFonts w:hint="eastAsia"/>
          <w:color w:val="auto"/>
          <w:highlight w:val="none"/>
        </w:rPr>
        <w:t>或者修改</w:t>
      </w:r>
    </w:p>
    <w:p>
      <w:pPr>
        <w:shd w:val="clear" w:color="auto" w:fill="FFFFFF"/>
        <w:spacing w:line="440" w:lineRule="exact"/>
        <w:ind w:firstLine="420" w:firstLineChars="200"/>
        <w:rPr>
          <w:color w:val="auto"/>
          <w:highlight w:val="none"/>
        </w:rPr>
      </w:pPr>
      <w:r>
        <w:rPr>
          <w:rFonts w:hint="eastAsia"/>
          <w:color w:val="auto"/>
          <w:highlight w:val="none"/>
        </w:rPr>
        <w:t>2.2.1投标人应仔细阅读和检查招标文件的全部内容。</w:t>
      </w:r>
      <w:r>
        <w:rPr>
          <w:rFonts w:hint="eastAsia" w:ascii="宋体" w:hAnsi="宋体"/>
          <w:color w:val="auto"/>
          <w:szCs w:val="21"/>
          <w:highlight w:val="none"/>
        </w:rPr>
        <w:t>如发现缺页或附件不全，应及时向招标人提出，以便补齐。</w:t>
      </w:r>
      <w:r>
        <w:rPr>
          <w:rFonts w:hint="eastAsia"/>
          <w:color w:val="auto"/>
          <w:highlight w:val="none"/>
        </w:rPr>
        <w:t>如有疑问，应在投标人须知前附表规定的时间前以书面形式（包括信函、电报、传真等可以有形地表现所载内容的形式，下同），要求招标人对招标文件予以澄清。</w:t>
      </w:r>
    </w:p>
    <w:p>
      <w:pPr>
        <w:shd w:val="clear" w:color="auto" w:fill="FFFFFF"/>
        <w:spacing w:line="440" w:lineRule="exact"/>
        <w:ind w:firstLine="420" w:firstLineChars="200"/>
        <w:rPr>
          <w:color w:val="auto"/>
          <w:highlight w:val="none"/>
        </w:rPr>
      </w:pPr>
      <w:r>
        <w:rPr>
          <w:rFonts w:hint="eastAsia"/>
          <w:color w:val="auto"/>
          <w:highlight w:val="none"/>
        </w:rPr>
        <w:t>2.2.2招标人可以对已发出的招标文件进行必要的澄清或修改。澄清或修改的内容可能影响投标文件编制的，招标人应当在投标截止时间至少15日前，以书面形式或有效的数据电文形式通知所有获取招标文件的潜在投标人；不足15日的，招标人应当顺延提交投标文件的截止时间。</w:t>
      </w:r>
    </w:p>
    <w:p>
      <w:pPr>
        <w:shd w:val="clear" w:color="auto" w:fill="FFFFFF"/>
        <w:spacing w:line="440" w:lineRule="exact"/>
        <w:ind w:firstLine="420" w:firstLineChars="200"/>
        <w:rPr>
          <w:color w:val="auto"/>
          <w:highlight w:val="none"/>
        </w:rPr>
      </w:pPr>
      <w:r>
        <w:rPr>
          <w:rFonts w:hint="eastAsia"/>
          <w:color w:val="auto"/>
          <w:highlight w:val="none"/>
        </w:rPr>
        <w:t>2.</w:t>
      </w:r>
      <w:r>
        <w:rPr>
          <w:color w:val="auto"/>
          <w:highlight w:val="none"/>
        </w:rPr>
        <w:t>2</w:t>
      </w:r>
      <w:r>
        <w:rPr>
          <w:rFonts w:hint="eastAsia"/>
          <w:color w:val="auto"/>
          <w:highlight w:val="none"/>
        </w:rPr>
        <w:t>.</w:t>
      </w:r>
      <w:r>
        <w:rPr>
          <w:color w:val="auto"/>
          <w:highlight w:val="none"/>
        </w:rPr>
        <w:t>3</w:t>
      </w:r>
      <w:r>
        <w:rPr>
          <w:rFonts w:hint="eastAsia"/>
          <w:color w:val="auto"/>
          <w:highlight w:val="none"/>
        </w:rPr>
        <w:t xml:space="preserve"> 投标人在收到澄清或者修改内容后，应在投标人须知前附表规定的时间内以书面形式通知招标人，确认已收到该澄清或者修改。（注：采用电子投标的项目，潜在投标人应密切关注电子招投标交易平台，如有补充文件，投标人必须下载最新的澄清（补充）文件并导入投标文件制作工具，否则将无法上传至交易平台。）</w:t>
      </w:r>
    </w:p>
    <w:p>
      <w:pPr>
        <w:pStyle w:val="129"/>
        <w:shd w:val="clear" w:color="auto" w:fill="FFFFFF"/>
        <w:spacing w:line="440" w:lineRule="exact"/>
        <w:rPr>
          <w:color w:val="auto"/>
          <w:highlight w:val="none"/>
        </w:rPr>
      </w:pPr>
      <w:bookmarkStart w:id="66" w:name="_Toc144974514"/>
      <w:bookmarkStart w:id="67" w:name="_Toc152045546"/>
      <w:bookmarkStart w:id="68" w:name="_Toc179632564"/>
      <w:bookmarkStart w:id="69" w:name="_Toc152042322"/>
      <w:r>
        <w:rPr>
          <w:rFonts w:hint="eastAsia"/>
          <w:color w:val="auto"/>
          <w:highlight w:val="none"/>
        </w:rPr>
        <w:t>3. 投标文件</w:t>
      </w:r>
      <w:bookmarkEnd w:id="66"/>
      <w:bookmarkEnd w:id="67"/>
      <w:bookmarkEnd w:id="68"/>
      <w:bookmarkEnd w:id="69"/>
    </w:p>
    <w:p>
      <w:pPr>
        <w:pStyle w:val="124"/>
        <w:shd w:val="clear" w:color="auto" w:fill="FFFFFF"/>
        <w:spacing w:line="440" w:lineRule="exact"/>
        <w:rPr>
          <w:color w:val="auto"/>
          <w:highlight w:val="none"/>
        </w:rPr>
      </w:pPr>
      <w:bookmarkStart w:id="70" w:name="_Toc152045547"/>
      <w:bookmarkStart w:id="71" w:name="_Toc152042323"/>
      <w:bookmarkStart w:id="72" w:name="_Toc144974515"/>
      <w:bookmarkStart w:id="73" w:name="_Toc179632565"/>
      <w:r>
        <w:rPr>
          <w:rFonts w:hint="eastAsia"/>
          <w:color w:val="auto"/>
          <w:highlight w:val="none"/>
        </w:rPr>
        <w:t>3.1 投标文件的组成</w:t>
      </w:r>
      <w:bookmarkEnd w:id="70"/>
      <w:bookmarkEnd w:id="71"/>
      <w:bookmarkEnd w:id="72"/>
      <w:bookmarkEnd w:id="73"/>
    </w:p>
    <w:p>
      <w:pPr>
        <w:shd w:val="clear" w:color="auto" w:fill="FFFFFF"/>
        <w:spacing w:line="440" w:lineRule="exact"/>
        <w:ind w:firstLine="420" w:firstLineChars="200"/>
        <w:rPr>
          <w:color w:val="auto"/>
          <w:highlight w:val="none"/>
        </w:rPr>
      </w:pPr>
      <w:r>
        <w:rPr>
          <w:rFonts w:hint="eastAsia"/>
          <w:color w:val="auto"/>
          <w:highlight w:val="none"/>
        </w:rPr>
        <w:t>3.1.1投标文件应包括下列内容（按第八章 投标文件格式选择）：</w:t>
      </w:r>
    </w:p>
    <w:p>
      <w:pPr>
        <w:shd w:val="clear" w:color="auto" w:fill="FFFFFF"/>
        <w:spacing w:line="440" w:lineRule="exact"/>
        <w:ind w:firstLine="420" w:firstLineChars="200"/>
        <w:rPr>
          <w:color w:val="auto"/>
          <w:highlight w:val="none"/>
        </w:rPr>
      </w:pPr>
      <w:r>
        <w:rPr>
          <w:rFonts w:hint="eastAsia"/>
          <w:color w:val="auto"/>
          <w:highlight w:val="none"/>
        </w:rPr>
        <w:t>1、资格审查资料：</w:t>
      </w:r>
      <w:r>
        <w:rPr>
          <w:rFonts w:hint="eastAsia"/>
          <w:color w:val="auto"/>
          <w:highlight w:val="none"/>
          <w:u w:val="single"/>
        </w:rPr>
        <w:t xml:space="preserve"> </w:t>
      </w:r>
      <w:r>
        <w:rPr>
          <w:rFonts w:hint="eastAsia" w:ascii="宋体" w:hAnsi="宋体" w:cs="Arial"/>
          <w:b/>
          <w:color w:val="auto"/>
          <w:kern w:val="0"/>
          <w:szCs w:val="21"/>
          <w:highlight w:val="none"/>
          <w:u w:val="single"/>
        </w:rPr>
        <w:t>封面；资格后审资料</w:t>
      </w:r>
      <w:r>
        <w:rPr>
          <w:rFonts w:hint="eastAsia" w:ascii="宋体" w:hAnsi="宋体"/>
          <w:color w:val="auto"/>
          <w:highlight w:val="none"/>
          <w:u w:val="single"/>
        </w:rPr>
        <w:t xml:space="preserve"> </w:t>
      </w:r>
      <w:r>
        <w:rPr>
          <w:rFonts w:hint="eastAsia"/>
          <w:color w:val="auto"/>
          <w:highlight w:val="none"/>
          <w:u w:val="single"/>
        </w:rPr>
        <w:t xml:space="preserve">  </w:t>
      </w:r>
      <w:r>
        <w:rPr>
          <w:rFonts w:hint="eastAsia" w:ascii="宋体" w:hAnsi="宋体" w:cs="Arial"/>
          <w:b/>
          <w:color w:val="auto"/>
          <w:kern w:val="0"/>
          <w:szCs w:val="21"/>
          <w:highlight w:val="none"/>
        </w:rPr>
        <w:t>。</w:t>
      </w:r>
    </w:p>
    <w:p>
      <w:pPr>
        <w:shd w:val="clear" w:color="auto" w:fill="FFFFFF"/>
        <w:spacing w:line="440" w:lineRule="exact"/>
        <w:ind w:firstLine="420" w:firstLineChars="200"/>
        <w:rPr>
          <w:color w:val="auto"/>
          <w:highlight w:val="none"/>
          <w:u w:val="single"/>
        </w:rPr>
      </w:pPr>
      <w:r>
        <w:rPr>
          <w:rFonts w:hint="eastAsia"/>
          <w:strike/>
          <w:dstrike w:val="0"/>
          <w:color w:val="auto"/>
          <w:highlight w:val="none"/>
        </w:rPr>
        <w:t>2、投标函：</w:t>
      </w:r>
      <w:r>
        <w:rPr>
          <w:rFonts w:hint="eastAsia"/>
          <w:strike/>
          <w:dstrike w:val="0"/>
          <w:color w:val="auto"/>
          <w:highlight w:val="none"/>
          <w:u w:val="single"/>
        </w:rPr>
        <w:t xml:space="preserve">                    /                </w:t>
      </w:r>
      <w:r>
        <w:rPr>
          <w:rFonts w:hint="eastAsia" w:ascii="宋体" w:hAnsi="宋体" w:cs="Arial"/>
          <w:b/>
          <w:strike/>
          <w:dstrike w:val="0"/>
          <w:color w:val="auto"/>
          <w:kern w:val="0"/>
          <w:szCs w:val="21"/>
          <w:highlight w:val="none"/>
        </w:rPr>
        <w:t>。</w:t>
      </w:r>
    </w:p>
    <w:p>
      <w:pPr>
        <w:shd w:val="clear" w:color="auto" w:fill="FFFFFF"/>
        <w:spacing w:line="440" w:lineRule="exact"/>
        <w:ind w:firstLine="420" w:firstLineChars="200"/>
        <w:rPr>
          <w:color w:val="auto"/>
          <w:highlight w:val="none"/>
          <w:u w:val="single"/>
        </w:rPr>
      </w:pPr>
      <w:r>
        <w:rPr>
          <w:rFonts w:hint="eastAsia"/>
          <w:color w:val="auto"/>
          <w:highlight w:val="none"/>
        </w:rPr>
        <w:t>3、商务标：</w:t>
      </w:r>
      <w:r>
        <w:rPr>
          <w:rFonts w:hint="eastAsia" w:ascii="宋体" w:hAnsi="宋体" w:cs="Arial"/>
          <w:b/>
          <w:color w:val="auto"/>
          <w:spacing w:val="-6"/>
          <w:kern w:val="0"/>
          <w:szCs w:val="21"/>
          <w:highlight w:val="none"/>
          <w:u w:val="single"/>
        </w:rPr>
        <w:t>封面；一、法定代表人身份证明；二、授权委托书（如有）；三、投标函；四、</w:t>
      </w:r>
      <w:r>
        <w:rPr>
          <w:rFonts w:hint="eastAsia" w:ascii="宋体" w:hAnsi="宋体" w:cs="Arial"/>
          <w:b/>
          <w:color w:val="auto"/>
          <w:spacing w:val="-6"/>
          <w:kern w:val="0"/>
          <w:szCs w:val="21"/>
          <w:highlight w:val="none"/>
          <w:u w:val="single"/>
          <w:lang w:val="en-US" w:eastAsia="zh-CN"/>
        </w:rPr>
        <w:t>开标一览表</w:t>
      </w:r>
      <w:r>
        <w:rPr>
          <w:rFonts w:hint="eastAsia" w:ascii="宋体" w:hAnsi="宋体" w:cs="Arial"/>
          <w:b/>
          <w:color w:val="auto"/>
          <w:spacing w:val="-6"/>
          <w:kern w:val="0"/>
          <w:szCs w:val="21"/>
          <w:highlight w:val="none"/>
          <w:u w:val="single"/>
        </w:rPr>
        <w:t>；</w:t>
      </w:r>
      <w:r>
        <w:rPr>
          <w:rFonts w:hint="eastAsia" w:ascii="宋体" w:hAnsi="宋体" w:cs="Arial"/>
          <w:b/>
          <w:color w:val="auto"/>
          <w:spacing w:val="-6"/>
          <w:kern w:val="0"/>
          <w:szCs w:val="21"/>
          <w:highlight w:val="none"/>
          <w:u w:val="single"/>
          <w:lang w:val="en-US" w:eastAsia="zh-CN"/>
        </w:rPr>
        <w:t>五</w:t>
      </w:r>
      <w:r>
        <w:rPr>
          <w:rFonts w:hint="eastAsia" w:ascii="宋体" w:hAnsi="宋体" w:cs="Arial"/>
          <w:b/>
          <w:color w:val="auto"/>
          <w:spacing w:val="-6"/>
          <w:kern w:val="0"/>
          <w:szCs w:val="21"/>
          <w:highlight w:val="none"/>
          <w:u w:val="single"/>
        </w:rPr>
        <w:t>、承诺书；</w:t>
      </w:r>
      <w:r>
        <w:rPr>
          <w:rFonts w:hint="eastAsia" w:ascii="宋体" w:hAnsi="宋体" w:cs="Arial"/>
          <w:b/>
          <w:color w:val="auto"/>
          <w:spacing w:val="-6"/>
          <w:kern w:val="0"/>
          <w:szCs w:val="21"/>
          <w:highlight w:val="none"/>
          <w:u w:val="single"/>
          <w:lang w:val="en-US" w:eastAsia="zh-CN"/>
        </w:rPr>
        <w:t>六</w:t>
      </w:r>
      <w:r>
        <w:rPr>
          <w:rFonts w:hint="eastAsia" w:ascii="宋体" w:hAnsi="宋体" w:cs="Arial"/>
          <w:b/>
          <w:color w:val="auto"/>
          <w:spacing w:val="-6"/>
          <w:kern w:val="0"/>
          <w:szCs w:val="21"/>
          <w:highlight w:val="none"/>
          <w:u w:val="single"/>
        </w:rPr>
        <w:t>、项目负责人简历表；</w:t>
      </w:r>
      <w:r>
        <w:rPr>
          <w:rFonts w:hint="eastAsia" w:ascii="宋体" w:hAnsi="宋体" w:cs="Arial"/>
          <w:b/>
          <w:color w:val="auto"/>
          <w:spacing w:val="-6"/>
          <w:kern w:val="0"/>
          <w:szCs w:val="21"/>
          <w:highlight w:val="none"/>
          <w:u w:val="single"/>
          <w:lang w:val="en-US" w:eastAsia="zh-CN"/>
        </w:rPr>
        <w:t>七</w:t>
      </w:r>
      <w:r>
        <w:rPr>
          <w:rFonts w:hint="eastAsia" w:ascii="宋体" w:hAnsi="宋体" w:cs="Arial"/>
          <w:b/>
          <w:color w:val="auto"/>
          <w:spacing w:val="-6"/>
          <w:kern w:val="0"/>
          <w:szCs w:val="21"/>
          <w:highlight w:val="none"/>
          <w:u w:val="single"/>
        </w:rPr>
        <w:t>、主要施工机械设备表；</w:t>
      </w:r>
      <w:r>
        <w:rPr>
          <w:rFonts w:hint="eastAsia" w:ascii="宋体" w:hAnsi="宋体" w:cs="Arial"/>
          <w:b/>
          <w:color w:val="auto"/>
          <w:spacing w:val="-6"/>
          <w:kern w:val="0"/>
          <w:szCs w:val="21"/>
          <w:highlight w:val="none"/>
          <w:u w:val="single"/>
          <w:lang w:val="en-US" w:eastAsia="zh-CN"/>
        </w:rPr>
        <w:t>八</w:t>
      </w:r>
      <w:r>
        <w:rPr>
          <w:rFonts w:hint="eastAsia" w:ascii="宋体" w:hAnsi="宋体" w:cs="Arial"/>
          <w:b/>
          <w:color w:val="auto"/>
          <w:spacing w:val="-6"/>
          <w:kern w:val="0"/>
          <w:szCs w:val="21"/>
          <w:highlight w:val="none"/>
          <w:u w:val="single"/>
        </w:rPr>
        <w:t>、临时设施情况表</w:t>
      </w:r>
      <w:r>
        <w:rPr>
          <w:rFonts w:hint="eastAsia" w:hAnsi="宋体"/>
          <w:b/>
          <w:color w:val="auto"/>
          <w:szCs w:val="21"/>
          <w:highlight w:val="none"/>
          <w:u w:val="single"/>
        </w:rPr>
        <w:t>。</w:t>
      </w:r>
    </w:p>
    <w:p>
      <w:pPr>
        <w:shd w:val="clear" w:color="auto" w:fill="FFFFFF"/>
        <w:spacing w:line="440" w:lineRule="exact"/>
        <w:ind w:firstLine="420" w:firstLineChars="200"/>
        <w:rPr>
          <w:color w:val="auto"/>
          <w:highlight w:val="none"/>
          <w:u w:val="single"/>
        </w:rPr>
      </w:pPr>
      <w:r>
        <w:rPr>
          <w:rFonts w:hint="eastAsia"/>
          <w:color w:val="auto"/>
          <w:highlight w:val="none"/>
        </w:rPr>
        <w:t>4、技术标：</w:t>
      </w:r>
      <w:r>
        <w:rPr>
          <w:rFonts w:hint="eastAsia" w:ascii="宋体" w:hAnsi="宋体"/>
          <w:b/>
          <w:color w:val="auto"/>
          <w:highlight w:val="none"/>
          <w:u w:val="single"/>
        </w:rPr>
        <w:t>封面、根据技术标评标内容自拟（格式自拟）</w:t>
      </w:r>
    </w:p>
    <w:p>
      <w:pPr>
        <w:shd w:val="clear" w:color="auto" w:fill="FFFFFF"/>
        <w:rPr>
          <w:b/>
          <w:color w:val="auto"/>
          <w:highlight w:val="none"/>
        </w:rPr>
      </w:pPr>
      <w:r>
        <w:rPr>
          <w:rFonts w:hint="eastAsia"/>
          <w:b/>
          <w:color w:val="auto"/>
          <w:highlight w:val="none"/>
        </w:rPr>
        <w:t>不能提供资格审查资料的任何一项或不符合资格审查要求的投标人为资格审查不合格。</w:t>
      </w:r>
    </w:p>
    <w:p>
      <w:pPr>
        <w:shd w:val="clear" w:color="auto" w:fill="FFFFFF"/>
        <w:spacing w:line="440" w:lineRule="exact"/>
        <w:ind w:firstLine="420" w:firstLineChars="200"/>
        <w:rPr>
          <w:color w:val="auto"/>
          <w:highlight w:val="none"/>
        </w:rPr>
      </w:pPr>
      <w:r>
        <w:rPr>
          <w:rFonts w:hint="eastAsia"/>
          <w:color w:val="auto"/>
          <w:highlight w:val="none"/>
        </w:rPr>
        <w:t>采用计算机辅助评标的工程，中标候选人需将电子投标文件打印后盖相应的印章送相关部门备案。</w:t>
      </w:r>
    </w:p>
    <w:p>
      <w:pPr>
        <w:pStyle w:val="124"/>
        <w:shd w:val="clear" w:color="auto" w:fill="FFFFFF"/>
        <w:spacing w:line="440" w:lineRule="exact"/>
        <w:rPr>
          <w:color w:val="auto"/>
          <w:highlight w:val="none"/>
        </w:rPr>
      </w:pPr>
      <w:bookmarkStart w:id="74" w:name="_Toc179632566"/>
      <w:bookmarkStart w:id="75" w:name="_Toc152045548"/>
      <w:bookmarkStart w:id="76" w:name="_Toc144974516"/>
      <w:bookmarkStart w:id="77" w:name="_Toc152042324"/>
      <w:r>
        <w:rPr>
          <w:rFonts w:hint="eastAsia"/>
          <w:color w:val="auto"/>
          <w:highlight w:val="none"/>
        </w:rPr>
        <w:t>3.2 投标报价</w:t>
      </w:r>
      <w:bookmarkEnd w:id="74"/>
      <w:bookmarkEnd w:id="75"/>
      <w:bookmarkEnd w:id="76"/>
      <w:bookmarkEnd w:id="77"/>
    </w:p>
    <w:p>
      <w:pPr>
        <w:shd w:val="clear" w:color="auto" w:fill="FFFFFF"/>
        <w:spacing w:line="440" w:lineRule="exact"/>
        <w:ind w:firstLine="420" w:firstLineChars="200"/>
        <w:rPr>
          <w:color w:val="auto"/>
          <w:highlight w:val="none"/>
        </w:rPr>
      </w:pPr>
      <w:r>
        <w:rPr>
          <w:rFonts w:hint="eastAsia"/>
          <w:color w:val="auto"/>
          <w:highlight w:val="none"/>
        </w:rPr>
        <w:t>3.2.1 投标人应按招标文件的要求填写相应表格。</w:t>
      </w:r>
    </w:p>
    <w:p>
      <w:pPr>
        <w:shd w:val="clear" w:color="auto" w:fill="FFFFFF"/>
        <w:spacing w:line="360" w:lineRule="auto"/>
        <w:ind w:firstLine="420" w:firstLineChars="200"/>
        <w:rPr>
          <w:bCs/>
          <w:strike/>
          <w:color w:val="auto"/>
          <w:highlight w:val="none"/>
        </w:rPr>
      </w:pPr>
      <w:r>
        <w:rPr>
          <w:rFonts w:hint="eastAsia"/>
          <w:bCs/>
          <w:strike/>
          <w:color w:val="auto"/>
          <w:highlight w:val="none"/>
        </w:rPr>
        <w:t>3.2.2 投标人在投标截止时间前修改投标函中的投标总报价，应同时修改第五章“工程量清单”中的相应报价。此修改须符合本章第4.3款的有关要求。</w:t>
      </w:r>
    </w:p>
    <w:p>
      <w:pPr>
        <w:shd w:val="clear" w:color="auto" w:fill="FFFFFF"/>
        <w:spacing w:line="440" w:lineRule="exact"/>
        <w:ind w:firstLine="420" w:firstLineChars="200"/>
        <w:rPr>
          <w:color w:val="auto"/>
          <w:highlight w:val="none"/>
        </w:rPr>
      </w:pPr>
      <w:r>
        <w:rPr>
          <w:rFonts w:hint="eastAsia"/>
          <w:color w:val="auto"/>
          <w:highlight w:val="none"/>
        </w:rPr>
        <w:t>3.2.3（补） 投标报价书写规范说明：</w:t>
      </w:r>
    </w:p>
    <w:p>
      <w:pPr>
        <w:shd w:val="clear" w:color="auto" w:fill="FFFFFF"/>
        <w:spacing w:line="440" w:lineRule="exact"/>
        <w:ind w:firstLine="420" w:firstLineChars="200"/>
        <w:rPr>
          <w:color w:val="auto"/>
          <w:highlight w:val="none"/>
        </w:rPr>
      </w:pPr>
      <w:r>
        <w:rPr>
          <w:rFonts w:hint="eastAsia"/>
          <w:color w:val="auto"/>
          <w:highlight w:val="none"/>
        </w:rPr>
        <w:fldChar w:fldCharType="begin"/>
      </w:r>
      <w:r>
        <w:rPr>
          <w:rFonts w:hint="eastAsia"/>
          <w:color w:val="auto"/>
          <w:highlight w:val="none"/>
        </w:rPr>
        <w:instrText xml:space="preserve"> = 1 \* GB3 </w:instrText>
      </w:r>
      <w:r>
        <w:rPr>
          <w:rFonts w:hint="eastAsia"/>
          <w:color w:val="auto"/>
          <w:highlight w:val="none"/>
        </w:rPr>
        <w:fldChar w:fldCharType="separate"/>
      </w:r>
      <w:r>
        <w:rPr>
          <w:rFonts w:hint="eastAsia"/>
          <w:color w:val="auto"/>
          <w:highlight w:val="none"/>
        </w:rPr>
        <w:t>①</w:t>
      </w:r>
      <w:r>
        <w:rPr>
          <w:rFonts w:hint="eastAsia"/>
          <w:color w:val="auto"/>
          <w:highlight w:val="none"/>
        </w:rPr>
        <w:fldChar w:fldCharType="end"/>
      </w:r>
      <w:r>
        <w:rPr>
          <w:rFonts w:hint="eastAsia"/>
          <w:color w:val="auto"/>
          <w:highlight w:val="none"/>
        </w:rPr>
        <w:t>投标文件中报价（包括下浮率，下同）填写要求为大写的，应用中文（中文大、小写均可）书写，数值表述清晰即可，但不得出现阿拉伯数字、标点符号或者中文以外的其他文字；填写要求为小写的或者不作要求的，均应采用阿拉伯数字和数学符号（如“.”、“%”等）书写，不得出现中文或其他文字。不满足以上书写规范要求或者未填写的，相应的投标文件作废标处理。</w:t>
      </w:r>
    </w:p>
    <w:p>
      <w:pPr>
        <w:shd w:val="clear" w:color="auto" w:fill="FFFFFF"/>
        <w:spacing w:line="440" w:lineRule="exact"/>
        <w:ind w:firstLine="420" w:firstLineChars="200"/>
        <w:rPr>
          <w:color w:val="auto"/>
          <w:highlight w:val="none"/>
        </w:rPr>
      </w:pPr>
      <w:r>
        <w:rPr>
          <w:rFonts w:hint="eastAsia"/>
          <w:color w:val="auto"/>
          <w:highlight w:val="none"/>
        </w:rPr>
        <w:fldChar w:fldCharType="begin"/>
      </w:r>
      <w:r>
        <w:rPr>
          <w:rFonts w:hint="eastAsia"/>
          <w:color w:val="auto"/>
          <w:highlight w:val="none"/>
        </w:rPr>
        <w:instrText xml:space="preserve"> = 2 \* GB3 </w:instrText>
      </w:r>
      <w:r>
        <w:rPr>
          <w:rFonts w:hint="eastAsia"/>
          <w:color w:val="auto"/>
          <w:highlight w:val="none"/>
        </w:rPr>
        <w:fldChar w:fldCharType="separate"/>
      </w:r>
      <w:r>
        <w:rPr>
          <w:rFonts w:hint="eastAsia"/>
          <w:color w:val="auto"/>
          <w:highlight w:val="none"/>
        </w:rPr>
        <w:t>②</w:t>
      </w:r>
      <w:r>
        <w:rPr>
          <w:rFonts w:hint="eastAsia"/>
          <w:color w:val="auto"/>
          <w:highlight w:val="none"/>
        </w:rPr>
        <w:fldChar w:fldCharType="end"/>
      </w:r>
      <w:r>
        <w:rPr>
          <w:rFonts w:hint="eastAsia"/>
          <w:color w:val="auto"/>
          <w:highlight w:val="none"/>
        </w:rPr>
        <w:t>投标文件中对同一内容有多处报价的，出现报价不一致时，按以下办法处理：</w:t>
      </w:r>
    </w:p>
    <w:p>
      <w:pPr>
        <w:shd w:val="clear" w:color="auto" w:fill="FFFFFF"/>
        <w:spacing w:line="440" w:lineRule="exact"/>
        <w:ind w:firstLine="420" w:firstLineChars="200"/>
        <w:rPr>
          <w:color w:val="auto"/>
          <w:highlight w:val="none"/>
        </w:rPr>
      </w:pPr>
      <w:r>
        <w:rPr>
          <w:rFonts w:hint="eastAsia"/>
          <w:color w:val="auto"/>
          <w:highlight w:val="none"/>
        </w:rPr>
        <w:t>（1）大写与小写不一致的，以大写为准（大写或者小写书写不规范的，或未填写的按第“①”条处理）；</w:t>
      </w:r>
    </w:p>
    <w:p>
      <w:pPr>
        <w:shd w:val="clear" w:color="auto" w:fill="FFFFFF"/>
        <w:spacing w:line="440" w:lineRule="exact"/>
        <w:ind w:firstLine="420" w:firstLineChars="200"/>
        <w:rPr>
          <w:color w:val="auto"/>
          <w:highlight w:val="none"/>
        </w:rPr>
      </w:pPr>
      <w:r>
        <w:rPr>
          <w:rFonts w:hint="eastAsia"/>
          <w:color w:val="auto"/>
          <w:highlight w:val="none"/>
        </w:rPr>
        <w:t>（2）有二个及以上大写报价且数值大小有不一致的，按废标处理；</w:t>
      </w:r>
    </w:p>
    <w:p>
      <w:pPr>
        <w:shd w:val="clear" w:color="auto" w:fill="FFFFFF"/>
        <w:spacing w:line="440" w:lineRule="exact"/>
        <w:ind w:firstLine="420" w:firstLineChars="200"/>
        <w:rPr>
          <w:rFonts w:hint="eastAsia"/>
          <w:color w:val="auto"/>
          <w:highlight w:val="none"/>
        </w:rPr>
      </w:pPr>
      <w:r>
        <w:rPr>
          <w:rFonts w:hint="eastAsia"/>
          <w:color w:val="auto"/>
          <w:highlight w:val="none"/>
        </w:rPr>
        <w:t>（3）无大写报价的，但有二个以上小写报价且数值大小有不一致的，按废标处理。</w:t>
      </w:r>
    </w:p>
    <w:p>
      <w:pPr>
        <w:shd w:val="clear" w:color="auto" w:fill="FFFFFF"/>
        <w:spacing w:line="400" w:lineRule="exact"/>
        <w:ind w:firstLine="422" w:firstLineChars="200"/>
        <w:rPr>
          <w:b/>
          <w:bCs/>
          <w:color w:val="auto"/>
          <w:highlight w:val="none"/>
        </w:rPr>
      </w:pPr>
      <w:r>
        <w:rPr>
          <w:rFonts w:hint="eastAsia"/>
          <w:b/>
          <w:bCs/>
          <w:color w:val="auto"/>
          <w:highlight w:val="none"/>
        </w:rPr>
        <w:t>3.2.4投标报价为采购人可以合格使用产品的价格，包括货款、包装、运输、保险、保管、本项目施工图范围内所涉及的道路翻挖及修复、混凝土板块等所有内容，交通配合等费用、货到就位以及安装（含利旧设备）、利旧设备安装前检测（包括利旧设备的无条件利用（如出现故障、损坏后的更新）、原道路治超设施拆除费用（2万元包死报价不做调整，已由原安装单位拆除，该费用在合同签订后一个月内由中标单位支付给拆除单位）、工程完工后至移交前产生的网络费、不可利旧设备以料代工处置、调试、验收时第三方检测、培训、保修及产品知识产权、所需缴纳的所有税费及招标代理费等一切费用。投标报价包括招标项目设备清单及施工图范围内为货物安装、调试、验收、运行、维护、服务所需的一切配套内容的所有费用。允许另行增加《开标一览表》的设备名称并报价。总报价不得超过最高限价</w:t>
      </w:r>
    </w:p>
    <w:p>
      <w:pPr>
        <w:shd w:val="clear" w:color="auto" w:fill="FFFFFF"/>
        <w:spacing w:line="400" w:lineRule="exact"/>
        <w:ind w:firstLine="422" w:firstLineChars="200"/>
        <w:rPr>
          <w:color w:val="auto"/>
          <w:highlight w:val="none"/>
        </w:rPr>
      </w:pPr>
      <w:r>
        <w:rPr>
          <w:rFonts w:hint="eastAsia"/>
          <w:b/>
          <w:bCs/>
          <w:color w:val="auto"/>
          <w:highlight w:val="none"/>
        </w:rPr>
        <w:t>开标一览表（报价表）需加盖投标人公章并由法定代表人或其委托代理人签字或盖章。</w:t>
      </w:r>
    </w:p>
    <w:p>
      <w:pPr>
        <w:pStyle w:val="124"/>
        <w:shd w:val="clear" w:color="auto" w:fill="FFFFFF"/>
        <w:spacing w:line="440" w:lineRule="exact"/>
        <w:rPr>
          <w:color w:val="auto"/>
          <w:highlight w:val="none"/>
        </w:rPr>
      </w:pPr>
      <w:bookmarkStart w:id="78" w:name="_Toc152045549"/>
      <w:bookmarkStart w:id="79" w:name="_Toc144974517"/>
      <w:bookmarkStart w:id="80" w:name="_Toc179632567"/>
      <w:bookmarkStart w:id="81" w:name="_Toc152042325"/>
      <w:r>
        <w:rPr>
          <w:rFonts w:hint="eastAsia"/>
          <w:color w:val="auto"/>
          <w:highlight w:val="none"/>
        </w:rPr>
        <w:t>3.3 投标有效期</w:t>
      </w:r>
      <w:bookmarkEnd w:id="78"/>
      <w:bookmarkEnd w:id="79"/>
      <w:bookmarkEnd w:id="80"/>
      <w:bookmarkEnd w:id="81"/>
    </w:p>
    <w:p>
      <w:pPr>
        <w:shd w:val="clear" w:color="auto" w:fill="FFFFFF"/>
        <w:spacing w:line="440" w:lineRule="exact"/>
        <w:ind w:firstLine="420" w:firstLineChars="200"/>
        <w:rPr>
          <w:color w:val="auto"/>
          <w:highlight w:val="none"/>
        </w:rPr>
      </w:pPr>
      <w:r>
        <w:rPr>
          <w:rFonts w:hint="eastAsia"/>
          <w:color w:val="auto"/>
          <w:highlight w:val="none"/>
        </w:rPr>
        <w:t>3.3.1 在投标人须知前附表规定的投标有效期内，投标人不得要求撤销或修改其投标文件。</w:t>
      </w:r>
    </w:p>
    <w:p>
      <w:pPr>
        <w:shd w:val="clear" w:color="auto" w:fill="FFFFFF"/>
        <w:spacing w:line="440" w:lineRule="exact"/>
        <w:ind w:firstLine="420" w:firstLineChars="200"/>
        <w:rPr>
          <w:color w:val="auto"/>
          <w:highlight w:val="none"/>
        </w:rPr>
      </w:pPr>
      <w:r>
        <w:rPr>
          <w:rFonts w:hint="eastAsia"/>
          <w:color w:val="auto"/>
          <w:highlight w:val="none"/>
        </w:rPr>
        <w:t xml:space="preserve">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pPr>
        <w:pStyle w:val="124"/>
        <w:shd w:val="clear" w:color="auto" w:fill="FFFFFF"/>
        <w:spacing w:line="440" w:lineRule="exact"/>
        <w:rPr>
          <w:color w:val="auto"/>
          <w:highlight w:val="none"/>
        </w:rPr>
      </w:pPr>
      <w:bookmarkStart w:id="82" w:name="_Toc152042326"/>
      <w:bookmarkStart w:id="83" w:name="_Toc152045550"/>
      <w:bookmarkStart w:id="84" w:name="_Toc144974518"/>
      <w:bookmarkStart w:id="85" w:name="_Toc179632568"/>
      <w:r>
        <w:rPr>
          <w:rFonts w:hint="eastAsia"/>
          <w:color w:val="auto"/>
          <w:highlight w:val="none"/>
        </w:rPr>
        <w:t>3.4 投标保证金</w:t>
      </w:r>
      <w:bookmarkEnd w:id="82"/>
      <w:bookmarkEnd w:id="83"/>
      <w:bookmarkEnd w:id="84"/>
      <w:bookmarkEnd w:id="85"/>
    </w:p>
    <w:p>
      <w:pPr>
        <w:shd w:val="clear" w:color="auto" w:fill="FFFFFF"/>
        <w:spacing w:line="440" w:lineRule="exact"/>
        <w:ind w:firstLine="420" w:firstLineChars="200"/>
        <w:rPr>
          <w:color w:val="auto"/>
          <w:highlight w:val="none"/>
        </w:rPr>
      </w:pPr>
      <w:r>
        <w:rPr>
          <w:rFonts w:hint="eastAsia"/>
          <w:color w:val="auto"/>
          <w:highlight w:val="none"/>
        </w:rPr>
        <w:t>3.4.1 按现行规定缴交及退还。</w:t>
      </w:r>
    </w:p>
    <w:p>
      <w:pPr>
        <w:shd w:val="clear" w:color="auto" w:fill="FFFFFF"/>
        <w:spacing w:line="440" w:lineRule="exact"/>
        <w:ind w:firstLine="420" w:firstLineChars="200"/>
        <w:rPr>
          <w:color w:val="auto"/>
          <w:highlight w:val="none"/>
        </w:rPr>
      </w:pPr>
      <w:r>
        <w:rPr>
          <w:rFonts w:hint="eastAsia"/>
          <w:color w:val="auto"/>
          <w:highlight w:val="none"/>
        </w:rPr>
        <w:t xml:space="preserve">3.4.2 有下列情形之一的，投标保证金将不予退还： </w:t>
      </w:r>
    </w:p>
    <w:p>
      <w:pPr>
        <w:shd w:val="clear" w:color="auto" w:fill="FFFFFF"/>
        <w:spacing w:line="440" w:lineRule="exact"/>
        <w:ind w:firstLine="718" w:firstLineChars="342"/>
        <w:rPr>
          <w:color w:val="auto"/>
          <w:highlight w:val="none"/>
        </w:rPr>
      </w:pPr>
      <w:r>
        <w:rPr>
          <w:rFonts w:hint="eastAsia"/>
          <w:color w:val="auto"/>
          <w:highlight w:val="none"/>
        </w:rPr>
        <w:t>（1）投标人在规定的投标有效期内撤销或修改其投标文件；</w:t>
      </w:r>
    </w:p>
    <w:p>
      <w:pPr>
        <w:shd w:val="clear" w:color="auto" w:fill="FFFFFF"/>
        <w:spacing w:line="440" w:lineRule="exact"/>
        <w:ind w:firstLine="718" w:firstLineChars="342"/>
        <w:rPr>
          <w:color w:val="auto"/>
          <w:highlight w:val="none"/>
        </w:rPr>
      </w:pPr>
      <w:r>
        <w:rPr>
          <w:rFonts w:hint="eastAsia"/>
          <w:color w:val="auto"/>
          <w:highlight w:val="none"/>
        </w:rPr>
        <w:t>（2）中标人在收到中标通知书后，无正当理由拒签合同协议书或未按招标文件规定提交履约担保。</w:t>
      </w:r>
    </w:p>
    <w:p>
      <w:pPr>
        <w:pStyle w:val="122"/>
        <w:shd w:val="clear" w:color="auto" w:fill="FFFFFF"/>
        <w:autoSpaceDN w:val="0"/>
        <w:spacing w:line="432" w:lineRule="auto"/>
        <w:ind w:firstLine="630" w:firstLineChars="300"/>
        <w:jc w:val="left"/>
        <w:rPr>
          <w:rFonts w:ascii="宋体" w:hAnsi="宋体"/>
          <w:color w:val="auto"/>
          <w:highlight w:val="none"/>
        </w:rPr>
      </w:pPr>
      <w:r>
        <w:rPr>
          <w:rFonts w:hint="eastAsia" w:ascii="宋体" w:hAnsi="宋体"/>
          <w:color w:val="auto"/>
          <w:highlight w:val="none"/>
          <w:shd w:val="clear" w:color="auto" w:fill="FCFCFC"/>
        </w:rPr>
        <w:t>（</w:t>
      </w:r>
      <w:r>
        <w:rPr>
          <w:rFonts w:hint="eastAsia" w:ascii="仿宋_GB2312" w:hAnsi="宋体" w:eastAsia="仿宋_GB2312"/>
          <w:color w:val="auto"/>
          <w:highlight w:val="none"/>
          <w:shd w:val="clear" w:color="auto" w:fill="FCFCFC"/>
        </w:rPr>
        <w:t>3</w:t>
      </w:r>
      <w:r>
        <w:rPr>
          <w:rFonts w:hint="eastAsia" w:ascii="宋体" w:hAnsi="宋体"/>
          <w:color w:val="auto"/>
          <w:highlight w:val="none"/>
          <w:shd w:val="clear" w:color="auto" w:fill="FCFCFC"/>
        </w:rPr>
        <w:t>）企业或项目负责人有行贿犯罪记录。</w:t>
      </w:r>
    </w:p>
    <w:p>
      <w:pPr>
        <w:pStyle w:val="124"/>
        <w:shd w:val="clear" w:color="auto" w:fill="FFFFFF"/>
        <w:spacing w:line="440" w:lineRule="exact"/>
        <w:rPr>
          <w:color w:val="auto"/>
          <w:highlight w:val="none"/>
        </w:rPr>
      </w:pPr>
      <w:bookmarkStart w:id="86" w:name="_Toc152042327"/>
      <w:bookmarkStart w:id="87" w:name="_Toc179632569"/>
      <w:bookmarkStart w:id="88" w:name="_Toc152045551"/>
      <w:bookmarkStart w:id="89" w:name="_Toc144974519"/>
      <w:r>
        <w:rPr>
          <w:rFonts w:hint="eastAsia"/>
          <w:color w:val="auto"/>
          <w:highlight w:val="none"/>
        </w:rPr>
        <w:t>3.5 资格审查资料（适用于已进行资格预审的）</w:t>
      </w:r>
      <w:bookmarkEnd w:id="86"/>
      <w:bookmarkEnd w:id="87"/>
      <w:bookmarkEnd w:id="88"/>
      <w:bookmarkEnd w:id="89"/>
    </w:p>
    <w:p>
      <w:pPr>
        <w:shd w:val="clear" w:color="auto" w:fill="FFFFFF"/>
        <w:spacing w:line="440" w:lineRule="exact"/>
        <w:ind w:firstLine="420" w:firstLineChars="200"/>
        <w:rPr>
          <w:color w:val="auto"/>
          <w:highlight w:val="none"/>
        </w:rPr>
      </w:pPr>
      <w:r>
        <w:rPr>
          <w:rFonts w:hint="eastAsia"/>
          <w:color w:val="auto"/>
          <w:highlight w:val="none"/>
        </w:rPr>
        <w:t>投标人在编制投标文件时，应按新情况更新或补充其在申请资格预审时提供的资料，以证实其各项资格条件仍能继续满足资格预审文件的要求，具备承担本标段施工的资质条件、能力和信誉。</w:t>
      </w:r>
    </w:p>
    <w:p>
      <w:pPr>
        <w:pStyle w:val="124"/>
        <w:shd w:val="clear" w:color="auto" w:fill="FFFFFF"/>
        <w:spacing w:line="440" w:lineRule="exact"/>
        <w:rPr>
          <w:color w:val="auto"/>
          <w:highlight w:val="none"/>
        </w:rPr>
      </w:pPr>
      <w:bookmarkStart w:id="90" w:name="_Toc152042328"/>
      <w:bookmarkStart w:id="91" w:name="_Toc152045552"/>
      <w:bookmarkStart w:id="92" w:name="_Toc144974520"/>
      <w:bookmarkStart w:id="93" w:name="_Toc179632570"/>
      <w:r>
        <w:rPr>
          <w:rFonts w:hint="eastAsia"/>
          <w:color w:val="auto"/>
          <w:highlight w:val="none"/>
        </w:rPr>
        <w:t>3.5 资格审查资料（适用于未进行资格预审的）</w:t>
      </w:r>
      <w:bookmarkEnd w:id="90"/>
      <w:bookmarkEnd w:id="91"/>
      <w:bookmarkEnd w:id="92"/>
      <w:bookmarkEnd w:id="93"/>
      <w:r>
        <w:rPr>
          <w:rFonts w:hint="eastAsia"/>
          <w:color w:val="auto"/>
          <w:highlight w:val="none"/>
        </w:rPr>
        <w:t>（采取电子辅助评标的不作要求）</w:t>
      </w:r>
    </w:p>
    <w:p>
      <w:pPr>
        <w:shd w:val="clear" w:color="auto" w:fill="FFFFFF"/>
        <w:spacing w:line="440" w:lineRule="exact"/>
        <w:ind w:firstLine="420" w:firstLineChars="200"/>
        <w:rPr>
          <w:color w:val="auto"/>
          <w:highlight w:val="none"/>
        </w:rPr>
      </w:pPr>
      <w:r>
        <w:rPr>
          <w:rFonts w:hint="eastAsia"/>
          <w:color w:val="auto"/>
          <w:highlight w:val="none"/>
        </w:rPr>
        <w:t>3.5.1 “投标人基本情况表”应附投标人营业执照副本及其年检合格的证明材料、资质证书副本和安全生产许可证等材料的复印件。</w:t>
      </w:r>
    </w:p>
    <w:p>
      <w:pPr>
        <w:shd w:val="clear" w:color="auto" w:fill="FFFFFF"/>
        <w:spacing w:line="440" w:lineRule="exact"/>
        <w:ind w:firstLine="420" w:firstLineChars="200"/>
        <w:rPr>
          <w:color w:val="auto"/>
          <w:highlight w:val="none"/>
        </w:rPr>
      </w:pPr>
      <w:r>
        <w:rPr>
          <w:rFonts w:hint="eastAsia"/>
          <w:color w:val="auto"/>
          <w:highlight w:val="none"/>
        </w:rPr>
        <w:t>3.5.2 “近年财务状况表”应附经会计师事务所或审计机构审计的财务会计报表，包括资产负债表、现金流量表、利润表和财务情况说明书的复印件，具体年份要求见投标人须知前附表。</w:t>
      </w:r>
    </w:p>
    <w:p>
      <w:pPr>
        <w:shd w:val="clear" w:color="auto" w:fill="FFFFFF"/>
        <w:spacing w:line="440" w:lineRule="exact"/>
        <w:ind w:firstLine="420" w:firstLineChars="200"/>
        <w:rPr>
          <w:color w:val="auto"/>
          <w:highlight w:val="none"/>
        </w:rPr>
      </w:pPr>
      <w:r>
        <w:rPr>
          <w:rFonts w:hint="eastAsia"/>
          <w:color w:val="auto"/>
          <w:highlight w:val="none"/>
        </w:rPr>
        <w:t>3.5.3 “近年完成的类似项目情况表”应附中标通知书和（或）合同协议书、工程接收证书（工程竣工验收证书）的复印件，具体年份要求见投标人须知前附表。每张表格只填写一个项目，并标明序号。</w:t>
      </w:r>
    </w:p>
    <w:p>
      <w:pPr>
        <w:shd w:val="clear" w:color="auto" w:fill="FFFFFF"/>
        <w:spacing w:line="440" w:lineRule="exact"/>
        <w:ind w:firstLine="420" w:firstLineChars="200"/>
        <w:rPr>
          <w:color w:val="auto"/>
          <w:highlight w:val="none"/>
        </w:rPr>
      </w:pPr>
      <w:r>
        <w:rPr>
          <w:rFonts w:hint="eastAsia"/>
          <w:color w:val="auto"/>
          <w:highlight w:val="none"/>
        </w:rPr>
        <w:t>3.5.4 “正在施工和新承接的项目情况表”应附中标通知书和（或）合同协议书复印件。每张表格只填写一个项目，并标明序号。</w:t>
      </w:r>
    </w:p>
    <w:p>
      <w:pPr>
        <w:shd w:val="clear" w:color="auto" w:fill="FFFFFF"/>
        <w:spacing w:line="440" w:lineRule="exact"/>
        <w:ind w:firstLine="420" w:firstLineChars="200"/>
        <w:rPr>
          <w:color w:val="auto"/>
          <w:highlight w:val="none"/>
        </w:rPr>
      </w:pPr>
      <w:r>
        <w:rPr>
          <w:rFonts w:hint="eastAsia"/>
          <w:color w:val="auto"/>
          <w:highlight w:val="none"/>
        </w:rPr>
        <w:t>3.5.5 “近年发生的诉讼及仲裁情况”应说明相关情况，并附法院或仲裁机构作出的判决、裁决等有关法律文书复印件，具体年份要求见投标人须知前附表。</w:t>
      </w:r>
    </w:p>
    <w:p>
      <w:pPr>
        <w:shd w:val="clear" w:color="auto" w:fill="FFFFFF"/>
        <w:spacing w:line="440" w:lineRule="exact"/>
        <w:ind w:firstLine="420" w:firstLineChars="200"/>
        <w:rPr>
          <w:color w:val="auto"/>
          <w:highlight w:val="none"/>
        </w:rPr>
      </w:pPr>
      <w:r>
        <w:rPr>
          <w:rFonts w:hint="eastAsia"/>
          <w:color w:val="auto"/>
          <w:highlight w:val="none"/>
        </w:rPr>
        <w:t>3.5.6 投标人须知前附表规定接受联合体投标的，本章第3.5.1项至第3.5.5项规定的表格和资料应包括联合体各方相关情况。</w:t>
      </w:r>
    </w:p>
    <w:p>
      <w:pPr>
        <w:pStyle w:val="124"/>
        <w:shd w:val="clear" w:color="auto" w:fill="FFFFFF"/>
        <w:spacing w:line="440" w:lineRule="exact"/>
        <w:rPr>
          <w:color w:val="auto"/>
          <w:highlight w:val="none"/>
        </w:rPr>
      </w:pPr>
      <w:bookmarkStart w:id="94" w:name="_Toc144974521"/>
      <w:bookmarkStart w:id="95" w:name="_Toc152042329"/>
      <w:bookmarkStart w:id="96" w:name="_Toc179632571"/>
      <w:bookmarkStart w:id="97" w:name="_Toc152045553"/>
      <w:r>
        <w:rPr>
          <w:rFonts w:hint="eastAsia"/>
          <w:color w:val="auto"/>
          <w:highlight w:val="none"/>
        </w:rPr>
        <w:t>3.6 备选投标方案</w:t>
      </w:r>
      <w:bookmarkEnd w:id="94"/>
      <w:bookmarkEnd w:id="95"/>
      <w:bookmarkEnd w:id="96"/>
      <w:bookmarkEnd w:id="97"/>
    </w:p>
    <w:p>
      <w:pPr>
        <w:shd w:val="clear" w:color="auto" w:fill="FFFFFF"/>
        <w:spacing w:line="440" w:lineRule="exact"/>
        <w:ind w:firstLine="420" w:firstLineChars="200"/>
        <w:rPr>
          <w:color w:val="auto"/>
          <w:highlight w:val="none"/>
        </w:rPr>
      </w:pPr>
      <w:r>
        <w:rPr>
          <w:rFonts w:hint="eastAsia"/>
          <w:color w:val="auto"/>
          <w:highlight w:val="none"/>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pPr>
        <w:pStyle w:val="124"/>
        <w:shd w:val="clear" w:color="auto" w:fill="FFFFFF"/>
        <w:spacing w:line="440" w:lineRule="exact"/>
        <w:rPr>
          <w:color w:val="auto"/>
          <w:highlight w:val="none"/>
        </w:rPr>
      </w:pPr>
      <w:bookmarkStart w:id="98" w:name="_Toc179632572"/>
      <w:bookmarkStart w:id="99" w:name="_Toc144974522"/>
      <w:bookmarkStart w:id="100" w:name="_Toc152042330"/>
      <w:bookmarkStart w:id="101" w:name="_Toc152045554"/>
      <w:r>
        <w:rPr>
          <w:rFonts w:hint="eastAsia"/>
          <w:color w:val="auto"/>
          <w:highlight w:val="none"/>
        </w:rPr>
        <w:t>3.7 投标文件的编制</w:t>
      </w:r>
      <w:bookmarkEnd w:id="98"/>
      <w:bookmarkEnd w:id="99"/>
      <w:bookmarkEnd w:id="100"/>
      <w:bookmarkEnd w:id="101"/>
    </w:p>
    <w:p>
      <w:pPr>
        <w:shd w:val="clear" w:color="auto" w:fill="FFFFFF"/>
        <w:spacing w:line="440" w:lineRule="exact"/>
        <w:ind w:firstLine="420" w:firstLineChars="200"/>
        <w:rPr>
          <w:color w:val="auto"/>
          <w:highlight w:val="none"/>
        </w:rPr>
      </w:pPr>
      <w:r>
        <w:rPr>
          <w:rFonts w:hint="eastAsia"/>
          <w:color w:val="auto"/>
          <w:highlight w:val="none"/>
        </w:rPr>
        <w:t>3.7.1投标文件应按第八章“投标文件格式”进行编写，如有必要，可以增加附页，作为投标文件的组成部分。其中，投标函附录在满足招标文件实质性要求的基础上，可以提出比招标文件要求更有利于招标人的承诺。</w:t>
      </w:r>
    </w:p>
    <w:p>
      <w:pPr>
        <w:shd w:val="clear" w:color="auto" w:fill="FFFFFF"/>
        <w:spacing w:line="440" w:lineRule="exact"/>
        <w:ind w:firstLine="420" w:firstLineChars="200"/>
        <w:rPr>
          <w:color w:val="auto"/>
          <w:szCs w:val="21"/>
          <w:highlight w:val="none"/>
        </w:rPr>
      </w:pPr>
      <w:r>
        <w:rPr>
          <w:rFonts w:hint="eastAsia"/>
          <w:color w:val="auto"/>
          <w:highlight w:val="none"/>
        </w:rPr>
        <w:t>3.7.2 投标文件应当对招标文件有关</w:t>
      </w:r>
      <w:r>
        <w:rPr>
          <w:rFonts w:hint="eastAsia"/>
          <w:color w:val="auto"/>
          <w:szCs w:val="21"/>
          <w:highlight w:val="none"/>
        </w:rPr>
        <w:t>工期、投标有效期、质量要求、技术标准和要求、招标范围等实质性内容作出响应。</w:t>
      </w:r>
    </w:p>
    <w:p>
      <w:pPr>
        <w:shd w:val="clear" w:color="auto" w:fill="FFFFFF"/>
        <w:spacing w:line="360" w:lineRule="auto"/>
        <w:ind w:firstLine="420" w:firstLineChars="200"/>
        <w:jc w:val="left"/>
        <w:rPr>
          <w:color w:val="auto"/>
          <w:highlight w:val="none"/>
        </w:rPr>
      </w:pPr>
      <w:r>
        <w:rPr>
          <w:rFonts w:hint="eastAsia"/>
          <w:color w:val="auto"/>
          <w:highlight w:val="none"/>
        </w:rPr>
        <w:t>3.7.3投标文件应用不褪色的材料书写或打印，并由投标人的法定代表人或其委托代理人签字或盖单位章</w:t>
      </w:r>
      <w:bookmarkStart w:id="102" w:name="_Hlk11847468"/>
      <w:r>
        <w:rPr>
          <w:rFonts w:hint="eastAsia"/>
          <w:color w:val="auto"/>
          <w:highlight w:val="none"/>
        </w:rPr>
        <w:t>（不采用电子投标的项目，第八章“</w:t>
      </w:r>
      <w:bookmarkStart w:id="103" w:name="_Hlk11847408"/>
      <w:r>
        <w:rPr>
          <w:rFonts w:hint="eastAsia"/>
          <w:color w:val="auto"/>
          <w:highlight w:val="none"/>
        </w:rPr>
        <w:t>投标文件格式</w:t>
      </w:r>
      <w:bookmarkEnd w:id="103"/>
      <w:r>
        <w:rPr>
          <w:rFonts w:hint="eastAsia"/>
          <w:color w:val="auto"/>
          <w:highlight w:val="none"/>
        </w:rPr>
        <w:t>”中各处要求“盖投标人（牵头人）电子公章”和“盖法定代表人电子印章”均视作要求“盖章”）</w:t>
      </w:r>
      <w:bookmarkEnd w:id="102"/>
      <w:r>
        <w:rPr>
          <w:rFonts w:hint="eastAsia"/>
          <w:color w:val="auto"/>
          <w:highlight w:val="none"/>
        </w:rPr>
        <w:t>。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pPr>
        <w:shd w:val="clear" w:color="auto" w:fill="FFFFFF"/>
        <w:spacing w:line="440" w:lineRule="exact"/>
        <w:ind w:firstLine="420" w:firstLineChars="200"/>
        <w:rPr>
          <w:color w:val="auto"/>
          <w:highlight w:val="none"/>
        </w:rPr>
      </w:pPr>
      <w:r>
        <w:rPr>
          <w:rFonts w:hint="eastAsia"/>
          <w:color w:val="auto"/>
          <w:highlight w:val="none"/>
        </w:rPr>
        <w:t>3.7.4 投标文件正本一份, 副本份数见投标人须知前附表。正本和副本的封面上应清楚地标记“正本”或“副本”的字样。当副本和正本不一致时，以正本为准。</w:t>
      </w:r>
    </w:p>
    <w:p>
      <w:pPr>
        <w:shd w:val="clear" w:color="auto" w:fill="FFFFFF"/>
        <w:spacing w:line="440" w:lineRule="exact"/>
        <w:ind w:firstLine="420" w:firstLineChars="200"/>
        <w:rPr>
          <w:color w:val="auto"/>
          <w:highlight w:val="none"/>
        </w:rPr>
      </w:pPr>
      <w:r>
        <w:rPr>
          <w:rFonts w:hint="eastAsia"/>
          <w:color w:val="auto"/>
          <w:highlight w:val="none"/>
        </w:rPr>
        <w:t>3.7.5 投标文件的正本与副本应分别装订成册，并编制目录，具体装订要求见投标人须知前附表规定。</w:t>
      </w:r>
    </w:p>
    <w:p>
      <w:pPr>
        <w:shd w:val="clear" w:color="auto" w:fill="FFFFFF"/>
        <w:spacing w:line="360" w:lineRule="exact"/>
        <w:ind w:firstLine="420" w:firstLineChars="200"/>
        <w:rPr>
          <w:strike/>
          <w:color w:val="auto"/>
          <w:highlight w:val="none"/>
        </w:rPr>
      </w:pPr>
      <w:r>
        <w:rPr>
          <w:rFonts w:hint="eastAsia"/>
          <w:strike/>
          <w:color w:val="auto"/>
          <w:highlight w:val="none"/>
        </w:rPr>
        <w:t>3</w:t>
      </w:r>
      <w:r>
        <w:rPr>
          <w:strike/>
          <w:color w:val="auto"/>
          <w:highlight w:val="none"/>
        </w:rPr>
        <w:t>.7.6</w:t>
      </w:r>
      <w:r>
        <w:rPr>
          <w:rFonts w:hint="eastAsia"/>
          <w:strike/>
          <w:color w:val="auto"/>
          <w:highlight w:val="none"/>
        </w:rPr>
        <w:t>电子投标文件编制要求（</w:t>
      </w:r>
      <w:r>
        <w:rPr>
          <w:rFonts w:hint="eastAsia" w:cs="宋体"/>
          <w:strike/>
          <w:color w:val="auto"/>
          <w:highlight w:val="none"/>
        </w:rPr>
        <w:t>采用电子投标的项目</w:t>
      </w:r>
      <w:r>
        <w:rPr>
          <w:rFonts w:hint="eastAsia"/>
          <w:strike/>
          <w:color w:val="auto"/>
          <w:highlight w:val="none"/>
        </w:rPr>
        <w:t>）</w:t>
      </w:r>
    </w:p>
    <w:p>
      <w:pPr>
        <w:shd w:val="clear" w:color="auto" w:fill="FFFFFF"/>
        <w:spacing w:line="360" w:lineRule="exact"/>
        <w:ind w:firstLine="420" w:firstLineChars="200"/>
        <w:rPr>
          <w:rFonts w:cs="宋体"/>
          <w:strike/>
          <w:color w:val="auto"/>
          <w:highlight w:val="none"/>
        </w:rPr>
      </w:pPr>
      <w:r>
        <w:rPr>
          <w:rFonts w:cs="宋体"/>
          <w:strike/>
          <w:color w:val="auto"/>
          <w:highlight w:val="none"/>
        </w:rPr>
        <w:t>3.7.6.1</w:t>
      </w:r>
      <w:r>
        <w:rPr>
          <w:rFonts w:hint="eastAsia" w:cs="宋体"/>
          <w:strike/>
          <w:color w:val="auto"/>
          <w:highlight w:val="none"/>
        </w:rPr>
        <w:t xml:space="preserve">投标人递交的加密电子投标文件即为投标文件正本，不再要求投标人在投标时提交副本和纸质投标文件。 </w:t>
      </w:r>
    </w:p>
    <w:p>
      <w:pPr>
        <w:shd w:val="clear" w:color="auto" w:fill="FFFFFF"/>
        <w:spacing w:line="360" w:lineRule="exact"/>
        <w:ind w:firstLine="420" w:firstLineChars="200"/>
        <w:rPr>
          <w:rFonts w:cs="宋体"/>
          <w:strike/>
          <w:color w:val="auto"/>
          <w:highlight w:val="none"/>
        </w:rPr>
      </w:pPr>
      <w:r>
        <w:rPr>
          <w:rFonts w:cs="宋体"/>
          <w:strike/>
          <w:color w:val="auto"/>
          <w:highlight w:val="none"/>
        </w:rPr>
        <w:t>3.7.6.2</w:t>
      </w:r>
      <w:r>
        <w:rPr>
          <w:rFonts w:hint="eastAsia" w:cs="宋体"/>
          <w:strike/>
          <w:color w:val="auto"/>
          <w:highlight w:val="none"/>
        </w:rPr>
        <w:t>投标人应通过“</w:t>
      </w:r>
      <w:r>
        <w:rPr>
          <w:rFonts w:hint="eastAsia" w:cs="宋体"/>
          <w:strike/>
          <w:color w:val="auto"/>
          <w:highlight w:val="none"/>
          <w:u w:val="single"/>
        </w:rPr>
        <w:t>最新版电子投标文件制作工具（绍兴版）</w:t>
      </w:r>
      <w:r>
        <w:rPr>
          <w:rFonts w:hint="eastAsia" w:cs="宋体"/>
          <w:strike/>
          <w:color w:val="auto"/>
          <w:highlight w:val="none"/>
        </w:rPr>
        <w:t>”根据电子招标文件的要求规范制作投标文件。（技术咨询：</w:t>
      </w:r>
      <w:r>
        <w:rPr>
          <w:rFonts w:hint="eastAsia"/>
          <w:strike/>
          <w:color w:val="auto"/>
          <w:highlight w:val="none"/>
        </w:rPr>
        <w:t>4</w:t>
      </w:r>
      <w:r>
        <w:rPr>
          <w:strike/>
          <w:color w:val="auto"/>
          <w:highlight w:val="none"/>
        </w:rPr>
        <w:t>009980000</w:t>
      </w:r>
      <w:r>
        <w:rPr>
          <w:rFonts w:hint="eastAsia" w:cs="宋体"/>
          <w:strike/>
          <w:color w:val="auto"/>
          <w:highlight w:val="none"/>
        </w:rPr>
        <w:t xml:space="preserve">） </w:t>
      </w:r>
    </w:p>
    <w:p>
      <w:pPr>
        <w:shd w:val="clear" w:color="auto" w:fill="FFFFFF"/>
        <w:spacing w:line="360" w:lineRule="exact"/>
        <w:ind w:firstLine="420" w:firstLineChars="200"/>
        <w:rPr>
          <w:rFonts w:cs="宋体"/>
          <w:strike/>
          <w:color w:val="auto"/>
          <w:highlight w:val="none"/>
        </w:rPr>
      </w:pPr>
      <w:r>
        <w:rPr>
          <w:rFonts w:cs="宋体"/>
          <w:strike/>
          <w:color w:val="auto"/>
          <w:highlight w:val="none"/>
        </w:rPr>
        <w:t>3.7.6.3</w:t>
      </w:r>
      <w:r>
        <w:rPr>
          <w:rFonts w:hint="eastAsia" w:cs="宋体"/>
          <w:strike/>
          <w:color w:val="auto"/>
          <w:highlight w:val="none"/>
        </w:rPr>
        <w:t xml:space="preserve">电子投标文件中的各组成部分，投标人应按第八章投标文件格式中的要求签字、盖章及加盖电子印章。 </w:t>
      </w:r>
    </w:p>
    <w:p>
      <w:pPr>
        <w:pStyle w:val="129"/>
        <w:shd w:val="clear" w:color="auto" w:fill="FFFFFF"/>
        <w:spacing w:line="440" w:lineRule="exact"/>
        <w:rPr>
          <w:color w:val="auto"/>
          <w:highlight w:val="none"/>
        </w:rPr>
      </w:pPr>
      <w:bookmarkStart w:id="104" w:name="_Toc179632573"/>
      <w:bookmarkStart w:id="105" w:name="_Toc144974523"/>
      <w:bookmarkStart w:id="106" w:name="_Toc152042331"/>
      <w:bookmarkStart w:id="107" w:name="_Toc152045555"/>
      <w:r>
        <w:rPr>
          <w:rFonts w:hint="eastAsia"/>
          <w:color w:val="auto"/>
          <w:highlight w:val="none"/>
        </w:rPr>
        <w:t>4. 投标</w:t>
      </w:r>
      <w:bookmarkEnd w:id="104"/>
      <w:bookmarkEnd w:id="105"/>
      <w:bookmarkEnd w:id="106"/>
      <w:bookmarkEnd w:id="107"/>
    </w:p>
    <w:p>
      <w:pPr>
        <w:pStyle w:val="124"/>
        <w:shd w:val="clear" w:color="auto" w:fill="FFFFFF"/>
        <w:spacing w:line="440" w:lineRule="exact"/>
        <w:rPr>
          <w:color w:val="auto"/>
          <w:highlight w:val="none"/>
        </w:rPr>
      </w:pPr>
      <w:bookmarkStart w:id="108" w:name="_Toc152045556"/>
      <w:bookmarkStart w:id="109" w:name="_Toc179632574"/>
      <w:bookmarkStart w:id="110" w:name="_Toc152042332"/>
      <w:bookmarkStart w:id="111" w:name="_Toc144974524"/>
      <w:r>
        <w:rPr>
          <w:rFonts w:hint="eastAsia"/>
          <w:color w:val="auto"/>
          <w:highlight w:val="none"/>
        </w:rPr>
        <w:t>4.1 投标文件的密封和标记</w:t>
      </w:r>
      <w:bookmarkEnd w:id="108"/>
      <w:bookmarkEnd w:id="109"/>
      <w:bookmarkEnd w:id="110"/>
      <w:bookmarkEnd w:id="111"/>
    </w:p>
    <w:p>
      <w:pPr>
        <w:shd w:val="clear" w:color="auto" w:fill="FFFFFF"/>
        <w:spacing w:line="288" w:lineRule="auto"/>
        <w:ind w:firstLine="420" w:firstLineChars="200"/>
        <w:rPr>
          <w:color w:val="auto"/>
          <w:highlight w:val="none"/>
        </w:rPr>
      </w:pPr>
      <w:r>
        <w:rPr>
          <w:rFonts w:hint="eastAsia"/>
          <w:color w:val="auto"/>
          <w:highlight w:val="none"/>
        </w:rPr>
        <w:t>4.1.1投标文件的资格审查资料、投标函、商务标与技术标应分开包装，分别加贴封条，并在封套的封口处加盖投标人单位章。资格审查资料纸质原件应单独存放在档案袋中，并在档案袋封面写明投标人名称、纸质原件等字样。</w:t>
      </w:r>
    </w:p>
    <w:p>
      <w:pPr>
        <w:shd w:val="clear" w:color="auto" w:fill="FFFFFF"/>
        <w:spacing w:line="440" w:lineRule="exact"/>
        <w:ind w:firstLine="420" w:firstLineChars="200"/>
        <w:rPr>
          <w:color w:val="auto"/>
          <w:highlight w:val="none"/>
        </w:rPr>
      </w:pPr>
      <w:r>
        <w:rPr>
          <w:rFonts w:hint="eastAsia"/>
          <w:color w:val="auto"/>
          <w:highlight w:val="none"/>
        </w:rPr>
        <w:t>4.1.2 投标文件的封套上应写明的内容见投标人须知前附表。</w:t>
      </w:r>
    </w:p>
    <w:p>
      <w:pPr>
        <w:shd w:val="clear" w:color="auto" w:fill="FFFFFF"/>
        <w:spacing w:line="440" w:lineRule="exact"/>
        <w:ind w:firstLine="420" w:firstLineChars="200"/>
        <w:rPr>
          <w:color w:val="auto"/>
          <w:highlight w:val="none"/>
        </w:rPr>
      </w:pPr>
      <w:r>
        <w:rPr>
          <w:rFonts w:hint="eastAsia"/>
          <w:color w:val="auto"/>
          <w:highlight w:val="none"/>
        </w:rPr>
        <w:t>4.1.3 未按本章第4.1.1项或第4.1.2项要求密封和加写标记的投标文件，招标人不予受理。</w:t>
      </w:r>
    </w:p>
    <w:p>
      <w:pPr>
        <w:pStyle w:val="124"/>
        <w:shd w:val="clear" w:color="auto" w:fill="FFFFFF"/>
        <w:spacing w:line="440" w:lineRule="exact"/>
        <w:rPr>
          <w:color w:val="auto"/>
          <w:highlight w:val="none"/>
        </w:rPr>
      </w:pPr>
      <w:bookmarkStart w:id="112" w:name="_Toc144974525"/>
      <w:bookmarkStart w:id="113" w:name="_Toc152042333"/>
      <w:bookmarkStart w:id="114" w:name="_Toc152045557"/>
      <w:bookmarkStart w:id="115" w:name="_Toc179632575"/>
      <w:r>
        <w:rPr>
          <w:rFonts w:hint="eastAsia"/>
          <w:color w:val="auto"/>
          <w:highlight w:val="none"/>
        </w:rPr>
        <w:t>4.2 投标文件的递交</w:t>
      </w:r>
      <w:bookmarkEnd w:id="112"/>
      <w:bookmarkEnd w:id="113"/>
      <w:bookmarkEnd w:id="114"/>
      <w:bookmarkEnd w:id="115"/>
    </w:p>
    <w:p>
      <w:pPr>
        <w:shd w:val="clear" w:color="auto" w:fill="FFFFFF"/>
        <w:spacing w:line="440" w:lineRule="exact"/>
        <w:ind w:firstLine="420" w:firstLineChars="200"/>
        <w:rPr>
          <w:color w:val="auto"/>
          <w:highlight w:val="none"/>
        </w:rPr>
      </w:pPr>
      <w:r>
        <w:rPr>
          <w:rFonts w:hint="eastAsia"/>
          <w:color w:val="auto"/>
          <w:highlight w:val="none"/>
        </w:rPr>
        <w:t>4.2.1 投标人应在本章第2.2.2项规定的投标截止时间前递交投标文件。</w:t>
      </w:r>
    </w:p>
    <w:p>
      <w:pPr>
        <w:shd w:val="clear" w:color="auto" w:fill="FFFFFF"/>
        <w:spacing w:line="440" w:lineRule="exact"/>
        <w:ind w:firstLine="420" w:firstLineChars="200"/>
        <w:rPr>
          <w:color w:val="auto"/>
          <w:highlight w:val="none"/>
        </w:rPr>
      </w:pPr>
      <w:r>
        <w:rPr>
          <w:rFonts w:hint="eastAsia"/>
          <w:color w:val="auto"/>
          <w:highlight w:val="none"/>
        </w:rPr>
        <w:t>4.2.2 投标人递交投标文件的地点：见投标人须知前附表。</w:t>
      </w:r>
    </w:p>
    <w:p>
      <w:pPr>
        <w:shd w:val="clear" w:color="auto" w:fill="FFFFFF"/>
        <w:spacing w:line="440" w:lineRule="exact"/>
        <w:ind w:firstLine="420" w:firstLineChars="200"/>
        <w:rPr>
          <w:color w:val="auto"/>
          <w:highlight w:val="none"/>
        </w:rPr>
      </w:pPr>
      <w:r>
        <w:rPr>
          <w:rFonts w:hint="eastAsia"/>
          <w:color w:val="auto"/>
          <w:highlight w:val="none"/>
        </w:rPr>
        <w:t>4.2.3 除投标人须知前附表另有规定外，投标人所递交的投标文件不予退还。</w:t>
      </w:r>
    </w:p>
    <w:p>
      <w:pPr>
        <w:shd w:val="clear" w:color="auto" w:fill="FFFFFF"/>
        <w:spacing w:line="440" w:lineRule="exact"/>
        <w:ind w:firstLine="420" w:firstLineChars="200"/>
        <w:rPr>
          <w:strike/>
          <w:color w:val="auto"/>
          <w:highlight w:val="none"/>
        </w:rPr>
      </w:pPr>
      <w:r>
        <w:rPr>
          <w:rFonts w:hint="eastAsia"/>
          <w:strike/>
          <w:color w:val="auto"/>
          <w:highlight w:val="none"/>
        </w:rPr>
        <w:t>4.2.4 招标人收到投标文件后，向投标人出具签收凭证。</w:t>
      </w:r>
    </w:p>
    <w:p>
      <w:pPr>
        <w:shd w:val="clear" w:color="auto" w:fill="FFFFFF"/>
        <w:spacing w:line="440" w:lineRule="exact"/>
        <w:ind w:firstLine="420" w:firstLineChars="200"/>
        <w:rPr>
          <w:color w:val="auto"/>
          <w:highlight w:val="none"/>
        </w:rPr>
      </w:pPr>
      <w:r>
        <w:rPr>
          <w:rFonts w:hint="eastAsia"/>
          <w:color w:val="auto"/>
          <w:highlight w:val="none"/>
        </w:rPr>
        <w:t>4.2.5 逾期送达的或者未送达指定地点的投标文件，招标人不予受理。</w:t>
      </w:r>
    </w:p>
    <w:p>
      <w:pPr>
        <w:shd w:val="clear" w:color="auto" w:fill="FFFFFF"/>
        <w:spacing w:line="440" w:lineRule="exact"/>
        <w:ind w:firstLine="420" w:firstLineChars="200"/>
        <w:rPr>
          <w:rFonts w:cs="宋体"/>
          <w:color w:val="auto"/>
          <w:highlight w:val="none"/>
        </w:rPr>
      </w:pPr>
      <w:r>
        <w:rPr>
          <w:rFonts w:hint="eastAsia" w:cs="宋体"/>
          <w:color w:val="auto"/>
          <w:highlight w:val="none"/>
        </w:rPr>
        <w:t>4</w:t>
      </w:r>
      <w:r>
        <w:rPr>
          <w:rFonts w:cs="宋体"/>
          <w:color w:val="auto"/>
          <w:highlight w:val="none"/>
        </w:rPr>
        <w:t>.2.6</w:t>
      </w:r>
      <w:bookmarkStart w:id="116" w:name="_Hlk11845924"/>
      <w:r>
        <w:rPr>
          <w:rFonts w:hint="eastAsia" w:cs="宋体"/>
          <w:color w:val="auto"/>
          <w:highlight w:val="none"/>
        </w:rPr>
        <w:t>电子投标文件递交要求（采用电子投标的项目）</w:t>
      </w:r>
      <w:bookmarkEnd w:id="116"/>
    </w:p>
    <w:p>
      <w:pPr>
        <w:shd w:val="clear" w:color="auto" w:fill="FFFFFF"/>
        <w:spacing w:line="440" w:lineRule="exact"/>
        <w:ind w:firstLine="420" w:firstLineChars="200"/>
        <w:rPr>
          <w:rFonts w:cs="宋体"/>
          <w:strike/>
          <w:color w:val="auto"/>
          <w:highlight w:val="none"/>
        </w:rPr>
      </w:pPr>
      <w:r>
        <w:rPr>
          <w:rFonts w:hint="eastAsia" w:cs="宋体"/>
          <w:strike/>
          <w:color w:val="auto"/>
          <w:highlight w:val="none"/>
        </w:rPr>
        <w:t>4.2.6.1投标人应将完整的加密电子投标文件在投标截止时间前上传到电子招投标交易平台（以服务器记录的上传完成时间为准），未上传电子投标文件的视作放弃投标，逾期上传的电子投标文件视为无效投标。</w:t>
      </w:r>
    </w:p>
    <w:p>
      <w:pPr>
        <w:shd w:val="clear" w:color="auto" w:fill="FFFFFF"/>
        <w:spacing w:line="440" w:lineRule="exact"/>
        <w:ind w:firstLine="420" w:firstLineChars="200"/>
        <w:rPr>
          <w:strike/>
          <w:color w:val="auto"/>
          <w:highlight w:val="none"/>
        </w:rPr>
      </w:pPr>
      <w:r>
        <w:rPr>
          <w:rFonts w:hint="eastAsia" w:cs="宋体"/>
          <w:strike/>
          <w:color w:val="auto"/>
          <w:highlight w:val="none"/>
        </w:rPr>
        <w:t>4.2.6.2同时需要投标人在投标截止时间前提交非加密电子投标文件作为备份文件来应对开标期间的特殊情况，非加密电子投标文件（以U盘为载体形式），且必须保证加密与非加密电子投标文件的一致性。</w:t>
      </w:r>
      <w:bookmarkStart w:id="117" w:name="_Hlk11846019"/>
      <w:r>
        <w:rPr>
          <w:rFonts w:hint="eastAsia"/>
          <w:strike/>
          <w:color w:val="auto"/>
          <w:highlight w:val="none"/>
        </w:rPr>
        <w:t>存有</w:t>
      </w:r>
      <w:r>
        <w:rPr>
          <w:rFonts w:hint="eastAsia" w:cs="宋体"/>
          <w:strike/>
          <w:color w:val="auto"/>
          <w:highlight w:val="none"/>
        </w:rPr>
        <w:t>非加密电子投标文件的</w:t>
      </w:r>
      <w:r>
        <w:rPr>
          <w:rFonts w:hint="eastAsia"/>
          <w:strike/>
          <w:color w:val="auto"/>
          <w:highlight w:val="none"/>
        </w:rPr>
        <w:t>U盘应密封包装，封套上应写明的内容见投标人须知前附表4.1.2，并在封套的封口处加盖投标人单位公章，未按要求进行密封包装、加盖投标人公章的非加密电子投标文件，招标人不予受理</w:t>
      </w:r>
      <w:r>
        <w:rPr>
          <w:rFonts w:hint="eastAsia" w:cs="宋体"/>
          <w:strike/>
          <w:color w:val="auto"/>
          <w:highlight w:val="none"/>
        </w:rPr>
        <w:t>，投标人承担由此引起的相关风险</w:t>
      </w:r>
      <w:r>
        <w:rPr>
          <w:rFonts w:hint="eastAsia"/>
          <w:strike/>
          <w:color w:val="auto"/>
          <w:highlight w:val="none"/>
        </w:rPr>
        <w:t>。</w:t>
      </w:r>
      <w:bookmarkEnd w:id="117"/>
    </w:p>
    <w:p>
      <w:pPr>
        <w:shd w:val="clear" w:color="auto" w:fill="FFFFFF"/>
        <w:spacing w:line="440" w:lineRule="exact"/>
        <w:ind w:firstLine="420" w:firstLineChars="200"/>
        <w:rPr>
          <w:color w:val="auto"/>
          <w:highlight w:val="none"/>
        </w:rPr>
      </w:pPr>
    </w:p>
    <w:p>
      <w:pPr>
        <w:pStyle w:val="124"/>
        <w:shd w:val="clear" w:color="auto" w:fill="FFFFFF"/>
        <w:spacing w:line="440" w:lineRule="exact"/>
        <w:rPr>
          <w:color w:val="auto"/>
          <w:highlight w:val="none"/>
        </w:rPr>
      </w:pPr>
      <w:bookmarkStart w:id="118" w:name="_Toc179632576"/>
      <w:bookmarkStart w:id="119" w:name="_Toc152042334"/>
      <w:bookmarkStart w:id="120" w:name="_Toc152045558"/>
      <w:bookmarkStart w:id="121" w:name="_Toc144974526"/>
      <w:r>
        <w:rPr>
          <w:rFonts w:hint="eastAsia"/>
          <w:color w:val="auto"/>
          <w:highlight w:val="none"/>
        </w:rPr>
        <w:t>4.3 投标文件的修改与撤回</w:t>
      </w:r>
      <w:bookmarkEnd w:id="118"/>
      <w:bookmarkEnd w:id="119"/>
      <w:bookmarkEnd w:id="120"/>
      <w:bookmarkEnd w:id="121"/>
    </w:p>
    <w:p>
      <w:pPr>
        <w:shd w:val="clear" w:color="auto" w:fill="FFFFFF"/>
        <w:spacing w:line="440" w:lineRule="exact"/>
        <w:ind w:firstLine="420" w:firstLineChars="200"/>
        <w:rPr>
          <w:color w:val="auto"/>
          <w:highlight w:val="none"/>
        </w:rPr>
      </w:pPr>
      <w:r>
        <w:rPr>
          <w:rFonts w:hint="eastAsia"/>
          <w:color w:val="auto"/>
          <w:highlight w:val="none"/>
        </w:rPr>
        <w:t>4.3.1 在本章第2.2.2项规定的投标截止时间前，投标人可以修改或撤回已递交的投标文件，但应以书面形式通知招标人。</w:t>
      </w:r>
    </w:p>
    <w:p>
      <w:pPr>
        <w:shd w:val="clear" w:color="auto" w:fill="FFFFFF"/>
        <w:spacing w:line="440" w:lineRule="exact"/>
        <w:ind w:firstLine="420" w:firstLineChars="200"/>
        <w:rPr>
          <w:color w:val="auto"/>
          <w:highlight w:val="none"/>
        </w:rPr>
      </w:pPr>
      <w:r>
        <w:rPr>
          <w:rFonts w:hint="eastAsia"/>
          <w:color w:val="auto"/>
          <w:highlight w:val="none"/>
        </w:rPr>
        <w:t>4.3.2 投标人修改或撤回已递交投标文件的书面通知应按照本章第3.7.3项的要求签字或盖章。招标人收到书面通知后，向投标人出具签收凭证。</w:t>
      </w:r>
    </w:p>
    <w:p>
      <w:pPr>
        <w:shd w:val="clear" w:color="auto" w:fill="FFFFFF"/>
        <w:spacing w:line="440" w:lineRule="exact"/>
        <w:ind w:firstLine="420" w:firstLineChars="200"/>
        <w:rPr>
          <w:color w:val="auto"/>
          <w:highlight w:val="none"/>
        </w:rPr>
      </w:pPr>
      <w:r>
        <w:rPr>
          <w:rFonts w:hint="eastAsia"/>
          <w:color w:val="auto"/>
          <w:highlight w:val="none"/>
        </w:rPr>
        <w:t>4.3.3 修改的内容为投标文件的组成部分。修改的投标文件应按照本章第3条、第4条规定进行编制、密封、标记和递交，并标明“修改”字样。</w:t>
      </w:r>
    </w:p>
    <w:p>
      <w:pPr>
        <w:pStyle w:val="124"/>
        <w:shd w:val="clear" w:color="auto" w:fill="FFFFFF"/>
        <w:spacing w:line="440" w:lineRule="exact"/>
        <w:rPr>
          <w:color w:val="auto"/>
          <w:highlight w:val="none"/>
        </w:rPr>
      </w:pPr>
      <w:bookmarkStart w:id="122" w:name="_Toc179632577"/>
      <w:bookmarkStart w:id="123" w:name="_Toc152045559"/>
      <w:bookmarkStart w:id="124" w:name="_Toc152042335"/>
      <w:bookmarkStart w:id="125" w:name="_Toc144974527"/>
      <w:r>
        <w:rPr>
          <w:rFonts w:hint="eastAsia"/>
          <w:color w:val="auto"/>
          <w:highlight w:val="none"/>
        </w:rPr>
        <w:t>5. 开标</w:t>
      </w:r>
      <w:bookmarkEnd w:id="122"/>
      <w:bookmarkEnd w:id="123"/>
      <w:bookmarkEnd w:id="124"/>
      <w:bookmarkEnd w:id="125"/>
      <w:r>
        <w:rPr>
          <w:rFonts w:hint="eastAsia"/>
          <w:color w:val="auto"/>
          <w:highlight w:val="none"/>
        </w:rPr>
        <w:t>（为确保开评标现场的疫情防控安全，到现场参与开评标的各类人员应出示浙江省健康码。为减少人员聚集程度及滞留时间，招标人、招标代理工作人员原则上不超过三人，投标人不需在开标现场。）</w:t>
      </w:r>
    </w:p>
    <w:p>
      <w:pPr>
        <w:pStyle w:val="124"/>
        <w:shd w:val="clear" w:color="auto" w:fill="FFFFFF"/>
        <w:spacing w:line="440" w:lineRule="exact"/>
        <w:rPr>
          <w:color w:val="auto"/>
          <w:highlight w:val="none"/>
        </w:rPr>
      </w:pPr>
      <w:bookmarkStart w:id="126" w:name="_Toc152045560"/>
      <w:bookmarkStart w:id="127" w:name="_Toc144974528"/>
      <w:bookmarkStart w:id="128" w:name="_Toc179632578"/>
      <w:bookmarkStart w:id="129" w:name="_Toc152042336"/>
      <w:r>
        <w:rPr>
          <w:rFonts w:hint="eastAsia"/>
          <w:color w:val="auto"/>
          <w:highlight w:val="none"/>
        </w:rPr>
        <w:t>5.1 开标时间和地点</w:t>
      </w:r>
      <w:bookmarkEnd w:id="126"/>
      <w:bookmarkEnd w:id="127"/>
      <w:bookmarkEnd w:id="128"/>
      <w:bookmarkEnd w:id="129"/>
    </w:p>
    <w:p>
      <w:pPr>
        <w:shd w:val="clear" w:color="auto" w:fill="FFFFFF"/>
        <w:spacing w:line="440" w:lineRule="exact"/>
        <w:ind w:firstLine="420" w:firstLineChars="200"/>
        <w:rPr>
          <w:strike/>
          <w:color w:val="auto"/>
          <w:highlight w:val="none"/>
        </w:rPr>
      </w:pPr>
      <w:r>
        <w:rPr>
          <w:rFonts w:hint="eastAsia"/>
          <w:strike w:val="0"/>
          <w:color w:val="auto"/>
          <w:highlight w:val="none"/>
        </w:rPr>
        <w:t>招标人在本章投标人须知前附表规定的投标截止时间和地点公开开标。</w:t>
      </w:r>
      <w:r>
        <w:rPr>
          <w:rFonts w:hint="eastAsia"/>
          <w:strike/>
          <w:color w:val="auto"/>
          <w:highlight w:val="none"/>
        </w:rPr>
        <w:t>并邀请所有投标人的有关人员准时参加，具体详见本章投标人须知前附表10.6条。</w:t>
      </w:r>
    </w:p>
    <w:p>
      <w:pPr>
        <w:shd w:val="clear" w:color="auto" w:fill="FFFFFF"/>
        <w:spacing w:line="440" w:lineRule="exact"/>
        <w:ind w:firstLine="420" w:firstLineChars="200"/>
        <w:jc w:val="left"/>
        <w:rPr>
          <w:strike/>
          <w:color w:val="auto"/>
          <w:highlight w:val="none"/>
        </w:rPr>
      </w:pPr>
      <w:r>
        <w:rPr>
          <w:rFonts w:hint="eastAsia"/>
          <w:strike/>
          <w:color w:val="auto"/>
          <w:highlight w:val="none"/>
        </w:rPr>
        <w:t>本项目采用“不见面”开标方式，不强制要求投标人参加现场开标会。</w:t>
      </w:r>
    </w:p>
    <w:p>
      <w:pPr>
        <w:shd w:val="clear" w:color="auto" w:fill="FFFFFF"/>
        <w:spacing w:line="440" w:lineRule="exact"/>
        <w:ind w:firstLine="420" w:firstLineChars="200"/>
        <w:jc w:val="left"/>
        <w:rPr>
          <w:strike/>
          <w:color w:val="auto"/>
          <w:highlight w:val="none"/>
        </w:rPr>
      </w:pPr>
      <w:r>
        <w:rPr>
          <w:rFonts w:hint="eastAsia"/>
          <w:strike/>
          <w:color w:val="auto"/>
          <w:highlight w:val="none"/>
        </w:rPr>
        <w:t>不见面开标大厅网址为：</w:t>
      </w:r>
      <w:r>
        <w:rPr>
          <w:rFonts w:hint="eastAsia"/>
          <w:color w:val="auto"/>
          <w:highlight w:val="none"/>
        </w:rPr>
        <w:fldChar w:fldCharType="begin"/>
      </w:r>
      <w:r>
        <w:rPr>
          <w:color w:val="auto"/>
          <w:highlight w:val="none"/>
        </w:rPr>
        <w:instrText xml:space="preserve"> HYPERLINK "http://ol.ggb.sx.gov.cn/XinBanBidOpening/bidopeninghallaction/hall/login），解密时间调整为在60" </w:instrText>
      </w:r>
      <w:r>
        <w:rPr>
          <w:rFonts w:hint="eastAsia"/>
          <w:color w:val="auto"/>
          <w:highlight w:val="none"/>
        </w:rPr>
        <w:fldChar w:fldCharType="separate"/>
      </w:r>
      <w:r>
        <w:rPr>
          <w:rFonts w:hint="eastAsia"/>
          <w:strike/>
          <w:color w:val="auto"/>
          <w:highlight w:val="none"/>
        </w:rPr>
        <w:t>http://ol.ggb.sx.gov.cn/XinBanBidOpening/bidopeninghallaction/hall/login，</w:t>
      </w:r>
      <w:r>
        <w:rPr>
          <w:rFonts w:hint="eastAsia"/>
          <w:strike/>
          <w:color w:val="auto"/>
          <w:highlight w:val="none"/>
        </w:rPr>
        <w:fldChar w:fldCharType="end"/>
      </w:r>
      <w:r>
        <w:rPr>
          <w:rFonts w:hint="eastAsia"/>
          <w:strike/>
          <w:color w:val="auto"/>
          <w:highlight w:val="none"/>
        </w:rPr>
        <w:t>建议使用 IE11 浏览器访问。各投标人请使用绍兴市工程建设项目专用数字证书 CA 锁登录，在线参与开标活动。不要求提交非加密电子投标文件。</w:t>
      </w:r>
    </w:p>
    <w:p>
      <w:pPr>
        <w:shd w:val="clear" w:color="auto" w:fill="FFFFFF"/>
        <w:spacing w:line="440" w:lineRule="exact"/>
        <w:ind w:firstLine="420" w:firstLineChars="200"/>
        <w:rPr>
          <w:color w:val="auto"/>
          <w:highlight w:val="none"/>
        </w:rPr>
      </w:pPr>
      <w:bookmarkStart w:id="130" w:name="_Toc152042337"/>
      <w:bookmarkStart w:id="131" w:name="_Toc179632579"/>
      <w:bookmarkStart w:id="132" w:name="_Toc152045561"/>
      <w:bookmarkStart w:id="133" w:name="_Toc144974529"/>
      <w:r>
        <w:rPr>
          <w:rFonts w:hint="eastAsia"/>
          <w:color w:val="auto"/>
          <w:highlight w:val="none"/>
        </w:rPr>
        <w:t>5.2 开标程序</w:t>
      </w:r>
      <w:bookmarkEnd w:id="130"/>
      <w:bookmarkEnd w:id="131"/>
      <w:bookmarkEnd w:id="132"/>
      <w:bookmarkEnd w:id="133"/>
    </w:p>
    <w:p>
      <w:pPr>
        <w:shd w:val="clear" w:color="auto" w:fill="FFFFFF"/>
        <w:spacing w:line="440" w:lineRule="exact"/>
        <w:ind w:firstLine="420" w:firstLineChars="200"/>
        <w:rPr>
          <w:color w:val="auto"/>
          <w:highlight w:val="none"/>
        </w:rPr>
      </w:pPr>
      <w:r>
        <w:rPr>
          <w:rFonts w:hint="eastAsia"/>
          <w:color w:val="auto"/>
          <w:highlight w:val="none"/>
        </w:rPr>
        <w:t>主持人按下列程序进行开标：</w:t>
      </w:r>
    </w:p>
    <w:p>
      <w:pPr>
        <w:shd w:val="clear" w:color="auto" w:fill="FFFFFF"/>
        <w:spacing w:line="440" w:lineRule="exact"/>
        <w:ind w:firstLine="359" w:firstLineChars="171"/>
        <w:rPr>
          <w:color w:val="auto"/>
          <w:highlight w:val="none"/>
        </w:rPr>
      </w:pPr>
      <w:r>
        <w:rPr>
          <w:rFonts w:hint="eastAsia"/>
          <w:color w:val="auto"/>
          <w:highlight w:val="none"/>
        </w:rPr>
        <w:t>（1）宣布开标纪律；</w:t>
      </w:r>
    </w:p>
    <w:p>
      <w:pPr>
        <w:shd w:val="clear" w:color="auto" w:fill="FFFFFF"/>
        <w:spacing w:line="440" w:lineRule="exact"/>
        <w:ind w:firstLine="359" w:firstLineChars="171"/>
        <w:rPr>
          <w:color w:val="auto"/>
          <w:highlight w:val="none"/>
        </w:rPr>
      </w:pPr>
      <w:r>
        <w:rPr>
          <w:rFonts w:hint="eastAsia"/>
          <w:color w:val="auto"/>
          <w:highlight w:val="none"/>
        </w:rPr>
        <w:t>（2）公布在投标截止时间前递交投标文件的投标人名称，</w:t>
      </w:r>
      <w:r>
        <w:rPr>
          <w:rFonts w:hint="eastAsia"/>
          <w:strike/>
          <w:color w:val="auto"/>
          <w:highlight w:val="none"/>
        </w:rPr>
        <w:t>点名确认投标人规定人员是否到场，并进行验证确认，</w:t>
      </w:r>
      <w:r>
        <w:rPr>
          <w:rFonts w:hint="eastAsia"/>
          <w:b/>
          <w:bCs/>
          <w:color w:val="auto"/>
          <w:highlight w:val="none"/>
        </w:rPr>
        <w:t>投标人不需到场。</w:t>
      </w:r>
    </w:p>
    <w:p>
      <w:pPr>
        <w:shd w:val="clear" w:color="auto" w:fill="FFFFFF"/>
        <w:spacing w:line="440" w:lineRule="exact"/>
        <w:ind w:firstLine="359" w:firstLineChars="171"/>
        <w:rPr>
          <w:color w:val="auto"/>
          <w:highlight w:val="none"/>
        </w:rPr>
      </w:pPr>
      <w:r>
        <w:rPr>
          <w:rFonts w:hint="eastAsia"/>
          <w:color w:val="auto"/>
          <w:highlight w:val="none"/>
        </w:rPr>
        <w:t>（3）宣布开标人、唱标人、记录人、监标人等有关人员姓名；</w:t>
      </w:r>
    </w:p>
    <w:p>
      <w:pPr>
        <w:shd w:val="clear" w:color="auto" w:fill="FFFFFF"/>
        <w:spacing w:line="440" w:lineRule="exact"/>
        <w:ind w:firstLine="359" w:firstLineChars="171"/>
        <w:rPr>
          <w:color w:val="auto"/>
          <w:highlight w:val="none"/>
        </w:rPr>
      </w:pPr>
      <w:r>
        <w:rPr>
          <w:rFonts w:hint="eastAsia"/>
          <w:color w:val="auto"/>
          <w:highlight w:val="none"/>
        </w:rPr>
        <w:t>（4）按照投标人须知前附表规定检查投标文件的密封情况；</w:t>
      </w:r>
    </w:p>
    <w:p>
      <w:pPr>
        <w:shd w:val="clear" w:color="auto" w:fill="FFFFFF"/>
        <w:spacing w:line="440" w:lineRule="exact"/>
        <w:ind w:firstLine="359" w:firstLineChars="171"/>
        <w:rPr>
          <w:color w:val="auto"/>
          <w:highlight w:val="none"/>
        </w:rPr>
      </w:pPr>
      <w:r>
        <w:rPr>
          <w:rFonts w:hint="eastAsia"/>
          <w:color w:val="auto"/>
          <w:highlight w:val="none"/>
        </w:rPr>
        <w:t>（5）按照投标人须知前附表的规定确定并宣布投标文件开标顺序；</w:t>
      </w:r>
    </w:p>
    <w:p>
      <w:pPr>
        <w:shd w:val="clear" w:color="auto" w:fill="FFFFFF"/>
        <w:spacing w:line="440" w:lineRule="exact"/>
        <w:ind w:firstLine="359" w:firstLineChars="171"/>
        <w:rPr>
          <w:color w:val="auto"/>
          <w:highlight w:val="none"/>
        </w:rPr>
      </w:pPr>
      <w:r>
        <w:rPr>
          <w:rFonts w:hint="eastAsia"/>
          <w:color w:val="auto"/>
          <w:highlight w:val="none"/>
        </w:rPr>
        <w:t xml:space="preserve">（6）设有标底的，公布标底； </w:t>
      </w:r>
    </w:p>
    <w:p>
      <w:pPr>
        <w:shd w:val="clear" w:color="auto" w:fill="FFFFFF"/>
        <w:spacing w:line="440" w:lineRule="exact"/>
        <w:ind w:firstLine="359" w:firstLineChars="171"/>
        <w:rPr>
          <w:color w:val="auto"/>
          <w:highlight w:val="none"/>
        </w:rPr>
      </w:pPr>
      <w:r>
        <w:rPr>
          <w:rFonts w:hint="eastAsia"/>
          <w:color w:val="auto"/>
          <w:highlight w:val="none"/>
        </w:rPr>
        <w:t>（7）按照宣布的开标顺序当众开标，公布投标人名称、标段名称、投标保证金的递交情况、投标报价、质量目标、工期及其他内容，并记录在案；</w:t>
      </w:r>
    </w:p>
    <w:p>
      <w:pPr>
        <w:shd w:val="clear" w:color="auto" w:fill="FFFFFF"/>
        <w:spacing w:line="440" w:lineRule="exact"/>
        <w:ind w:firstLine="359" w:firstLineChars="171"/>
        <w:rPr>
          <w:color w:val="auto"/>
          <w:highlight w:val="none"/>
        </w:rPr>
      </w:pPr>
      <w:r>
        <w:rPr>
          <w:rFonts w:hint="eastAsia"/>
          <w:color w:val="auto"/>
          <w:highlight w:val="none"/>
        </w:rPr>
        <w:t>（8）</w:t>
      </w:r>
      <w:r>
        <w:rPr>
          <w:rFonts w:hint="eastAsia"/>
          <w:strike/>
          <w:color w:val="auto"/>
          <w:highlight w:val="none"/>
        </w:rPr>
        <w:t>投标人代表</w:t>
      </w:r>
      <w:r>
        <w:rPr>
          <w:rFonts w:hint="eastAsia"/>
          <w:b/>
          <w:bCs/>
          <w:color w:val="auto"/>
          <w:highlight w:val="none"/>
        </w:rPr>
        <w:t>（投标人不需签字确认）</w:t>
      </w:r>
      <w:r>
        <w:rPr>
          <w:rFonts w:hint="eastAsia"/>
          <w:color w:val="auto"/>
          <w:highlight w:val="none"/>
        </w:rPr>
        <w:t>、招标人代表、监标人、记录人等有关人员在开标记录上签字确认；</w:t>
      </w:r>
    </w:p>
    <w:p>
      <w:pPr>
        <w:shd w:val="clear" w:color="auto" w:fill="FFFFFF"/>
        <w:spacing w:line="440" w:lineRule="exact"/>
        <w:ind w:firstLine="359" w:firstLineChars="171"/>
        <w:rPr>
          <w:color w:val="auto"/>
          <w:highlight w:val="none"/>
        </w:rPr>
      </w:pPr>
      <w:r>
        <w:rPr>
          <w:rFonts w:hint="eastAsia"/>
          <w:color w:val="auto"/>
          <w:highlight w:val="none"/>
        </w:rPr>
        <w:t>（9）开标结束。</w:t>
      </w:r>
    </w:p>
    <w:p>
      <w:pPr>
        <w:shd w:val="clear" w:color="auto" w:fill="FFFFFF"/>
        <w:spacing w:line="440" w:lineRule="exact"/>
        <w:ind w:firstLine="464" w:firstLineChars="221"/>
        <w:rPr>
          <w:color w:val="auto"/>
          <w:highlight w:val="none"/>
        </w:rPr>
      </w:pPr>
      <w:r>
        <w:rPr>
          <w:rFonts w:hint="eastAsia"/>
          <w:color w:val="auto"/>
          <w:highlight w:val="none"/>
        </w:rPr>
        <w:t>5.3 评标入围办法：</w:t>
      </w:r>
      <w:r>
        <w:rPr>
          <w:rFonts w:hint="eastAsia"/>
          <w:color w:val="auto"/>
          <w:highlight w:val="none"/>
          <w:u w:val="single"/>
        </w:rPr>
        <w:t xml:space="preserve"> 全部入围     </w:t>
      </w:r>
      <w:r>
        <w:rPr>
          <w:rFonts w:hint="eastAsia"/>
          <w:color w:val="auto"/>
          <w:highlight w:val="none"/>
        </w:rPr>
        <w:t>。</w:t>
      </w:r>
      <w:bookmarkStart w:id="134" w:name="_Toc179632580"/>
      <w:bookmarkStart w:id="135" w:name="_Toc152042338"/>
      <w:bookmarkStart w:id="136" w:name="_Toc144974530"/>
      <w:bookmarkStart w:id="137" w:name="_Toc152045562"/>
    </w:p>
    <w:p>
      <w:pPr>
        <w:shd w:val="clear" w:color="auto" w:fill="FFFFFF"/>
        <w:spacing w:line="440" w:lineRule="exact"/>
        <w:ind w:firstLine="359" w:firstLineChars="171"/>
        <w:rPr>
          <w:strike/>
          <w:color w:val="auto"/>
          <w:highlight w:val="none"/>
        </w:rPr>
      </w:pPr>
      <w:r>
        <w:rPr>
          <w:rFonts w:hint="eastAsia"/>
          <w:strike/>
          <w:color w:val="auto"/>
          <w:highlight w:val="none"/>
        </w:rPr>
        <w:t>入围评标办法按如下方法执行。</w:t>
      </w:r>
    </w:p>
    <w:p>
      <w:pPr>
        <w:shd w:val="clear" w:color="auto" w:fill="FFFFFF"/>
        <w:spacing w:line="440" w:lineRule="exact"/>
        <w:ind w:firstLine="359" w:firstLineChars="171"/>
        <w:rPr>
          <w:strike/>
          <w:color w:val="auto"/>
          <w:highlight w:val="none"/>
        </w:rPr>
      </w:pPr>
      <w:r>
        <w:rPr>
          <w:rFonts w:hint="eastAsia"/>
          <w:strike/>
          <w:color w:val="auto"/>
          <w:highlight w:val="none"/>
        </w:rPr>
        <w:t>（1）参加开标并按规定递交投标文件的投标人超过10家的，采用随机的方式确定10家投标人进入评审。</w:t>
      </w:r>
    </w:p>
    <w:p>
      <w:pPr>
        <w:shd w:val="clear" w:color="auto" w:fill="FFFFFF"/>
        <w:spacing w:line="440" w:lineRule="exact"/>
        <w:ind w:firstLine="359" w:firstLineChars="171"/>
        <w:rPr>
          <w:strike/>
          <w:color w:val="auto"/>
          <w:highlight w:val="none"/>
        </w:rPr>
      </w:pPr>
      <w:r>
        <w:rPr>
          <w:rFonts w:hint="eastAsia"/>
          <w:strike/>
          <w:color w:val="auto"/>
          <w:highlight w:val="none"/>
        </w:rPr>
        <w:t>（2）参加开标并按规定递交投标文件的投标人不超过10家的，全部投标人均进入评审。</w:t>
      </w:r>
    </w:p>
    <w:p>
      <w:pPr>
        <w:shd w:val="clear" w:color="auto" w:fill="FFFFFF"/>
        <w:spacing w:line="440" w:lineRule="exact"/>
        <w:ind w:firstLine="464" w:firstLineChars="221"/>
        <w:rPr>
          <w:strike/>
          <w:color w:val="auto"/>
          <w:highlight w:val="none"/>
        </w:rPr>
      </w:pPr>
      <w:r>
        <w:rPr>
          <w:rFonts w:hint="eastAsia"/>
          <w:strike/>
          <w:color w:val="auto"/>
          <w:highlight w:val="none"/>
        </w:rPr>
        <w:t>（3）对评标入围的投标人的投标文件进行符合性评审；经业主及相关人员评审，按规定否决不合格投标或界定为废标的，因有效投标单位不足3家的，将从未入围的投标人中按照原入围办法补足至3家，并对其进行符合性评审。当所有投标被否决的，不足3家，招标人应当依法重新招标。</w:t>
      </w:r>
    </w:p>
    <w:p>
      <w:pPr>
        <w:shd w:val="clear" w:color="auto" w:fill="FFFFFF"/>
        <w:spacing w:line="440" w:lineRule="exact"/>
        <w:ind w:firstLine="359" w:firstLineChars="171"/>
        <w:rPr>
          <w:strike/>
          <w:color w:val="auto"/>
          <w:highlight w:val="none"/>
        </w:rPr>
      </w:pPr>
      <w:r>
        <w:rPr>
          <w:rFonts w:hint="eastAsia"/>
          <w:strike/>
          <w:color w:val="auto"/>
          <w:highlight w:val="none"/>
        </w:rPr>
        <w:t>5</w:t>
      </w:r>
      <w:r>
        <w:rPr>
          <w:strike/>
          <w:color w:val="auto"/>
          <w:highlight w:val="none"/>
        </w:rPr>
        <w:t>.4</w:t>
      </w:r>
      <w:bookmarkStart w:id="138" w:name="_Hlk11846857"/>
      <w:r>
        <w:rPr>
          <w:rFonts w:hint="eastAsia"/>
          <w:strike/>
          <w:color w:val="auto"/>
          <w:highlight w:val="none"/>
        </w:rPr>
        <w:t>开标特别说明（</w:t>
      </w:r>
      <w:r>
        <w:rPr>
          <w:rFonts w:hint="eastAsia" w:cs="宋体"/>
          <w:strike/>
          <w:color w:val="auto"/>
          <w:highlight w:val="none"/>
        </w:rPr>
        <w:t>采用电子投标、不见面开标的项目</w:t>
      </w:r>
      <w:r>
        <w:rPr>
          <w:rFonts w:hint="eastAsia"/>
          <w:strike/>
          <w:color w:val="auto"/>
          <w:highlight w:val="none"/>
        </w:rPr>
        <w:t>）</w:t>
      </w:r>
      <w:bookmarkEnd w:id="138"/>
    </w:p>
    <w:p>
      <w:pPr>
        <w:shd w:val="clear" w:color="auto" w:fill="FFFFFF"/>
        <w:spacing w:line="440" w:lineRule="exact"/>
        <w:ind w:firstLine="359" w:firstLineChars="171"/>
        <w:rPr>
          <w:strike/>
          <w:color w:val="auto"/>
          <w:highlight w:val="none"/>
        </w:rPr>
      </w:pPr>
      <w:r>
        <w:rPr>
          <w:rFonts w:hint="eastAsia"/>
          <w:strike/>
          <w:color w:val="auto"/>
          <w:highlight w:val="none"/>
        </w:rPr>
        <w:t>5.4.1开标时请投标人使用加密投标文件时使用的CA锁登录系统、并完成投标文件解密。投标人上传的投标文件由投标人在规定时间内自行完成解密。（投标人应特别注意C</w:t>
      </w:r>
      <w:r>
        <w:rPr>
          <w:strike/>
          <w:color w:val="auto"/>
          <w:highlight w:val="none"/>
        </w:rPr>
        <w:t>A</w:t>
      </w:r>
      <w:r>
        <w:rPr>
          <w:rFonts w:hint="eastAsia"/>
          <w:strike/>
          <w:color w:val="auto"/>
          <w:highlight w:val="none"/>
        </w:rPr>
        <w:t>锁有效性，</w:t>
      </w:r>
      <w:r>
        <w:rPr>
          <w:strike/>
          <w:color w:val="auto"/>
          <w:highlight w:val="none"/>
        </w:rPr>
        <w:t>CA</w:t>
      </w:r>
      <w:r>
        <w:rPr>
          <w:rFonts w:hint="eastAsia"/>
          <w:strike/>
          <w:color w:val="auto"/>
          <w:highlight w:val="none"/>
        </w:rPr>
        <w:t>锁延期、补办后，虽硬件介质不变，但锁的证书K</w:t>
      </w:r>
      <w:r>
        <w:rPr>
          <w:strike/>
          <w:color w:val="auto"/>
          <w:highlight w:val="none"/>
        </w:rPr>
        <w:t>ey</w:t>
      </w:r>
      <w:r>
        <w:rPr>
          <w:rFonts w:hint="eastAsia"/>
          <w:strike/>
          <w:color w:val="auto"/>
          <w:highlight w:val="none"/>
        </w:rPr>
        <w:t>号发生改变，视为不同锁，会导致开标时无法解密投标文件。）</w:t>
      </w:r>
    </w:p>
    <w:p>
      <w:pPr>
        <w:shd w:val="clear" w:color="auto" w:fill="FFFFFF"/>
        <w:spacing w:line="440" w:lineRule="exact"/>
        <w:ind w:firstLine="359" w:firstLineChars="171"/>
        <w:rPr>
          <w:strike/>
          <w:color w:val="auto"/>
          <w:highlight w:val="none"/>
        </w:rPr>
      </w:pPr>
      <w:r>
        <w:rPr>
          <w:rFonts w:hint="eastAsia"/>
          <w:strike/>
          <w:color w:val="auto"/>
          <w:highlight w:val="none"/>
        </w:rPr>
        <w:t>加密电子投标文件在电子辅助开评标系统解密后即为投标文件的开启；电子投标文件采用一次性开启的办法，不再采用商务标和技术标分阶段开启的办法。</w:t>
      </w:r>
    </w:p>
    <w:p>
      <w:pPr>
        <w:shd w:val="clear" w:color="auto" w:fill="FFFFFF"/>
        <w:spacing w:line="440" w:lineRule="exact"/>
        <w:ind w:firstLine="359" w:firstLineChars="171"/>
        <w:rPr>
          <w:rFonts w:ascii="宋体" w:hAnsi="宋体" w:cs="宋体"/>
          <w:strike/>
          <w:color w:val="auto"/>
          <w:sz w:val="24"/>
          <w:highlight w:val="none"/>
        </w:rPr>
      </w:pPr>
      <w:r>
        <w:rPr>
          <w:rFonts w:hint="eastAsia"/>
          <w:strike/>
          <w:color w:val="auto"/>
          <w:highlight w:val="none"/>
        </w:rPr>
        <w:t>5.4.2</w:t>
      </w:r>
      <w:bookmarkStart w:id="139" w:name="_Hlk13238933"/>
      <w:r>
        <w:rPr>
          <w:rFonts w:hint="eastAsia"/>
          <w:strike/>
          <w:color w:val="auto"/>
          <w:highlight w:val="none"/>
        </w:rPr>
        <w:t>投标文件解密在60分钟内完成，具体以</w:t>
      </w:r>
      <w:r>
        <w:rPr>
          <w:rFonts w:hint="eastAsia" w:cs="宋体"/>
          <w:strike/>
          <w:color w:val="auto"/>
          <w:highlight w:val="none"/>
        </w:rPr>
        <w:t>电子招投标交易平台系统时间为准。</w:t>
      </w:r>
      <w:bookmarkEnd w:id="139"/>
    </w:p>
    <w:p>
      <w:pPr>
        <w:shd w:val="clear" w:color="auto" w:fill="FFFFFF"/>
        <w:spacing w:line="440" w:lineRule="exact"/>
        <w:ind w:firstLine="359" w:firstLineChars="171"/>
        <w:rPr>
          <w:bCs/>
          <w:strike/>
          <w:color w:val="auto"/>
          <w:highlight w:val="none"/>
        </w:rPr>
      </w:pPr>
      <w:r>
        <w:rPr>
          <w:rFonts w:hint="eastAsia"/>
          <w:strike/>
          <w:color w:val="auto"/>
          <w:highlight w:val="none"/>
        </w:rPr>
        <w:t>因投标人原因造成其电子投标文件未在规定时间内解密的，</w:t>
      </w:r>
      <w:r>
        <w:rPr>
          <w:rFonts w:hint="eastAsia"/>
          <w:bCs/>
          <w:strike/>
          <w:color w:val="auto"/>
          <w:highlight w:val="none"/>
        </w:rPr>
        <w:t>视作撤销其投标文件；</w:t>
      </w:r>
    </w:p>
    <w:p>
      <w:pPr>
        <w:shd w:val="clear" w:color="auto" w:fill="FFFFFF"/>
        <w:spacing w:line="440" w:lineRule="exact"/>
        <w:ind w:firstLine="359" w:firstLineChars="171"/>
        <w:rPr>
          <w:strike/>
          <w:color w:val="auto"/>
          <w:highlight w:val="none"/>
        </w:rPr>
      </w:pPr>
      <w:r>
        <w:rPr>
          <w:rFonts w:hint="eastAsia"/>
          <w:strike/>
          <w:color w:val="auto"/>
          <w:highlight w:val="none"/>
        </w:rPr>
        <w:t xml:space="preserve">部分投标人的电子投标文件无法解密的，其他投标文件的开标可以继续进行。 </w:t>
      </w:r>
    </w:p>
    <w:p>
      <w:pPr>
        <w:shd w:val="clear" w:color="auto" w:fill="FFFFFF"/>
        <w:spacing w:line="440" w:lineRule="exact"/>
        <w:ind w:firstLine="359" w:firstLineChars="171"/>
        <w:rPr>
          <w:strike/>
          <w:color w:val="auto"/>
          <w:highlight w:val="none"/>
        </w:rPr>
      </w:pPr>
      <w:r>
        <w:rPr>
          <w:rFonts w:hint="eastAsia"/>
          <w:strike/>
          <w:color w:val="auto"/>
          <w:highlight w:val="none"/>
        </w:rPr>
        <w:t xml:space="preserve">5.4.3电子投标项目开标的其他相关程序按照我市相关规定《绍兴市区工程建设项目电子招标投标管理暂行办法》执行。 </w:t>
      </w:r>
    </w:p>
    <w:p>
      <w:pPr>
        <w:shd w:val="clear" w:color="auto" w:fill="FFFFFF"/>
        <w:spacing w:line="440" w:lineRule="exact"/>
        <w:ind w:firstLine="359" w:firstLineChars="171"/>
        <w:rPr>
          <w:strike/>
          <w:color w:val="auto"/>
          <w:highlight w:val="none"/>
        </w:rPr>
      </w:pPr>
      <w:r>
        <w:rPr>
          <w:rFonts w:hint="eastAsia"/>
          <w:strike/>
          <w:color w:val="auto"/>
          <w:highlight w:val="none"/>
        </w:rPr>
        <w:t xml:space="preserve">5.4.4因电子招投标交易平台及其网络、设备故障造成无法正常开标的，应排除相应故障后继续开标。对因故障重大，排除故障的时间较长或者难以准确预计的，应封存投标资料，另行确定继续开标的时间。 </w:t>
      </w:r>
    </w:p>
    <w:p>
      <w:pPr>
        <w:keepNext w:val="0"/>
        <w:keepLines w:val="0"/>
        <w:pageBreakBefore w:val="0"/>
        <w:widowControl w:val="0"/>
        <w:shd w:val="clear" w:color="auto" w:fill="FFFFFF"/>
        <w:kinsoku/>
        <w:wordWrap/>
        <w:overflowPunct/>
        <w:topLinePunct w:val="0"/>
        <w:autoSpaceDE/>
        <w:autoSpaceDN/>
        <w:bidi w:val="0"/>
        <w:adjustRightInd/>
        <w:snapToGrid/>
        <w:spacing w:line="400" w:lineRule="exact"/>
        <w:ind w:firstLine="359" w:firstLineChars="171"/>
        <w:textAlignment w:val="auto"/>
        <w:rPr>
          <w:strike/>
          <w:color w:val="auto"/>
          <w:highlight w:val="none"/>
        </w:rPr>
      </w:pPr>
      <w:r>
        <w:rPr>
          <w:rFonts w:hint="eastAsia"/>
          <w:strike/>
          <w:color w:val="auto"/>
          <w:highlight w:val="none"/>
        </w:rPr>
        <w:t>5.4.5投标人应实时关注不见面开标系统页面，观看开标全过程，并根据需要，使用不见面开标系统与招标人进行互动交流、澄清、异议、投标文件解密等活动。</w:t>
      </w:r>
    </w:p>
    <w:p>
      <w:pPr>
        <w:keepNext w:val="0"/>
        <w:keepLines w:val="0"/>
        <w:pageBreakBefore w:val="0"/>
        <w:widowControl w:val="0"/>
        <w:shd w:val="clear" w:color="auto" w:fill="FFFFFF"/>
        <w:kinsoku/>
        <w:wordWrap/>
        <w:overflowPunct/>
        <w:topLinePunct w:val="0"/>
        <w:autoSpaceDE/>
        <w:autoSpaceDN/>
        <w:bidi w:val="0"/>
        <w:adjustRightInd/>
        <w:snapToGrid/>
        <w:spacing w:line="400" w:lineRule="exact"/>
        <w:ind w:firstLine="359" w:firstLineChars="171"/>
        <w:textAlignment w:val="auto"/>
        <w:rPr>
          <w:strike/>
          <w:color w:val="auto"/>
          <w:highlight w:val="none"/>
        </w:rPr>
      </w:pPr>
      <w:r>
        <w:rPr>
          <w:rFonts w:hint="eastAsia"/>
          <w:strike/>
          <w:color w:val="auto"/>
          <w:highlight w:val="none"/>
        </w:rPr>
        <w:t>投标人使用CA锁登录不见面开标系统，参与在线开标活动，均被视为是投标人的法定代表人或其委托代理人，承担相应的法律责任。</w:t>
      </w:r>
    </w:p>
    <w:p>
      <w:pPr>
        <w:keepNext w:val="0"/>
        <w:keepLines w:val="0"/>
        <w:pageBreakBefore w:val="0"/>
        <w:widowControl w:val="0"/>
        <w:shd w:val="clear" w:color="auto" w:fill="FFFFFF"/>
        <w:kinsoku/>
        <w:wordWrap/>
        <w:overflowPunct/>
        <w:topLinePunct w:val="0"/>
        <w:autoSpaceDE/>
        <w:autoSpaceDN/>
        <w:bidi w:val="0"/>
        <w:adjustRightInd/>
        <w:snapToGrid/>
        <w:spacing w:line="400" w:lineRule="exact"/>
        <w:textAlignment w:val="auto"/>
        <w:rPr>
          <w:strike/>
          <w:color w:val="auto"/>
          <w:highlight w:val="none"/>
        </w:rPr>
      </w:pPr>
      <w:r>
        <w:rPr>
          <w:rFonts w:hint="eastAsia"/>
          <w:strike/>
          <w:color w:val="auto"/>
          <w:highlight w:val="none"/>
        </w:rPr>
        <w:t xml:space="preserve">  未及时登录不见面开标系统，参与在线开标的投标人，视为放弃交流和对开评标全过程提出疑议的权利。并且投标人将无法获取解密指令、废标、澄清、唱标、评审结果等实时情况。投标人应承担由此引起的相关风险。</w:t>
      </w:r>
    </w:p>
    <w:p>
      <w:pPr>
        <w:shd w:val="clear" w:color="auto" w:fill="FFFFFF"/>
        <w:spacing w:line="440" w:lineRule="exact"/>
        <w:ind w:firstLine="478" w:firstLineChars="171"/>
        <w:rPr>
          <w:rFonts w:eastAsia="黑体" w:cs="宋体"/>
          <w:color w:val="auto"/>
          <w:sz w:val="28"/>
          <w:szCs w:val="20"/>
          <w:highlight w:val="none"/>
        </w:rPr>
      </w:pPr>
      <w:r>
        <w:rPr>
          <w:rFonts w:hint="eastAsia" w:eastAsia="黑体" w:cs="宋体"/>
          <w:color w:val="auto"/>
          <w:sz w:val="28"/>
          <w:szCs w:val="20"/>
          <w:highlight w:val="none"/>
        </w:rPr>
        <w:t>6. 评标</w:t>
      </w:r>
      <w:bookmarkEnd w:id="134"/>
      <w:bookmarkEnd w:id="135"/>
      <w:bookmarkEnd w:id="136"/>
      <w:bookmarkEnd w:id="137"/>
    </w:p>
    <w:p>
      <w:pPr>
        <w:pStyle w:val="124"/>
        <w:shd w:val="clear" w:color="auto" w:fill="FFFFFF"/>
        <w:spacing w:line="440" w:lineRule="exact"/>
        <w:ind w:firstLine="480" w:firstLineChars="200"/>
        <w:rPr>
          <w:color w:val="auto"/>
          <w:highlight w:val="none"/>
        </w:rPr>
      </w:pPr>
      <w:bookmarkStart w:id="140" w:name="_Toc152042339"/>
      <w:bookmarkStart w:id="141" w:name="_Toc179632581"/>
      <w:bookmarkStart w:id="142" w:name="_Toc152045563"/>
      <w:bookmarkStart w:id="143" w:name="_Toc144974531"/>
      <w:r>
        <w:rPr>
          <w:rFonts w:hint="eastAsia"/>
          <w:color w:val="auto"/>
          <w:highlight w:val="none"/>
        </w:rPr>
        <w:t>6.1 评标委员会</w:t>
      </w:r>
      <w:bookmarkEnd w:id="140"/>
      <w:bookmarkEnd w:id="141"/>
      <w:bookmarkEnd w:id="142"/>
      <w:bookmarkEnd w:id="143"/>
    </w:p>
    <w:p>
      <w:pPr>
        <w:shd w:val="clear" w:color="auto" w:fill="FFFFFF"/>
        <w:spacing w:line="440" w:lineRule="exact"/>
        <w:ind w:firstLine="420" w:firstLineChars="200"/>
        <w:rPr>
          <w:color w:val="auto"/>
          <w:highlight w:val="none"/>
        </w:rPr>
      </w:pPr>
      <w:r>
        <w:rPr>
          <w:rFonts w:hint="eastAsia"/>
          <w:color w:val="auto"/>
          <w:highlight w:val="none"/>
        </w:rPr>
        <w:t>6.1.1 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pPr>
        <w:shd w:val="clear" w:color="auto" w:fill="FFFFFF"/>
        <w:spacing w:line="440" w:lineRule="exact"/>
        <w:ind w:firstLine="420" w:firstLineChars="200"/>
        <w:rPr>
          <w:color w:val="auto"/>
          <w:highlight w:val="none"/>
        </w:rPr>
      </w:pPr>
      <w:r>
        <w:rPr>
          <w:rFonts w:hint="eastAsia"/>
          <w:color w:val="auto"/>
          <w:highlight w:val="none"/>
        </w:rPr>
        <w:t>6.1.2 评标委员会成员有下列情形之一的，应当回避：</w:t>
      </w:r>
    </w:p>
    <w:p>
      <w:pPr>
        <w:shd w:val="clear" w:color="auto" w:fill="FFFFFF"/>
        <w:spacing w:line="440" w:lineRule="exact"/>
        <w:ind w:firstLine="718" w:firstLineChars="342"/>
        <w:rPr>
          <w:color w:val="auto"/>
          <w:highlight w:val="none"/>
        </w:rPr>
      </w:pPr>
      <w:r>
        <w:rPr>
          <w:rFonts w:hint="eastAsia"/>
          <w:color w:val="auto"/>
          <w:highlight w:val="none"/>
        </w:rPr>
        <w:t>（1）招标人或投标人的主要负责人的近亲属；</w:t>
      </w:r>
    </w:p>
    <w:p>
      <w:pPr>
        <w:shd w:val="clear" w:color="auto" w:fill="FFFFFF"/>
        <w:spacing w:line="440" w:lineRule="exact"/>
        <w:ind w:firstLine="718" w:firstLineChars="342"/>
        <w:rPr>
          <w:color w:val="auto"/>
          <w:highlight w:val="none"/>
        </w:rPr>
      </w:pPr>
      <w:r>
        <w:rPr>
          <w:rFonts w:hint="eastAsia"/>
          <w:color w:val="auto"/>
          <w:highlight w:val="none"/>
        </w:rPr>
        <w:t>（2）项目主管部门或者行政监督部门的人员；</w:t>
      </w:r>
    </w:p>
    <w:p>
      <w:pPr>
        <w:shd w:val="clear" w:color="auto" w:fill="FFFFFF"/>
        <w:spacing w:line="440" w:lineRule="exact"/>
        <w:ind w:firstLine="718" w:firstLineChars="342"/>
        <w:rPr>
          <w:color w:val="auto"/>
          <w:highlight w:val="none"/>
        </w:rPr>
      </w:pPr>
      <w:r>
        <w:rPr>
          <w:rFonts w:hint="eastAsia"/>
          <w:color w:val="auto"/>
          <w:highlight w:val="none"/>
        </w:rPr>
        <w:t>（3）与投标人有经济利益关系，可能影响对投标公正评审的；</w:t>
      </w:r>
    </w:p>
    <w:p>
      <w:pPr>
        <w:shd w:val="clear" w:color="auto" w:fill="FFFFFF"/>
        <w:spacing w:line="440" w:lineRule="exact"/>
        <w:ind w:firstLine="718" w:firstLineChars="342"/>
        <w:rPr>
          <w:color w:val="auto"/>
          <w:highlight w:val="none"/>
        </w:rPr>
      </w:pPr>
      <w:r>
        <w:rPr>
          <w:rFonts w:hint="eastAsia"/>
          <w:color w:val="auto"/>
          <w:highlight w:val="none"/>
        </w:rPr>
        <w:t>（4）曾因在招标、评标以及其他与招标投标有关活动中从事违法行为而受过行政处罚或刑事处罚的。</w:t>
      </w:r>
    </w:p>
    <w:p>
      <w:pPr>
        <w:shd w:val="clear" w:color="auto" w:fill="FFFFFF"/>
        <w:spacing w:line="440" w:lineRule="exact"/>
        <w:ind w:firstLine="721" w:firstLineChars="342"/>
        <w:rPr>
          <w:b/>
          <w:bCs/>
          <w:color w:val="auto"/>
          <w:highlight w:val="none"/>
        </w:rPr>
      </w:pPr>
      <w:r>
        <w:rPr>
          <w:rFonts w:hint="eastAsia"/>
          <w:b/>
          <w:bCs/>
          <w:color w:val="auto"/>
          <w:highlight w:val="none"/>
        </w:rPr>
        <w:t>6.1.3对评标专家要求按绍兴市政务服务办公室发布“关于在新型冠状病毒感染疫情期间专家参与公共资源交易评审活动有关要求的通知”执行。</w:t>
      </w:r>
    </w:p>
    <w:p>
      <w:pPr>
        <w:pStyle w:val="124"/>
        <w:shd w:val="clear" w:color="auto" w:fill="FFFFFF"/>
        <w:tabs>
          <w:tab w:val="left" w:pos="2620"/>
        </w:tabs>
        <w:spacing w:line="440" w:lineRule="exact"/>
        <w:rPr>
          <w:color w:val="auto"/>
          <w:highlight w:val="none"/>
        </w:rPr>
      </w:pPr>
      <w:bookmarkStart w:id="144" w:name="_Toc144974532"/>
      <w:bookmarkStart w:id="145" w:name="_Toc152045564"/>
      <w:bookmarkStart w:id="146" w:name="_Toc152042340"/>
      <w:bookmarkStart w:id="147" w:name="_Toc179632582"/>
      <w:r>
        <w:rPr>
          <w:rFonts w:hint="eastAsia"/>
          <w:color w:val="auto"/>
          <w:highlight w:val="none"/>
        </w:rPr>
        <w:t>6.2 评标原则</w:t>
      </w:r>
      <w:bookmarkEnd w:id="144"/>
      <w:bookmarkEnd w:id="145"/>
      <w:bookmarkEnd w:id="146"/>
      <w:bookmarkEnd w:id="147"/>
    </w:p>
    <w:p>
      <w:pPr>
        <w:shd w:val="clear" w:color="auto" w:fill="FFFFFF"/>
        <w:spacing w:line="440" w:lineRule="exact"/>
        <w:ind w:firstLine="420" w:firstLineChars="200"/>
        <w:rPr>
          <w:color w:val="auto"/>
          <w:highlight w:val="none"/>
        </w:rPr>
      </w:pPr>
      <w:r>
        <w:rPr>
          <w:rFonts w:hint="eastAsia"/>
          <w:color w:val="auto"/>
          <w:highlight w:val="none"/>
        </w:rPr>
        <w:t>评标活动遵循公平、公正、科学和择优的原则。</w:t>
      </w:r>
    </w:p>
    <w:p>
      <w:pPr>
        <w:pStyle w:val="124"/>
        <w:shd w:val="clear" w:color="auto" w:fill="FFFFFF"/>
        <w:spacing w:line="440" w:lineRule="exact"/>
        <w:rPr>
          <w:color w:val="auto"/>
          <w:highlight w:val="none"/>
        </w:rPr>
      </w:pPr>
      <w:bookmarkStart w:id="148" w:name="_Toc152045565"/>
      <w:bookmarkStart w:id="149" w:name="_Toc144974533"/>
      <w:bookmarkStart w:id="150" w:name="_Toc179632583"/>
      <w:bookmarkStart w:id="151" w:name="_Toc152042341"/>
      <w:r>
        <w:rPr>
          <w:rFonts w:hint="eastAsia"/>
          <w:color w:val="auto"/>
          <w:highlight w:val="none"/>
        </w:rPr>
        <w:t>6.3 评标</w:t>
      </w:r>
      <w:bookmarkEnd w:id="148"/>
      <w:bookmarkEnd w:id="149"/>
      <w:bookmarkEnd w:id="150"/>
      <w:bookmarkEnd w:id="151"/>
    </w:p>
    <w:p>
      <w:pPr>
        <w:shd w:val="clear" w:color="auto" w:fill="FFFFFF"/>
        <w:spacing w:line="440" w:lineRule="exact"/>
        <w:ind w:firstLine="420" w:firstLineChars="200"/>
        <w:rPr>
          <w:color w:val="auto"/>
          <w:highlight w:val="none"/>
        </w:rPr>
      </w:pPr>
      <w:r>
        <w:rPr>
          <w:rFonts w:hint="eastAsia"/>
          <w:color w:val="auto"/>
          <w:highlight w:val="none"/>
        </w:rPr>
        <w:t>6.3.1评标委员会按照第三章“评标办法”规定的方法、评审因素、标准和程序对投标文件进行评审。第三章“评标办法”没有规定的方法、评审因素和标准，不作为评标依据。</w:t>
      </w:r>
    </w:p>
    <w:p>
      <w:pPr>
        <w:shd w:val="clear" w:color="auto" w:fill="FFFFFF"/>
        <w:spacing w:line="440" w:lineRule="exact"/>
        <w:ind w:firstLine="420" w:firstLineChars="200"/>
        <w:rPr>
          <w:color w:val="auto"/>
          <w:highlight w:val="none"/>
        </w:rPr>
      </w:pPr>
      <w:r>
        <w:rPr>
          <w:rFonts w:hint="eastAsia"/>
          <w:color w:val="auto"/>
          <w:highlight w:val="none"/>
        </w:rPr>
        <w:t>6.3.2评标委员会通过不见面开标系统询标模块在线质询，投标单位通过系统在线回复，一般应在30分钟内提供书面答复，情况特别复杂的，经评标委员会同意后，可视情延长回复时限。</w:t>
      </w:r>
    </w:p>
    <w:p>
      <w:pPr>
        <w:pStyle w:val="129"/>
        <w:shd w:val="clear" w:color="auto" w:fill="FFFFFF"/>
        <w:spacing w:line="440" w:lineRule="exact"/>
        <w:rPr>
          <w:color w:val="auto"/>
          <w:highlight w:val="none"/>
        </w:rPr>
      </w:pPr>
      <w:bookmarkStart w:id="152" w:name="_Toc152045566"/>
      <w:bookmarkStart w:id="153" w:name="_Toc152042342"/>
      <w:bookmarkStart w:id="154" w:name="_Toc144974534"/>
      <w:bookmarkStart w:id="155" w:name="_Toc179632584"/>
      <w:r>
        <w:rPr>
          <w:rFonts w:hint="eastAsia"/>
          <w:color w:val="auto"/>
          <w:highlight w:val="none"/>
        </w:rPr>
        <w:t>7. 合同授予</w:t>
      </w:r>
      <w:bookmarkEnd w:id="152"/>
      <w:bookmarkEnd w:id="153"/>
      <w:bookmarkEnd w:id="154"/>
      <w:bookmarkEnd w:id="155"/>
    </w:p>
    <w:p>
      <w:pPr>
        <w:pStyle w:val="124"/>
        <w:shd w:val="clear" w:color="auto" w:fill="FFFFFF"/>
        <w:spacing w:line="440" w:lineRule="exact"/>
        <w:rPr>
          <w:color w:val="auto"/>
          <w:highlight w:val="none"/>
        </w:rPr>
      </w:pPr>
      <w:bookmarkStart w:id="156" w:name="_Toc152045567"/>
      <w:bookmarkStart w:id="157" w:name="_Toc144974535"/>
      <w:bookmarkStart w:id="158" w:name="_Toc152042343"/>
      <w:bookmarkStart w:id="159" w:name="_Toc179632585"/>
      <w:r>
        <w:rPr>
          <w:rFonts w:hint="eastAsia"/>
          <w:color w:val="auto"/>
          <w:highlight w:val="none"/>
        </w:rPr>
        <w:t>7.1 定标方式</w:t>
      </w:r>
      <w:bookmarkEnd w:id="156"/>
      <w:bookmarkEnd w:id="157"/>
      <w:bookmarkEnd w:id="158"/>
      <w:bookmarkEnd w:id="159"/>
    </w:p>
    <w:p>
      <w:pPr>
        <w:shd w:val="clear" w:color="auto" w:fill="FFFFFF"/>
        <w:spacing w:line="440" w:lineRule="exact"/>
        <w:ind w:firstLine="420" w:firstLineChars="200"/>
        <w:rPr>
          <w:color w:val="auto"/>
          <w:highlight w:val="none"/>
        </w:rPr>
      </w:pPr>
      <w:r>
        <w:rPr>
          <w:rFonts w:hint="eastAsia"/>
          <w:color w:val="auto"/>
          <w:highlight w:val="none"/>
        </w:rPr>
        <w:t>除投标人须知前附表规定评标委员会直接确定中标人外，招标人依据评标委员会推荐的中标候选人确定中标人，评标委员会推荐中标候选人的人数按有关规定。</w:t>
      </w:r>
    </w:p>
    <w:p>
      <w:pPr>
        <w:pStyle w:val="124"/>
        <w:shd w:val="clear" w:color="auto" w:fill="FFFFFF"/>
        <w:spacing w:line="440" w:lineRule="exact"/>
        <w:rPr>
          <w:color w:val="auto"/>
          <w:highlight w:val="none"/>
        </w:rPr>
      </w:pPr>
      <w:bookmarkStart w:id="160" w:name="_Toc144974536"/>
      <w:bookmarkStart w:id="161" w:name="_Toc152045568"/>
      <w:bookmarkStart w:id="162" w:name="_Toc152042344"/>
      <w:bookmarkStart w:id="163" w:name="_Toc179632586"/>
      <w:r>
        <w:rPr>
          <w:rFonts w:hint="eastAsia"/>
          <w:color w:val="auto"/>
          <w:highlight w:val="none"/>
        </w:rPr>
        <w:t>7.2 中标通知</w:t>
      </w:r>
      <w:bookmarkEnd w:id="160"/>
      <w:bookmarkEnd w:id="161"/>
      <w:bookmarkEnd w:id="162"/>
      <w:bookmarkEnd w:id="163"/>
    </w:p>
    <w:p>
      <w:pPr>
        <w:shd w:val="clear" w:color="auto" w:fill="FFFFFF"/>
        <w:spacing w:line="440" w:lineRule="exact"/>
        <w:ind w:firstLine="420" w:firstLineChars="200"/>
        <w:rPr>
          <w:color w:val="auto"/>
          <w:highlight w:val="none"/>
        </w:rPr>
      </w:pPr>
      <w:r>
        <w:rPr>
          <w:rFonts w:hint="eastAsia"/>
          <w:color w:val="auto"/>
          <w:highlight w:val="none"/>
        </w:rPr>
        <w:t>在本章第3.3款规定的投标有效期内，招标人以书面形式向中标人发出中标通知书，同时将中标结果通知未中标的投标人。</w:t>
      </w:r>
    </w:p>
    <w:p>
      <w:pPr>
        <w:pStyle w:val="124"/>
        <w:shd w:val="clear" w:color="auto" w:fill="FFFFFF"/>
        <w:spacing w:line="440" w:lineRule="exact"/>
        <w:rPr>
          <w:color w:val="auto"/>
          <w:highlight w:val="none"/>
        </w:rPr>
      </w:pPr>
      <w:bookmarkStart w:id="164" w:name="_Toc152042345"/>
      <w:bookmarkStart w:id="165" w:name="_Toc179632587"/>
      <w:bookmarkStart w:id="166" w:name="_Toc144974537"/>
      <w:bookmarkStart w:id="167" w:name="_Toc152045569"/>
      <w:r>
        <w:rPr>
          <w:rFonts w:hint="eastAsia"/>
          <w:color w:val="auto"/>
          <w:highlight w:val="none"/>
        </w:rPr>
        <w:t>7.3 履约担保</w:t>
      </w:r>
      <w:bookmarkEnd w:id="164"/>
      <w:bookmarkEnd w:id="165"/>
      <w:bookmarkEnd w:id="166"/>
      <w:bookmarkEnd w:id="167"/>
    </w:p>
    <w:p>
      <w:pPr>
        <w:shd w:val="clear" w:color="auto" w:fill="FFFFFF"/>
        <w:spacing w:line="440" w:lineRule="exact"/>
        <w:ind w:firstLine="420" w:firstLineChars="200"/>
        <w:rPr>
          <w:color w:val="auto"/>
          <w:highlight w:val="none"/>
        </w:rPr>
      </w:pPr>
      <w:r>
        <w:rPr>
          <w:rFonts w:hint="eastAsia"/>
          <w:color w:val="auto"/>
          <w:highlight w:val="none"/>
        </w:rPr>
        <w:t>7.3.1中标人应按投标人须知前附表规定的金额、担保形式和招标文件第四章“合同条款及格式”规定的履约担保格式向招标人提交履约担保。联合体中标的，其履约担保由牵头人递交，并应符合投标人须知前附表规定的金额、担保形式和招标文件第四章“合同条款及格式”规定的履约担保格式要求。</w:t>
      </w:r>
    </w:p>
    <w:p>
      <w:pPr>
        <w:shd w:val="clear" w:color="auto" w:fill="FFFFFF"/>
        <w:spacing w:line="440" w:lineRule="exact"/>
        <w:ind w:firstLine="420" w:firstLineChars="200"/>
        <w:rPr>
          <w:color w:val="auto"/>
          <w:highlight w:val="none"/>
        </w:rPr>
      </w:pPr>
      <w:r>
        <w:rPr>
          <w:rFonts w:hint="eastAsia"/>
          <w:color w:val="auto"/>
          <w:highlight w:val="none"/>
        </w:rPr>
        <w:t>7.3.2 中标人不能按本章第7.3.1项要求提交履约担保的，视为放弃中标，其投标保证金不予退还，给招标人造成的损失超过投标保证金数额的，中标人还应当对超过部分予以赔偿。</w:t>
      </w:r>
    </w:p>
    <w:p>
      <w:pPr>
        <w:pStyle w:val="124"/>
        <w:shd w:val="clear" w:color="auto" w:fill="FFFFFF"/>
        <w:spacing w:line="440" w:lineRule="exact"/>
        <w:rPr>
          <w:color w:val="auto"/>
          <w:highlight w:val="none"/>
        </w:rPr>
      </w:pPr>
      <w:bookmarkStart w:id="168" w:name="_Toc144974538"/>
      <w:bookmarkStart w:id="169" w:name="_Toc179632588"/>
      <w:bookmarkStart w:id="170" w:name="_Toc152045570"/>
      <w:bookmarkStart w:id="171" w:name="_Toc152042346"/>
      <w:r>
        <w:rPr>
          <w:rFonts w:hint="eastAsia"/>
          <w:color w:val="auto"/>
          <w:highlight w:val="none"/>
        </w:rPr>
        <w:t>7.4 签订合同</w:t>
      </w:r>
      <w:bookmarkEnd w:id="168"/>
      <w:bookmarkEnd w:id="169"/>
      <w:bookmarkEnd w:id="170"/>
      <w:bookmarkEnd w:id="171"/>
    </w:p>
    <w:p>
      <w:pPr>
        <w:shd w:val="clear" w:color="auto" w:fill="FFFFFF"/>
        <w:spacing w:line="440" w:lineRule="exact"/>
        <w:ind w:firstLine="420" w:firstLineChars="200"/>
        <w:rPr>
          <w:color w:val="auto"/>
          <w:highlight w:val="none"/>
        </w:rPr>
      </w:pPr>
      <w:r>
        <w:rPr>
          <w:rFonts w:hint="eastAsia"/>
          <w:color w:val="auto"/>
          <w:highlight w:val="none"/>
        </w:rPr>
        <w:t xml:space="preserve">7.4.1招标人和中标人应当自中标通知书发出之日起30天内，根据招标文件和中标人的投标文件订立书面合同。中标人无正当理由拒签合同的，招标人取消其中标资格，其投标保证金不予退还；给招标人造成的损失超过投标保证金数额的，中标人还应当对超过部分予以赔偿。 </w:t>
      </w:r>
    </w:p>
    <w:p>
      <w:pPr>
        <w:shd w:val="clear" w:color="auto" w:fill="FFFFFF"/>
        <w:spacing w:line="440" w:lineRule="exact"/>
        <w:ind w:firstLine="420" w:firstLineChars="200"/>
        <w:rPr>
          <w:color w:val="auto"/>
          <w:highlight w:val="none"/>
        </w:rPr>
      </w:pPr>
      <w:r>
        <w:rPr>
          <w:rFonts w:hint="eastAsia"/>
          <w:color w:val="auto"/>
          <w:highlight w:val="none"/>
        </w:rPr>
        <w:t xml:space="preserve">7.4.2 发出中标通知书后，招标人无正当理由拒签合同的，招标人向中标人退还投标保证金；给中标人造成损失的，还应当赔偿损失。 </w:t>
      </w:r>
    </w:p>
    <w:p>
      <w:pPr>
        <w:shd w:val="clear" w:color="auto" w:fill="FFFFFF"/>
        <w:spacing w:line="440" w:lineRule="exact"/>
        <w:ind w:firstLine="420" w:firstLineChars="200"/>
        <w:rPr>
          <w:strike/>
          <w:color w:val="auto"/>
          <w:highlight w:val="none"/>
        </w:rPr>
      </w:pPr>
      <w:r>
        <w:rPr>
          <w:rFonts w:hint="eastAsia"/>
          <w:strike/>
          <w:color w:val="auto"/>
          <w:highlight w:val="none"/>
        </w:rPr>
        <w:t>7.4.3凡投资额在400万元以上的</w:t>
      </w:r>
      <w:r>
        <w:rPr>
          <w:rFonts w:hint="eastAsia" w:ascii="宋体" w:hAnsi="宋体"/>
          <w:strike/>
          <w:color w:val="auto"/>
          <w:szCs w:val="21"/>
          <w:highlight w:val="none"/>
        </w:rPr>
        <w:t>绍兴市区建设工程（包括房屋建筑、市政园林工程）项目施工，实行工程款和工资款两条线拨付制度。在工程承包合同中必须明确工程款和工资款两条线拨付，建设单位不管以何种方式支付工程款，必须按月进度工程款的20%作为工资款打入该项目的农民工工资专用账户，此账户专项用于支付农民工工资，不得挪作他用。</w:t>
      </w:r>
    </w:p>
    <w:p>
      <w:pPr>
        <w:pStyle w:val="129"/>
        <w:shd w:val="clear" w:color="auto" w:fill="FFFFFF"/>
        <w:spacing w:line="440" w:lineRule="exact"/>
        <w:rPr>
          <w:color w:val="auto"/>
          <w:highlight w:val="none"/>
        </w:rPr>
      </w:pPr>
      <w:bookmarkStart w:id="172" w:name="_Toc179632589"/>
      <w:bookmarkStart w:id="173" w:name="_Toc144974539"/>
      <w:bookmarkStart w:id="174" w:name="_Toc152042347"/>
      <w:bookmarkStart w:id="175" w:name="_Toc152045571"/>
      <w:r>
        <w:rPr>
          <w:rFonts w:hint="eastAsia"/>
          <w:color w:val="auto"/>
          <w:highlight w:val="none"/>
        </w:rPr>
        <w:t>8. 重新招标和不再招标</w:t>
      </w:r>
      <w:bookmarkEnd w:id="172"/>
      <w:bookmarkEnd w:id="173"/>
      <w:bookmarkEnd w:id="174"/>
      <w:bookmarkEnd w:id="175"/>
    </w:p>
    <w:p>
      <w:pPr>
        <w:pStyle w:val="124"/>
        <w:shd w:val="clear" w:color="auto" w:fill="FFFFFF"/>
        <w:spacing w:line="440" w:lineRule="exact"/>
        <w:rPr>
          <w:color w:val="auto"/>
          <w:highlight w:val="none"/>
        </w:rPr>
      </w:pPr>
      <w:bookmarkStart w:id="176" w:name="_Toc144974540"/>
      <w:bookmarkStart w:id="177" w:name="_Toc179632590"/>
      <w:bookmarkStart w:id="178" w:name="_Toc152045572"/>
      <w:bookmarkStart w:id="179" w:name="_Toc152042348"/>
      <w:r>
        <w:rPr>
          <w:rFonts w:hint="eastAsia"/>
          <w:color w:val="auto"/>
          <w:highlight w:val="none"/>
        </w:rPr>
        <w:t>8.1 重新招标</w:t>
      </w:r>
      <w:bookmarkEnd w:id="176"/>
      <w:bookmarkEnd w:id="177"/>
      <w:bookmarkEnd w:id="178"/>
      <w:bookmarkEnd w:id="179"/>
    </w:p>
    <w:p>
      <w:pPr>
        <w:shd w:val="clear" w:color="auto" w:fill="FFFFFF"/>
        <w:spacing w:line="440" w:lineRule="exact"/>
        <w:ind w:firstLine="420" w:firstLineChars="200"/>
        <w:rPr>
          <w:color w:val="auto"/>
          <w:highlight w:val="none"/>
        </w:rPr>
      </w:pPr>
      <w:r>
        <w:rPr>
          <w:rFonts w:hint="eastAsia"/>
          <w:color w:val="auto"/>
          <w:highlight w:val="none"/>
        </w:rPr>
        <w:t>有下列情形之一的，招标人将重新招标：</w:t>
      </w:r>
    </w:p>
    <w:p>
      <w:pPr>
        <w:shd w:val="clear" w:color="auto" w:fill="FFFFFF"/>
        <w:spacing w:line="440" w:lineRule="exact"/>
        <w:ind w:firstLine="359" w:firstLineChars="171"/>
        <w:rPr>
          <w:color w:val="auto"/>
          <w:highlight w:val="none"/>
        </w:rPr>
      </w:pPr>
      <w:r>
        <w:rPr>
          <w:rFonts w:hint="eastAsia"/>
          <w:color w:val="auto"/>
          <w:highlight w:val="none"/>
        </w:rPr>
        <w:t>（1）投标截止时间止，投标人少于3个的；</w:t>
      </w:r>
    </w:p>
    <w:p>
      <w:pPr>
        <w:shd w:val="clear" w:color="auto" w:fill="FFFFFF"/>
        <w:spacing w:line="440" w:lineRule="exact"/>
        <w:ind w:firstLine="359" w:firstLineChars="171"/>
        <w:rPr>
          <w:color w:val="auto"/>
          <w:highlight w:val="none"/>
        </w:rPr>
      </w:pPr>
      <w:r>
        <w:rPr>
          <w:rFonts w:hint="eastAsia"/>
          <w:color w:val="auto"/>
          <w:highlight w:val="none"/>
        </w:rPr>
        <w:t>（2）经评标委员会评审后否决所有投标的或有效标少于3个的。</w:t>
      </w:r>
    </w:p>
    <w:p>
      <w:pPr>
        <w:pStyle w:val="124"/>
        <w:shd w:val="clear" w:color="auto" w:fill="FFFFFF"/>
        <w:spacing w:line="440" w:lineRule="exact"/>
        <w:rPr>
          <w:color w:val="auto"/>
          <w:highlight w:val="none"/>
        </w:rPr>
      </w:pPr>
      <w:bookmarkStart w:id="180" w:name="_Toc152042349"/>
      <w:bookmarkStart w:id="181" w:name="_Toc144974541"/>
      <w:bookmarkStart w:id="182" w:name="_Toc152045573"/>
      <w:bookmarkStart w:id="183" w:name="_Toc179632591"/>
      <w:r>
        <w:rPr>
          <w:rFonts w:hint="eastAsia"/>
          <w:color w:val="auto"/>
          <w:highlight w:val="none"/>
        </w:rPr>
        <w:t>8.2 不再招标</w:t>
      </w:r>
      <w:bookmarkEnd w:id="180"/>
      <w:bookmarkEnd w:id="181"/>
      <w:bookmarkEnd w:id="182"/>
      <w:bookmarkEnd w:id="183"/>
    </w:p>
    <w:p>
      <w:pPr>
        <w:keepNext w:val="0"/>
        <w:keepLines w:val="0"/>
        <w:pageBreakBefore w:val="0"/>
        <w:widowControl w:val="0"/>
        <w:shd w:val="clear" w:color="auto" w:fill="FFFFFF"/>
        <w:kinsoku/>
        <w:wordWrap/>
        <w:overflowPunct/>
        <w:topLinePunct w:val="0"/>
        <w:autoSpaceDE/>
        <w:autoSpaceDN/>
        <w:bidi w:val="0"/>
        <w:adjustRightInd/>
        <w:snapToGrid/>
        <w:spacing w:line="400" w:lineRule="exact"/>
        <w:ind w:firstLine="420" w:firstLineChars="200"/>
        <w:textAlignment w:val="auto"/>
        <w:rPr>
          <w:color w:val="auto"/>
          <w:highlight w:val="none"/>
        </w:rPr>
      </w:pPr>
      <w:r>
        <w:rPr>
          <w:rFonts w:hint="eastAsia"/>
          <w:color w:val="auto"/>
          <w:highlight w:val="none"/>
        </w:rPr>
        <w:t>重新招标、评标后有效投标人仍少于3个或者所有投标被否决的，属于必须审批或核准的工程建设项目，经原审批或核准部门批准后不再进行招标。</w:t>
      </w:r>
    </w:p>
    <w:p>
      <w:pPr>
        <w:pStyle w:val="129"/>
        <w:shd w:val="clear" w:color="auto" w:fill="FFFFFF"/>
        <w:spacing w:line="440" w:lineRule="exact"/>
        <w:rPr>
          <w:color w:val="auto"/>
          <w:highlight w:val="none"/>
        </w:rPr>
      </w:pPr>
      <w:bookmarkStart w:id="184" w:name="_Toc144974542"/>
      <w:bookmarkStart w:id="185" w:name="_Toc152045574"/>
      <w:bookmarkStart w:id="186" w:name="_Toc152042350"/>
      <w:bookmarkStart w:id="187" w:name="_Toc179632592"/>
      <w:r>
        <w:rPr>
          <w:rFonts w:hint="eastAsia"/>
          <w:color w:val="auto"/>
          <w:highlight w:val="none"/>
        </w:rPr>
        <w:t>9. 纪律和监督</w:t>
      </w:r>
      <w:bookmarkEnd w:id="184"/>
      <w:bookmarkEnd w:id="185"/>
      <w:bookmarkEnd w:id="186"/>
      <w:bookmarkEnd w:id="187"/>
    </w:p>
    <w:p>
      <w:pPr>
        <w:pStyle w:val="124"/>
        <w:shd w:val="clear" w:color="auto" w:fill="FFFFFF"/>
        <w:spacing w:line="440" w:lineRule="exact"/>
        <w:rPr>
          <w:color w:val="auto"/>
          <w:highlight w:val="none"/>
        </w:rPr>
      </w:pPr>
      <w:bookmarkStart w:id="188" w:name="_Toc144974543"/>
      <w:bookmarkStart w:id="189" w:name="_Toc179632593"/>
      <w:bookmarkStart w:id="190" w:name="_Toc152045575"/>
      <w:bookmarkStart w:id="191" w:name="_Toc152042351"/>
      <w:r>
        <w:rPr>
          <w:rFonts w:hint="eastAsia"/>
          <w:color w:val="auto"/>
          <w:highlight w:val="none"/>
        </w:rPr>
        <w:t>9.1 对招标人的纪律要求</w:t>
      </w:r>
      <w:bookmarkEnd w:id="188"/>
      <w:bookmarkEnd w:id="189"/>
      <w:bookmarkEnd w:id="190"/>
      <w:bookmarkEnd w:id="191"/>
    </w:p>
    <w:p>
      <w:pPr>
        <w:keepNext w:val="0"/>
        <w:keepLines w:val="0"/>
        <w:pageBreakBefore w:val="0"/>
        <w:widowControl w:val="0"/>
        <w:shd w:val="clear" w:color="auto" w:fill="FFFFFF"/>
        <w:kinsoku/>
        <w:wordWrap/>
        <w:overflowPunct/>
        <w:topLinePunct w:val="0"/>
        <w:autoSpaceDE/>
        <w:autoSpaceDN/>
        <w:bidi w:val="0"/>
        <w:adjustRightInd/>
        <w:snapToGrid/>
        <w:spacing w:line="400" w:lineRule="exact"/>
        <w:ind w:firstLine="420" w:firstLineChars="200"/>
        <w:textAlignment w:val="auto"/>
        <w:rPr>
          <w:color w:val="auto"/>
          <w:highlight w:val="none"/>
        </w:rPr>
      </w:pPr>
      <w:r>
        <w:rPr>
          <w:rFonts w:hint="eastAsia"/>
          <w:color w:val="auto"/>
          <w:highlight w:val="none"/>
        </w:rPr>
        <w:t>招标人不得泄漏招标投标活动中应当保密的情况和资料，不得与投标人串通损害国家利益、社会公共利益或者他人合法权益。</w:t>
      </w:r>
    </w:p>
    <w:p>
      <w:pPr>
        <w:pStyle w:val="124"/>
        <w:shd w:val="clear" w:color="auto" w:fill="FFFFFF"/>
        <w:spacing w:line="440" w:lineRule="exact"/>
        <w:rPr>
          <w:color w:val="auto"/>
          <w:highlight w:val="none"/>
        </w:rPr>
      </w:pPr>
      <w:bookmarkStart w:id="192" w:name="_Toc152042352"/>
      <w:bookmarkStart w:id="193" w:name="_Toc152045576"/>
      <w:bookmarkStart w:id="194" w:name="_Toc179632594"/>
      <w:bookmarkStart w:id="195" w:name="_Toc144974544"/>
      <w:r>
        <w:rPr>
          <w:rFonts w:hint="eastAsia"/>
          <w:color w:val="auto"/>
          <w:highlight w:val="none"/>
        </w:rPr>
        <w:t>9.2 对投标人的纪律要求</w:t>
      </w:r>
      <w:bookmarkEnd w:id="192"/>
      <w:bookmarkEnd w:id="193"/>
      <w:bookmarkEnd w:id="194"/>
      <w:bookmarkEnd w:id="195"/>
    </w:p>
    <w:p>
      <w:pPr>
        <w:keepNext w:val="0"/>
        <w:keepLines w:val="0"/>
        <w:pageBreakBefore w:val="0"/>
        <w:widowControl w:val="0"/>
        <w:shd w:val="clear" w:color="auto" w:fill="FFFFFF"/>
        <w:kinsoku/>
        <w:wordWrap/>
        <w:overflowPunct/>
        <w:topLinePunct w:val="0"/>
        <w:autoSpaceDE/>
        <w:autoSpaceDN/>
        <w:bidi w:val="0"/>
        <w:adjustRightInd/>
        <w:snapToGrid/>
        <w:spacing w:line="400" w:lineRule="exact"/>
        <w:ind w:firstLine="420" w:firstLineChars="200"/>
        <w:textAlignment w:val="auto"/>
        <w:rPr>
          <w:color w:val="auto"/>
          <w:highlight w:val="none"/>
        </w:rPr>
      </w:pPr>
      <w:r>
        <w:rPr>
          <w:rFonts w:hint="eastAsia"/>
          <w:color w:val="auto"/>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pPr>
        <w:pStyle w:val="124"/>
        <w:shd w:val="clear" w:color="auto" w:fill="FFFFFF"/>
        <w:spacing w:line="440" w:lineRule="exact"/>
        <w:rPr>
          <w:color w:val="auto"/>
          <w:highlight w:val="none"/>
        </w:rPr>
      </w:pPr>
      <w:bookmarkStart w:id="196" w:name="_Toc152042353"/>
      <w:bookmarkStart w:id="197" w:name="_Toc179632595"/>
      <w:bookmarkStart w:id="198" w:name="_Toc144974545"/>
      <w:bookmarkStart w:id="199" w:name="_Toc152045577"/>
      <w:r>
        <w:rPr>
          <w:rFonts w:hint="eastAsia"/>
          <w:color w:val="auto"/>
          <w:highlight w:val="none"/>
        </w:rPr>
        <w:t>9.3 对评标委员会成员的纪律要求</w:t>
      </w:r>
      <w:bookmarkEnd w:id="196"/>
      <w:bookmarkEnd w:id="197"/>
      <w:bookmarkEnd w:id="198"/>
      <w:bookmarkEnd w:id="199"/>
    </w:p>
    <w:p>
      <w:pPr>
        <w:keepNext w:val="0"/>
        <w:keepLines w:val="0"/>
        <w:pageBreakBefore w:val="0"/>
        <w:widowControl w:val="0"/>
        <w:shd w:val="clear" w:color="auto" w:fill="FFFFFF"/>
        <w:kinsoku/>
        <w:wordWrap/>
        <w:overflowPunct/>
        <w:topLinePunct w:val="0"/>
        <w:autoSpaceDE/>
        <w:autoSpaceDN/>
        <w:bidi w:val="0"/>
        <w:adjustRightInd/>
        <w:snapToGrid/>
        <w:spacing w:line="400" w:lineRule="exact"/>
        <w:ind w:firstLine="420" w:firstLineChars="200"/>
        <w:textAlignment w:val="auto"/>
        <w:rPr>
          <w:color w:val="auto"/>
          <w:highlight w:val="none"/>
        </w:rPr>
      </w:pPr>
      <w:r>
        <w:rPr>
          <w:rFonts w:hint="eastAsia"/>
          <w:color w:val="auto"/>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pStyle w:val="124"/>
        <w:shd w:val="clear" w:color="auto" w:fill="FFFFFF"/>
        <w:spacing w:line="440" w:lineRule="exact"/>
        <w:rPr>
          <w:color w:val="auto"/>
          <w:highlight w:val="none"/>
        </w:rPr>
      </w:pPr>
      <w:bookmarkStart w:id="200" w:name="_Toc152042354"/>
      <w:bookmarkStart w:id="201" w:name="_Toc152045578"/>
      <w:bookmarkStart w:id="202" w:name="_Toc179632596"/>
      <w:bookmarkStart w:id="203" w:name="_Toc144974546"/>
      <w:r>
        <w:rPr>
          <w:rFonts w:hint="eastAsia"/>
          <w:color w:val="auto"/>
          <w:highlight w:val="none"/>
        </w:rPr>
        <w:t>9.4 对与评标活动有关的工作人员的纪律要求</w:t>
      </w:r>
      <w:bookmarkEnd w:id="200"/>
      <w:bookmarkEnd w:id="201"/>
      <w:bookmarkEnd w:id="202"/>
    </w:p>
    <w:p>
      <w:pPr>
        <w:keepNext w:val="0"/>
        <w:keepLines w:val="0"/>
        <w:pageBreakBefore w:val="0"/>
        <w:widowControl w:val="0"/>
        <w:shd w:val="clear" w:color="auto" w:fill="FFFFFF"/>
        <w:kinsoku/>
        <w:wordWrap/>
        <w:overflowPunct/>
        <w:topLinePunct w:val="0"/>
        <w:autoSpaceDE/>
        <w:autoSpaceDN/>
        <w:bidi w:val="0"/>
        <w:adjustRightInd/>
        <w:snapToGrid/>
        <w:spacing w:line="400" w:lineRule="exact"/>
        <w:ind w:firstLine="420" w:firstLineChars="200"/>
        <w:textAlignment w:val="auto"/>
        <w:rPr>
          <w:color w:val="auto"/>
          <w:highlight w:val="none"/>
        </w:rPr>
      </w:pPr>
      <w:bookmarkStart w:id="204" w:name="_Toc152042355"/>
      <w:r>
        <w:rPr>
          <w:rFonts w:hint="eastAsia"/>
          <w:color w:val="auto"/>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204"/>
    </w:p>
    <w:p>
      <w:pPr>
        <w:pStyle w:val="124"/>
        <w:shd w:val="clear" w:color="auto" w:fill="FFFFFF"/>
        <w:spacing w:line="440" w:lineRule="exact"/>
        <w:rPr>
          <w:color w:val="auto"/>
          <w:highlight w:val="none"/>
        </w:rPr>
      </w:pPr>
      <w:bookmarkStart w:id="205" w:name="_Toc152042356"/>
      <w:bookmarkStart w:id="206" w:name="_Toc179632597"/>
      <w:bookmarkStart w:id="207" w:name="_Toc152045579"/>
      <w:r>
        <w:rPr>
          <w:rFonts w:hint="eastAsia"/>
          <w:color w:val="auto"/>
          <w:highlight w:val="none"/>
        </w:rPr>
        <w:t>9.5 投诉</w:t>
      </w:r>
      <w:bookmarkEnd w:id="203"/>
      <w:bookmarkEnd w:id="205"/>
      <w:bookmarkEnd w:id="206"/>
      <w:bookmarkEnd w:id="207"/>
    </w:p>
    <w:p>
      <w:pPr>
        <w:shd w:val="clear" w:color="auto" w:fill="FFFFFF"/>
        <w:spacing w:line="440" w:lineRule="exact"/>
        <w:ind w:firstLine="420" w:firstLineChars="200"/>
        <w:rPr>
          <w:color w:val="auto"/>
          <w:highlight w:val="none"/>
        </w:rPr>
      </w:pPr>
      <w:r>
        <w:rPr>
          <w:rFonts w:hint="eastAsia"/>
          <w:color w:val="auto"/>
          <w:highlight w:val="none"/>
        </w:rPr>
        <w:t>投标人和其他利害关系人认为本次招标活动违反法律、法规和规章规定的，有权向有关行政监督部门投诉。</w:t>
      </w:r>
    </w:p>
    <w:p>
      <w:pPr>
        <w:pStyle w:val="129"/>
        <w:shd w:val="clear" w:color="auto" w:fill="FFFFFF"/>
        <w:spacing w:line="440" w:lineRule="exact"/>
        <w:rPr>
          <w:color w:val="auto"/>
          <w:highlight w:val="none"/>
        </w:rPr>
      </w:pPr>
      <w:bookmarkStart w:id="208" w:name="_Toc144974547"/>
      <w:bookmarkStart w:id="209" w:name="_Toc179632598"/>
      <w:bookmarkStart w:id="210" w:name="_Toc152042357"/>
      <w:bookmarkStart w:id="211" w:name="_Toc152045580"/>
      <w:r>
        <w:rPr>
          <w:rFonts w:hint="eastAsia"/>
          <w:color w:val="auto"/>
          <w:highlight w:val="none"/>
        </w:rPr>
        <w:t>10. 需要补充的其他内容</w:t>
      </w:r>
      <w:bookmarkEnd w:id="208"/>
      <w:bookmarkEnd w:id="209"/>
      <w:bookmarkEnd w:id="210"/>
      <w:bookmarkEnd w:id="211"/>
    </w:p>
    <w:p>
      <w:pPr>
        <w:shd w:val="clear" w:color="auto" w:fill="FFFFFF"/>
        <w:spacing w:line="440" w:lineRule="exact"/>
        <w:ind w:firstLine="420" w:firstLineChars="200"/>
        <w:rPr>
          <w:color w:val="auto"/>
          <w:highlight w:val="none"/>
        </w:rPr>
      </w:pPr>
      <w:r>
        <w:rPr>
          <w:rFonts w:hint="eastAsia"/>
          <w:color w:val="auto"/>
          <w:highlight w:val="none"/>
        </w:rPr>
        <w:t>需要补充的其他内容：见投标人须知前附表。</w:t>
      </w:r>
    </w:p>
    <w:p>
      <w:pPr>
        <w:shd w:val="clear" w:color="auto" w:fill="FFFFFF"/>
        <w:rPr>
          <w:color w:val="auto"/>
          <w:highlight w:val="none"/>
        </w:rPr>
      </w:pPr>
    </w:p>
    <w:p>
      <w:pPr>
        <w:shd w:val="clear" w:color="auto" w:fill="FFFFFF"/>
        <w:rPr>
          <w:rFonts w:ascii="黑体" w:eastAsia="黑体"/>
          <w:color w:val="auto"/>
          <w:sz w:val="24"/>
          <w:highlight w:val="none"/>
        </w:rPr>
      </w:pPr>
      <w:r>
        <w:rPr>
          <w:rFonts w:hint="eastAsia" w:ascii="黑体" w:eastAsia="黑体"/>
          <w:color w:val="auto"/>
          <w:sz w:val="24"/>
          <w:highlight w:val="none"/>
        </w:rPr>
        <w:t>附表一：开标记录表（略）</w:t>
      </w:r>
    </w:p>
    <w:p>
      <w:pPr>
        <w:shd w:val="clear" w:color="auto" w:fill="FFFFFF"/>
        <w:spacing w:line="400" w:lineRule="exact"/>
        <w:rPr>
          <w:rFonts w:ascii="黑体" w:eastAsia="黑体"/>
          <w:color w:val="auto"/>
          <w:sz w:val="24"/>
          <w:highlight w:val="none"/>
        </w:rPr>
      </w:pPr>
      <w:r>
        <w:rPr>
          <w:rFonts w:hint="eastAsia" w:ascii="黑体" w:eastAsia="黑体"/>
          <w:color w:val="auto"/>
          <w:sz w:val="24"/>
          <w:highlight w:val="none"/>
        </w:rPr>
        <w:t>附表二：问题澄清通知（略）</w:t>
      </w:r>
    </w:p>
    <w:p>
      <w:pPr>
        <w:shd w:val="clear" w:color="auto" w:fill="FFFFFF"/>
        <w:spacing w:line="480" w:lineRule="exact"/>
        <w:rPr>
          <w:rFonts w:ascii="黑体" w:eastAsia="黑体"/>
          <w:color w:val="auto"/>
          <w:sz w:val="24"/>
          <w:highlight w:val="none"/>
        </w:rPr>
      </w:pPr>
      <w:r>
        <w:rPr>
          <w:rFonts w:hint="eastAsia" w:ascii="黑体" w:eastAsia="黑体"/>
          <w:color w:val="auto"/>
          <w:sz w:val="24"/>
          <w:highlight w:val="none"/>
        </w:rPr>
        <w:t>附表三：问题的澄清（略）</w:t>
      </w:r>
    </w:p>
    <w:p>
      <w:pPr>
        <w:shd w:val="clear" w:color="auto" w:fill="FFFFFF"/>
        <w:spacing w:line="480" w:lineRule="exact"/>
        <w:rPr>
          <w:rFonts w:ascii="黑体" w:eastAsia="黑体"/>
          <w:color w:val="auto"/>
          <w:sz w:val="24"/>
          <w:highlight w:val="none"/>
        </w:rPr>
      </w:pPr>
      <w:r>
        <w:rPr>
          <w:rFonts w:hint="eastAsia" w:ascii="黑体" w:eastAsia="黑体"/>
          <w:color w:val="auto"/>
          <w:sz w:val="24"/>
          <w:highlight w:val="none"/>
        </w:rPr>
        <w:t>附表四：中标通知书（略）</w:t>
      </w:r>
    </w:p>
    <w:p>
      <w:pPr>
        <w:shd w:val="clear" w:color="auto" w:fill="FFFFFF"/>
        <w:spacing w:line="480" w:lineRule="exact"/>
        <w:rPr>
          <w:rFonts w:ascii="黑体" w:eastAsia="黑体"/>
          <w:color w:val="auto"/>
          <w:sz w:val="24"/>
          <w:highlight w:val="none"/>
        </w:rPr>
      </w:pPr>
      <w:r>
        <w:rPr>
          <w:rFonts w:hint="eastAsia" w:ascii="黑体" w:eastAsia="黑体"/>
          <w:color w:val="auto"/>
          <w:sz w:val="24"/>
          <w:highlight w:val="none"/>
        </w:rPr>
        <w:t>附表五：中标结果通知书（略）</w:t>
      </w:r>
    </w:p>
    <w:p>
      <w:pPr>
        <w:shd w:val="clear" w:color="auto" w:fill="FFFFFF"/>
        <w:spacing w:line="480" w:lineRule="exact"/>
        <w:rPr>
          <w:rFonts w:ascii="黑体" w:eastAsia="黑体"/>
          <w:color w:val="auto"/>
          <w:sz w:val="24"/>
          <w:highlight w:val="none"/>
        </w:rPr>
      </w:pPr>
      <w:r>
        <w:rPr>
          <w:rFonts w:hint="eastAsia" w:ascii="黑体" w:eastAsia="黑体"/>
          <w:color w:val="auto"/>
          <w:sz w:val="24"/>
          <w:highlight w:val="none"/>
        </w:rPr>
        <w:t>附表六：确认通知（略）</w:t>
      </w:r>
    </w:p>
    <w:p>
      <w:pPr>
        <w:shd w:val="clear" w:color="auto" w:fill="FFFFFF"/>
        <w:spacing w:line="420" w:lineRule="exact"/>
        <w:rPr>
          <w:rFonts w:ascii="黑体" w:eastAsia="黑体"/>
          <w:color w:val="auto"/>
          <w:szCs w:val="21"/>
          <w:highlight w:val="none"/>
        </w:rPr>
      </w:pPr>
      <w:r>
        <w:rPr>
          <w:rFonts w:ascii="黑体" w:eastAsia="黑体"/>
          <w:color w:val="auto"/>
          <w:sz w:val="32"/>
          <w:szCs w:val="32"/>
          <w:highlight w:val="none"/>
        </w:rPr>
        <w:br w:type="page"/>
      </w:r>
    </w:p>
    <w:p>
      <w:pPr>
        <w:pStyle w:val="4"/>
        <w:jc w:val="center"/>
        <w:rPr>
          <w:rFonts w:ascii="宋体" w:hAnsi="宋体"/>
          <w:color w:val="auto"/>
          <w:sz w:val="28"/>
          <w:szCs w:val="28"/>
          <w:highlight w:val="none"/>
        </w:rPr>
      </w:pPr>
      <w:r>
        <w:rPr>
          <w:rFonts w:hint="eastAsia" w:ascii="黑体" w:hAnsi="宋体" w:eastAsia="黑体"/>
          <w:color w:val="auto"/>
          <w:sz w:val="32"/>
          <w:szCs w:val="32"/>
          <w:highlight w:val="none"/>
        </w:rPr>
        <w:t>第三章  评标办法</w:t>
      </w:r>
      <w:r>
        <w:rPr>
          <w:rFonts w:hint="eastAsia" w:ascii="宋体" w:hAnsi="宋体"/>
          <w:color w:val="auto"/>
          <w:sz w:val="28"/>
          <w:szCs w:val="28"/>
          <w:highlight w:val="none"/>
        </w:rPr>
        <w:t>（综合评估法）</w:t>
      </w:r>
    </w:p>
    <w:p>
      <w:pPr>
        <w:shd w:val="clear" w:color="auto" w:fill="FFFFFF"/>
        <w:rPr>
          <w:rFonts w:ascii="黑体" w:hAnsi="宋体" w:eastAsia="黑体"/>
          <w:color w:val="auto"/>
          <w:szCs w:val="21"/>
          <w:highlight w:val="none"/>
        </w:rPr>
      </w:pPr>
      <w:r>
        <w:rPr>
          <w:rFonts w:hint="eastAsia" w:ascii="黑体" w:hAnsi="宋体" w:eastAsia="黑体"/>
          <w:color w:val="auto"/>
          <w:szCs w:val="21"/>
          <w:highlight w:val="none"/>
        </w:rPr>
        <w:t>评标办法前附表</w:t>
      </w:r>
    </w:p>
    <w:tbl>
      <w:tblPr>
        <w:tblStyle w:val="51"/>
        <w:tblW w:w="0" w:type="auto"/>
        <w:tblInd w:w="108" w:type="dxa"/>
        <w:tblLayout w:type="fixed"/>
        <w:tblCellMar>
          <w:top w:w="0" w:type="dxa"/>
          <w:left w:w="108" w:type="dxa"/>
          <w:bottom w:w="0" w:type="dxa"/>
          <w:right w:w="108" w:type="dxa"/>
        </w:tblCellMar>
      </w:tblPr>
      <w:tblGrid>
        <w:gridCol w:w="741"/>
        <w:gridCol w:w="1149"/>
        <w:gridCol w:w="2324"/>
        <w:gridCol w:w="4311"/>
      </w:tblGrid>
      <w:tr>
        <w:tblPrEx>
          <w:tblCellMar>
            <w:top w:w="0" w:type="dxa"/>
            <w:left w:w="108" w:type="dxa"/>
            <w:bottom w:w="0" w:type="dxa"/>
            <w:right w:w="108" w:type="dxa"/>
          </w:tblCellMar>
        </w:tblPrEx>
        <w:trPr>
          <w:trHeight w:val="454" w:hRule="atLeast"/>
        </w:trPr>
        <w:tc>
          <w:tcPr>
            <w:tcW w:w="1890"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b/>
                <w:color w:val="auto"/>
                <w:szCs w:val="21"/>
                <w:highlight w:val="none"/>
              </w:rPr>
            </w:pPr>
            <w:r>
              <w:rPr>
                <w:rFonts w:hint="eastAsia" w:ascii="宋体" w:hAnsi="宋体"/>
                <w:b/>
                <w:color w:val="auto"/>
                <w:szCs w:val="21"/>
                <w:highlight w:val="none"/>
              </w:rPr>
              <w:t>条款号</w:t>
            </w:r>
          </w:p>
        </w:tc>
        <w:tc>
          <w:tcPr>
            <w:tcW w:w="2324" w:type="dxa"/>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b/>
                <w:color w:val="auto"/>
                <w:szCs w:val="21"/>
                <w:highlight w:val="none"/>
              </w:rPr>
            </w:pPr>
            <w:r>
              <w:rPr>
                <w:rFonts w:hint="eastAsia" w:ascii="宋体" w:hAnsi="宋体"/>
                <w:b/>
                <w:color w:val="auto"/>
                <w:szCs w:val="21"/>
                <w:highlight w:val="none"/>
              </w:rPr>
              <w:t>评审因素</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b/>
                <w:color w:val="auto"/>
                <w:szCs w:val="21"/>
                <w:highlight w:val="none"/>
              </w:rPr>
            </w:pPr>
            <w:r>
              <w:rPr>
                <w:rFonts w:hint="eastAsia" w:ascii="宋体" w:hAnsi="宋体"/>
                <w:b/>
                <w:color w:val="auto"/>
                <w:szCs w:val="21"/>
                <w:highlight w:val="none"/>
              </w:rPr>
              <w:t>评审标准</w:t>
            </w:r>
          </w:p>
        </w:tc>
      </w:tr>
      <w:tr>
        <w:tblPrEx>
          <w:tblCellMar>
            <w:top w:w="0" w:type="dxa"/>
            <w:left w:w="108" w:type="dxa"/>
            <w:bottom w:w="0" w:type="dxa"/>
            <w:right w:w="108" w:type="dxa"/>
          </w:tblCellMar>
        </w:tblPrEx>
        <w:trPr>
          <w:trHeight w:val="397" w:hRule="exact"/>
        </w:trPr>
        <w:tc>
          <w:tcPr>
            <w:tcW w:w="741" w:type="dxa"/>
            <w:vMerge w:val="restart"/>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r>
              <w:rPr>
                <w:rFonts w:hint="eastAsia" w:ascii="宋体" w:hAnsi="宋体"/>
                <w:color w:val="auto"/>
                <w:szCs w:val="21"/>
                <w:highlight w:val="none"/>
              </w:rPr>
              <w:t>2.1.1</w:t>
            </w:r>
          </w:p>
        </w:tc>
        <w:tc>
          <w:tcPr>
            <w:tcW w:w="1149" w:type="dxa"/>
            <w:vMerge w:val="restart"/>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r>
              <w:rPr>
                <w:rFonts w:hint="eastAsia" w:ascii="宋体" w:hAnsi="宋体"/>
                <w:color w:val="auto"/>
                <w:szCs w:val="21"/>
                <w:highlight w:val="none"/>
              </w:rPr>
              <w:t>形式评审</w:t>
            </w:r>
          </w:p>
          <w:p>
            <w:pPr>
              <w:shd w:val="clear" w:color="auto" w:fill="FFFFFF"/>
              <w:jc w:val="center"/>
              <w:rPr>
                <w:rFonts w:ascii="宋体" w:hAnsi="宋体"/>
                <w:color w:val="auto"/>
                <w:szCs w:val="21"/>
                <w:highlight w:val="none"/>
              </w:rPr>
            </w:pPr>
            <w:r>
              <w:rPr>
                <w:rFonts w:hint="eastAsia" w:ascii="宋体" w:hAnsi="宋体"/>
                <w:color w:val="auto"/>
                <w:szCs w:val="21"/>
                <w:highlight w:val="none"/>
              </w:rPr>
              <w:t>标   准</w:t>
            </w:r>
          </w:p>
        </w:tc>
        <w:tc>
          <w:tcPr>
            <w:tcW w:w="2324"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投标人名称</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与营业执照、资质证书、安全生产许可证一致</w:t>
            </w:r>
          </w:p>
        </w:tc>
      </w:tr>
      <w:tr>
        <w:tblPrEx>
          <w:tblCellMar>
            <w:top w:w="0" w:type="dxa"/>
            <w:left w:w="108" w:type="dxa"/>
            <w:bottom w:w="0" w:type="dxa"/>
            <w:right w:w="108" w:type="dxa"/>
          </w:tblCellMar>
        </w:tblPrEx>
        <w:trPr>
          <w:trHeight w:val="699" w:hRule="exact"/>
        </w:trPr>
        <w:tc>
          <w:tcPr>
            <w:tcW w:w="741"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1149"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2324"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投标函签字盖章</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有法定代表人或其委托代理人签字（或盖章）并盖单位章</w:t>
            </w:r>
          </w:p>
        </w:tc>
      </w:tr>
      <w:tr>
        <w:tblPrEx>
          <w:tblCellMar>
            <w:top w:w="0" w:type="dxa"/>
            <w:left w:w="108" w:type="dxa"/>
            <w:bottom w:w="0" w:type="dxa"/>
            <w:right w:w="108" w:type="dxa"/>
          </w:tblCellMar>
        </w:tblPrEx>
        <w:trPr>
          <w:trHeight w:val="397" w:hRule="exact"/>
        </w:trPr>
        <w:tc>
          <w:tcPr>
            <w:tcW w:w="741"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1149"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2324"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投标文件格式</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符合第八章“投标文件格式”的要求</w:t>
            </w:r>
          </w:p>
        </w:tc>
      </w:tr>
      <w:tr>
        <w:tblPrEx>
          <w:tblCellMar>
            <w:top w:w="0" w:type="dxa"/>
            <w:left w:w="108" w:type="dxa"/>
            <w:bottom w:w="0" w:type="dxa"/>
            <w:right w:w="108" w:type="dxa"/>
          </w:tblCellMar>
        </w:tblPrEx>
        <w:trPr>
          <w:trHeight w:val="397" w:hRule="exact"/>
        </w:trPr>
        <w:tc>
          <w:tcPr>
            <w:tcW w:w="741"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1149"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2324"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联合体投标人（如有）</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提交联合体协议书，并明确联合体牵头人</w:t>
            </w:r>
          </w:p>
        </w:tc>
      </w:tr>
      <w:tr>
        <w:tblPrEx>
          <w:tblCellMar>
            <w:top w:w="0" w:type="dxa"/>
            <w:left w:w="108" w:type="dxa"/>
            <w:bottom w:w="0" w:type="dxa"/>
            <w:right w:w="108" w:type="dxa"/>
          </w:tblCellMar>
        </w:tblPrEx>
        <w:trPr>
          <w:trHeight w:val="397" w:hRule="exact"/>
        </w:trPr>
        <w:tc>
          <w:tcPr>
            <w:tcW w:w="741"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1149"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2324"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报价唯一</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只能有一个有效报价</w:t>
            </w:r>
          </w:p>
        </w:tc>
      </w:tr>
      <w:tr>
        <w:tblPrEx>
          <w:tblCellMar>
            <w:top w:w="0" w:type="dxa"/>
            <w:left w:w="108" w:type="dxa"/>
            <w:bottom w:w="0" w:type="dxa"/>
            <w:right w:w="108" w:type="dxa"/>
          </w:tblCellMar>
        </w:tblPrEx>
        <w:trPr>
          <w:trHeight w:val="397" w:hRule="exact"/>
        </w:trPr>
        <w:tc>
          <w:tcPr>
            <w:tcW w:w="741"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1149"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2324"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r>
              <w:rPr>
                <w:rFonts w:hint="eastAsia" w:ascii="宋体" w:hAnsi="宋体"/>
                <w:color w:val="auto"/>
                <w:szCs w:val="21"/>
                <w:highlight w:val="none"/>
              </w:rPr>
              <w:t>……</w:t>
            </w:r>
          </w:p>
        </w:tc>
      </w:tr>
      <w:tr>
        <w:tblPrEx>
          <w:tblCellMar>
            <w:top w:w="0" w:type="dxa"/>
            <w:left w:w="108" w:type="dxa"/>
            <w:bottom w:w="0" w:type="dxa"/>
            <w:right w:w="108" w:type="dxa"/>
          </w:tblCellMar>
        </w:tblPrEx>
        <w:trPr>
          <w:trHeight w:val="397" w:hRule="exact"/>
        </w:trPr>
        <w:tc>
          <w:tcPr>
            <w:tcW w:w="741" w:type="dxa"/>
            <w:vMerge w:val="restart"/>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r>
              <w:rPr>
                <w:rFonts w:hint="eastAsia" w:ascii="宋体" w:hAnsi="宋体"/>
                <w:color w:val="auto"/>
                <w:szCs w:val="21"/>
                <w:highlight w:val="none"/>
              </w:rPr>
              <w:t>2.1.2</w:t>
            </w:r>
          </w:p>
        </w:tc>
        <w:tc>
          <w:tcPr>
            <w:tcW w:w="1149" w:type="dxa"/>
            <w:vMerge w:val="restart"/>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r>
              <w:rPr>
                <w:rFonts w:hint="eastAsia" w:ascii="宋体" w:hAnsi="宋体"/>
                <w:color w:val="auto"/>
                <w:szCs w:val="21"/>
                <w:highlight w:val="none"/>
              </w:rPr>
              <w:t>资格评审标  准</w:t>
            </w:r>
          </w:p>
        </w:tc>
        <w:tc>
          <w:tcPr>
            <w:tcW w:w="2324"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营业执照</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具备有效的营业执照</w:t>
            </w:r>
          </w:p>
        </w:tc>
      </w:tr>
      <w:tr>
        <w:tblPrEx>
          <w:tblCellMar>
            <w:top w:w="0" w:type="dxa"/>
            <w:left w:w="108" w:type="dxa"/>
            <w:bottom w:w="0" w:type="dxa"/>
            <w:right w:w="108" w:type="dxa"/>
          </w:tblCellMar>
        </w:tblPrEx>
        <w:trPr>
          <w:trHeight w:val="397" w:hRule="exact"/>
        </w:trPr>
        <w:tc>
          <w:tcPr>
            <w:tcW w:w="741"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1149"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2324"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安全生产许可证</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具备有效的安全生产许可证</w:t>
            </w:r>
          </w:p>
        </w:tc>
      </w:tr>
      <w:tr>
        <w:tblPrEx>
          <w:tblCellMar>
            <w:top w:w="0" w:type="dxa"/>
            <w:left w:w="108" w:type="dxa"/>
            <w:bottom w:w="0" w:type="dxa"/>
            <w:right w:w="108" w:type="dxa"/>
          </w:tblCellMar>
        </w:tblPrEx>
        <w:trPr>
          <w:trHeight w:val="397" w:hRule="exact"/>
        </w:trPr>
        <w:tc>
          <w:tcPr>
            <w:tcW w:w="741"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1149"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2324"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资质等级</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符合第二章“投标人须知”第1.4.1项规定</w:t>
            </w:r>
          </w:p>
        </w:tc>
      </w:tr>
      <w:tr>
        <w:tblPrEx>
          <w:tblCellMar>
            <w:top w:w="0" w:type="dxa"/>
            <w:left w:w="108" w:type="dxa"/>
            <w:bottom w:w="0" w:type="dxa"/>
            <w:right w:w="108" w:type="dxa"/>
          </w:tblCellMar>
        </w:tblPrEx>
        <w:trPr>
          <w:trHeight w:val="397" w:hRule="exact"/>
        </w:trPr>
        <w:tc>
          <w:tcPr>
            <w:tcW w:w="741"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1149"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2324"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财务状况</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符合第二章“投标人须知”第1.4.1项规定</w:t>
            </w:r>
          </w:p>
        </w:tc>
      </w:tr>
      <w:tr>
        <w:tblPrEx>
          <w:tblCellMar>
            <w:top w:w="0" w:type="dxa"/>
            <w:left w:w="108" w:type="dxa"/>
            <w:bottom w:w="0" w:type="dxa"/>
            <w:right w:w="108" w:type="dxa"/>
          </w:tblCellMar>
        </w:tblPrEx>
        <w:trPr>
          <w:trHeight w:val="397" w:hRule="exact"/>
        </w:trPr>
        <w:tc>
          <w:tcPr>
            <w:tcW w:w="741"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1149"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2324"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类似项目业绩</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符合第二章“投标人须知”第1.4.1项规定</w:t>
            </w:r>
          </w:p>
        </w:tc>
      </w:tr>
      <w:tr>
        <w:tblPrEx>
          <w:tblCellMar>
            <w:top w:w="0" w:type="dxa"/>
            <w:left w:w="108" w:type="dxa"/>
            <w:bottom w:w="0" w:type="dxa"/>
            <w:right w:w="108" w:type="dxa"/>
          </w:tblCellMar>
        </w:tblPrEx>
        <w:trPr>
          <w:trHeight w:val="397" w:hRule="exact"/>
        </w:trPr>
        <w:tc>
          <w:tcPr>
            <w:tcW w:w="741"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1149"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2324"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信誉</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符合第二章“投标人须知”第1.4.1项规定</w:t>
            </w:r>
          </w:p>
        </w:tc>
      </w:tr>
      <w:tr>
        <w:tblPrEx>
          <w:tblCellMar>
            <w:top w:w="0" w:type="dxa"/>
            <w:left w:w="108" w:type="dxa"/>
            <w:bottom w:w="0" w:type="dxa"/>
            <w:right w:w="108" w:type="dxa"/>
          </w:tblCellMar>
        </w:tblPrEx>
        <w:trPr>
          <w:trHeight w:val="397" w:hRule="exact"/>
        </w:trPr>
        <w:tc>
          <w:tcPr>
            <w:tcW w:w="741"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1149"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2324"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项目负责人</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符合第二章“投标人须知”第1.4.1项规定</w:t>
            </w:r>
          </w:p>
        </w:tc>
      </w:tr>
      <w:tr>
        <w:tblPrEx>
          <w:tblCellMar>
            <w:top w:w="0" w:type="dxa"/>
            <w:left w:w="108" w:type="dxa"/>
            <w:bottom w:w="0" w:type="dxa"/>
            <w:right w:w="108" w:type="dxa"/>
          </w:tblCellMar>
        </w:tblPrEx>
        <w:trPr>
          <w:trHeight w:val="397" w:hRule="exact"/>
        </w:trPr>
        <w:tc>
          <w:tcPr>
            <w:tcW w:w="741"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1149"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2324"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其他要求</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符合第二章“投标人须知”第1.4.1项规定</w:t>
            </w:r>
          </w:p>
        </w:tc>
      </w:tr>
      <w:tr>
        <w:tblPrEx>
          <w:tblCellMar>
            <w:top w:w="0" w:type="dxa"/>
            <w:left w:w="108" w:type="dxa"/>
            <w:bottom w:w="0" w:type="dxa"/>
            <w:right w:w="108" w:type="dxa"/>
          </w:tblCellMar>
        </w:tblPrEx>
        <w:trPr>
          <w:trHeight w:val="397" w:hRule="exact"/>
        </w:trPr>
        <w:tc>
          <w:tcPr>
            <w:tcW w:w="741"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1149"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2324"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联合体投投人（如有）</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符合第二章“投标人须知”第1.4.2项规定</w:t>
            </w:r>
          </w:p>
        </w:tc>
      </w:tr>
      <w:tr>
        <w:tblPrEx>
          <w:tblCellMar>
            <w:top w:w="0" w:type="dxa"/>
            <w:left w:w="108" w:type="dxa"/>
            <w:bottom w:w="0" w:type="dxa"/>
            <w:right w:w="108" w:type="dxa"/>
          </w:tblCellMar>
        </w:tblPrEx>
        <w:trPr>
          <w:trHeight w:val="397" w:hRule="exact"/>
        </w:trPr>
        <w:tc>
          <w:tcPr>
            <w:tcW w:w="741"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1149" w:type="dxa"/>
            <w:vMerge w:val="continue"/>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2324"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r>
              <w:rPr>
                <w:rFonts w:hint="eastAsia" w:ascii="宋体" w:hAnsi="宋体"/>
                <w:color w:val="auto"/>
                <w:szCs w:val="21"/>
                <w:highlight w:val="none"/>
              </w:rPr>
              <w:t>……</w:t>
            </w:r>
          </w:p>
        </w:tc>
      </w:tr>
      <w:tr>
        <w:tblPrEx>
          <w:tblCellMar>
            <w:top w:w="0" w:type="dxa"/>
            <w:left w:w="108" w:type="dxa"/>
            <w:bottom w:w="0" w:type="dxa"/>
            <w:right w:w="108" w:type="dxa"/>
          </w:tblCellMar>
        </w:tblPrEx>
        <w:trPr>
          <w:trHeight w:val="397" w:hRule="exact"/>
        </w:trPr>
        <w:tc>
          <w:tcPr>
            <w:tcW w:w="741" w:type="dxa"/>
            <w:vMerge w:val="restart"/>
            <w:tcBorders>
              <w:top w:val="single" w:color="auto" w:sz="6" w:space="0"/>
              <w:left w:val="single" w:color="auto" w:sz="6" w:space="0"/>
              <w:right w:val="single" w:color="auto" w:sz="6" w:space="0"/>
            </w:tcBorders>
            <w:vAlign w:val="center"/>
          </w:tcPr>
          <w:p>
            <w:pPr>
              <w:shd w:val="clear" w:color="auto" w:fill="FFFFFF"/>
              <w:jc w:val="center"/>
              <w:rPr>
                <w:rFonts w:ascii="宋体" w:hAnsi="宋体"/>
                <w:color w:val="auto"/>
                <w:szCs w:val="21"/>
                <w:highlight w:val="none"/>
              </w:rPr>
            </w:pPr>
            <w:r>
              <w:rPr>
                <w:rFonts w:hint="eastAsia" w:ascii="宋体" w:hAnsi="宋体"/>
                <w:color w:val="auto"/>
                <w:szCs w:val="21"/>
                <w:highlight w:val="none"/>
              </w:rPr>
              <w:t>2.1.3</w:t>
            </w:r>
          </w:p>
        </w:tc>
        <w:tc>
          <w:tcPr>
            <w:tcW w:w="1149" w:type="dxa"/>
            <w:vMerge w:val="restart"/>
            <w:tcBorders>
              <w:top w:val="single" w:color="auto" w:sz="6" w:space="0"/>
              <w:left w:val="single" w:color="auto" w:sz="6" w:space="0"/>
              <w:right w:val="single" w:color="auto" w:sz="6" w:space="0"/>
            </w:tcBorders>
            <w:vAlign w:val="center"/>
          </w:tcPr>
          <w:p>
            <w:pPr>
              <w:shd w:val="clear" w:color="auto" w:fill="FFFFFF"/>
              <w:jc w:val="center"/>
              <w:rPr>
                <w:rFonts w:ascii="宋体" w:hAnsi="宋体"/>
                <w:color w:val="auto"/>
                <w:szCs w:val="21"/>
                <w:highlight w:val="none"/>
              </w:rPr>
            </w:pPr>
            <w:r>
              <w:rPr>
                <w:rFonts w:hint="eastAsia" w:ascii="宋体" w:hAnsi="宋体"/>
                <w:color w:val="auto"/>
                <w:szCs w:val="21"/>
                <w:highlight w:val="none"/>
              </w:rPr>
              <w:t>响 应 性</w:t>
            </w:r>
          </w:p>
          <w:p>
            <w:pPr>
              <w:shd w:val="clear" w:color="auto" w:fill="FFFFFF"/>
              <w:jc w:val="center"/>
              <w:rPr>
                <w:rFonts w:ascii="宋体" w:hAnsi="宋体"/>
                <w:color w:val="auto"/>
                <w:szCs w:val="21"/>
                <w:highlight w:val="none"/>
              </w:rPr>
            </w:pPr>
            <w:r>
              <w:rPr>
                <w:rFonts w:hint="eastAsia" w:ascii="宋体" w:hAnsi="宋体"/>
                <w:color w:val="auto"/>
                <w:szCs w:val="21"/>
                <w:highlight w:val="none"/>
              </w:rPr>
              <w:t>评审标准</w:t>
            </w:r>
          </w:p>
        </w:tc>
        <w:tc>
          <w:tcPr>
            <w:tcW w:w="2324"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投标内容</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符合第二章“投标人须知”第1.3.1项规定</w:t>
            </w:r>
          </w:p>
        </w:tc>
      </w:tr>
      <w:tr>
        <w:tblPrEx>
          <w:tblCellMar>
            <w:top w:w="0" w:type="dxa"/>
            <w:left w:w="108" w:type="dxa"/>
            <w:bottom w:w="0" w:type="dxa"/>
            <w:right w:w="108" w:type="dxa"/>
          </w:tblCellMar>
        </w:tblPrEx>
        <w:trPr>
          <w:trHeight w:val="397" w:hRule="exact"/>
        </w:trPr>
        <w:tc>
          <w:tcPr>
            <w:tcW w:w="741" w:type="dxa"/>
            <w:vMerge w:val="continue"/>
            <w:tcBorders>
              <w:left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1149" w:type="dxa"/>
            <w:vMerge w:val="continue"/>
            <w:tcBorders>
              <w:left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2324"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工期</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符合第二章“投标人须知”第1.3.2项规定</w:t>
            </w:r>
          </w:p>
        </w:tc>
      </w:tr>
      <w:tr>
        <w:tblPrEx>
          <w:tblCellMar>
            <w:top w:w="0" w:type="dxa"/>
            <w:left w:w="108" w:type="dxa"/>
            <w:bottom w:w="0" w:type="dxa"/>
            <w:right w:w="108" w:type="dxa"/>
          </w:tblCellMar>
        </w:tblPrEx>
        <w:trPr>
          <w:trHeight w:val="397" w:hRule="exact"/>
        </w:trPr>
        <w:tc>
          <w:tcPr>
            <w:tcW w:w="741" w:type="dxa"/>
            <w:vMerge w:val="continue"/>
            <w:tcBorders>
              <w:left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1149" w:type="dxa"/>
            <w:vMerge w:val="continue"/>
            <w:tcBorders>
              <w:left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2324"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工程质量</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符合第二章“投标人须知”第1.3.3项规定</w:t>
            </w:r>
          </w:p>
        </w:tc>
      </w:tr>
      <w:tr>
        <w:tblPrEx>
          <w:tblCellMar>
            <w:top w:w="0" w:type="dxa"/>
            <w:left w:w="108" w:type="dxa"/>
            <w:bottom w:w="0" w:type="dxa"/>
            <w:right w:w="108" w:type="dxa"/>
          </w:tblCellMar>
        </w:tblPrEx>
        <w:trPr>
          <w:trHeight w:val="397" w:hRule="exact"/>
        </w:trPr>
        <w:tc>
          <w:tcPr>
            <w:tcW w:w="741" w:type="dxa"/>
            <w:vMerge w:val="continue"/>
            <w:tcBorders>
              <w:left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1149" w:type="dxa"/>
            <w:vMerge w:val="continue"/>
            <w:tcBorders>
              <w:left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2324"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投标有效期</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符合第二章“投标人须知”第3.3.1项规定</w:t>
            </w:r>
          </w:p>
        </w:tc>
      </w:tr>
      <w:tr>
        <w:tblPrEx>
          <w:tblCellMar>
            <w:top w:w="0" w:type="dxa"/>
            <w:left w:w="108" w:type="dxa"/>
            <w:bottom w:w="0" w:type="dxa"/>
            <w:right w:w="108" w:type="dxa"/>
          </w:tblCellMar>
        </w:tblPrEx>
        <w:trPr>
          <w:trHeight w:val="397" w:hRule="exact"/>
        </w:trPr>
        <w:tc>
          <w:tcPr>
            <w:tcW w:w="741" w:type="dxa"/>
            <w:vMerge w:val="continue"/>
            <w:tcBorders>
              <w:left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1149" w:type="dxa"/>
            <w:vMerge w:val="continue"/>
            <w:tcBorders>
              <w:left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2324"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投标保证金</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符合第二章“投标人须知”第3.4.1项规定</w:t>
            </w:r>
          </w:p>
        </w:tc>
      </w:tr>
      <w:tr>
        <w:tblPrEx>
          <w:tblCellMar>
            <w:top w:w="0" w:type="dxa"/>
            <w:left w:w="108" w:type="dxa"/>
            <w:bottom w:w="0" w:type="dxa"/>
            <w:right w:w="108" w:type="dxa"/>
          </w:tblCellMar>
        </w:tblPrEx>
        <w:trPr>
          <w:trHeight w:val="863" w:hRule="exact"/>
        </w:trPr>
        <w:tc>
          <w:tcPr>
            <w:tcW w:w="741" w:type="dxa"/>
            <w:vMerge w:val="continue"/>
            <w:tcBorders>
              <w:left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1149" w:type="dxa"/>
            <w:vMerge w:val="continue"/>
            <w:tcBorders>
              <w:left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2324"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权利义务</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投标函附录中的相关承诺符合或优于第四章“合同条款及格式”的相关规定</w:t>
            </w:r>
          </w:p>
        </w:tc>
      </w:tr>
      <w:tr>
        <w:tblPrEx>
          <w:tblCellMar>
            <w:top w:w="0" w:type="dxa"/>
            <w:left w:w="108" w:type="dxa"/>
            <w:bottom w:w="0" w:type="dxa"/>
            <w:right w:w="108" w:type="dxa"/>
          </w:tblCellMar>
        </w:tblPrEx>
        <w:trPr>
          <w:trHeight w:val="628" w:hRule="exact"/>
        </w:trPr>
        <w:tc>
          <w:tcPr>
            <w:tcW w:w="741" w:type="dxa"/>
            <w:vMerge w:val="continue"/>
            <w:tcBorders>
              <w:left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1149" w:type="dxa"/>
            <w:vMerge w:val="continue"/>
            <w:tcBorders>
              <w:left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2324"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已标价工程量清单</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符合第五章“工程量清单”给出的子目编码、子目名称、子目特征、计量单位和工程量。</w:t>
            </w:r>
          </w:p>
        </w:tc>
      </w:tr>
      <w:tr>
        <w:tblPrEx>
          <w:tblCellMar>
            <w:top w:w="0" w:type="dxa"/>
            <w:left w:w="108" w:type="dxa"/>
            <w:bottom w:w="0" w:type="dxa"/>
            <w:right w:w="108" w:type="dxa"/>
          </w:tblCellMar>
        </w:tblPrEx>
        <w:trPr>
          <w:trHeight w:val="397" w:hRule="exact"/>
        </w:trPr>
        <w:tc>
          <w:tcPr>
            <w:tcW w:w="741" w:type="dxa"/>
            <w:vMerge w:val="continue"/>
            <w:tcBorders>
              <w:left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1149" w:type="dxa"/>
            <w:vMerge w:val="continue"/>
            <w:tcBorders>
              <w:left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2324"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技术标准和要求</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符合第七章“技术标准和要求”规定</w:t>
            </w:r>
          </w:p>
        </w:tc>
      </w:tr>
      <w:tr>
        <w:tblPrEx>
          <w:tblCellMar>
            <w:top w:w="0" w:type="dxa"/>
            <w:left w:w="108" w:type="dxa"/>
            <w:bottom w:w="0" w:type="dxa"/>
            <w:right w:w="108" w:type="dxa"/>
          </w:tblCellMar>
        </w:tblPrEx>
        <w:trPr>
          <w:trHeight w:val="397" w:hRule="exact"/>
        </w:trPr>
        <w:tc>
          <w:tcPr>
            <w:tcW w:w="741" w:type="dxa"/>
            <w:vMerge w:val="continue"/>
            <w:tcBorders>
              <w:left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1149" w:type="dxa"/>
            <w:vMerge w:val="continue"/>
            <w:tcBorders>
              <w:left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2324"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投标价格</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ind w:firstLine="315" w:firstLineChars="150"/>
              <w:rPr>
                <w:rFonts w:ascii="宋体" w:hAnsi="宋体"/>
                <w:color w:val="auto"/>
                <w:szCs w:val="21"/>
                <w:highlight w:val="none"/>
              </w:rPr>
            </w:pPr>
          </w:p>
        </w:tc>
      </w:tr>
      <w:tr>
        <w:tblPrEx>
          <w:tblCellMar>
            <w:top w:w="0" w:type="dxa"/>
            <w:left w:w="108" w:type="dxa"/>
            <w:bottom w:w="0" w:type="dxa"/>
            <w:right w:w="108" w:type="dxa"/>
          </w:tblCellMar>
        </w:tblPrEx>
        <w:trPr>
          <w:trHeight w:val="439" w:hRule="exact"/>
        </w:trPr>
        <w:tc>
          <w:tcPr>
            <w:tcW w:w="741" w:type="dxa"/>
            <w:vMerge w:val="continue"/>
            <w:tcBorders>
              <w:left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1149" w:type="dxa"/>
            <w:vMerge w:val="continue"/>
            <w:tcBorders>
              <w:left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2324"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分包计划</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符合第二章“投标人须知”第1.11款规定</w:t>
            </w:r>
          </w:p>
        </w:tc>
      </w:tr>
      <w:tr>
        <w:tblPrEx>
          <w:tblCellMar>
            <w:top w:w="0" w:type="dxa"/>
            <w:left w:w="108" w:type="dxa"/>
            <w:bottom w:w="0" w:type="dxa"/>
            <w:right w:w="108" w:type="dxa"/>
          </w:tblCellMar>
        </w:tblPrEx>
        <w:trPr>
          <w:trHeight w:val="397" w:hRule="exact"/>
        </w:trPr>
        <w:tc>
          <w:tcPr>
            <w:tcW w:w="741" w:type="dxa"/>
            <w:vMerge w:val="continue"/>
            <w:tcBorders>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1149" w:type="dxa"/>
            <w:vMerge w:val="continue"/>
            <w:tcBorders>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2324"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p>
        </w:tc>
      </w:tr>
      <w:tr>
        <w:tblPrEx>
          <w:tblCellMar>
            <w:top w:w="0" w:type="dxa"/>
            <w:left w:w="108" w:type="dxa"/>
            <w:bottom w:w="0" w:type="dxa"/>
            <w:right w:w="108" w:type="dxa"/>
          </w:tblCellMar>
        </w:tblPrEx>
        <w:trPr>
          <w:trHeight w:val="362" w:hRule="atLeast"/>
        </w:trPr>
        <w:tc>
          <w:tcPr>
            <w:tcW w:w="1890"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b/>
                <w:color w:val="auto"/>
                <w:szCs w:val="21"/>
                <w:highlight w:val="none"/>
              </w:rPr>
            </w:pPr>
            <w:r>
              <w:rPr>
                <w:rFonts w:hint="eastAsia" w:ascii="宋体" w:hAnsi="宋体"/>
                <w:b/>
                <w:color w:val="auto"/>
                <w:szCs w:val="21"/>
                <w:highlight w:val="none"/>
              </w:rPr>
              <w:t>条款号</w:t>
            </w:r>
          </w:p>
        </w:tc>
        <w:tc>
          <w:tcPr>
            <w:tcW w:w="2324" w:type="dxa"/>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b/>
                <w:color w:val="auto"/>
                <w:szCs w:val="21"/>
                <w:highlight w:val="none"/>
              </w:rPr>
            </w:pPr>
            <w:r>
              <w:rPr>
                <w:rFonts w:hint="eastAsia" w:ascii="宋体" w:hAnsi="宋体"/>
                <w:b/>
                <w:color w:val="auto"/>
                <w:szCs w:val="21"/>
                <w:highlight w:val="none"/>
              </w:rPr>
              <w:t>条款内容</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b/>
                <w:color w:val="auto"/>
                <w:szCs w:val="21"/>
                <w:highlight w:val="none"/>
              </w:rPr>
            </w:pPr>
            <w:r>
              <w:rPr>
                <w:rFonts w:hint="eastAsia" w:ascii="宋体" w:hAnsi="宋体"/>
                <w:b/>
                <w:color w:val="auto"/>
                <w:szCs w:val="21"/>
                <w:highlight w:val="none"/>
              </w:rPr>
              <w:t>编列内容</w:t>
            </w:r>
          </w:p>
        </w:tc>
      </w:tr>
      <w:tr>
        <w:tblPrEx>
          <w:tblCellMar>
            <w:top w:w="0" w:type="dxa"/>
            <w:left w:w="108" w:type="dxa"/>
            <w:bottom w:w="0" w:type="dxa"/>
            <w:right w:w="108" w:type="dxa"/>
          </w:tblCellMar>
        </w:tblPrEx>
        <w:trPr>
          <w:trHeight w:val="703" w:hRule="atLeast"/>
        </w:trPr>
        <w:tc>
          <w:tcPr>
            <w:tcW w:w="1890"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spacing w:line="280" w:lineRule="exact"/>
              <w:jc w:val="center"/>
              <w:rPr>
                <w:rFonts w:ascii="宋体" w:hAnsi="宋体"/>
                <w:color w:val="auto"/>
                <w:szCs w:val="21"/>
                <w:highlight w:val="none"/>
              </w:rPr>
            </w:pPr>
            <w:r>
              <w:rPr>
                <w:rFonts w:hint="eastAsia" w:ascii="宋体" w:hAnsi="宋体"/>
                <w:color w:val="auto"/>
                <w:szCs w:val="21"/>
                <w:highlight w:val="none"/>
              </w:rPr>
              <w:t>2.2.1</w:t>
            </w:r>
          </w:p>
        </w:tc>
        <w:tc>
          <w:tcPr>
            <w:tcW w:w="2324"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280" w:lineRule="exact"/>
              <w:rPr>
                <w:rFonts w:ascii="宋体" w:hAnsi="宋体"/>
                <w:color w:val="auto"/>
                <w:szCs w:val="21"/>
                <w:highlight w:val="none"/>
              </w:rPr>
            </w:pPr>
            <w:r>
              <w:rPr>
                <w:rFonts w:hint="eastAsia" w:ascii="宋体" w:hAnsi="宋体"/>
                <w:color w:val="auto"/>
                <w:szCs w:val="21"/>
                <w:highlight w:val="none"/>
              </w:rPr>
              <w:t>分值构成</w:t>
            </w:r>
          </w:p>
          <w:p>
            <w:pPr>
              <w:shd w:val="clear" w:color="auto" w:fill="FFFFFF"/>
              <w:spacing w:line="280" w:lineRule="exact"/>
              <w:rPr>
                <w:rFonts w:ascii="宋体" w:hAnsi="宋体"/>
                <w:color w:val="auto"/>
                <w:szCs w:val="21"/>
                <w:highlight w:val="none"/>
              </w:rPr>
            </w:pPr>
            <w:r>
              <w:rPr>
                <w:rFonts w:hint="eastAsia" w:ascii="宋体" w:hAnsi="宋体"/>
                <w:color w:val="auto"/>
                <w:szCs w:val="21"/>
                <w:highlight w:val="none"/>
              </w:rPr>
              <w:t>（总分100分）</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b/>
                <w:bCs/>
                <w:color w:val="auto"/>
                <w:szCs w:val="21"/>
                <w:highlight w:val="none"/>
              </w:rPr>
            </w:pPr>
            <w:r>
              <w:rPr>
                <w:rFonts w:hint="eastAsia" w:ascii="宋体" w:hAnsi="宋体"/>
                <w:b/>
                <w:bCs/>
                <w:color w:val="auto"/>
                <w:szCs w:val="21"/>
                <w:highlight w:val="none"/>
              </w:rPr>
              <w:t>技术部分</w:t>
            </w:r>
            <w:r>
              <w:rPr>
                <w:rFonts w:hint="eastAsia" w:ascii="宋体" w:hAnsi="宋体"/>
                <w:b/>
                <w:bCs/>
                <w:color w:val="auto"/>
                <w:szCs w:val="21"/>
                <w:highlight w:val="none"/>
                <w:u w:val="single"/>
                <w:lang w:val="en-US" w:eastAsia="zh-CN"/>
              </w:rPr>
              <w:t>70</w:t>
            </w:r>
            <w:r>
              <w:rPr>
                <w:rFonts w:hint="eastAsia" w:ascii="宋体" w:hAnsi="宋体"/>
                <w:b/>
                <w:bCs/>
                <w:color w:val="auto"/>
                <w:szCs w:val="21"/>
                <w:highlight w:val="none"/>
              </w:rPr>
              <w:t>分</w:t>
            </w:r>
          </w:p>
          <w:p>
            <w:pPr>
              <w:shd w:val="clear" w:color="auto" w:fill="FFFFFF"/>
              <w:rPr>
                <w:rFonts w:ascii="宋体" w:hAnsi="宋体"/>
                <w:color w:val="auto"/>
                <w:szCs w:val="21"/>
                <w:highlight w:val="none"/>
              </w:rPr>
            </w:pPr>
            <w:r>
              <w:rPr>
                <w:rFonts w:hint="eastAsia" w:ascii="宋体" w:hAnsi="宋体"/>
                <w:b/>
                <w:bCs/>
                <w:color w:val="auto"/>
                <w:szCs w:val="21"/>
                <w:highlight w:val="none"/>
              </w:rPr>
              <w:t>商务部分</w:t>
            </w:r>
            <w:r>
              <w:rPr>
                <w:rFonts w:hint="eastAsia" w:ascii="宋体" w:hAnsi="宋体"/>
                <w:b/>
                <w:bCs/>
                <w:color w:val="auto"/>
                <w:szCs w:val="21"/>
                <w:highlight w:val="none"/>
                <w:u w:val="single"/>
                <w:lang w:val="en-US" w:eastAsia="zh-CN"/>
              </w:rPr>
              <w:t>30</w:t>
            </w:r>
            <w:r>
              <w:rPr>
                <w:rFonts w:hint="eastAsia" w:ascii="宋体" w:hAnsi="宋体"/>
                <w:b/>
                <w:bCs/>
                <w:color w:val="auto"/>
                <w:szCs w:val="21"/>
                <w:highlight w:val="none"/>
              </w:rPr>
              <w:t>分</w:t>
            </w:r>
          </w:p>
        </w:tc>
      </w:tr>
      <w:tr>
        <w:tblPrEx>
          <w:tblCellMar>
            <w:top w:w="0" w:type="dxa"/>
            <w:left w:w="108" w:type="dxa"/>
            <w:bottom w:w="0" w:type="dxa"/>
            <w:right w:w="108" w:type="dxa"/>
          </w:tblCellMar>
        </w:tblPrEx>
        <w:trPr>
          <w:trHeight w:val="404" w:hRule="atLeast"/>
        </w:trPr>
        <w:tc>
          <w:tcPr>
            <w:tcW w:w="1890"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spacing w:line="280" w:lineRule="exact"/>
              <w:jc w:val="center"/>
              <w:rPr>
                <w:rFonts w:ascii="宋体" w:hAnsi="宋体"/>
                <w:color w:val="auto"/>
                <w:szCs w:val="21"/>
                <w:highlight w:val="none"/>
              </w:rPr>
            </w:pPr>
            <w:r>
              <w:rPr>
                <w:rFonts w:hint="eastAsia" w:ascii="宋体" w:hAnsi="宋体"/>
                <w:color w:val="auto"/>
                <w:szCs w:val="21"/>
                <w:highlight w:val="none"/>
              </w:rPr>
              <w:t>2.2.2</w:t>
            </w:r>
          </w:p>
        </w:tc>
        <w:tc>
          <w:tcPr>
            <w:tcW w:w="2324"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280" w:lineRule="exact"/>
              <w:rPr>
                <w:rFonts w:ascii="宋体" w:hAnsi="宋体"/>
                <w:color w:val="auto"/>
                <w:szCs w:val="21"/>
                <w:highlight w:val="none"/>
              </w:rPr>
            </w:pPr>
            <w:r>
              <w:rPr>
                <w:rFonts w:hint="eastAsia" w:ascii="宋体" w:hAnsi="宋体"/>
                <w:color w:val="auto"/>
                <w:szCs w:val="21"/>
                <w:highlight w:val="none"/>
              </w:rPr>
              <w:t>基准价计算方法</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w:t>
            </w:r>
          </w:p>
        </w:tc>
      </w:tr>
      <w:tr>
        <w:tblPrEx>
          <w:tblCellMar>
            <w:top w:w="0" w:type="dxa"/>
            <w:left w:w="108" w:type="dxa"/>
            <w:bottom w:w="0" w:type="dxa"/>
            <w:right w:w="108" w:type="dxa"/>
          </w:tblCellMar>
        </w:tblPrEx>
        <w:trPr>
          <w:trHeight w:val="806" w:hRule="atLeast"/>
        </w:trPr>
        <w:tc>
          <w:tcPr>
            <w:tcW w:w="1890"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spacing w:line="280" w:lineRule="exact"/>
              <w:jc w:val="center"/>
              <w:rPr>
                <w:rFonts w:ascii="宋体" w:hAnsi="宋体"/>
                <w:color w:val="auto"/>
                <w:szCs w:val="21"/>
                <w:highlight w:val="none"/>
              </w:rPr>
            </w:pPr>
            <w:r>
              <w:rPr>
                <w:rFonts w:hint="eastAsia" w:ascii="宋体" w:hAnsi="宋体"/>
                <w:color w:val="auto"/>
                <w:szCs w:val="21"/>
                <w:highlight w:val="none"/>
              </w:rPr>
              <w:t>2.2.3</w:t>
            </w:r>
          </w:p>
        </w:tc>
        <w:tc>
          <w:tcPr>
            <w:tcW w:w="2324"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280" w:lineRule="exact"/>
              <w:rPr>
                <w:rFonts w:ascii="宋体" w:hAnsi="宋体"/>
                <w:color w:val="auto"/>
                <w:szCs w:val="21"/>
                <w:highlight w:val="none"/>
              </w:rPr>
            </w:pPr>
            <w:r>
              <w:rPr>
                <w:rFonts w:hint="eastAsia" w:ascii="宋体" w:hAnsi="宋体"/>
                <w:color w:val="auto"/>
                <w:szCs w:val="21"/>
                <w:highlight w:val="none"/>
              </w:rPr>
              <w:t>投标报价的偏差率</w:t>
            </w:r>
          </w:p>
          <w:p>
            <w:pPr>
              <w:shd w:val="clear" w:color="auto" w:fill="FFFFFF"/>
              <w:spacing w:line="280" w:lineRule="exact"/>
              <w:rPr>
                <w:rFonts w:ascii="宋体" w:hAnsi="宋体"/>
                <w:color w:val="auto"/>
                <w:szCs w:val="21"/>
                <w:highlight w:val="none"/>
              </w:rPr>
            </w:pPr>
            <w:r>
              <w:rPr>
                <w:rFonts w:hint="eastAsia" w:ascii="宋体" w:hAnsi="宋体"/>
                <w:color w:val="auto"/>
                <w:szCs w:val="21"/>
                <w:highlight w:val="none"/>
              </w:rPr>
              <w:t>计算公式</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w:t>
            </w:r>
          </w:p>
        </w:tc>
      </w:tr>
      <w:tr>
        <w:tblPrEx>
          <w:tblCellMar>
            <w:top w:w="0" w:type="dxa"/>
            <w:left w:w="108" w:type="dxa"/>
            <w:bottom w:w="0" w:type="dxa"/>
            <w:right w:w="108" w:type="dxa"/>
          </w:tblCellMar>
        </w:tblPrEx>
        <w:trPr>
          <w:trHeight w:val="456" w:hRule="atLeast"/>
        </w:trPr>
        <w:tc>
          <w:tcPr>
            <w:tcW w:w="1890"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spacing w:line="280" w:lineRule="exact"/>
              <w:jc w:val="center"/>
              <w:rPr>
                <w:rFonts w:ascii="宋体" w:hAnsi="宋体"/>
                <w:b/>
                <w:color w:val="auto"/>
                <w:szCs w:val="21"/>
                <w:highlight w:val="none"/>
              </w:rPr>
            </w:pPr>
            <w:r>
              <w:rPr>
                <w:rFonts w:hint="eastAsia" w:ascii="宋体" w:hAnsi="宋体"/>
                <w:b/>
                <w:color w:val="auto"/>
                <w:szCs w:val="21"/>
                <w:highlight w:val="none"/>
              </w:rPr>
              <w:t>条款号</w:t>
            </w:r>
          </w:p>
        </w:tc>
        <w:tc>
          <w:tcPr>
            <w:tcW w:w="2324"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280" w:lineRule="exact"/>
              <w:jc w:val="center"/>
              <w:rPr>
                <w:rFonts w:ascii="宋体" w:hAnsi="宋体"/>
                <w:b/>
                <w:color w:val="auto"/>
                <w:szCs w:val="21"/>
                <w:highlight w:val="none"/>
              </w:rPr>
            </w:pPr>
            <w:r>
              <w:rPr>
                <w:rFonts w:hint="eastAsia" w:ascii="宋体" w:hAnsi="宋体"/>
                <w:b/>
                <w:color w:val="auto"/>
                <w:szCs w:val="21"/>
                <w:highlight w:val="none"/>
              </w:rPr>
              <w:t>评分因素</w:t>
            </w:r>
          </w:p>
        </w:tc>
        <w:tc>
          <w:tcPr>
            <w:tcW w:w="4311" w:type="dxa"/>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b/>
                <w:color w:val="auto"/>
                <w:szCs w:val="21"/>
                <w:highlight w:val="none"/>
              </w:rPr>
            </w:pPr>
            <w:r>
              <w:rPr>
                <w:rFonts w:hint="eastAsia" w:ascii="宋体" w:hAnsi="宋体"/>
                <w:b/>
                <w:color w:val="auto"/>
                <w:szCs w:val="21"/>
                <w:highlight w:val="none"/>
              </w:rPr>
              <w:t>评分标准</w:t>
            </w:r>
          </w:p>
        </w:tc>
      </w:tr>
      <w:tr>
        <w:tblPrEx>
          <w:tblCellMar>
            <w:top w:w="0" w:type="dxa"/>
            <w:left w:w="108" w:type="dxa"/>
            <w:bottom w:w="0" w:type="dxa"/>
            <w:right w:w="108" w:type="dxa"/>
          </w:tblCellMar>
        </w:tblPrEx>
        <w:trPr>
          <w:trHeight w:val="1244" w:hRule="atLeast"/>
        </w:trPr>
        <w:tc>
          <w:tcPr>
            <w:tcW w:w="741" w:type="dxa"/>
            <w:vMerge w:val="restart"/>
            <w:tcBorders>
              <w:top w:val="single" w:color="auto" w:sz="6" w:space="0"/>
              <w:left w:val="single" w:color="auto" w:sz="6" w:space="0"/>
              <w:right w:val="single" w:color="auto" w:sz="6" w:space="0"/>
            </w:tcBorders>
            <w:vAlign w:val="center"/>
          </w:tcPr>
          <w:p>
            <w:pPr>
              <w:shd w:val="clear" w:color="auto" w:fill="FFFFFF"/>
              <w:jc w:val="center"/>
              <w:rPr>
                <w:rFonts w:ascii="宋体" w:hAnsi="宋体"/>
                <w:color w:val="auto"/>
                <w:szCs w:val="21"/>
                <w:highlight w:val="none"/>
              </w:rPr>
            </w:pPr>
            <w:r>
              <w:rPr>
                <w:rFonts w:hint="eastAsia" w:ascii="宋体" w:hAnsi="宋体"/>
                <w:color w:val="auto"/>
                <w:szCs w:val="21"/>
                <w:highlight w:val="none"/>
              </w:rPr>
              <w:t>2.2.4</w:t>
            </w:r>
          </w:p>
        </w:tc>
        <w:tc>
          <w:tcPr>
            <w:tcW w:w="114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280" w:lineRule="exact"/>
              <w:jc w:val="center"/>
              <w:rPr>
                <w:rFonts w:ascii="宋体" w:hAnsi="宋体"/>
                <w:color w:val="auto"/>
                <w:szCs w:val="21"/>
                <w:highlight w:val="none"/>
              </w:rPr>
            </w:pPr>
            <w:r>
              <w:rPr>
                <w:rFonts w:hint="eastAsia" w:ascii="宋体" w:hAnsi="宋体"/>
                <w:color w:val="auto"/>
                <w:szCs w:val="21"/>
                <w:highlight w:val="none"/>
              </w:rPr>
              <w:t>技术标</w:t>
            </w:r>
          </w:p>
          <w:p>
            <w:pPr>
              <w:shd w:val="clear" w:color="auto" w:fill="FFFFFF"/>
              <w:spacing w:line="280" w:lineRule="exact"/>
              <w:jc w:val="center"/>
              <w:rPr>
                <w:rFonts w:ascii="宋体" w:hAnsi="宋体"/>
                <w:color w:val="auto"/>
                <w:szCs w:val="21"/>
                <w:highlight w:val="none"/>
              </w:rPr>
            </w:pPr>
            <w:r>
              <w:rPr>
                <w:rFonts w:hint="eastAsia" w:ascii="宋体" w:hAnsi="宋体"/>
                <w:color w:val="auto"/>
                <w:szCs w:val="21"/>
                <w:highlight w:val="none"/>
              </w:rPr>
              <w:t>评分细</w:t>
            </w:r>
          </w:p>
          <w:p>
            <w:pPr>
              <w:shd w:val="clear" w:color="auto" w:fill="FFFFFF"/>
              <w:spacing w:line="280" w:lineRule="exact"/>
              <w:jc w:val="center"/>
              <w:rPr>
                <w:rFonts w:ascii="宋体" w:hAnsi="宋体"/>
                <w:color w:val="auto"/>
                <w:szCs w:val="21"/>
                <w:highlight w:val="none"/>
              </w:rPr>
            </w:pPr>
            <w:r>
              <w:rPr>
                <w:rFonts w:hint="eastAsia" w:ascii="宋体" w:hAnsi="宋体"/>
                <w:color w:val="auto"/>
                <w:szCs w:val="21"/>
                <w:highlight w:val="none"/>
              </w:rPr>
              <w:t>化标准</w:t>
            </w:r>
          </w:p>
        </w:tc>
        <w:tc>
          <w:tcPr>
            <w:tcW w:w="2324"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280" w:lineRule="exact"/>
              <w:jc w:val="left"/>
              <w:rPr>
                <w:rFonts w:ascii="宋体" w:hAnsi="宋体"/>
                <w:color w:val="auto"/>
                <w:szCs w:val="21"/>
                <w:highlight w:val="none"/>
              </w:rPr>
            </w:pPr>
            <w:r>
              <w:rPr>
                <w:rFonts w:hint="eastAsia"/>
                <w:color w:val="auto"/>
                <w:highlight w:val="none"/>
              </w:rPr>
              <w:t>详见表1技术标评分细化标准</w:t>
            </w:r>
          </w:p>
        </w:tc>
        <w:tc>
          <w:tcPr>
            <w:tcW w:w="4311" w:type="dxa"/>
            <w:tcBorders>
              <w:top w:val="single" w:color="auto" w:sz="6" w:space="0"/>
              <w:left w:val="single" w:color="auto" w:sz="6" w:space="0"/>
              <w:right w:val="single" w:color="auto" w:sz="6" w:space="0"/>
            </w:tcBorders>
            <w:vAlign w:val="center"/>
          </w:tcPr>
          <w:p>
            <w:pPr>
              <w:shd w:val="clear" w:color="auto" w:fill="FFFFFF"/>
              <w:jc w:val="center"/>
              <w:rPr>
                <w:rFonts w:ascii="宋体" w:hAnsi="宋体"/>
                <w:color w:val="auto"/>
                <w:szCs w:val="21"/>
                <w:highlight w:val="none"/>
              </w:rPr>
            </w:pPr>
            <w:r>
              <w:rPr>
                <w:rFonts w:hint="eastAsia"/>
                <w:color w:val="auto"/>
                <w:highlight w:val="none"/>
              </w:rPr>
              <w:t>详见表1技术标评分细化标准</w:t>
            </w:r>
          </w:p>
        </w:tc>
      </w:tr>
      <w:tr>
        <w:tblPrEx>
          <w:tblCellMar>
            <w:top w:w="0" w:type="dxa"/>
            <w:left w:w="108" w:type="dxa"/>
            <w:bottom w:w="0" w:type="dxa"/>
            <w:right w:w="108" w:type="dxa"/>
          </w:tblCellMar>
        </w:tblPrEx>
        <w:trPr>
          <w:trHeight w:val="1560" w:hRule="atLeast"/>
        </w:trPr>
        <w:tc>
          <w:tcPr>
            <w:tcW w:w="741" w:type="dxa"/>
            <w:vMerge w:val="continue"/>
            <w:tcBorders>
              <w:left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1149" w:type="dxa"/>
            <w:tcBorders>
              <w:top w:val="single" w:color="auto" w:sz="6" w:space="0"/>
              <w:left w:val="single" w:color="auto" w:sz="6" w:space="0"/>
              <w:right w:val="single" w:color="auto" w:sz="6" w:space="0"/>
            </w:tcBorders>
            <w:vAlign w:val="center"/>
          </w:tcPr>
          <w:p>
            <w:pPr>
              <w:shd w:val="clear" w:color="auto" w:fill="FFFFFF"/>
              <w:spacing w:line="280" w:lineRule="exact"/>
              <w:jc w:val="center"/>
              <w:rPr>
                <w:rFonts w:ascii="宋体" w:hAnsi="宋体"/>
                <w:color w:val="auto"/>
                <w:szCs w:val="21"/>
                <w:highlight w:val="none"/>
              </w:rPr>
            </w:pPr>
            <w:r>
              <w:rPr>
                <w:rFonts w:hint="eastAsia" w:ascii="宋体" w:hAnsi="宋体"/>
                <w:color w:val="auto"/>
                <w:szCs w:val="21"/>
                <w:highlight w:val="none"/>
              </w:rPr>
              <w:t>投标报价</w:t>
            </w:r>
          </w:p>
          <w:p>
            <w:pPr>
              <w:shd w:val="clear" w:color="auto" w:fill="FFFFFF"/>
              <w:spacing w:line="280" w:lineRule="exact"/>
              <w:jc w:val="center"/>
              <w:rPr>
                <w:rFonts w:ascii="宋体" w:hAnsi="宋体"/>
                <w:color w:val="auto"/>
                <w:szCs w:val="21"/>
                <w:highlight w:val="none"/>
              </w:rPr>
            </w:pPr>
            <w:r>
              <w:rPr>
                <w:rFonts w:hint="eastAsia" w:ascii="宋体" w:hAnsi="宋体"/>
                <w:color w:val="auto"/>
                <w:szCs w:val="21"/>
                <w:highlight w:val="none"/>
              </w:rPr>
              <w:t>评分标准</w:t>
            </w:r>
          </w:p>
        </w:tc>
        <w:tc>
          <w:tcPr>
            <w:tcW w:w="2324" w:type="dxa"/>
            <w:tcBorders>
              <w:top w:val="single" w:color="auto" w:sz="6" w:space="0"/>
              <w:left w:val="single" w:color="auto" w:sz="6" w:space="0"/>
              <w:bottom w:val="nil"/>
              <w:right w:val="single" w:color="auto" w:sz="6" w:space="0"/>
            </w:tcBorders>
            <w:vAlign w:val="center"/>
          </w:tcPr>
          <w:p>
            <w:pPr>
              <w:shd w:val="clear" w:color="auto" w:fill="FFFFFF"/>
              <w:spacing w:line="280" w:lineRule="exact"/>
              <w:rPr>
                <w:rFonts w:ascii="宋体" w:hAnsi="宋体"/>
                <w:color w:val="auto"/>
                <w:szCs w:val="21"/>
                <w:highlight w:val="none"/>
              </w:rPr>
            </w:pPr>
            <w:r>
              <w:rPr>
                <w:rFonts w:hint="eastAsia" w:ascii="宋体" w:hAnsi="宋体"/>
                <w:color w:val="auto"/>
                <w:szCs w:val="21"/>
                <w:highlight w:val="none"/>
              </w:rPr>
              <w:t>在编写项目招标文</w:t>
            </w:r>
          </w:p>
          <w:p>
            <w:pPr>
              <w:shd w:val="clear" w:color="auto" w:fill="FFFFFF"/>
              <w:spacing w:line="280" w:lineRule="exact"/>
              <w:rPr>
                <w:rFonts w:ascii="宋体" w:hAnsi="宋体"/>
                <w:color w:val="auto"/>
                <w:szCs w:val="21"/>
                <w:highlight w:val="none"/>
              </w:rPr>
            </w:pPr>
            <w:r>
              <w:rPr>
                <w:rFonts w:hint="eastAsia" w:ascii="宋体" w:hAnsi="宋体"/>
                <w:color w:val="auto"/>
                <w:szCs w:val="21"/>
                <w:highlight w:val="none"/>
              </w:rPr>
              <w:t>件时明确</w:t>
            </w:r>
          </w:p>
        </w:tc>
        <w:tc>
          <w:tcPr>
            <w:tcW w:w="4311" w:type="dxa"/>
            <w:tcBorders>
              <w:top w:val="single" w:color="auto" w:sz="6" w:space="0"/>
              <w:left w:val="single" w:color="auto" w:sz="6" w:space="0"/>
              <w:bottom w:val="nil"/>
              <w:right w:val="single" w:color="auto" w:sz="6" w:space="0"/>
            </w:tcBorders>
            <w:vAlign w:val="center"/>
          </w:tcPr>
          <w:p>
            <w:pPr>
              <w:spacing w:line="320" w:lineRule="exact"/>
              <w:rPr>
                <w:rFonts w:ascii="宋体" w:hAnsi="宋体"/>
                <w:color w:val="auto"/>
                <w:szCs w:val="21"/>
                <w:highlight w:val="none"/>
              </w:rPr>
            </w:pPr>
            <w:r>
              <w:rPr>
                <w:rFonts w:hint="eastAsia" w:ascii="宋体" w:hAnsi="宋体"/>
                <w:color w:val="auto"/>
                <w:szCs w:val="21"/>
                <w:highlight w:val="none"/>
              </w:rPr>
              <w:t>一、商务部分基本分为</w:t>
            </w:r>
            <w:r>
              <w:rPr>
                <w:rFonts w:hint="eastAsia" w:ascii="宋体" w:hAnsi="宋体"/>
                <w:color w:val="auto"/>
                <w:szCs w:val="21"/>
                <w:highlight w:val="none"/>
                <w:lang w:val="en-US" w:eastAsia="zh-CN"/>
              </w:rPr>
              <w:t>30</w:t>
            </w:r>
            <w:r>
              <w:rPr>
                <w:rFonts w:hint="eastAsia" w:ascii="宋体" w:hAnsi="宋体"/>
                <w:color w:val="auto"/>
                <w:szCs w:val="21"/>
                <w:highlight w:val="none"/>
              </w:rPr>
              <w:t>分，评标办法如下：</w:t>
            </w:r>
          </w:p>
          <w:p>
            <w:pPr>
              <w:adjustRightInd w:val="0"/>
              <w:snapToGrid w:val="0"/>
              <w:spacing w:line="320" w:lineRule="exact"/>
              <w:rPr>
                <w:rFonts w:ascii="宋体" w:hAnsi="宋体"/>
                <w:color w:val="auto"/>
                <w:szCs w:val="21"/>
                <w:highlight w:val="none"/>
              </w:rPr>
            </w:pPr>
            <w:r>
              <w:rPr>
                <w:rFonts w:hint="eastAsia" w:ascii="宋体" w:hAnsi="宋体"/>
                <w:color w:val="auto"/>
                <w:szCs w:val="21"/>
                <w:highlight w:val="none"/>
              </w:rPr>
              <w:t>（1）本次招标项目招标人设置最高上限价，最高上限价为</w:t>
            </w:r>
            <w:r>
              <w:rPr>
                <w:rFonts w:hint="eastAsia" w:ascii="宋体" w:hAnsi="宋体"/>
                <w:color w:val="auto"/>
                <w:szCs w:val="21"/>
                <w:highlight w:val="none"/>
                <w:lang w:val="en-US" w:eastAsia="zh-CN"/>
              </w:rPr>
              <w:t>376.3883</w:t>
            </w:r>
            <w:r>
              <w:rPr>
                <w:rFonts w:hint="eastAsia" w:ascii="宋体" w:hAnsi="宋体"/>
                <w:color w:val="auto"/>
                <w:szCs w:val="21"/>
                <w:highlight w:val="none"/>
                <w:u w:val="single"/>
              </w:rPr>
              <w:t>万</w:t>
            </w:r>
            <w:r>
              <w:rPr>
                <w:rFonts w:hint="eastAsia" w:ascii="宋体" w:hAnsi="宋体"/>
                <w:color w:val="auto"/>
                <w:szCs w:val="21"/>
                <w:highlight w:val="none"/>
              </w:rPr>
              <w:t>元；超过上限价的作废标处理</w:t>
            </w:r>
            <w:r>
              <w:rPr>
                <w:rFonts w:hint="eastAsia" w:ascii="宋体" w:hAnsi="宋体"/>
                <w:color w:val="auto"/>
                <w:szCs w:val="21"/>
                <w:highlight w:val="none"/>
                <w:shd w:val="clear" w:color="auto" w:fill="FFFFFF"/>
              </w:rPr>
              <w:t>。</w:t>
            </w:r>
          </w:p>
          <w:p>
            <w:pPr>
              <w:spacing w:line="32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（2）评标基准价：即满足招标文件要求且投标价格最低的投标报价为评标基准价，其价格分为满分。</w:t>
            </w:r>
          </w:p>
          <w:p>
            <w:pPr>
              <w:spacing w:line="32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（3）其他投标人的价格分统一按照下列公式计算：</w:t>
            </w:r>
          </w:p>
          <w:p>
            <w:pPr>
              <w:spacing w:line="32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投标报价得分=(评标基准价／投标报价)×价格权值×100</w:t>
            </w:r>
          </w:p>
          <w:p>
            <w:pPr>
              <w:spacing w:line="32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即：投标报价得分=(评标基准价／投标报价)×30</w:t>
            </w:r>
          </w:p>
          <w:p>
            <w:pPr>
              <w:adjustRightInd w:val="0"/>
              <w:snapToGrid w:val="0"/>
              <w:spacing w:line="320" w:lineRule="exact"/>
              <w:rPr>
                <w:rFonts w:ascii="宋体" w:hAnsi="宋体"/>
                <w:color w:val="auto"/>
                <w:szCs w:val="21"/>
                <w:highlight w:val="none"/>
              </w:rPr>
            </w:pPr>
            <w:r>
              <w:rPr>
                <w:rFonts w:hint="eastAsia" w:ascii="宋体" w:hAnsi="宋体"/>
                <w:color w:val="auto"/>
                <w:szCs w:val="21"/>
                <w:highlight w:val="none"/>
              </w:rPr>
              <w:t>以上报价得分不足一个百分点时，使用直线插入法计算，保留小数2位，第3位四舍五入</w:t>
            </w:r>
          </w:p>
        </w:tc>
      </w:tr>
      <w:tr>
        <w:tblPrEx>
          <w:tblCellMar>
            <w:top w:w="0" w:type="dxa"/>
            <w:left w:w="108" w:type="dxa"/>
            <w:bottom w:w="0" w:type="dxa"/>
            <w:right w:w="108" w:type="dxa"/>
          </w:tblCellMar>
        </w:tblPrEx>
        <w:trPr>
          <w:trHeight w:val="1560" w:hRule="atLeast"/>
        </w:trPr>
        <w:tc>
          <w:tcPr>
            <w:tcW w:w="741" w:type="dxa"/>
            <w:tcBorders>
              <w:left w:val="single" w:color="auto" w:sz="6" w:space="0"/>
              <w:right w:val="single" w:color="auto" w:sz="6" w:space="0"/>
            </w:tcBorders>
            <w:vAlign w:val="center"/>
          </w:tcPr>
          <w:p>
            <w:pPr>
              <w:shd w:val="clear" w:color="auto" w:fill="FFFFFF"/>
              <w:jc w:val="center"/>
              <w:rPr>
                <w:rFonts w:ascii="宋体" w:hAnsi="宋体"/>
                <w:color w:val="auto"/>
                <w:szCs w:val="21"/>
                <w:highlight w:val="none"/>
              </w:rPr>
            </w:pPr>
          </w:p>
        </w:tc>
        <w:tc>
          <w:tcPr>
            <w:tcW w:w="7784" w:type="dxa"/>
            <w:gridSpan w:val="3"/>
            <w:tcBorders>
              <w:top w:val="single" w:color="auto" w:sz="6" w:space="0"/>
              <w:left w:val="single" w:color="auto" w:sz="6" w:space="0"/>
              <w:right w:val="single" w:color="auto" w:sz="6" w:space="0"/>
            </w:tcBorders>
            <w:vAlign w:val="center"/>
          </w:tcPr>
          <w:p>
            <w:pPr>
              <w:shd w:val="clear" w:color="auto" w:fill="FFFFFF"/>
              <w:spacing w:line="280" w:lineRule="exact"/>
              <w:jc w:val="left"/>
              <w:rPr>
                <w:rFonts w:ascii="宋体" w:hAnsi="宋体"/>
                <w:color w:val="auto"/>
                <w:szCs w:val="21"/>
                <w:highlight w:val="none"/>
              </w:rPr>
            </w:pPr>
            <w:r>
              <w:rPr>
                <w:rFonts w:hint="eastAsia" w:ascii="宋体" w:hAnsi="宋体"/>
                <w:color w:val="auto"/>
                <w:szCs w:val="21"/>
                <w:highlight w:val="none"/>
              </w:rPr>
              <w:t>投标人总得分=技术标得分+商务标得分。</w:t>
            </w:r>
          </w:p>
          <w:p>
            <w:pPr>
              <w:spacing w:line="320" w:lineRule="exact"/>
              <w:rPr>
                <w:rFonts w:ascii="宋体" w:hAnsi="宋体"/>
                <w:color w:val="auto"/>
                <w:szCs w:val="21"/>
                <w:highlight w:val="none"/>
              </w:rPr>
            </w:pPr>
            <w:r>
              <w:rPr>
                <w:rFonts w:hint="eastAsia" w:ascii="宋体" w:hAnsi="宋体"/>
                <w:color w:val="auto"/>
                <w:szCs w:val="21"/>
                <w:highlight w:val="none"/>
              </w:rPr>
              <w:t>商务标评估在技术标评估完成后进行。技术标和商务标评估后的分数相加计算出每一投标人的总得分，计算结果精确到小数点后两位。</w:t>
            </w:r>
          </w:p>
        </w:tc>
      </w:tr>
      <w:tr>
        <w:tblPrEx>
          <w:tblCellMar>
            <w:top w:w="0" w:type="dxa"/>
            <w:left w:w="108" w:type="dxa"/>
            <w:bottom w:w="0" w:type="dxa"/>
            <w:right w:w="108" w:type="dxa"/>
          </w:tblCellMar>
        </w:tblPrEx>
        <w:trPr>
          <w:trHeight w:val="507" w:hRule="atLeast"/>
        </w:trPr>
        <w:tc>
          <w:tcPr>
            <w:tcW w:w="1890"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spacing w:line="280" w:lineRule="exact"/>
              <w:jc w:val="center"/>
              <w:rPr>
                <w:rFonts w:ascii="宋体" w:hAnsi="宋体"/>
                <w:b/>
                <w:color w:val="auto"/>
                <w:szCs w:val="21"/>
                <w:highlight w:val="none"/>
              </w:rPr>
            </w:pPr>
            <w:r>
              <w:rPr>
                <w:rFonts w:hint="eastAsia" w:ascii="宋体" w:hAnsi="宋体"/>
                <w:b/>
                <w:color w:val="auto"/>
                <w:szCs w:val="21"/>
                <w:highlight w:val="none"/>
              </w:rPr>
              <w:t>条款号</w:t>
            </w:r>
          </w:p>
        </w:tc>
        <w:tc>
          <w:tcPr>
            <w:tcW w:w="6635"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spacing w:line="280" w:lineRule="exact"/>
              <w:jc w:val="center"/>
              <w:rPr>
                <w:rFonts w:ascii="宋体" w:hAnsi="宋体"/>
                <w:b/>
                <w:color w:val="auto"/>
                <w:szCs w:val="21"/>
                <w:highlight w:val="none"/>
              </w:rPr>
            </w:pPr>
            <w:r>
              <w:rPr>
                <w:rFonts w:hint="eastAsia" w:ascii="宋体" w:hAnsi="宋体"/>
                <w:b/>
                <w:color w:val="auto"/>
                <w:szCs w:val="21"/>
                <w:highlight w:val="none"/>
              </w:rPr>
              <w:t>编列内容</w:t>
            </w:r>
          </w:p>
        </w:tc>
      </w:tr>
      <w:tr>
        <w:tblPrEx>
          <w:tblCellMar>
            <w:top w:w="0" w:type="dxa"/>
            <w:left w:w="108" w:type="dxa"/>
            <w:bottom w:w="0" w:type="dxa"/>
            <w:right w:w="108" w:type="dxa"/>
          </w:tblCellMar>
        </w:tblPrEx>
        <w:trPr>
          <w:trHeight w:val="812" w:hRule="atLeast"/>
        </w:trPr>
        <w:tc>
          <w:tcPr>
            <w:tcW w:w="741" w:type="dxa"/>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r>
              <w:rPr>
                <w:rFonts w:hint="eastAsia" w:ascii="宋体" w:hAnsi="宋体"/>
                <w:color w:val="auto"/>
                <w:szCs w:val="21"/>
                <w:highlight w:val="none"/>
              </w:rPr>
              <w:t>3</w:t>
            </w:r>
          </w:p>
        </w:tc>
        <w:tc>
          <w:tcPr>
            <w:tcW w:w="114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280" w:lineRule="exact"/>
              <w:jc w:val="center"/>
              <w:rPr>
                <w:rFonts w:ascii="宋体" w:hAnsi="宋体"/>
                <w:color w:val="auto"/>
                <w:szCs w:val="21"/>
                <w:highlight w:val="none"/>
              </w:rPr>
            </w:pPr>
            <w:r>
              <w:rPr>
                <w:rFonts w:hint="eastAsia" w:ascii="宋体" w:hAnsi="宋体"/>
                <w:color w:val="auto"/>
                <w:szCs w:val="21"/>
                <w:highlight w:val="none"/>
              </w:rPr>
              <w:t>评   标</w:t>
            </w:r>
          </w:p>
          <w:p>
            <w:pPr>
              <w:shd w:val="clear" w:color="auto" w:fill="FFFFFF"/>
              <w:spacing w:line="280" w:lineRule="exact"/>
              <w:jc w:val="center"/>
              <w:rPr>
                <w:rFonts w:ascii="宋体" w:hAnsi="宋体"/>
                <w:color w:val="auto"/>
                <w:szCs w:val="21"/>
                <w:highlight w:val="none"/>
              </w:rPr>
            </w:pPr>
            <w:r>
              <w:rPr>
                <w:rFonts w:hint="eastAsia" w:ascii="宋体" w:hAnsi="宋体"/>
                <w:color w:val="auto"/>
                <w:szCs w:val="21"/>
                <w:highlight w:val="none"/>
              </w:rPr>
              <w:t>程   序</w:t>
            </w:r>
          </w:p>
        </w:tc>
        <w:tc>
          <w:tcPr>
            <w:tcW w:w="6635"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spacing w:line="280" w:lineRule="exact"/>
              <w:rPr>
                <w:rFonts w:ascii="宋体" w:hAnsi="宋体"/>
                <w:color w:val="auto"/>
                <w:szCs w:val="21"/>
                <w:highlight w:val="none"/>
              </w:rPr>
            </w:pPr>
            <w:r>
              <w:rPr>
                <w:rFonts w:hint="eastAsia" w:ascii="宋体" w:hAnsi="宋体"/>
                <w:color w:val="auto"/>
                <w:szCs w:val="21"/>
                <w:highlight w:val="none"/>
              </w:rPr>
              <w:t>见本章附件A</w:t>
            </w:r>
          </w:p>
        </w:tc>
      </w:tr>
      <w:tr>
        <w:tblPrEx>
          <w:tblCellMar>
            <w:top w:w="0" w:type="dxa"/>
            <w:left w:w="108" w:type="dxa"/>
            <w:bottom w:w="0" w:type="dxa"/>
            <w:right w:w="108" w:type="dxa"/>
          </w:tblCellMar>
        </w:tblPrEx>
        <w:trPr>
          <w:trHeight w:val="507" w:hRule="atLeast"/>
        </w:trPr>
        <w:tc>
          <w:tcPr>
            <w:tcW w:w="741" w:type="dxa"/>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r>
              <w:rPr>
                <w:rFonts w:hint="eastAsia" w:ascii="宋体" w:hAnsi="宋体"/>
                <w:color w:val="auto"/>
                <w:szCs w:val="21"/>
                <w:highlight w:val="none"/>
              </w:rPr>
              <w:t>3.1.2</w:t>
            </w:r>
          </w:p>
        </w:tc>
        <w:tc>
          <w:tcPr>
            <w:tcW w:w="114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280" w:lineRule="exact"/>
              <w:jc w:val="center"/>
              <w:rPr>
                <w:rFonts w:ascii="宋体" w:hAnsi="宋体"/>
                <w:color w:val="auto"/>
                <w:szCs w:val="21"/>
                <w:highlight w:val="none"/>
              </w:rPr>
            </w:pPr>
            <w:r>
              <w:rPr>
                <w:rFonts w:hint="eastAsia" w:ascii="宋体" w:hAnsi="宋体"/>
                <w:color w:val="auto"/>
                <w:szCs w:val="21"/>
                <w:highlight w:val="none"/>
              </w:rPr>
              <w:t>废标条件</w:t>
            </w:r>
          </w:p>
        </w:tc>
        <w:tc>
          <w:tcPr>
            <w:tcW w:w="6635"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spacing w:line="280" w:lineRule="exact"/>
              <w:rPr>
                <w:rFonts w:ascii="宋体" w:hAnsi="宋体"/>
                <w:color w:val="auto"/>
                <w:szCs w:val="21"/>
                <w:highlight w:val="none"/>
              </w:rPr>
            </w:pPr>
            <w:r>
              <w:rPr>
                <w:rFonts w:hint="eastAsia" w:ascii="宋体" w:hAnsi="宋体"/>
                <w:color w:val="auto"/>
                <w:szCs w:val="21"/>
                <w:highlight w:val="none"/>
              </w:rPr>
              <w:t>详见本章附件B：废标条件</w:t>
            </w:r>
          </w:p>
        </w:tc>
      </w:tr>
      <w:tr>
        <w:tblPrEx>
          <w:tblCellMar>
            <w:top w:w="0" w:type="dxa"/>
            <w:left w:w="108" w:type="dxa"/>
            <w:bottom w:w="0" w:type="dxa"/>
            <w:right w:w="108" w:type="dxa"/>
          </w:tblCellMar>
        </w:tblPrEx>
        <w:trPr>
          <w:trHeight w:val="1223" w:hRule="atLeast"/>
        </w:trPr>
        <w:tc>
          <w:tcPr>
            <w:tcW w:w="741" w:type="dxa"/>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r>
              <w:rPr>
                <w:rFonts w:hint="eastAsia" w:ascii="宋体" w:hAnsi="宋体"/>
                <w:color w:val="auto"/>
                <w:szCs w:val="21"/>
                <w:highlight w:val="none"/>
              </w:rPr>
              <w:t>3.2.2</w:t>
            </w:r>
          </w:p>
        </w:tc>
        <w:tc>
          <w:tcPr>
            <w:tcW w:w="1149" w:type="dxa"/>
            <w:tcBorders>
              <w:top w:val="single" w:color="auto" w:sz="6" w:space="0"/>
              <w:left w:val="single" w:color="auto" w:sz="6" w:space="0"/>
              <w:bottom w:val="single" w:color="auto" w:sz="6" w:space="0"/>
              <w:right w:val="single" w:color="auto" w:sz="6" w:space="0"/>
            </w:tcBorders>
            <w:vAlign w:val="center"/>
          </w:tcPr>
          <w:p>
            <w:pPr>
              <w:shd w:val="clear" w:color="auto" w:fill="FFFFFF"/>
              <w:spacing w:line="280" w:lineRule="exact"/>
              <w:rPr>
                <w:rFonts w:ascii="宋体" w:hAnsi="宋体"/>
                <w:color w:val="auto"/>
                <w:szCs w:val="21"/>
                <w:highlight w:val="none"/>
              </w:rPr>
            </w:pPr>
            <w:r>
              <w:rPr>
                <w:rFonts w:hint="eastAsia" w:ascii="宋体" w:hAnsi="宋体"/>
                <w:color w:val="auto"/>
                <w:szCs w:val="21"/>
                <w:highlight w:val="none"/>
              </w:rPr>
              <w:t>判断投标报价是否</w:t>
            </w:r>
          </w:p>
          <w:p>
            <w:pPr>
              <w:shd w:val="clear" w:color="auto" w:fill="FFFFFF"/>
              <w:spacing w:line="280" w:lineRule="exact"/>
              <w:rPr>
                <w:rFonts w:ascii="宋体" w:hAnsi="宋体"/>
                <w:color w:val="auto"/>
                <w:szCs w:val="21"/>
                <w:highlight w:val="none"/>
              </w:rPr>
            </w:pPr>
            <w:r>
              <w:rPr>
                <w:rFonts w:hint="eastAsia" w:ascii="宋体" w:hAnsi="宋体"/>
                <w:color w:val="auto"/>
                <w:szCs w:val="21"/>
                <w:highlight w:val="none"/>
              </w:rPr>
              <w:t>低于其成本</w:t>
            </w:r>
          </w:p>
        </w:tc>
        <w:tc>
          <w:tcPr>
            <w:tcW w:w="6635"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spacing w:line="280" w:lineRule="exact"/>
              <w:rPr>
                <w:rFonts w:ascii="宋体" w:hAnsi="宋体"/>
                <w:color w:val="auto"/>
                <w:szCs w:val="21"/>
                <w:highlight w:val="none"/>
              </w:rPr>
            </w:pPr>
            <w:r>
              <w:rPr>
                <w:rFonts w:hint="eastAsia" w:ascii="宋体" w:hAnsi="宋体"/>
                <w:color w:val="auto"/>
                <w:szCs w:val="21"/>
                <w:highlight w:val="none"/>
              </w:rPr>
              <w:t>详见本章附件C：投标人成本评审办法</w:t>
            </w:r>
          </w:p>
        </w:tc>
      </w:tr>
      <w:tr>
        <w:tblPrEx>
          <w:tblCellMar>
            <w:top w:w="0" w:type="dxa"/>
            <w:left w:w="108" w:type="dxa"/>
            <w:bottom w:w="0" w:type="dxa"/>
            <w:right w:w="108" w:type="dxa"/>
          </w:tblCellMar>
        </w:tblPrEx>
        <w:trPr>
          <w:trHeight w:val="764" w:hRule="atLeast"/>
        </w:trPr>
        <w:tc>
          <w:tcPr>
            <w:tcW w:w="741" w:type="dxa"/>
            <w:tcBorders>
              <w:top w:val="single" w:color="auto" w:sz="6" w:space="0"/>
              <w:left w:val="single" w:color="auto" w:sz="6" w:space="0"/>
              <w:bottom w:val="single" w:color="auto" w:sz="6" w:space="0"/>
              <w:right w:val="single" w:color="auto" w:sz="6" w:space="0"/>
            </w:tcBorders>
            <w:vAlign w:val="center"/>
          </w:tcPr>
          <w:p>
            <w:pPr>
              <w:shd w:val="clear" w:color="auto" w:fill="FFFFFF"/>
              <w:jc w:val="center"/>
              <w:rPr>
                <w:rFonts w:ascii="宋体" w:hAnsi="宋体"/>
                <w:color w:val="auto"/>
                <w:szCs w:val="21"/>
                <w:highlight w:val="none"/>
              </w:rPr>
            </w:pPr>
            <w:r>
              <w:rPr>
                <w:rFonts w:hint="eastAsia" w:ascii="宋体" w:hAnsi="宋体"/>
                <w:color w:val="auto"/>
                <w:szCs w:val="21"/>
                <w:highlight w:val="none"/>
              </w:rPr>
              <w:t>补1</w:t>
            </w:r>
          </w:p>
        </w:tc>
        <w:tc>
          <w:tcPr>
            <w:tcW w:w="1149" w:type="dxa"/>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计算机辅助评标</w:t>
            </w:r>
          </w:p>
        </w:tc>
        <w:tc>
          <w:tcPr>
            <w:tcW w:w="6635" w:type="dxa"/>
            <w:gridSpan w:val="2"/>
            <w:tcBorders>
              <w:top w:val="single" w:color="auto" w:sz="6" w:space="0"/>
              <w:left w:val="single" w:color="auto" w:sz="6" w:space="0"/>
              <w:bottom w:val="single" w:color="auto" w:sz="6" w:space="0"/>
              <w:right w:val="single" w:color="auto" w:sz="6" w:space="0"/>
            </w:tcBorders>
            <w:vAlign w:val="center"/>
          </w:tcPr>
          <w:p>
            <w:pPr>
              <w:shd w:val="clear" w:color="auto" w:fill="FFFFFF"/>
              <w:rPr>
                <w:rFonts w:ascii="宋体" w:hAnsi="宋体"/>
                <w:color w:val="auto"/>
                <w:szCs w:val="21"/>
                <w:highlight w:val="none"/>
              </w:rPr>
            </w:pPr>
            <w:r>
              <w:rPr>
                <w:rFonts w:hint="eastAsia" w:ascii="宋体" w:hAnsi="宋体"/>
                <w:color w:val="auto"/>
                <w:szCs w:val="21"/>
                <w:highlight w:val="none"/>
              </w:rPr>
              <w:t>详见本章附件E：计算机辅助评标方法</w:t>
            </w:r>
          </w:p>
        </w:tc>
      </w:tr>
    </w:tbl>
    <w:p>
      <w:pPr>
        <w:rPr>
          <w:rFonts w:hint="eastAsia"/>
          <w:color w:val="auto"/>
          <w:highlight w:val="none"/>
        </w:rPr>
      </w:pPr>
      <w:r>
        <w:rPr>
          <w:color w:val="auto"/>
          <w:highlight w:val="none"/>
        </w:rPr>
        <w:br w:type="page"/>
      </w:r>
      <w:r>
        <w:rPr>
          <w:rFonts w:hint="eastAsia"/>
          <w:color w:val="auto"/>
          <w:highlight w:val="none"/>
        </w:rPr>
        <w:t>表1技术标评分细化标准（</w:t>
      </w:r>
      <w:r>
        <w:rPr>
          <w:rFonts w:hint="eastAsia"/>
          <w:color w:val="auto"/>
          <w:highlight w:val="none"/>
          <w:lang w:val="en-US" w:eastAsia="zh-CN"/>
        </w:rPr>
        <w:t>70</w:t>
      </w:r>
      <w:r>
        <w:rPr>
          <w:rFonts w:hint="eastAsia"/>
          <w:color w:val="auto"/>
          <w:highlight w:val="none"/>
        </w:rPr>
        <w:t>分）</w:t>
      </w:r>
    </w:p>
    <w:tbl>
      <w:tblPr>
        <w:tblStyle w:val="51"/>
        <w:tblW w:w="98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4"/>
        <w:gridCol w:w="1248"/>
        <w:gridCol w:w="7258"/>
        <w:gridCol w:w="85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8" w:hRule="atLeast"/>
          <w:jc w:val="center"/>
        </w:trPr>
        <w:tc>
          <w:tcPr>
            <w:tcW w:w="454" w:type="dxa"/>
            <w:tcBorders>
              <w:top w:val="single" w:color="000000" w:sz="4" w:space="0"/>
              <w:left w:val="single" w:color="000000" w:sz="4" w:space="0"/>
              <w:bottom w:val="single" w:color="000000" w:sz="4" w:space="0"/>
              <w:right w:val="single" w:color="000000" w:sz="4" w:space="0"/>
            </w:tcBorders>
            <w:noWrap w:val="0"/>
            <w:vAlign w:val="top"/>
          </w:tcPr>
          <w:p>
            <w:pPr>
              <w:spacing w:line="360" w:lineRule="exact"/>
              <w:jc w:val="center"/>
              <w:rPr>
                <w:rFonts w:ascii="宋体" w:hAnsi="宋体"/>
                <w:color w:val="auto"/>
                <w:szCs w:val="21"/>
                <w:highlight w:val="none"/>
              </w:rPr>
            </w:pPr>
            <w:r>
              <w:rPr>
                <w:rFonts w:hint="eastAsia" w:ascii="宋体" w:hAnsi="宋体"/>
                <w:color w:val="auto"/>
                <w:szCs w:val="21"/>
                <w:highlight w:val="none"/>
              </w:rPr>
              <w:t>序号</w:t>
            </w:r>
          </w:p>
        </w:tc>
        <w:tc>
          <w:tcPr>
            <w:tcW w:w="124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exact"/>
              <w:jc w:val="center"/>
              <w:rPr>
                <w:rFonts w:ascii="宋体" w:hAnsi="宋体"/>
                <w:color w:val="auto"/>
                <w:szCs w:val="21"/>
                <w:highlight w:val="none"/>
              </w:rPr>
            </w:pPr>
            <w:r>
              <w:rPr>
                <w:rFonts w:hint="eastAsia" w:ascii="宋体" w:hAnsi="宋体"/>
                <w:color w:val="auto"/>
                <w:szCs w:val="21"/>
                <w:highlight w:val="none"/>
              </w:rPr>
              <w:t>评分内容</w:t>
            </w:r>
          </w:p>
        </w:tc>
        <w:tc>
          <w:tcPr>
            <w:tcW w:w="725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exact"/>
              <w:jc w:val="center"/>
              <w:rPr>
                <w:rFonts w:ascii="宋体" w:hAnsi="宋体"/>
                <w:color w:val="auto"/>
                <w:szCs w:val="21"/>
                <w:highlight w:val="none"/>
              </w:rPr>
            </w:pPr>
            <w:r>
              <w:rPr>
                <w:rFonts w:ascii="宋体" w:hAnsi="宋体"/>
                <w:color w:val="auto"/>
                <w:szCs w:val="21"/>
                <w:highlight w:val="none"/>
              </w:rPr>
              <w:t>评审</w:t>
            </w:r>
            <w:r>
              <w:rPr>
                <w:rFonts w:hint="eastAsia" w:ascii="宋体" w:hAnsi="宋体"/>
                <w:color w:val="auto"/>
                <w:szCs w:val="21"/>
                <w:highlight w:val="none"/>
              </w:rPr>
              <w:t>细则</w:t>
            </w:r>
          </w:p>
        </w:tc>
        <w:tc>
          <w:tcPr>
            <w:tcW w:w="85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exact"/>
              <w:jc w:val="center"/>
              <w:rPr>
                <w:rFonts w:ascii="宋体" w:hAnsi="宋体"/>
                <w:color w:val="auto"/>
                <w:szCs w:val="21"/>
                <w:highlight w:val="none"/>
              </w:rPr>
            </w:pPr>
            <w:r>
              <w:rPr>
                <w:rFonts w:ascii="宋体" w:hAnsi="宋体"/>
                <w:color w:val="auto"/>
                <w:szCs w:val="21"/>
                <w:highlight w:val="none"/>
              </w:rPr>
              <w:t>分值</w:t>
            </w:r>
            <w:r>
              <w:rPr>
                <w:rFonts w:hint="eastAsia" w:ascii="宋体" w:hAnsi="宋体"/>
                <w:color w:val="auto"/>
                <w:szCs w:val="21"/>
                <w:highlight w:val="none"/>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5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exact"/>
              <w:jc w:val="center"/>
              <w:rPr>
                <w:rFonts w:ascii="宋体" w:hAnsi="宋体"/>
                <w:color w:val="auto"/>
                <w:szCs w:val="21"/>
                <w:highlight w:val="none"/>
              </w:rPr>
            </w:pPr>
            <w:r>
              <w:rPr>
                <w:rFonts w:hint="eastAsia" w:ascii="宋体" w:hAnsi="宋体"/>
                <w:color w:val="auto"/>
                <w:szCs w:val="21"/>
                <w:highlight w:val="none"/>
              </w:rPr>
              <w:t>1</w:t>
            </w:r>
          </w:p>
        </w:tc>
        <w:tc>
          <w:tcPr>
            <w:tcW w:w="124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exact"/>
              <w:jc w:val="center"/>
              <w:rPr>
                <w:rFonts w:ascii="宋体" w:hAnsi="宋体"/>
                <w:color w:val="auto"/>
                <w:szCs w:val="21"/>
                <w:highlight w:val="none"/>
              </w:rPr>
            </w:pPr>
            <w:r>
              <w:rPr>
                <w:rFonts w:hint="eastAsia" w:ascii="宋体" w:hAnsi="宋体"/>
                <w:color w:val="auto"/>
                <w:szCs w:val="21"/>
                <w:highlight w:val="none"/>
              </w:rPr>
              <w:t>投标供应商业绩</w:t>
            </w:r>
          </w:p>
        </w:tc>
        <w:tc>
          <w:tcPr>
            <w:tcW w:w="7258" w:type="dxa"/>
            <w:tcBorders>
              <w:top w:val="single" w:color="000000" w:sz="4" w:space="0"/>
              <w:left w:val="single" w:color="000000" w:sz="4" w:space="0"/>
              <w:bottom w:val="single" w:color="000000" w:sz="4" w:space="0"/>
              <w:right w:val="single" w:color="000000" w:sz="4" w:space="0"/>
            </w:tcBorders>
            <w:noWrap w:val="0"/>
            <w:vAlign w:val="center"/>
          </w:tcPr>
          <w:p>
            <w:pPr>
              <w:numPr>
                <w:ilvl w:val="0"/>
                <w:numId w:val="7"/>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投标供应商自2018年1月1日以来（以实际交工日期为准）独立完成过</w:t>
            </w:r>
            <w:r>
              <w:rPr>
                <w:rFonts w:hint="eastAsia" w:ascii="宋体" w:hAnsi="宋体" w:eastAsia="宋体" w:cs="宋体"/>
                <w:b/>
                <w:bCs/>
                <w:color w:val="auto"/>
                <w:sz w:val="21"/>
                <w:szCs w:val="21"/>
                <w:highlight w:val="none"/>
              </w:rPr>
              <w:t>石英传感器</w:t>
            </w:r>
            <w:r>
              <w:rPr>
                <w:rFonts w:hint="eastAsia" w:ascii="宋体" w:hAnsi="宋体" w:eastAsia="宋体" w:cs="宋体"/>
                <w:color w:val="auto"/>
                <w:sz w:val="21"/>
                <w:szCs w:val="21"/>
                <w:highlight w:val="none"/>
              </w:rPr>
              <w:t>公路治超非现场执法电子检测系统工程施工的，每项得 2 分，最多得 8 分；投标文件中必须同时附：（1）中标通知书、（2）合同协议书、（3）质量证明文件（计量机构出具的检定合格证书）、（4）</w:t>
            </w:r>
            <w:r>
              <w:rPr>
                <w:rFonts w:hint="eastAsia" w:ascii="宋体" w:hAnsi="宋体" w:eastAsia="宋体" w:cs="宋体"/>
                <w:b/>
                <w:bCs/>
                <w:color w:val="auto"/>
                <w:sz w:val="21"/>
                <w:szCs w:val="21"/>
                <w:highlight w:val="none"/>
              </w:rPr>
              <w:t>石英传感器</w:t>
            </w:r>
            <w:r>
              <w:rPr>
                <w:rFonts w:hint="eastAsia" w:ascii="宋体" w:hAnsi="宋体" w:eastAsia="宋体" w:cs="宋体"/>
                <w:color w:val="auto"/>
                <w:sz w:val="21"/>
                <w:szCs w:val="21"/>
                <w:highlight w:val="none"/>
              </w:rPr>
              <w:t>的原厂质保函、授权委托书等的复印件并加盖投标供应商公章；四者缺一不可，否则业绩不予认可。</w:t>
            </w:r>
          </w:p>
          <w:p>
            <w:pPr>
              <w:numPr>
                <w:ilvl w:val="0"/>
                <w:numId w:val="0"/>
              </w:numPr>
              <w:rPr>
                <w:color w:val="auto"/>
                <w:highlight w:val="none"/>
              </w:rPr>
            </w:pPr>
            <w:r>
              <w:rPr>
                <w:rFonts w:hint="eastAsia" w:ascii="宋体" w:hAnsi="宋体" w:eastAsia="宋体" w:cs="宋体"/>
                <w:color w:val="auto"/>
                <w:sz w:val="21"/>
                <w:szCs w:val="21"/>
                <w:highlight w:val="none"/>
              </w:rPr>
              <w:t>2、投标供应商自 2018年 1月</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日以来（以实际交工日期为准）累计具有 37.5米</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-112.5米</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不含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的采用</w:t>
            </w:r>
            <w:r>
              <w:rPr>
                <w:rFonts w:hint="eastAsia" w:ascii="宋体" w:hAnsi="宋体" w:eastAsia="宋体" w:cs="宋体"/>
                <w:b/>
                <w:bCs/>
                <w:color w:val="auto"/>
                <w:sz w:val="21"/>
                <w:szCs w:val="21"/>
                <w:highlight w:val="none"/>
              </w:rPr>
              <w:t>石英</w:t>
            </w:r>
            <w:r>
              <w:rPr>
                <w:rFonts w:hint="eastAsia" w:ascii="宋体" w:hAnsi="宋体" w:eastAsia="宋体" w:cs="宋体"/>
                <w:color w:val="auto"/>
                <w:sz w:val="21"/>
                <w:szCs w:val="21"/>
                <w:highlight w:val="none"/>
              </w:rPr>
              <w:t>称重传感器的动态称重设备业绩，得 2分，累计具有112.5米以上采用</w:t>
            </w:r>
            <w:r>
              <w:rPr>
                <w:rFonts w:hint="eastAsia" w:ascii="宋体" w:hAnsi="宋体" w:eastAsia="宋体" w:cs="宋体"/>
                <w:b/>
                <w:bCs/>
                <w:color w:val="auto"/>
                <w:sz w:val="21"/>
                <w:szCs w:val="21"/>
                <w:highlight w:val="none"/>
              </w:rPr>
              <w:t>石英</w:t>
            </w:r>
            <w:r>
              <w:rPr>
                <w:rFonts w:hint="eastAsia" w:ascii="宋体" w:hAnsi="宋体" w:eastAsia="宋体" w:cs="宋体"/>
                <w:color w:val="auto"/>
                <w:sz w:val="21"/>
                <w:szCs w:val="21"/>
                <w:highlight w:val="none"/>
              </w:rPr>
              <w:t>称重传感器的动态称重设备业绩，得4分，否则不得分。投标文件中必须附：技术监督部门出具的有效期内的鉴定证书复印件并加盖投标供应商公章，否则不得分。</w:t>
            </w:r>
          </w:p>
        </w:tc>
        <w:tc>
          <w:tcPr>
            <w:tcW w:w="85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exact"/>
              <w:jc w:val="center"/>
              <w:textAlignment w:val="center"/>
              <w:rPr>
                <w:rFonts w:ascii="宋体" w:hAnsi="宋体"/>
                <w:b/>
                <w:color w:val="auto"/>
                <w:szCs w:val="21"/>
                <w:highlight w:val="none"/>
              </w:rPr>
            </w:pPr>
            <w:r>
              <w:rPr>
                <w:rFonts w:hint="eastAsia" w:ascii="宋体" w:hAnsi="宋体"/>
                <w:b/>
                <w:color w:val="auto"/>
                <w:szCs w:val="21"/>
                <w:highlight w:val="none"/>
              </w:rPr>
              <w:t>0-12分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54" w:type="dxa"/>
            <w:vMerge w:val="restart"/>
            <w:tcBorders>
              <w:top w:val="single" w:color="000000" w:sz="4" w:space="0"/>
              <w:left w:val="single" w:color="000000" w:sz="4" w:space="0"/>
              <w:right w:val="single" w:color="000000" w:sz="4" w:space="0"/>
            </w:tcBorders>
            <w:noWrap w:val="0"/>
            <w:vAlign w:val="center"/>
          </w:tcPr>
          <w:p>
            <w:pPr>
              <w:spacing w:line="360" w:lineRule="exact"/>
              <w:jc w:val="center"/>
              <w:rPr>
                <w:rFonts w:ascii="宋体" w:hAnsi="宋体"/>
                <w:color w:val="auto"/>
                <w:szCs w:val="21"/>
                <w:highlight w:val="none"/>
              </w:rPr>
            </w:pPr>
            <w:r>
              <w:rPr>
                <w:rFonts w:hint="eastAsia" w:ascii="宋体" w:hAnsi="宋体"/>
                <w:color w:val="auto"/>
                <w:szCs w:val="21"/>
                <w:highlight w:val="none"/>
              </w:rPr>
              <w:t>2</w:t>
            </w:r>
          </w:p>
        </w:tc>
        <w:tc>
          <w:tcPr>
            <w:tcW w:w="1248" w:type="dxa"/>
            <w:vMerge w:val="restart"/>
            <w:tcBorders>
              <w:top w:val="single" w:color="000000" w:sz="4" w:space="0"/>
              <w:left w:val="single" w:color="000000" w:sz="4" w:space="0"/>
              <w:right w:val="single" w:color="000000" w:sz="4" w:space="0"/>
            </w:tcBorders>
            <w:noWrap w:val="0"/>
            <w:vAlign w:val="center"/>
          </w:tcPr>
          <w:p>
            <w:pPr>
              <w:spacing w:line="360" w:lineRule="exact"/>
              <w:jc w:val="center"/>
              <w:rPr>
                <w:rFonts w:ascii="宋体" w:hAnsi="宋体"/>
                <w:color w:val="auto"/>
                <w:szCs w:val="21"/>
                <w:highlight w:val="none"/>
              </w:rPr>
            </w:pPr>
            <w:r>
              <w:rPr>
                <w:rFonts w:hint="eastAsia" w:ascii="宋体" w:hAnsi="宋体"/>
                <w:color w:val="auto"/>
                <w:szCs w:val="21"/>
                <w:highlight w:val="none"/>
              </w:rPr>
              <w:t>认证及资质证书</w:t>
            </w:r>
          </w:p>
        </w:tc>
        <w:tc>
          <w:tcPr>
            <w:tcW w:w="7258" w:type="dxa"/>
            <w:tcBorders>
              <w:top w:val="single" w:color="000000" w:sz="4" w:space="0"/>
              <w:left w:val="single" w:color="000000" w:sz="4" w:space="0"/>
              <w:right w:val="single" w:color="000000" w:sz="4" w:space="0"/>
            </w:tcBorders>
            <w:noWrap w:val="0"/>
            <w:vAlign w:val="center"/>
          </w:tcPr>
          <w:p>
            <w:pPr>
              <w:snapToGrid w:val="0"/>
              <w:spacing w:line="360" w:lineRule="exact"/>
              <w:rPr>
                <w:rFonts w:ascii="宋体" w:hAnsi="宋体"/>
                <w:color w:val="auto"/>
                <w:szCs w:val="21"/>
                <w:highlight w:val="none"/>
              </w:rPr>
            </w:pPr>
            <w:r>
              <w:rPr>
                <w:rFonts w:hint="eastAsia" w:ascii="宋体" w:hAnsi="宋体" w:eastAsia="宋体" w:cs="宋体"/>
                <w:b w:val="0"/>
                <w:bCs/>
                <w:color w:val="auto"/>
                <w:sz w:val="21"/>
                <w:szCs w:val="21"/>
                <w:highlight w:val="none"/>
              </w:rPr>
              <w:t>投标供应商具有质量管理体系认证、环境管理体系认证、职业健康安全管理体系认证、信息安全管理体系认证、信息技术服务管理体系认证的</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bCs w:val="0"/>
                <w:color w:val="auto"/>
                <w:sz w:val="21"/>
                <w:szCs w:val="21"/>
                <w:highlight w:val="none"/>
              </w:rPr>
              <w:t>每</w:t>
            </w:r>
            <w:r>
              <w:rPr>
                <w:rFonts w:hint="eastAsia" w:ascii="宋体" w:hAnsi="宋体" w:eastAsia="宋体" w:cs="宋体"/>
                <w:b/>
                <w:bCs w:val="0"/>
                <w:color w:val="auto"/>
                <w:sz w:val="21"/>
                <w:szCs w:val="21"/>
                <w:highlight w:val="none"/>
                <w:lang w:val="en-US" w:eastAsia="zh-CN"/>
              </w:rPr>
              <w:t>提供</w:t>
            </w:r>
            <w:r>
              <w:rPr>
                <w:rFonts w:hint="eastAsia" w:ascii="宋体" w:hAnsi="宋体" w:eastAsia="宋体" w:cs="宋体"/>
                <w:b/>
                <w:bCs w:val="0"/>
                <w:color w:val="auto"/>
                <w:sz w:val="21"/>
                <w:szCs w:val="21"/>
                <w:highlight w:val="none"/>
              </w:rPr>
              <w:t>一项得</w:t>
            </w:r>
            <w:r>
              <w:rPr>
                <w:rFonts w:hint="eastAsia" w:ascii="宋体" w:hAnsi="宋体" w:eastAsia="宋体" w:cs="宋体"/>
                <w:b/>
                <w:bCs w:val="0"/>
                <w:color w:val="auto"/>
                <w:sz w:val="21"/>
                <w:szCs w:val="21"/>
                <w:highlight w:val="none"/>
                <w:lang w:val="en-US" w:eastAsia="zh-CN"/>
              </w:rPr>
              <w:t>0.6</w:t>
            </w:r>
            <w:r>
              <w:rPr>
                <w:rFonts w:hint="eastAsia" w:ascii="宋体" w:hAnsi="宋体" w:eastAsia="宋体" w:cs="宋体"/>
                <w:b/>
                <w:bCs w:val="0"/>
                <w:color w:val="auto"/>
                <w:sz w:val="21"/>
                <w:szCs w:val="21"/>
                <w:highlight w:val="none"/>
              </w:rPr>
              <w:t>分，</w:t>
            </w:r>
            <w:r>
              <w:rPr>
                <w:rFonts w:hint="eastAsia" w:ascii="宋体" w:hAnsi="宋体" w:eastAsia="宋体" w:cs="宋体"/>
                <w:b/>
                <w:bCs w:val="0"/>
                <w:color w:val="auto"/>
                <w:sz w:val="21"/>
                <w:szCs w:val="21"/>
                <w:highlight w:val="none"/>
                <w:lang w:val="en-US" w:eastAsia="zh-CN"/>
              </w:rPr>
              <w:t>最多得3</w:t>
            </w:r>
            <w:r>
              <w:rPr>
                <w:rFonts w:hint="eastAsia" w:ascii="宋体" w:hAnsi="宋体" w:eastAsia="宋体" w:cs="宋体"/>
                <w:b/>
                <w:bCs w:val="0"/>
                <w:color w:val="auto"/>
                <w:sz w:val="21"/>
                <w:szCs w:val="21"/>
                <w:highlight w:val="none"/>
              </w:rPr>
              <w:t>分</w:t>
            </w:r>
          </w:p>
        </w:tc>
        <w:tc>
          <w:tcPr>
            <w:tcW w:w="850" w:type="dxa"/>
            <w:tcBorders>
              <w:top w:val="single" w:color="000000" w:sz="4" w:space="0"/>
              <w:left w:val="single" w:color="000000" w:sz="4" w:space="0"/>
              <w:right w:val="single" w:color="000000" w:sz="4" w:space="0"/>
            </w:tcBorders>
            <w:noWrap w:val="0"/>
            <w:vAlign w:val="center"/>
          </w:tcPr>
          <w:p>
            <w:pPr>
              <w:spacing w:line="360" w:lineRule="exact"/>
              <w:jc w:val="center"/>
              <w:textAlignment w:val="center"/>
              <w:rPr>
                <w:rFonts w:ascii="宋体" w:hAnsi="宋体"/>
                <w:b/>
                <w:color w:val="auto"/>
                <w:szCs w:val="21"/>
                <w:highlight w:val="none"/>
              </w:rPr>
            </w:pPr>
            <w:r>
              <w:rPr>
                <w:rFonts w:hint="eastAsia" w:ascii="宋体" w:hAnsi="宋体"/>
                <w:b/>
                <w:color w:val="auto"/>
                <w:szCs w:val="21"/>
                <w:highlight w:val="none"/>
              </w:rPr>
              <w:t>0-3分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54" w:type="dxa"/>
            <w:vMerge w:val="continue"/>
            <w:tcBorders>
              <w:left w:val="single" w:color="000000" w:sz="4" w:space="0"/>
              <w:right w:val="single" w:color="000000" w:sz="4" w:space="0"/>
            </w:tcBorders>
            <w:noWrap w:val="0"/>
            <w:vAlign w:val="center"/>
          </w:tcPr>
          <w:p>
            <w:pPr>
              <w:spacing w:line="360" w:lineRule="exact"/>
              <w:jc w:val="center"/>
              <w:rPr>
                <w:rFonts w:ascii="宋体" w:hAnsi="宋体"/>
                <w:color w:val="auto"/>
                <w:szCs w:val="21"/>
                <w:highlight w:val="none"/>
              </w:rPr>
            </w:pPr>
          </w:p>
        </w:tc>
        <w:tc>
          <w:tcPr>
            <w:tcW w:w="1248" w:type="dxa"/>
            <w:vMerge w:val="continue"/>
            <w:tcBorders>
              <w:left w:val="single" w:color="000000" w:sz="4" w:space="0"/>
              <w:right w:val="single" w:color="000000" w:sz="4" w:space="0"/>
            </w:tcBorders>
            <w:noWrap w:val="0"/>
            <w:vAlign w:val="center"/>
          </w:tcPr>
          <w:p>
            <w:pPr>
              <w:spacing w:line="360" w:lineRule="exact"/>
              <w:jc w:val="center"/>
              <w:rPr>
                <w:rFonts w:ascii="宋体" w:hAnsi="宋体"/>
                <w:color w:val="auto"/>
                <w:szCs w:val="21"/>
                <w:highlight w:val="none"/>
              </w:rPr>
            </w:pPr>
          </w:p>
        </w:tc>
        <w:tc>
          <w:tcPr>
            <w:tcW w:w="7258" w:type="dxa"/>
            <w:tcBorders>
              <w:top w:val="single" w:color="000000" w:sz="4" w:space="0"/>
              <w:left w:val="single" w:color="000000" w:sz="4" w:space="0"/>
              <w:right w:val="single" w:color="000000" w:sz="4" w:space="0"/>
            </w:tcBorders>
            <w:noWrap w:val="0"/>
            <w:vAlign w:val="center"/>
          </w:tcPr>
          <w:p>
            <w:pPr>
              <w:snapToGrid w:val="0"/>
              <w:spacing w:line="360" w:lineRule="exact"/>
              <w:rPr>
                <w:rFonts w:ascii="宋体" w:hAnsi="宋体"/>
                <w:bCs/>
                <w:color w:val="auto"/>
                <w:szCs w:val="21"/>
                <w:highlight w:val="none"/>
              </w:rPr>
            </w:pPr>
            <w:r>
              <w:rPr>
                <w:rFonts w:hint="eastAsia" w:ascii="宋体" w:hAnsi="宋体"/>
                <w:bCs/>
                <w:color w:val="auto"/>
                <w:szCs w:val="21"/>
                <w:highlight w:val="none"/>
              </w:rPr>
              <w:t>投标供应商具有安全生产许可证的得 3 分，不提供的不得分。（投标文件中提供证书</w:t>
            </w:r>
            <w:r>
              <w:rPr>
                <w:rFonts w:hint="eastAsia" w:ascii="宋体" w:hAnsi="宋体"/>
                <w:color w:val="auto"/>
                <w:szCs w:val="21"/>
                <w:highlight w:val="none"/>
              </w:rPr>
              <w:t>复印件并加盖投标供应商公章，否则不得分</w:t>
            </w:r>
            <w:r>
              <w:rPr>
                <w:rFonts w:hint="eastAsia" w:ascii="宋体" w:hAnsi="宋体"/>
                <w:bCs/>
                <w:color w:val="auto"/>
                <w:szCs w:val="21"/>
                <w:highlight w:val="none"/>
              </w:rPr>
              <w:t>）</w:t>
            </w:r>
          </w:p>
        </w:tc>
        <w:tc>
          <w:tcPr>
            <w:tcW w:w="850" w:type="dxa"/>
            <w:tcBorders>
              <w:top w:val="single" w:color="000000" w:sz="4" w:space="0"/>
              <w:left w:val="single" w:color="000000" w:sz="4" w:space="0"/>
              <w:right w:val="single" w:color="000000" w:sz="4" w:space="0"/>
            </w:tcBorders>
            <w:noWrap w:val="0"/>
            <w:vAlign w:val="center"/>
          </w:tcPr>
          <w:p>
            <w:pPr>
              <w:spacing w:line="360" w:lineRule="exact"/>
              <w:jc w:val="center"/>
              <w:textAlignment w:val="center"/>
              <w:rPr>
                <w:rFonts w:ascii="宋体" w:hAnsi="宋体"/>
                <w:b/>
                <w:color w:val="auto"/>
                <w:szCs w:val="21"/>
                <w:highlight w:val="none"/>
              </w:rPr>
            </w:pPr>
            <w:r>
              <w:rPr>
                <w:rFonts w:hint="eastAsia" w:ascii="宋体" w:hAnsi="宋体"/>
                <w:b/>
                <w:color w:val="auto"/>
                <w:szCs w:val="21"/>
                <w:highlight w:val="none"/>
              </w:rPr>
              <w:t>0-3分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54" w:type="dxa"/>
            <w:tcBorders>
              <w:top w:val="single" w:color="000000" w:sz="4" w:space="0"/>
              <w:left w:val="single" w:color="000000" w:sz="4" w:space="0"/>
              <w:right w:val="single" w:color="000000" w:sz="4" w:space="0"/>
            </w:tcBorders>
            <w:noWrap w:val="0"/>
            <w:vAlign w:val="center"/>
          </w:tcPr>
          <w:p>
            <w:pPr>
              <w:spacing w:line="360" w:lineRule="exact"/>
              <w:jc w:val="center"/>
              <w:rPr>
                <w:rFonts w:ascii="宋体" w:hAnsi="宋体"/>
                <w:color w:val="auto"/>
                <w:szCs w:val="21"/>
                <w:highlight w:val="none"/>
              </w:rPr>
            </w:pPr>
            <w:r>
              <w:rPr>
                <w:rFonts w:hint="eastAsia" w:ascii="宋体" w:hAnsi="宋体"/>
                <w:color w:val="auto"/>
                <w:szCs w:val="21"/>
                <w:highlight w:val="none"/>
              </w:rPr>
              <w:t>3</w:t>
            </w:r>
          </w:p>
        </w:tc>
        <w:tc>
          <w:tcPr>
            <w:tcW w:w="1248" w:type="dxa"/>
            <w:tcBorders>
              <w:top w:val="single" w:color="000000" w:sz="4" w:space="0"/>
              <w:left w:val="single" w:color="000000" w:sz="4" w:space="0"/>
              <w:right w:val="single" w:color="000000" w:sz="4" w:space="0"/>
            </w:tcBorders>
            <w:noWrap w:val="0"/>
            <w:vAlign w:val="center"/>
          </w:tcPr>
          <w:p>
            <w:pPr>
              <w:spacing w:line="360" w:lineRule="exact"/>
              <w:jc w:val="center"/>
              <w:rPr>
                <w:rFonts w:ascii="宋体" w:hAnsi="宋体"/>
                <w:color w:val="auto"/>
                <w:szCs w:val="21"/>
                <w:highlight w:val="none"/>
              </w:rPr>
            </w:pPr>
            <w:r>
              <w:rPr>
                <w:rFonts w:hint="eastAsia" w:ascii="宋体" w:hAnsi="宋体"/>
                <w:color w:val="auto"/>
                <w:szCs w:val="21"/>
                <w:highlight w:val="none"/>
              </w:rPr>
              <w:t>人员组成</w:t>
            </w:r>
          </w:p>
        </w:tc>
        <w:tc>
          <w:tcPr>
            <w:tcW w:w="7258" w:type="dxa"/>
            <w:tcBorders>
              <w:top w:val="single" w:color="000000" w:sz="4" w:space="0"/>
              <w:left w:val="single" w:color="000000" w:sz="4" w:space="0"/>
              <w:right w:val="single" w:color="000000" w:sz="4" w:space="0"/>
            </w:tcBorders>
            <w:noWrap w:val="0"/>
            <w:vAlign w:val="center"/>
          </w:tcPr>
          <w:p>
            <w:pPr>
              <w:spacing w:line="360" w:lineRule="exact"/>
              <w:rPr>
                <w:rFonts w:hint="eastAsia" w:ascii="宋体" w:hAnsi="宋体"/>
                <w:color w:val="auto"/>
                <w:szCs w:val="21"/>
                <w:highlight w:val="none"/>
              </w:rPr>
            </w:pPr>
            <w:r>
              <w:rPr>
                <w:rFonts w:hint="eastAsia" w:ascii="宋体" w:hAnsi="宋体"/>
                <w:color w:val="auto"/>
                <w:szCs w:val="21"/>
                <w:highlight w:val="none"/>
              </w:rPr>
              <w:t>1、项目总工具有机电工程中级及以上技术职称的得2分；</w:t>
            </w:r>
          </w:p>
          <w:p>
            <w:pPr>
              <w:spacing w:line="360" w:lineRule="exact"/>
              <w:rPr>
                <w:rFonts w:hint="eastAsia" w:ascii="宋体" w:hAnsi="宋体"/>
                <w:color w:val="auto"/>
                <w:szCs w:val="21"/>
                <w:highlight w:val="none"/>
              </w:rPr>
            </w:pPr>
            <w:r>
              <w:rPr>
                <w:rFonts w:hint="eastAsia" w:ascii="宋体" w:hAnsi="宋体"/>
                <w:color w:val="auto"/>
                <w:szCs w:val="21"/>
                <w:highlight w:val="none"/>
              </w:rPr>
              <w:t>2、项目组中其他人员（不包含项目总工和项目经理）具有施工员、质量员、安全员、标准员、材料员、机械员、劳务员、资料员各一名的得</w:t>
            </w:r>
            <w:r>
              <w:rPr>
                <w:rFonts w:hint="eastAsia" w:ascii="宋体" w:hAnsi="宋体"/>
                <w:color w:val="auto"/>
                <w:szCs w:val="21"/>
                <w:highlight w:val="none"/>
                <w:lang w:val="en-US" w:eastAsia="zh-CN"/>
              </w:rPr>
              <w:t>4</w:t>
            </w:r>
            <w:r>
              <w:rPr>
                <w:rFonts w:hint="eastAsia" w:ascii="宋体" w:hAnsi="宋体"/>
                <w:color w:val="auto"/>
                <w:szCs w:val="21"/>
                <w:highlight w:val="none"/>
              </w:rPr>
              <w:t>分；其余不得分。</w:t>
            </w:r>
          </w:p>
          <w:p>
            <w:pPr>
              <w:spacing w:line="360" w:lineRule="exact"/>
              <w:rPr>
                <w:rFonts w:ascii="宋体" w:hAnsi="宋体"/>
                <w:color w:val="auto"/>
                <w:szCs w:val="21"/>
                <w:highlight w:val="none"/>
              </w:rPr>
            </w:pPr>
            <w:r>
              <w:rPr>
                <w:rFonts w:hint="eastAsia" w:ascii="宋体" w:hAnsi="宋体"/>
                <w:color w:val="auto"/>
                <w:szCs w:val="21"/>
                <w:highlight w:val="none"/>
              </w:rPr>
              <w:t>投标文件中提供人员证书复印件并加盖公章及缴费期限包含202</w:t>
            </w:r>
            <w:r>
              <w:rPr>
                <w:rFonts w:hint="eastAsia" w:ascii="宋体" w:hAnsi="宋体"/>
                <w:color w:val="auto"/>
                <w:szCs w:val="21"/>
                <w:highlight w:val="none"/>
                <w:lang w:val="en-US" w:eastAsia="zh-CN"/>
              </w:rPr>
              <w:t>1</w:t>
            </w:r>
            <w:r>
              <w:rPr>
                <w:rFonts w:hint="eastAsia" w:ascii="宋体" w:hAnsi="宋体"/>
                <w:color w:val="auto"/>
                <w:szCs w:val="21"/>
                <w:highlight w:val="none"/>
              </w:rPr>
              <w:t>年</w:t>
            </w:r>
            <w:r>
              <w:rPr>
                <w:rFonts w:hint="eastAsia" w:ascii="宋体" w:hAnsi="宋体"/>
                <w:color w:val="auto"/>
                <w:szCs w:val="21"/>
                <w:highlight w:val="none"/>
                <w:lang w:val="en-US" w:eastAsia="zh-CN"/>
              </w:rPr>
              <w:t>4</w:t>
            </w:r>
            <w:r>
              <w:rPr>
                <w:rFonts w:hint="eastAsia" w:ascii="宋体" w:hAnsi="宋体"/>
                <w:color w:val="auto"/>
                <w:szCs w:val="21"/>
                <w:highlight w:val="none"/>
              </w:rPr>
              <w:t>月至2021年</w:t>
            </w:r>
            <w:r>
              <w:rPr>
                <w:rFonts w:hint="eastAsia" w:ascii="宋体" w:hAnsi="宋体"/>
                <w:color w:val="auto"/>
                <w:szCs w:val="21"/>
                <w:highlight w:val="none"/>
                <w:lang w:val="en-US" w:eastAsia="zh-CN"/>
              </w:rPr>
              <w:t>6</w:t>
            </w:r>
            <w:r>
              <w:rPr>
                <w:rFonts w:hint="eastAsia" w:ascii="宋体" w:hAnsi="宋体"/>
                <w:color w:val="auto"/>
                <w:szCs w:val="21"/>
                <w:highlight w:val="none"/>
              </w:rPr>
              <w:t>月的投标人注册地所属社保机构养老保险交纳清单或证明（缴费单位和投标单位名称必须一致）复印件或电子打印件并加盖投标供应商公章。</w:t>
            </w:r>
          </w:p>
        </w:tc>
        <w:tc>
          <w:tcPr>
            <w:tcW w:w="850" w:type="dxa"/>
            <w:tcBorders>
              <w:top w:val="single" w:color="000000" w:sz="4" w:space="0"/>
              <w:left w:val="single" w:color="000000" w:sz="4" w:space="0"/>
              <w:right w:val="single" w:color="000000" w:sz="4" w:space="0"/>
            </w:tcBorders>
            <w:noWrap w:val="0"/>
            <w:vAlign w:val="center"/>
          </w:tcPr>
          <w:p>
            <w:pPr>
              <w:spacing w:line="360" w:lineRule="exact"/>
              <w:jc w:val="center"/>
              <w:textAlignment w:val="center"/>
              <w:rPr>
                <w:rFonts w:ascii="宋体" w:hAnsi="宋体"/>
                <w:b/>
                <w:color w:val="auto"/>
                <w:szCs w:val="21"/>
                <w:highlight w:val="none"/>
              </w:rPr>
            </w:pPr>
            <w:r>
              <w:rPr>
                <w:rFonts w:hint="eastAsia" w:ascii="宋体" w:hAnsi="宋体"/>
                <w:b/>
                <w:color w:val="auto"/>
                <w:szCs w:val="21"/>
                <w:highlight w:val="none"/>
              </w:rPr>
              <w:t>0-6分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454" w:type="dxa"/>
            <w:vMerge w:val="restart"/>
            <w:tcBorders>
              <w:top w:val="single" w:color="000000" w:sz="4" w:space="0"/>
              <w:left w:val="single" w:color="000000" w:sz="4" w:space="0"/>
              <w:right w:val="single" w:color="000000" w:sz="4" w:space="0"/>
            </w:tcBorders>
            <w:noWrap w:val="0"/>
            <w:vAlign w:val="center"/>
          </w:tcPr>
          <w:p>
            <w:pPr>
              <w:spacing w:line="360" w:lineRule="exact"/>
              <w:jc w:val="center"/>
              <w:rPr>
                <w:rFonts w:ascii="宋体" w:hAnsi="宋体"/>
                <w:color w:val="auto"/>
                <w:szCs w:val="21"/>
                <w:highlight w:val="none"/>
              </w:rPr>
            </w:pPr>
            <w:r>
              <w:rPr>
                <w:rFonts w:hint="eastAsia" w:ascii="宋体" w:hAnsi="宋体"/>
                <w:color w:val="auto"/>
                <w:szCs w:val="21"/>
                <w:highlight w:val="none"/>
              </w:rPr>
              <w:t>4</w:t>
            </w:r>
          </w:p>
        </w:tc>
        <w:tc>
          <w:tcPr>
            <w:tcW w:w="1248" w:type="dxa"/>
            <w:vMerge w:val="restart"/>
            <w:tcBorders>
              <w:top w:val="single" w:color="000000" w:sz="4" w:space="0"/>
              <w:left w:val="single" w:color="000000" w:sz="4" w:space="0"/>
              <w:right w:val="single" w:color="000000" w:sz="4" w:space="0"/>
            </w:tcBorders>
            <w:noWrap w:val="0"/>
            <w:vAlign w:val="center"/>
          </w:tcPr>
          <w:p>
            <w:pPr>
              <w:spacing w:line="360" w:lineRule="exact"/>
              <w:jc w:val="center"/>
              <w:rPr>
                <w:rFonts w:ascii="宋体" w:hAnsi="宋体"/>
                <w:color w:val="auto"/>
                <w:szCs w:val="21"/>
                <w:highlight w:val="none"/>
              </w:rPr>
            </w:pPr>
            <w:r>
              <w:rPr>
                <w:rFonts w:hint="eastAsia" w:ascii="宋体" w:hAnsi="宋体"/>
                <w:color w:val="auto"/>
                <w:szCs w:val="21"/>
                <w:highlight w:val="none"/>
              </w:rPr>
              <w:t>方案</w:t>
            </w:r>
          </w:p>
          <w:p>
            <w:pPr>
              <w:spacing w:line="360" w:lineRule="exact"/>
              <w:jc w:val="center"/>
              <w:rPr>
                <w:rFonts w:ascii="宋体" w:hAnsi="宋体"/>
                <w:color w:val="auto"/>
                <w:szCs w:val="21"/>
                <w:highlight w:val="none"/>
              </w:rPr>
            </w:pPr>
            <w:r>
              <w:rPr>
                <w:rFonts w:hint="eastAsia" w:ascii="宋体" w:hAnsi="宋体"/>
                <w:color w:val="auto"/>
                <w:szCs w:val="21"/>
                <w:highlight w:val="none"/>
              </w:rPr>
              <w:t>设计</w:t>
            </w:r>
          </w:p>
          <w:p>
            <w:pPr>
              <w:spacing w:line="360" w:lineRule="exact"/>
              <w:jc w:val="center"/>
              <w:rPr>
                <w:rFonts w:ascii="宋体" w:hAnsi="宋体"/>
                <w:color w:val="auto"/>
                <w:szCs w:val="21"/>
                <w:highlight w:val="none"/>
              </w:rPr>
            </w:pPr>
            <w:r>
              <w:rPr>
                <w:rFonts w:hint="eastAsia" w:ascii="宋体" w:hAnsi="宋体"/>
                <w:color w:val="auto"/>
                <w:szCs w:val="21"/>
                <w:highlight w:val="none"/>
              </w:rPr>
              <w:t>和技</w:t>
            </w:r>
          </w:p>
          <w:p>
            <w:pPr>
              <w:spacing w:line="360" w:lineRule="exact"/>
              <w:jc w:val="center"/>
              <w:rPr>
                <w:rFonts w:ascii="宋体" w:hAnsi="宋体"/>
                <w:color w:val="auto"/>
                <w:szCs w:val="21"/>
                <w:highlight w:val="none"/>
              </w:rPr>
            </w:pPr>
            <w:r>
              <w:rPr>
                <w:rFonts w:hint="eastAsia" w:ascii="宋体" w:hAnsi="宋体"/>
                <w:color w:val="auto"/>
                <w:szCs w:val="21"/>
                <w:highlight w:val="none"/>
              </w:rPr>
              <w:t>术水</w:t>
            </w:r>
          </w:p>
          <w:p>
            <w:pPr>
              <w:spacing w:line="360" w:lineRule="exact"/>
              <w:jc w:val="center"/>
              <w:rPr>
                <w:rFonts w:ascii="宋体" w:hAnsi="宋体"/>
                <w:color w:val="auto"/>
                <w:szCs w:val="21"/>
                <w:highlight w:val="none"/>
              </w:rPr>
            </w:pPr>
            <w:r>
              <w:rPr>
                <w:rFonts w:hint="eastAsia" w:ascii="宋体" w:hAnsi="宋体"/>
                <w:color w:val="auto"/>
                <w:szCs w:val="21"/>
                <w:highlight w:val="none"/>
              </w:rPr>
              <w:t>平</w:t>
            </w:r>
          </w:p>
          <w:p>
            <w:pPr>
              <w:spacing w:line="360" w:lineRule="exact"/>
              <w:jc w:val="center"/>
              <w:rPr>
                <w:rFonts w:ascii="宋体" w:hAnsi="宋体"/>
                <w:color w:val="auto"/>
                <w:szCs w:val="21"/>
                <w:highlight w:val="none"/>
              </w:rPr>
            </w:pPr>
          </w:p>
        </w:tc>
        <w:tc>
          <w:tcPr>
            <w:tcW w:w="725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exact"/>
              <w:rPr>
                <w:rFonts w:ascii="宋体" w:hAnsi="宋体"/>
                <w:color w:val="auto"/>
                <w:szCs w:val="21"/>
                <w:highlight w:val="none"/>
              </w:rPr>
            </w:pPr>
            <w:r>
              <w:rPr>
                <w:rFonts w:hint="eastAsia" w:ascii="宋体" w:hAnsi="宋体"/>
                <w:color w:val="auto"/>
                <w:szCs w:val="21"/>
                <w:highlight w:val="none"/>
              </w:rPr>
              <w:t>评委根据投标供应商提供的投标方案和产品技术先进性、可靠性、技术资料完整性等内容进行评审，优得 6-8 分，良得 2-5.9分，一般得 0-1.9 分。</w:t>
            </w:r>
          </w:p>
        </w:tc>
        <w:tc>
          <w:tcPr>
            <w:tcW w:w="850" w:type="dxa"/>
            <w:tcBorders>
              <w:top w:val="single" w:color="000000" w:sz="4" w:space="0"/>
              <w:left w:val="single" w:color="000000" w:sz="4" w:space="0"/>
              <w:right w:val="single" w:color="000000" w:sz="4" w:space="0"/>
            </w:tcBorders>
            <w:noWrap w:val="0"/>
            <w:vAlign w:val="center"/>
          </w:tcPr>
          <w:p>
            <w:pPr>
              <w:spacing w:line="360" w:lineRule="exact"/>
              <w:jc w:val="center"/>
              <w:textAlignment w:val="center"/>
              <w:rPr>
                <w:rFonts w:ascii="宋体" w:hAnsi="宋体"/>
                <w:b/>
                <w:color w:val="auto"/>
                <w:szCs w:val="21"/>
                <w:highlight w:val="none"/>
              </w:rPr>
            </w:pPr>
            <w:r>
              <w:rPr>
                <w:rFonts w:hint="eastAsia" w:ascii="宋体" w:hAnsi="宋体"/>
                <w:b/>
                <w:color w:val="auto"/>
                <w:szCs w:val="21"/>
                <w:highlight w:val="none"/>
              </w:rPr>
              <w:t>0-8分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jc w:val="center"/>
        </w:trPr>
        <w:tc>
          <w:tcPr>
            <w:tcW w:w="454" w:type="dxa"/>
            <w:vMerge w:val="continue"/>
            <w:tcBorders>
              <w:left w:val="single" w:color="000000" w:sz="4" w:space="0"/>
              <w:right w:val="single" w:color="000000" w:sz="4" w:space="0"/>
            </w:tcBorders>
            <w:noWrap w:val="0"/>
            <w:vAlign w:val="center"/>
          </w:tcPr>
          <w:p>
            <w:pPr>
              <w:spacing w:line="360" w:lineRule="exact"/>
              <w:jc w:val="center"/>
              <w:rPr>
                <w:rFonts w:ascii="宋体" w:hAnsi="宋体"/>
                <w:color w:val="auto"/>
                <w:szCs w:val="21"/>
                <w:highlight w:val="none"/>
              </w:rPr>
            </w:pPr>
          </w:p>
        </w:tc>
        <w:tc>
          <w:tcPr>
            <w:tcW w:w="1248" w:type="dxa"/>
            <w:vMerge w:val="continue"/>
            <w:tcBorders>
              <w:left w:val="single" w:color="000000" w:sz="4" w:space="0"/>
              <w:right w:val="single" w:color="000000" w:sz="4" w:space="0"/>
            </w:tcBorders>
            <w:noWrap w:val="0"/>
            <w:vAlign w:val="center"/>
          </w:tcPr>
          <w:p>
            <w:pPr>
              <w:spacing w:line="360" w:lineRule="exact"/>
              <w:jc w:val="center"/>
              <w:rPr>
                <w:rFonts w:ascii="宋体" w:hAnsi="宋体"/>
                <w:color w:val="auto"/>
                <w:szCs w:val="21"/>
                <w:highlight w:val="none"/>
              </w:rPr>
            </w:pPr>
          </w:p>
        </w:tc>
        <w:tc>
          <w:tcPr>
            <w:tcW w:w="725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exact"/>
              <w:rPr>
                <w:rFonts w:ascii="宋体" w:hAnsi="宋体"/>
                <w:color w:val="auto"/>
                <w:szCs w:val="21"/>
                <w:highlight w:val="none"/>
              </w:rPr>
            </w:pPr>
            <w:r>
              <w:rPr>
                <w:rFonts w:hint="eastAsia" w:ascii="宋体" w:hAnsi="宋体"/>
                <w:color w:val="auto"/>
                <w:szCs w:val="21"/>
                <w:highlight w:val="none"/>
              </w:rPr>
              <w:t>评委根据投标供应商提供的实施方案，包括项目施工组织计划、项目组织机构、项目施工、供货、安装、集成、调测、验收进度计划，针对本项目的技术力量配备等方面进行评审，优得 6-8 分，良得 2-5.9分，一般得 0-1.9 分。</w:t>
            </w:r>
          </w:p>
        </w:tc>
        <w:tc>
          <w:tcPr>
            <w:tcW w:w="850" w:type="dxa"/>
            <w:tcBorders>
              <w:left w:val="single" w:color="000000" w:sz="4" w:space="0"/>
              <w:right w:val="single" w:color="000000" w:sz="4" w:space="0"/>
            </w:tcBorders>
            <w:noWrap w:val="0"/>
            <w:vAlign w:val="center"/>
          </w:tcPr>
          <w:p>
            <w:pPr>
              <w:spacing w:line="360" w:lineRule="exact"/>
              <w:jc w:val="center"/>
              <w:textAlignment w:val="center"/>
              <w:rPr>
                <w:rFonts w:ascii="宋体" w:hAnsi="宋体"/>
                <w:b/>
                <w:color w:val="auto"/>
                <w:szCs w:val="21"/>
                <w:highlight w:val="none"/>
              </w:rPr>
            </w:pPr>
            <w:r>
              <w:rPr>
                <w:rFonts w:hint="eastAsia" w:ascii="宋体" w:hAnsi="宋体"/>
                <w:b/>
                <w:color w:val="auto"/>
                <w:szCs w:val="21"/>
                <w:highlight w:val="none"/>
              </w:rPr>
              <w:t>0-8分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jc w:val="center"/>
        </w:trPr>
        <w:tc>
          <w:tcPr>
            <w:tcW w:w="454" w:type="dxa"/>
            <w:vMerge w:val="continue"/>
            <w:tcBorders>
              <w:left w:val="single" w:color="000000" w:sz="4" w:space="0"/>
              <w:right w:val="single" w:color="000000" w:sz="4" w:space="0"/>
            </w:tcBorders>
            <w:noWrap w:val="0"/>
            <w:vAlign w:val="center"/>
          </w:tcPr>
          <w:p>
            <w:pPr>
              <w:spacing w:line="360" w:lineRule="exact"/>
              <w:jc w:val="center"/>
              <w:rPr>
                <w:rFonts w:ascii="宋体" w:hAnsi="宋体"/>
                <w:color w:val="auto"/>
                <w:szCs w:val="21"/>
                <w:highlight w:val="none"/>
              </w:rPr>
            </w:pPr>
          </w:p>
        </w:tc>
        <w:tc>
          <w:tcPr>
            <w:tcW w:w="1248" w:type="dxa"/>
            <w:vMerge w:val="continue"/>
            <w:tcBorders>
              <w:left w:val="single" w:color="000000" w:sz="4" w:space="0"/>
              <w:right w:val="single" w:color="000000" w:sz="4" w:space="0"/>
            </w:tcBorders>
            <w:noWrap w:val="0"/>
            <w:vAlign w:val="center"/>
          </w:tcPr>
          <w:p>
            <w:pPr>
              <w:spacing w:line="360" w:lineRule="exact"/>
              <w:jc w:val="center"/>
              <w:rPr>
                <w:rFonts w:ascii="宋体" w:hAnsi="宋体"/>
                <w:color w:val="auto"/>
                <w:szCs w:val="21"/>
                <w:highlight w:val="none"/>
              </w:rPr>
            </w:pPr>
          </w:p>
        </w:tc>
        <w:tc>
          <w:tcPr>
            <w:tcW w:w="725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exact"/>
              <w:rPr>
                <w:rFonts w:ascii="宋体" w:hAnsi="宋体"/>
                <w:color w:val="auto"/>
                <w:szCs w:val="21"/>
                <w:highlight w:val="none"/>
              </w:rPr>
            </w:pPr>
            <w:r>
              <w:rPr>
                <w:rFonts w:hint="eastAsia" w:ascii="宋体" w:hAnsi="宋体"/>
                <w:color w:val="auto"/>
                <w:szCs w:val="21"/>
                <w:highlight w:val="none"/>
              </w:rPr>
              <w:t>评委根据投标产品的用户使用评价进行评审：</w:t>
            </w:r>
          </w:p>
          <w:p>
            <w:pPr>
              <w:spacing w:line="360" w:lineRule="exact"/>
              <w:rPr>
                <w:rFonts w:ascii="宋体" w:hAnsi="宋体"/>
                <w:color w:val="auto"/>
                <w:szCs w:val="21"/>
                <w:highlight w:val="none"/>
              </w:rPr>
            </w:pPr>
            <w:r>
              <w:rPr>
                <w:rFonts w:hint="eastAsia" w:ascii="宋体" w:hAnsi="宋体"/>
                <w:color w:val="auto"/>
                <w:szCs w:val="21"/>
                <w:highlight w:val="none"/>
              </w:rPr>
              <w:t>1 称重子系统：优得 3-2 分；良得1.9-1分；一般得0.9-0分；</w:t>
            </w:r>
          </w:p>
          <w:p>
            <w:pPr>
              <w:spacing w:line="360" w:lineRule="exact"/>
              <w:rPr>
                <w:rFonts w:ascii="宋体" w:hAnsi="宋体"/>
                <w:color w:val="auto"/>
                <w:szCs w:val="21"/>
                <w:highlight w:val="none"/>
              </w:rPr>
            </w:pPr>
            <w:r>
              <w:rPr>
                <w:rFonts w:hint="eastAsia" w:ascii="宋体" w:hAnsi="宋体"/>
                <w:color w:val="auto"/>
                <w:szCs w:val="21"/>
                <w:highlight w:val="none"/>
              </w:rPr>
              <w:t>2 车牌识别子系统：优得 3-2 分；良得1.9-1分；一般得0.9-0分；</w:t>
            </w:r>
          </w:p>
          <w:p>
            <w:pPr>
              <w:spacing w:line="360" w:lineRule="exact"/>
              <w:rPr>
                <w:rFonts w:ascii="宋体" w:hAnsi="宋体"/>
                <w:color w:val="auto"/>
                <w:szCs w:val="21"/>
                <w:highlight w:val="none"/>
              </w:rPr>
            </w:pPr>
            <w:r>
              <w:rPr>
                <w:rFonts w:hint="eastAsia" w:ascii="宋体" w:hAnsi="宋体"/>
                <w:color w:val="auto"/>
                <w:szCs w:val="21"/>
                <w:highlight w:val="none"/>
              </w:rPr>
              <w:t>3 信息发布子系统：优得 3-2 分；良得1.9-1分；一般得0.9-0分；</w:t>
            </w:r>
          </w:p>
          <w:p>
            <w:pPr>
              <w:spacing w:line="360" w:lineRule="exact"/>
              <w:rPr>
                <w:rFonts w:ascii="宋体" w:hAnsi="宋体"/>
                <w:color w:val="auto"/>
                <w:szCs w:val="21"/>
                <w:highlight w:val="none"/>
              </w:rPr>
            </w:pPr>
            <w:r>
              <w:rPr>
                <w:rFonts w:hint="eastAsia" w:ascii="宋体" w:hAnsi="宋体"/>
                <w:color w:val="auto"/>
                <w:szCs w:val="21"/>
                <w:highlight w:val="none"/>
              </w:rPr>
              <w:t>投标文件中须提供加盖用户单位公章的评价报告复印件并加盖投标供应商公章。</w:t>
            </w:r>
          </w:p>
        </w:tc>
        <w:tc>
          <w:tcPr>
            <w:tcW w:w="850" w:type="dxa"/>
            <w:tcBorders>
              <w:left w:val="single" w:color="000000" w:sz="4" w:space="0"/>
              <w:right w:val="single" w:color="000000" w:sz="4" w:space="0"/>
            </w:tcBorders>
            <w:noWrap w:val="0"/>
            <w:vAlign w:val="center"/>
          </w:tcPr>
          <w:p>
            <w:pPr>
              <w:spacing w:line="360" w:lineRule="exact"/>
              <w:jc w:val="center"/>
              <w:textAlignment w:val="center"/>
              <w:rPr>
                <w:rFonts w:ascii="宋体" w:hAnsi="宋体"/>
                <w:b/>
                <w:color w:val="auto"/>
                <w:szCs w:val="21"/>
                <w:highlight w:val="none"/>
              </w:rPr>
            </w:pPr>
            <w:r>
              <w:rPr>
                <w:rFonts w:hint="eastAsia" w:ascii="宋体" w:hAnsi="宋体"/>
                <w:b/>
                <w:color w:val="auto"/>
                <w:szCs w:val="21"/>
                <w:highlight w:val="none"/>
              </w:rPr>
              <w:t>0-9分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jc w:val="center"/>
        </w:trPr>
        <w:tc>
          <w:tcPr>
            <w:tcW w:w="454" w:type="dxa"/>
            <w:vMerge w:val="continue"/>
            <w:tcBorders>
              <w:left w:val="single" w:color="000000" w:sz="4" w:space="0"/>
              <w:right w:val="single" w:color="000000" w:sz="4" w:space="0"/>
            </w:tcBorders>
            <w:noWrap w:val="0"/>
            <w:vAlign w:val="center"/>
          </w:tcPr>
          <w:p>
            <w:pPr>
              <w:spacing w:line="360" w:lineRule="exact"/>
              <w:jc w:val="center"/>
              <w:rPr>
                <w:rFonts w:ascii="宋体" w:hAnsi="宋体"/>
                <w:color w:val="auto"/>
                <w:szCs w:val="21"/>
                <w:highlight w:val="none"/>
              </w:rPr>
            </w:pPr>
          </w:p>
        </w:tc>
        <w:tc>
          <w:tcPr>
            <w:tcW w:w="1248" w:type="dxa"/>
            <w:vMerge w:val="continue"/>
            <w:tcBorders>
              <w:left w:val="single" w:color="000000" w:sz="4" w:space="0"/>
              <w:right w:val="single" w:color="000000" w:sz="4" w:space="0"/>
            </w:tcBorders>
            <w:noWrap w:val="0"/>
            <w:vAlign w:val="center"/>
          </w:tcPr>
          <w:p>
            <w:pPr>
              <w:spacing w:line="360" w:lineRule="exact"/>
              <w:jc w:val="center"/>
              <w:rPr>
                <w:rFonts w:ascii="宋体" w:hAnsi="宋体"/>
                <w:color w:val="auto"/>
                <w:szCs w:val="21"/>
                <w:highlight w:val="none"/>
              </w:rPr>
            </w:pPr>
          </w:p>
        </w:tc>
        <w:tc>
          <w:tcPr>
            <w:tcW w:w="725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exact"/>
              <w:rPr>
                <w:rFonts w:ascii="宋体" w:hAnsi="宋体"/>
                <w:color w:val="auto"/>
                <w:szCs w:val="21"/>
                <w:highlight w:val="none"/>
              </w:rPr>
            </w:pPr>
            <w:r>
              <w:rPr>
                <w:rFonts w:hint="eastAsia" w:ascii="宋体" w:hAnsi="宋体"/>
                <w:color w:val="auto"/>
                <w:szCs w:val="21"/>
                <w:highlight w:val="none"/>
              </w:rPr>
              <w:t>主要技术参数：由评委根据投标供应商所提供的产品技术参数进行评审，全部满足招标要求的得7分，每有一项负偏离扣0.5分，扣完为止。</w:t>
            </w:r>
          </w:p>
        </w:tc>
        <w:tc>
          <w:tcPr>
            <w:tcW w:w="850" w:type="dxa"/>
            <w:tcBorders>
              <w:left w:val="single" w:color="000000" w:sz="4" w:space="0"/>
              <w:right w:val="single" w:color="000000" w:sz="4" w:space="0"/>
            </w:tcBorders>
            <w:noWrap w:val="0"/>
            <w:vAlign w:val="center"/>
          </w:tcPr>
          <w:p>
            <w:pPr>
              <w:spacing w:line="360" w:lineRule="exact"/>
              <w:jc w:val="center"/>
              <w:textAlignment w:val="center"/>
              <w:rPr>
                <w:rFonts w:ascii="宋体" w:hAnsi="宋体"/>
                <w:b/>
                <w:color w:val="auto"/>
                <w:szCs w:val="21"/>
                <w:highlight w:val="none"/>
              </w:rPr>
            </w:pPr>
            <w:r>
              <w:rPr>
                <w:rFonts w:hint="eastAsia" w:ascii="宋体" w:hAnsi="宋体"/>
                <w:b/>
                <w:color w:val="auto"/>
                <w:szCs w:val="21"/>
                <w:highlight w:val="none"/>
              </w:rPr>
              <w:t>0-7分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jc w:val="center"/>
        </w:trPr>
        <w:tc>
          <w:tcPr>
            <w:tcW w:w="454" w:type="dxa"/>
            <w:vMerge w:val="restart"/>
            <w:tcBorders>
              <w:left w:val="single" w:color="000000" w:sz="4" w:space="0"/>
              <w:right w:val="single" w:color="000000" w:sz="4" w:space="0"/>
            </w:tcBorders>
            <w:noWrap w:val="0"/>
            <w:vAlign w:val="center"/>
          </w:tcPr>
          <w:p>
            <w:pPr>
              <w:spacing w:line="360" w:lineRule="exact"/>
              <w:jc w:val="center"/>
              <w:rPr>
                <w:rFonts w:ascii="宋体" w:hAnsi="宋体"/>
                <w:color w:val="auto"/>
                <w:szCs w:val="21"/>
                <w:highlight w:val="none"/>
              </w:rPr>
            </w:pPr>
            <w:r>
              <w:rPr>
                <w:rFonts w:hint="eastAsia" w:ascii="宋体" w:hAnsi="宋体"/>
                <w:color w:val="auto"/>
                <w:szCs w:val="21"/>
                <w:highlight w:val="none"/>
              </w:rPr>
              <w:t>5</w:t>
            </w:r>
          </w:p>
        </w:tc>
        <w:tc>
          <w:tcPr>
            <w:tcW w:w="1248" w:type="dxa"/>
            <w:vMerge w:val="restart"/>
            <w:tcBorders>
              <w:left w:val="single" w:color="000000" w:sz="4" w:space="0"/>
              <w:right w:val="single" w:color="000000" w:sz="4" w:space="0"/>
            </w:tcBorders>
            <w:noWrap w:val="0"/>
            <w:vAlign w:val="center"/>
          </w:tcPr>
          <w:p>
            <w:pPr>
              <w:spacing w:line="360" w:lineRule="exact"/>
              <w:jc w:val="center"/>
              <w:rPr>
                <w:rFonts w:ascii="宋体" w:hAnsi="宋体"/>
                <w:color w:val="auto"/>
                <w:szCs w:val="21"/>
                <w:highlight w:val="none"/>
              </w:rPr>
            </w:pPr>
            <w:r>
              <w:rPr>
                <w:rFonts w:hint="eastAsia" w:ascii="宋体" w:hAnsi="宋体"/>
                <w:color w:val="auto"/>
                <w:szCs w:val="21"/>
                <w:highlight w:val="none"/>
              </w:rPr>
              <w:t>售后</w:t>
            </w:r>
          </w:p>
          <w:p>
            <w:pPr>
              <w:spacing w:line="360" w:lineRule="exact"/>
              <w:jc w:val="center"/>
              <w:rPr>
                <w:rFonts w:ascii="宋体" w:hAnsi="宋体"/>
                <w:color w:val="auto"/>
                <w:szCs w:val="21"/>
                <w:highlight w:val="none"/>
              </w:rPr>
            </w:pPr>
            <w:r>
              <w:rPr>
                <w:rFonts w:hint="eastAsia" w:ascii="宋体" w:hAnsi="宋体"/>
                <w:color w:val="auto"/>
                <w:szCs w:val="21"/>
                <w:highlight w:val="none"/>
              </w:rPr>
              <w:t>培训</w:t>
            </w:r>
          </w:p>
          <w:p>
            <w:pPr>
              <w:spacing w:line="360" w:lineRule="exact"/>
              <w:jc w:val="center"/>
              <w:rPr>
                <w:rFonts w:ascii="宋体" w:hAnsi="宋体"/>
                <w:color w:val="auto"/>
                <w:szCs w:val="21"/>
                <w:highlight w:val="none"/>
              </w:rPr>
            </w:pPr>
            <w:r>
              <w:rPr>
                <w:rFonts w:hint="eastAsia" w:ascii="宋体" w:hAnsi="宋体"/>
                <w:color w:val="auto"/>
                <w:szCs w:val="21"/>
                <w:highlight w:val="none"/>
              </w:rPr>
              <w:t>等其</w:t>
            </w:r>
          </w:p>
          <w:p>
            <w:pPr>
              <w:spacing w:line="360" w:lineRule="exact"/>
              <w:jc w:val="center"/>
              <w:rPr>
                <w:rFonts w:ascii="宋体" w:hAnsi="宋体"/>
                <w:color w:val="auto"/>
                <w:szCs w:val="21"/>
                <w:highlight w:val="none"/>
              </w:rPr>
            </w:pPr>
            <w:r>
              <w:rPr>
                <w:rFonts w:hint="eastAsia" w:ascii="宋体" w:hAnsi="宋体"/>
                <w:color w:val="auto"/>
                <w:szCs w:val="21"/>
                <w:highlight w:val="none"/>
              </w:rPr>
              <w:t>他内</w:t>
            </w:r>
          </w:p>
          <w:p>
            <w:pPr>
              <w:spacing w:line="360" w:lineRule="exact"/>
              <w:jc w:val="center"/>
              <w:rPr>
                <w:rFonts w:ascii="宋体" w:hAnsi="宋体"/>
                <w:color w:val="auto"/>
                <w:szCs w:val="21"/>
                <w:highlight w:val="none"/>
              </w:rPr>
            </w:pPr>
            <w:r>
              <w:rPr>
                <w:rFonts w:hint="eastAsia" w:ascii="宋体" w:hAnsi="宋体"/>
                <w:color w:val="auto"/>
                <w:szCs w:val="21"/>
                <w:highlight w:val="none"/>
              </w:rPr>
              <w:t>容</w:t>
            </w:r>
          </w:p>
        </w:tc>
        <w:tc>
          <w:tcPr>
            <w:tcW w:w="725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exact"/>
              <w:rPr>
                <w:rFonts w:ascii="宋体" w:hAnsi="宋体"/>
                <w:color w:val="auto"/>
                <w:szCs w:val="21"/>
                <w:highlight w:val="none"/>
              </w:rPr>
            </w:pPr>
            <w:r>
              <w:rPr>
                <w:rFonts w:hint="eastAsia" w:ascii="宋体" w:hAnsi="宋体"/>
                <w:color w:val="auto"/>
                <w:szCs w:val="21"/>
                <w:highlight w:val="none"/>
              </w:rPr>
              <w:t>评委根据投标供应商的服务标准、人员配备、工具车辆及保修措施、能对用户的要求及时做出响应、确保保修期内提供维修用备件等方面进行评审，优得 3-2 分；良得1.9-1分；一般得0.9-0分；</w:t>
            </w:r>
          </w:p>
        </w:tc>
        <w:tc>
          <w:tcPr>
            <w:tcW w:w="850" w:type="dxa"/>
            <w:tcBorders>
              <w:left w:val="single" w:color="000000" w:sz="4" w:space="0"/>
              <w:right w:val="single" w:color="000000" w:sz="4" w:space="0"/>
            </w:tcBorders>
            <w:noWrap w:val="0"/>
            <w:vAlign w:val="center"/>
          </w:tcPr>
          <w:p>
            <w:pPr>
              <w:spacing w:line="360" w:lineRule="exact"/>
              <w:jc w:val="center"/>
              <w:textAlignment w:val="center"/>
              <w:rPr>
                <w:rFonts w:ascii="宋体" w:hAnsi="宋体"/>
                <w:b/>
                <w:color w:val="auto"/>
                <w:szCs w:val="21"/>
                <w:highlight w:val="none"/>
              </w:rPr>
            </w:pPr>
            <w:r>
              <w:rPr>
                <w:rFonts w:hint="eastAsia" w:ascii="宋体" w:hAnsi="宋体"/>
                <w:b/>
                <w:color w:val="auto"/>
                <w:szCs w:val="21"/>
                <w:highlight w:val="none"/>
              </w:rPr>
              <w:t>0-3分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4" w:type="dxa"/>
            <w:vMerge w:val="continue"/>
            <w:tcBorders>
              <w:left w:val="single" w:color="000000" w:sz="4" w:space="0"/>
              <w:right w:val="single" w:color="000000" w:sz="4" w:space="0"/>
            </w:tcBorders>
            <w:noWrap w:val="0"/>
            <w:vAlign w:val="center"/>
          </w:tcPr>
          <w:p>
            <w:pPr>
              <w:spacing w:line="360" w:lineRule="exact"/>
              <w:jc w:val="center"/>
              <w:rPr>
                <w:rFonts w:ascii="宋体" w:hAnsi="宋体"/>
                <w:color w:val="auto"/>
                <w:szCs w:val="21"/>
                <w:highlight w:val="none"/>
              </w:rPr>
            </w:pPr>
          </w:p>
        </w:tc>
        <w:tc>
          <w:tcPr>
            <w:tcW w:w="1248" w:type="dxa"/>
            <w:vMerge w:val="continue"/>
            <w:tcBorders>
              <w:left w:val="single" w:color="000000" w:sz="4" w:space="0"/>
              <w:right w:val="single" w:color="000000" w:sz="4" w:space="0"/>
            </w:tcBorders>
            <w:noWrap w:val="0"/>
            <w:vAlign w:val="center"/>
          </w:tcPr>
          <w:p>
            <w:pPr>
              <w:spacing w:line="360" w:lineRule="exact"/>
              <w:jc w:val="center"/>
              <w:rPr>
                <w:rFonts w:ascii="宋体" w:hAnsi="宋体"/>
                <w:color w:val="auto"/>
                <w:szCs w:val="21"/>
                <w:highlight w:val="none"/>
              </w:rPr>
            </w:pPr>
          </w:p>
        </w:tc>
        <w:tc>
          <w:tcPr>
            <w:tcW w:w="725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exact"/>
              <w:rPr>
                <w:rFonts w:hint="eastAsia" w:ascii="宋体" w:hAnsi="宋体"/>
                <w:color w:val="auto"/>
                <w:szCs w:val="21"/>
                <w:highlight w:val="none"/>
              </w:rPr>
            </w:pPr>
            <w:r>
              <w:rPr>
                <w:rFonts w:hint="eastAsia" w:ascii="宋体" w:hAnsi="宋体"/>
                <w:color w:val="auto"/>
                <w:szCs w:val="21"/>
                <w:highlight w:val="none"/>
              </w:rPr>
              <w:t>本地化售后服务能力：投标供应商有本地化服务机构（或承诺中标后30天设立的）的为优（本地化服务机构包括分公司、办事处或长期委托售后服务单位），其它根据售后服务机构的远近程度及售后服务内容、保障措施由评委进行分析比较、评议、打分。优得 4-3 分；良得2.9-2分；一般得1.9-0分；</w:t>
            </w:r>
          </w:p>
          <w:p>
            <w:pPr>
              <w:spacing w:line="360" w:lineRule="exact"/>
              <w:rPr>
                <w:rFonts w:ascii="宋体" w:hAnsi="宋体"/>
                <w:color w:val="auto"/>
                <w:szCs w:val="21"/>
                <w:highlight w:val="none"/>
              </w:rPr>
            </w:pPr>
            <w:r>
              <w:rPr>
                <w:rFonts w:hint="eastAsia" w:ascii="宋体" w:hAnsi="宋体"/>
                <w:color w:val="auto"/>
                <w:szCs w:val="21"/>
                <w:highlight w:val="none"/>
              </w:rPr>
              <w:t>（投标文件中提供相关证明文件复印件并加盖投标供应商公章）。</w:t>
            </w:r>
          </w:p>
        </w:tc>
        <w:tc>
          <w:tcPr>
            <w:tcW w:w="850" w:type="dxa"/>
            <w:tcBorders>
              <w:left w:val="single" w:color="000000" w:sz="4" w:space="0"/>
              <w:right w:val="single" w:color="000000" w:sz="4" w:space="0"/>
            </w:tcBorders>
            <w:noWrap w:val="0"/>
            <w:vAlign w:val="center"/>
          </w:tcPr>
          <w:p>
            <w:pPr>
              <w:spacing w:line="360" w:lineRule="exact"/>
              <w:jc w:val="center"/>
              <w:textAlignment w:val="center"/>
              <w:rPr>
                <w:rFonts w:ascii="宋体" w:hAnsi="宋体"/>
                <w:b/>
                <w:color w:val="auto"/>
                <w:szCs w:val="21"/>
                <w:highlight w:val="none"/>
              </w:rPr>
            </w:pPr>
            <w:r>
              <w:rPr>
                <w:rFonts w:hint="eastAsia" w:ascii="宋体" w:hAnsi="宋体"/>
                <w:b/>
                <w:color w:val="auto"/>
                <w:szCs w:val="21"/>
                <w:highlight w:val="none"/>
              </w:rPr>
              <w:t>0-4分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4" w:type="dxa"/>
            <w:vMerge w:val="continue"/>
            <w:tcBorders>
              <w:left w:val="single" w:color="000000" w:sz="4" w:space="0"/>
              <w:right w:val="single" w:color="000000" w:sz="4" w:space="0"/>
            </w:tcBorders>
            <w:noWrap w:val="0"/>
            <w:vAlign w:val="center"/>
          </w:tcPr>
          <w:p>
            <w:pPr>
              <w:spacing w:line="360" w:lineRule="exact"/>
              <w:jc w:val="center"/>
              <w:rPr>
                <w:rFonts w:ascii="宋体" w:hAnsi="宋体"/>
                <w:color w:val="auto"/>
                <w:szCs w:val="21"/>
                <w:highlight w:val="none"/>
              </w:rPr>
            </w:pPr>
          </w:p>
        </w:tc>
        <w:tc>
          <w:tcPr>
            <w:tcW w:w="1248" w:type="dxa"/>
            <w:vMerge w:val="continue"/>
            <w:tcBorders>
              <w:left w:val="single" w:color="000000" w:sz="4" w:space="0"/>
              <w:right w:val="single" w:color="000000" w:sz="4" w:space="0"/>
            </w:tcBorders>
            <w:noWrap w:val="0"/>
            <w:vAlign w:val="center"/>
          </w:tcPr>
          <w:p>
            <w:pPr>
              <w:spacing w:line="360" w:lineRule="exact"/>
              <w:jc w:val="center"/>
              <w:rPr>
                <w:rFonts w:ascii="宋体" w:hAnsi="宋体"/>
                <w:color w:val="auto"/>
                <w:szCs w:val="21"/>
                <w:highlight w:val="none"/>
              </w:rPr>
            </w:pPr>
          </w:p>
        </w:tc>
        <w:tc>
          <w:tcPr>
            <w:tcW w:w="725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exact"/>
              <w:rPr>
                <w:rFonts w:ascii="宋体" w:hAnsi="宋体"/>
                <w:color w:val="auto"/>
                <w:szCs w:val="21"/>
                <w:highlight w:val="none"/>
              </w:rPr>
            </w:pPr>
            <w:r>
              <w:rPr>
                <w:rFonts w:hint="eastAsia" w:ascii="宋体" w:hAnsi="宋体"/>
                <w:color w:val="auto"/>
                <w:szCs w:val="21"/>
                <w:highlight w:val="none"/>
              </w:rPr>
              <w:t>评委根据投标供应商的培训方案的合理性、可行性等进行评审。优得 4-3 分；良得2.9-2分；一般得1.9-0分；</w:t>
            </w:r>
          </w:p>
        </w:tc>
        <w:tc>
          <w:tcPr>
            <w:tcW w:w="850" w:type="dxa"/>
            <w:tcBorders>
              <w:left w:val="single" w:color="000000" w:sz="4" w:space="0"/>
              <w:right w:val="single" w:color="000000" w:sz="4" w:space="0"/>
            </w:tcBorders>
            <w:noWrap w:val="0"/>
            <w:vAlign w:val="center"/>
          </w:tcPr>
          <w:p>
            <w:pPr>
              <w:spacing w:line="360" w:lineRule="exact"/>
              <w:jc w:val="center"/>
              <w:textAlignment w:val="center"/>
              <w:rPr>
                <w:rFonts w:ascii="宋体" w:hAnsi="宋体"/>
                <w:b/>
                <w:color w:val="auto"/>
                <w:szCs w:val="21"/>
                <w:highlight w:val="none"/>
              </w:rPr>
            </w:pPr>
            <w:r>
              <w:rPr>
                <w:rFonts w:hint="eastAsia" w:ascii="宋体" w:hAnsi="宋体"/>
                <w:b/>
                <w:color w:val="auto"/>
                <w:szCs w:val="21"/>
                <w:highlight w:val="none"/>
              </w:rPr>
              <w:t>0-4分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4" w:type="dxa"/>
            <w:vMerge w:val="continue"/>
            <w:tcBorders>
              <w:left w:val="single" w:color="000000" w:sz="4" w:space="0"/>
              <w:right w:val="single" w:color="000000" w:sz="4" w:space="0"/>
            </w:tcBorders>
            <w:noWrap w:val="0"/>
            <w:vAlign w:val="center"/>
          </w:tcPr>
          <w:p>
            <w:pPr>
              <w:spacing w:line="360" w:lineRule="exact"/>
              <w:jc w:val="center"/>
              <w:rPr>
                <w:rFonts w:ascii="宋体" w:hAnsi="宋体"/>
                <w:color w:val="auto"/>
                <w:szCs w:val="21"/>
                <w:highlight w:val="none"/>
              </w:rPr>
            </w:pPr>
          </w:p>
        </w:tc>
        <w:tc>
          <w:tcPr>
            <w:tcW w:w="1248" w:type="dxa"/>
            <w:vMerge w:val="continue"/>
            <w:tcBorders>
              <w:left w:val="single" w:color="000000" w:sz="4" w:space="0"/>
              <w:right w:val="single" w:color="000000" w:sz="4" w:space="0"/>
            </w:tcBorders>
            <w:noWrap w:val="0"/>
            <w:vAlign w:val="center"/>
          </w:tcPr>
          <w:p>
            <w:pPr>
              <w:spacing w:line="360" w:lineRule="exact"/>
              <w:jc w:val="center"/>
              <w:rPr>
                <w:rFonts w:ascii="宋体" w:hAnsi="宋体"/>
                <w:color w:val="auto"/>
                <w:szCs w:val="21"/>
                <w:highlight w:val="none"/>
              </w:rPr>
            </w:pPr>
          </w:p>
        </w:tc>
        <w:tc>
          <w:tcPr>
            <w:tcW w:w="7258" w:type="dxa"/>
            <w:tcBorders>
              <w:top w:val="single" w:color="000000" w:sz="4" w:space="0"/>
              <w:left w:val="single" w:color="000000" w:sz="4" w:space="0"/>
              <w:right w:val="single" w:color="000000" w:sz="4" w:space="0"/>
            </w:tcBorders>
            <w:noWrap w:val="0"/>
            <w:vAlign w:val="center"/>
          </w:tcPr>
          <w:p>
            <w:pPr>
              <w:spacing w:line="360" w:lineRule="exact"/>
              <w:rPr>
                <w:rFonts w:ascii="宋体" w:hAnsi="宋体"/>
                <w:color w:val="auto"/>
                <w:szCs w:val="21"/>
                <w:highlight w:val="none"/>
              </w:rPr>
            </w:pPr>
            <w:r>
              <w:rPr>
                <w:rFonts w:hint="eastAsia" w:ascii="宋体" w:hAnsi="宋体"/>
                <w:color w:val="auto"/>
                <w:szCs w:val="21"/>
                <w:highlight w:val="none"/>
              </w:rPr>
              <w:t>车辆配备：投标供应商配有登高专项作业车的得3分。</w:t>
            </w:r>
          </w:p>
          <w:p>
            <w:pPr>
              <w:spacing w:line="360" w:lineRule="exact"/>
              <w:rPr>
                <w:rFonts w:ascii="宋体" w:hAnsi="宋体"/>
                <w:color w:val="auto"/>
                <w:szCs w:val="21"/>
                <w:highlight w:val="none"/>
              </w:rPr>
            </w:pPr>
            <w:r>
              <w:rPr>
                <w:rFonts w:hint="eastAsia" w:ascii="宋体" w:hAnsi="宋体"/>
                <w:color w:val="auto"/>
                <w:szCs w:val="21"/>
                <w:highlight w:val="none"/>
              </w:rPr>
              <w:t>注：如自有的，投标文件中提供车辆行驶证复印件并加盖投标供应商公章（行驶证所有人名称须与投标供应商名称一致，否则不予计分）；若车辆为租赁的，投标文件中需提供车辆行驶证和租赁协议复印件并加盖投标供应商公章。</w:t>
            </w:r>
          </w:p>
        </w:tc>
        <w:tc>
          <w:tcPr>
            <w:tcW w:w="850" w:type="dxa"/>
            <w:tcBorders>
              <w:left w:val="single" w:color="000000" w:sz="4" w:space="0"/>
              <w:right w:val="single" w:color="000000" w:sz="4" w:space="0"/>
            </w:tcBorders>
            <w:noWrap w:val="0"/>
            <w:vAlign w:val="center"/>
          </w:tcPr>
          <w:p>
            <w:pPr>
              <w:spacing w:line="360" w:lineRule="exact"/>
              <w:jc w:val="center"/>
              <w:textAlignment w:val="center"/>
              <w:rPr>
                <w:rFonts w:ascii="宋体" w:hAnsi="宋体"/>
                <w:b/>
                <w:color w:val="auto"/>
                <w:szCs w:val="21"/>
                <w:highlight w:val="none"/>
              </w:rPr>
            </w:pPr>
            <w:r>
              <w:rPr>
                <w:rFonts w:hint="eastAsia" w:ascii="宋体" w:hAnsi="宋体"/>
                <w:b/>
                <w:color w:val="auto"/>
                <w:szCs w:val="21"/>
                <w:highlight w:val="none"/>
              </w:rPr>
              <w:t>0-3分</w:t>
            </w:r>
          </w:p>
        </w:tc>
      </w:tr>
    </w:tbl>
    <w:p>
      <w:pPr>
        <w:spacing w:line="500" w:lineRule="exact"/>
        <w:jc w:val="left"/>
        <w:rPr>
          <w:rFonts w:ascii="宋体" w:hAnsi="宋体" w:cs="宋体"/>
          <w:b/>
          <w:bCs/>
          <w:iCs/>
          <w:color w:val="auto"/>
          <w:szCs w:val="21"/>
          <w:highlight w:val="none"/>
        </w:rPr>
      </w:pPr>
      <w:r>
        <w:rPr>
          <w:rFonts w:hint="eastAsia" w:ascii="宋体" w:hAnsi="宋体" w:cs="宋体"/>
          <w:b/>
          <w:bCs/>
          <w:iCs/>
          <w:color w:val="auto"/>
          <w:szCs w:val="21"/>
          <w:highlight w:val="none"/>
        </w:rPr>
        <w:t>注：1、所有证书都应在有效期内，逾期不得分。</w:t>
      </w:r>
    </w:p>
    <w:p>
      <w:pPr>
        <w:pStyle w:val="2"/>
        <w:ind w:left="420" w:leftChars="200" w:firstLine="0" w:firstLineChars="0"/>
        <w:rPr>
          <w:rFonts w:ascii="宋体" w:hAnsi="宋体" w:cs="宋体"/>
          <w:b/>
          <w:bCs/>
          <w:iCs/>
          <w:color w:val="auto"/>
          <w:szCs w:val="21"/>
          <w:highlight w:val="none"/>
        </w:rPr>
        <w:sectPr>
          <w:pgSz w:w="11906" w:h="16838"/>
          <w:pgMar w:top="1588" w:right="1701" w:bottom="1418" w:left="1701" w:header="851" w:footer="851" w:gutter="0"/>
          <w:cols w:space="720" w:num="1"/>
          <w:docGrid w:linePitch="312" w:charSpace="0"/>
        </w:sectPr>
      </w:pPr>
      <w:r>
        <w:rPr>
          <w:rFonts w:hint="eastAsia" w:ascii="宋体" w:hAnsi="宋体" w:cs="宋体"/>
          <w:b/>
          <w:bCs/>
          <w:iCs/>
          <w:color w:val="auto"/>
          <w:szCs w:val="21"/>
          <w:highlight w:val="none"/>
        </w:rPr>
        <w:t>2、如投标文件中没有提供相对应的评审内容，则评标委员会对该缺项内容按零分计取。3、单项分值计算按各评委</w:t>
      </w:r>
      <w:r>
        <w:rPr>
          <w:rFonts w:ascii="宋体" w:hAnsi="宋体" w:cs="宋体"/>
          <w:b/>
          <w:bCs/>
          <w:iCs/>
          <w:color w:val="auto"/>
          <w:szCs w:val="21"/>
          <w:highlight w:val="none"/>
        </w:rPr>
        <w:t>评审</w:t>
      </w:r>
      <w:r>
        <w:rPr>
          <w:rFonts w:hint="eastAsia" w:ascii="宋体" w:hAnsi="宋体" w:cs="宋体"/>
          <w:b/>
          <w:bCs/>
          <w:iCs/>
          <w:color w:val="auto"/>
          <w:szCs w:val="21"/>
          <w:highlight w:val="none"/>
        </w:rPr>
        <w:t>分值</w:t>
      </w:r>
      <w:r>
        <w:rPr>
          <w:rFonts w:ascii="宋体" w:hAnsi="宋体" w:cs="宋体"/>
          <w:b/>
          <w:bCs/>
          <w:iCs/>
          <w:color w:val="auto"/>
          <w:szCs w:val="21"/>
          <w:highlight w:val="none"/>
        </w:rPr>
        <w:t>去掉最高分和最低分</w:t>
      </w:r>
      <w:r>
        <w:rPr>
          <w:rFonts w:hint="eastAsia" w:ascii="宋体" w:hAnsi="宋体" w:cs="宋体"/>
          <w:b/>
          <w:bCs/>
          <w:iCs/>
          <w:color w:val="auto"/>
          <w:szCs w:val="21"/>
          <w:highlight w:val="none"/>
        </w:rPr>
        <w:t>各一名后，剩余分值进行平均确定最终得分。总分不再进行平均。</w:t>
      </w:r>
    </w:p>
    <w:p>
      <w:pPr>
        <w:pStyle w:val="129"/>
        <w:shd w:val="clear" w:color="auto" w:fill="FFFFFF"/>
        <w:jc w:val="center"/>
        <w:rPr>
          <w:rFonts w:ascii="宋体" w:hAnsi="宋体" w:eastAsia="宋体"/>
          <w:color w:val="auto"/>
          <w:szCs w:val="28"/>
          <w:highlight w:val="none"/>
        </w:rPr>
      </w:pPr>
      <w:bookmarkStart w:id="212" w:name="_Toc144974567"/>
      <w:bookmarkStart w:id="213" w:name="_Toc152045600"/>
      <w:bookmarkStart w:id="214" w:name="_Toc152042377"/>
      <w:bookmarkStart w:id="215" w:name="_Toc179632618"/>
      <w:r>
        <w:rPr>
          <w:rFonts w:hint="eastAsia" w:ascii="黑体"/>
          <w:color w:val="auto"/>
          <w:sz w:val="32"/>
          <w:szCs w:val="32"/>
          <w:highlight w:val="none"/>
        </w:rPr>
        <w:t>评标办法</w:t>
      </w:r>
      <w:r>
        <w:rPr>
          <w:rFonts w:hint="eastAsia" w:ascii="宋体" w:hAnsi="宋体" w:eastAsia="宋体"/>
          <w:color w:val="auto"/>
          <w:szCs w:val="28"/>
          <w:highlight w:val="none"/>
        </w:rPr>
        <w:t>（综合评估法）</w:t>
      </w:r>
    </w:p>
    <w:p>
      <w:pPr>
        <w:pStyle w:val="129"/>
        <w:shd w:val="clear" w:color="auto" w:fill="FFFFFF"/>
        <w:rPr>
          <w:color w:val="auto"/>
          <w:highlight w:val="none"/>
        </w:rPr>
      </w:pPr>
      <w:r>
        <w:rPr>
          <w:rFonts w:hint="eastAsia"/>
          <w:color w:val="auto"/>
          <w:highlight w:val="none"/>
        </w:rPr>
        <w:t>1. 评标方法</w:t>
      </w:r>
      <w:bookmarkEnd w:id="212"/>
      <w:bookmarkEnd w:id="213"/>
      <w:bookmarkEnd w:id="214"/>
      <w:bookmarkEnd w:id="215"/>
    </w:p>
    <w:p>
      <w:pPr>
        <w:shd w:val="clear" w:color="auto" w:fill="FFFFFF"/>
        <w:spacing w:line="400" w:lineRule="exact"/>
        <w:ind w:firstLine="420" w:firstLineChars="200"/>
        <w:rPr>
          <w:color w:val="auto"/>
          <w:highlight w:val="none"/>
        </w:rPr>
      </w:pPr>
      <w:r>
        <w:rPr>
          <w:rFonts w:hint="eastAsia"/>
          <w:color w:val="auto"/>
          <w:highlight w:val="none"/>
        </w:rPr>
        <w:t>本次评标采用综合评估法。评标委员会对满足招标文件实质性要求的投标文件，按照本章第2.2款规定的评分标准进行打分，并按得分由高到低顺序推荐中标候选人，或根据招标人授权直接确定中标人，但投标报价低于其成本的除外。综合评分相等时，以投标报价低的优先；投标报价也相等的，由招标人当场抽签确定。</w:t>
      </w:r>
    </w:p>
    <w:p>
      <w:pPr>
        <w:pStyle w:val="129"/>
        <w:shd w:val="clear" w:color="auto" w:fill="FFFFFF"/>
        <w:rPr>
          <w:color w:val="auto"/>
          <w:highlight w:val="none"/>
        </w:rPr>
      </w:pPr>
      <w:bookmarkStart w:id="216" w:name="_Toc152045601"/>
      <w:bookmarkStart w:id="217" w:name="_Toc179632619"/>
      <w:bookmarkStart w:id="218" w:name="_Toc152042378"/>
      <w:bookmarkStart w:id="219" w:name="_Toc144974568"/>
      <w:r>
        <w:rPr>
          <w:rFonts w:hint="eastAsia"/>
          <w:color w:val="auto"/>
          <w:highlight w:val="none"/>
        </w:rPr>
        <w:t>2. 评审标准</w:t>
      </w:r>
      <w:bookmarkEnd w:id="216"/>
      <w:bookmarkEnd w:id="217"/>
      <w:bookmarkEnd w:id="218"/>
      <w:bookmarkEnd w:id="219"/>
    </w:p>
    <w:p>
      <w:pPr>
        <w:pStyle w:val="124"/>
        <w:shd w:val="clear" w:color="auto" w:fill="FFFFFF"/>
        <w:rPr>
          <w:color w:val="auto"/>
          <w:highlight w:val="none"/>
        </w:rPr>
      </w:pPr>
      <w:bookmarkStart w:id="220" w:name="_Toc152042379"/>
      <w:bookmarkStart w:id="221" w:name="_Toc144974569"/>
      <w:bookmarkStart w:id="222" w:name="_Toc152045602"/>
      <w:bookmarkStart w:id="223" w:name="_Toc179632620"/>
      <w:r>
        <w:rPr>
          <w:rFonts w:hint="eastAsia"/>
          <w:color w:val="auto"/>
          <w:highlight w:val="none"/>
        </w:rPr>
        <w:t>2.1 初步评审标准</w:t>
      </w:r>
      <w:bookmarkEnd w:id="220"/>
      <w:bookmarkEnd w:id="221"/>
      <w:bookmarkEnd w:id="222"/>
      <w:bookmarkEnd w:id="223"/>
    </w:p>
    <w:p>
      <w:pPr>
        <w:shd w:val="clear" w:color="auto" w:fill="FFFFFF"/>
        <w:spacing w:line="400" w:lineRule="exact"/>
        <w:ind w:firstLine="420" w:firstLineChars="200"/>
        <w:rPr>
          <w:color w:val="auto"/>
          <w:highlight w:val="none"/>
        </w:rPr>
      </w:pPr>
      <w:r>
        <w:rPr>
          <w:rFonts w:hint="eastAsia"/>
          <w:color w:val="auto"/>
          <w:highlight w:val="none"/>
        </w:rPr>
        <w:t>2.1.1 形式评审标准：见评标办法前附表。</w:t>
      </w:r>
    </w:p>
    <w:p>
      <w:pPr>
        <w:shd w:val="clear" w:color="auto" w:fill="FFFFFF"/>
        <w:spacing w:line="400" w:lineRule="exact"/>
        <w:ind w:firstLine="420" w:firstLineChars="200"/>
        <w:rPr>
          <w:color w:val="auto"/>
          <w:highlight w:val="none"/>
        </w:rPr>
      </w:pPr>
      <w:r>
        <w:rPr>
          <w:rFonts w:hint="eastAsia"/>
          <w:color w:val="auto"/>
          <w:highlight w:val="none"/>
        </w:rPr>
        <w:t>2.1.2 资格评审标准：见评标办法前附表（适用于未进行资格预审的）。</w:t>
      </w:r>
    </w:p>
    <w:p>
      <w:pPr>
        <w:shd w:val="clear" w:color="auto" w:fill="FFFFFF"/>
        <w:spacing w:line="400" w:lineRule="exact"/>
        <w:ind w:firstLine="420" w:firstLineChars="200"/>
        <w:rPr>
          <w:color w:val="auto"/>
          <w:highlight w:val="none"/>
        </w:rPr>
      </w:pPr>
      <w:r>
        <w:rPr>
          <w:rFonts w:hint="eastAsia"/>
          <w:color w:val="auto"/>
          <w:highlight w:val="none"/>
        </w:rPr>
        <w:t>2.1.2 资格评审标准：见资格预审文件第三章“资格审查办法”详细审查标准（适用于已进行资格预审的）。</w:t>
      </w:r>
    </w:p>
    <w:p>
      <w:pPr>
        <w:shd w:val="clear" w:color="auto" w:fill="FFFFFF"/>
        <w:spacing w:line="400" w:lineRule="exact"/>
        <w:ind w:firstLine="420" w:firstLineChars="200"/>
        <w:rPr>
          <w:color w:val="auto"/>
          <w:highlight w:val="none"/>
        </w:rPr>
      </w:pPr>
      <w:r>
        <w:rPr>
          <w:rFonts w:hint="eastAsia"/>
          <w:color w:val="auto"/>
          <w:highlight w:val="none"/>
        </w:rPr>
        <w:t>2.1.3 响应性评审标准：见评标办法前附表。</w:t>
      </w:r>
    </w:p>
    <w:p>
      <w:pPr>
        <w:pStyle w:val="124"/>
        <w:shd w:val="clear" w:color="auto" w:fill="FFFFFF"/>
        <w:rPr>
          <w:color w:val="auto"/>
          <w:highlight w:val="none"/>
        </w:rPr>
      </w:pPr>
      <w:bookmarkStart w:id="224" w:name="_Toc144974570"/>
      <w:bookmarkStart w:id="225" w:name="_Toc179632621"/>
      <w:bookmarkStart w:id="226" w:name="_Toc152045603"/>
      <w:bookmarkStart w:id="227" w:name="_Toc152042380"/>
      <w:r>
        <w:rPr>
          <w:rFonts w:hint="eastAsia"/>
          <w:color w:val="auto"/>
          <w:highlight w:val="none"/>
        </w:rPr>
        <w:t>2.2 分值构成与评分标准</w:t>
      </w:r>
      <w:bookmarkEnd w:id="224"/>
      <w:bookmarkEnd w:id="225"/>
      <w:bookmarkEnd w:id="226"/>
      <w:bookmarkEnd w:id="227"/>
    </w:p>
    <w:p>
      <w:pPr>
        <w:shd w:val="clear" w:color="auto" w:fill="FFFFFF"/>
        <w:spacing w:line="400" w:lineRule="exact"/>
        <w:ind w:firstLine="420" w:firstLineChars="200"/>
        <w:rPr>
          <w:color w:val="auto"/>
          <w:highlight w:val="none"/>
        </w:rPr>
      </w:pPr>
      <w:r>
        <w:rPr>
          <w:rFonts w:hint="eastAsia"/>
          <w:color w:val="auto"/>
          <w:highlight w:val="none"/>
        </w:rPr>
        <w:t xml:space="preserve">2.2.1 </w:t>
      </w:r>
      <w:r>
        <w:rPr>
          <w:rFonts w:hint="eastAsia" w:ascii="黑体" w:eastAsia="黑体"/>
          <w:color w:val="auto"/>
          <w:highlight w:val="none"/>
        </w:rPr>
        <w:t>分值构成</w:t>
      </w:r>
    </w:p>
    <w:p>
      <w:pPr>
        <w:shd w:val="clear" w:color="auto" w:fill="FFFFFF"/>
        <w:spacing w:line="400" w:lineRule="exact"/>
        <w:ind w:firstLine="718" w:firstLineChars="342"/>
        <w:rPr>
          <w:color w:val="auto"/>
          <w:highlight w:val="none"/>
        </w:rPr>
      </w:pPr>
      <w:r>
        <w:rPr>
          <w:rFonts w:hint="eastAsia"/>
          <w:color w:val="auto"/>
          <w:highlight w:val="none"/>
        </w:rPr>
        <w:t>见评标办法前附表。</w:t>
      </w:r>
    </w:p>
    <w:p>
      <w:pPr>
        <w:shd w:val="clear" w:color="auto" w:fill="FFFFFF"/>
        <w:spacing w:line="400" w:lineRule="exact"/>
        <w:ind w:firstLine="420" w:firstLineChars="200"/>
        <w:rPr>
          <w:color w:val="auto"/>
          <w:highlight w:val="none"/>
        </w:rPr>
      </w:pPr>
      <w:r>
        <w:rPr>
          <w:rFonts w:hint="eastAsia"/>
          <w:color w:val="auto"/>
          <w:highlight w:val="none"/>
        </w:rPr>
        <w:t xml:space="preserve">2.2.2 </w:t>
      </w:r>
      <w:r>
        <w:rPr>
          <w:rFonts w:hint="eastAsia" w:ascii="黑体" w:eastAsia="黑体"/>
          <w:color w:val="auto"/>
          <w:highlight w:val="none"/>
        </w:rPr>
        <w:t>评标基准价计算</w:t>
      </w:r>
    </w:p>
    <w:p>
      <w:pPr>
        <w:shd w:val="clear" w:color="auto" w:fill="FFFFFF"/>
        <w:spacing w:line="400" w:lineRule="exact"/>
        <w:ind w:firstLine="840" w:firstLineChars="400"/>
        <w:rPr>
          <w:color w:val="auto"/>
          <w:highlight w:val="none"/>
        </w:rPr>
      </w:pPr>
      <w:r>
        <w:rPr>
          <w:rFonts w:hint="eastAsia"/>
          <w:color w:val="auto"/>
          <w:highlight w:val="none"/>
        </w:rPr>
        <w:t>评标基准价计算方法：见评标办法前附表。</w:t>
      </w:r>
    </w:p>
    <w:p>
      <w:pPr>
        <w:shd w:val="clear" w:color="auto" w:fill="FFFFFF"/>
        <w:spacing w:line="400" w:lineRule="exact"/>
        <w:ind w:firstLine="420" w:firstLineChars="200"/>
        <w:rPr>
          <w:color w:val="auto"/>
          <w:highlight w:val="none"/>
        </w:rPr>
      </w:pPr>
      <w:r>
        <w:rPr>
          <w:rFonts w:hint="eastAsia"/>
          <w:color w:val="auto"/>
          <w:highlight w:val="none"/>
        </w:rPr>
        <w:t xml:space="preserve">2.2.3 </w:t>
      </w:r>
      <w:r>
        <w:rPr>
          <w:rFonts w:hint="eastAsia" w:ascii="黑体" w:eastAsia="黑体"/>
          <w:color w:val="auto"/>
          <w:highlight w:val="none"/>
        </w:rPr>
        <w:t>投标报价的偏差率计算</w:t>
      </w:r>
    </w:p>
    <w:p>
      <w:pPr>
        <w:shd w:val="clear" w:color="auto" w:fill="FFFFFF"/>
        <w:spacing w:line="400" w:lineRule="exact"/>
        <w:ind w:firstLine="840" w:firstLineChars="400"/>
        <w:rPr>
          <w:color w:val="auto"/>
          <w:highlight w:val="none"/>
        </w:rPr>
      </w:pPr>
      <w:r>
        <w:rPr>
          <w:rFonts w:hint="eastAsia"/>
          <w:color w:val="auto"/>
          <w:highlight w:val="none"/>
        </w:rPr>
        <w:t>投标报价的偏差率计算公式：见评标办法前附表。</w:t>
      </w:r>
    </w:p>
    <w:p>
      <w:pPr>
        <w:shd w:val="clear" w:color="auto" w:fill="FFFFFF"/>
        <w:spacing w:line="400" w:lineRule="exact"/>
        <w:ind w:firstLine="420" w:firstLineChars="200"/>
        <w:rPr>
          <w:color w:val="auto"/>
          <w:highlight w:val="none"/>
        </w:rPr>
      </w:pPr>
      <w:r>
        <w:rPr>
          <w:rFonts w:hint="eastAsia"/>
          <w:color w:val="auto"/>
          <w:highlight w:val="none"/>
        </w:rPr>
        <w:t xml:space="preserve">2.2.4 </w:t>
      </w:r>
      <w:r>
        <w:rPr>
          <w:rFonts w:hint="eastAsia" w:ascii="黑体" w:eastAsia="黑体"/>
          <w:color w:val="auto"/>
          <w:highlight w:val="none"/>
        </w:rPr>
        <w:t>评分标准</w:t>
      </w:r>
    </w:p>
    <w:p>
      <w:pPr>
        <w:shd w:val="clear" w:color="auto" w:fill="FFFFFF"/>
        <w:spacing w:line="400" w:lineRule="exact"/>
        <w:ind w:firstLine="718" w:firstLineChars="342"/>
        <w:rPr>
          <w:color w:val="auto"/>
          <w:highlight w:val="none"/>
        </w:rPr>
      </w:pPr>
      <w:r>
        <w:rPr>
          <w:rFonts w:hint="eastAsia" w:ascii="宋体" w:hAnsi="宋体"/>
          <w:color w:val="auto"/>
          <w:szCs w:val="21"/>
          <w:highlight w:val="none"/>
        </w:rPr>
        <w:t>在编写项目招标文件时明确</w:t>
      </w:r>
      <w:r>
        <w:rPr>
          <w:rFonts w:hint="eastAsia"/>
          <w:color w:val="auto"/>
          <w:highlight w:val="none"/>
        </w:rPr>
        <w:t>。</w:t>
      </w:r>
    </w:p>
    <w:p>
      <w:pPr>
        <w:pStyle w:val="129"/>
        <w:shd w:val="clear" w:color="auto" w:fill="FFFFFF"/>
        <w:rPr>
          <w:color w:val="auto"/>
          <w:highlight w:val="none"/>
        </w:rPr>
      </w:pPr>
      <w:bookmarkStart w:id="228" w:name="_Toc152045604"/>
      <w:bookmarkStart w:id="229" w:name="_Toc144974571"/>
      <w:bookmarkStart w:id="230" w:name="_Toc152042381"/>
      <w:bookmarkStart w:id="231" w:name="_Toc179632622"/>
      <w:r>
        <w:rPr>
          <w:rFonts w:hint="eastAsia"/>
          <w:color w:val="auto"/>
          <w:highlight w:val="none"/>
        </w:rPr>
        <w:t>3. 评标程序</w:t>
      </w:r>
      <w:bookmarkEnd w:id="228"/>
      <w:bookmarkEnd w:id="229"/>
      <w:bookmarkEnd w:id="230"/>
      <w:bookmarkEnd w:id="231"/>
    </w:p>
    <w:p>
      <w:pPr>
        <w:pStyle w:val="124"/>
        <w:shd w:val="clear" w:color="auto" w:fill="FFFFFF"/>
        <w:rPr>
          <w:color w:val="auto"/>
          <w:highlight w:val="none"/>
        </w:rPr>
      </w:pPr>
      <w:bookmarkStart w:id="232" w:name="_Toc152045605"/>
      <w:bookmarkStart w:id="233" w:name="_Toc179632623"/>
      <w:bookmarkStart w:id="234" w:name="_Toc144974572"/>
      <w:bookmarkStart w:id="235" w:name="_Toc152042382"/>
      <w:r>
        <w:rPr>
          <w:rFonts w:hint="eastAsia"/>
          <w:color w:val="auto"/>
          <w:highlight w:val="none"/>
        </w:rPr>
        <w:t>3.1 初步评审</w:t>
      </w:r>
      <w:bookmarkEnd w:id="232"/>
      <w:bookmarkEnd w:id="233"/>
      <w:bookmarkEnd w:id="234"/>
      <w:bookmarkEnd w:id="235"/>
    </w:p>
    <w:p>
      <w:pPr>
        <w:shd w:val="clear" w:color="auto" w:fill="FFFFFF"/>
        <w:spacing w:line="400" w:lineRule="exact"/>
        <w:ind w:firstLine="420" w:firstLineChars="200"/>
        <w:rPr>
          <w:color w:val="auto"/>
          <w:highlight w:val="none"/>
        </w:rPr>
      </w:pPr>
      <w:r>
        <w:rPr>
          <w:rFonts w:hint="eastAsia"/>
          <w:color w:val="auto"/>
          <w:highlight w:val="none"/>
        </w:rPr>
        <w:t>3.1.1 评标委员会可以要求投标人提交第二章“投标人须知”第3.5.1项至第3.5.5项规定的有关证明和证件的原件，以便核验。评标委员会依据本章第2.1款规定的标准对投标文件进行初步评审。有一项不符合评审标准的，作废标处理。（适用于未进行资格预审的）</w:t>
      </w:r>
    </w:p>
    <w:p>
      <w:pPr>
        <w:shd w:val="clear" w:color="auto" w:fill="FFFFFF"/>
        <w:spacing w:line="400" w:lineRule="exact"/>
        <w:ind w:firstLine="420" w:firstLineChars="200"/>
        <w:rPr>
          <w:color w:val="auto"/>
          <w:highlight w:val="none"/>
        </w:rPr>
      </w:pPr>
      <w:r>
        <w:rPr>
          <w:rFonts w:hint="eastAsia"/>
          <w:color w:val="auto"/>
          <w:highlight w:val="none"/>
        </w:rPr>
        <w:t>3.1.1 评标委员会依据本章第2.1.1项、第2.1.3项规定的评审标准对投标文件进行初步评审。有一项不符合评审标准的，作废标处理。当投标人资格预审申请文件的内容发生重大变化时，评标委员会依据本章第2.1.2项规定的标准对其更新资料进行评审。（适用于已进行资格预审的）</w:t>
      </w:r>
    </w:p>
    <w:p>
      <w:pPr>
        <w:shd w:val="clear" w:color="auto" w:fill="FFFFFF"/>
        <w:spacing w:line="400" w:lineRule="exact"/>
        <w:ind w:firstLine="420" w:firstLineChars="200"/>
        <w:rPr>
          <w:color w:val="auto"/>
          <w:highlight w:val="none"/>
        </w:rPr>
      </w:pPr>
      <w:r>
        <w:rPr>
          <w:rFonts w:hint="eastAsia"/>
          <w:color w:val="auto"/>
          <w:highlight w:val="none"/>
        </w:rPr>
        <w:t>3.1.2 投标人有以下情形之一的，其投标作废标处理：</w:t>
      </w:r>
    </w:p>
    <w:p>
      <w:pPr>
        <w:shd w:val="clear" w:color="auto" w:fill="FFFFFF"/>
        <w:spacing w:line="400" w:lineRule="exact"/>
        <w:ind w:firstLine="718" w:firstLineChars="342"/>
        <w:rPr>
          <w:color w:val="auto"/>
          <w:highlight w:val="none"/>
        </w:rPr>
      </w:pPr>
      <w:r>
        <w:rPr>
          <w:rFonts w:hint="eastAsia"/>
          <w:color w:val="auto"/>
          <w:highlight w:val="none"/>
        </w:rPr>
        <w:t>（1）第二章“投标人须知”第1.4.3项规定的任何一种情形的；</w:t>
      </w:r>
    </w:p>
    <w:p>
      <w:pPr>
        <w:shd w:val="clear" w:color="auto" w:fill="FFFFFF"/>
        <w:spacing w:line="400" w:lineRule="exact"/>
        <w:ind w:firstLine="718" w:firstLineChars="342"/>
        <w:rPr>
          <w:color w:val="auto"/>
          <w:highlight w:val="none"/>
        </w:rPr>
      </w:pPr>
      <w:r>
        <w:rPr>
          <w:rFonts w:hint="eastAsia"/>
          <w:color w:val="auto"/>
          <w:highlight w:val="none"/>
        </w:rPr>
        <w:t>（2）串通投标或弄虚作假或有其他违法行为的；</w:t>
      </w:r>
    </w:p>
    <w:p>
      <w:pPr>
        <w:shd w:val="clear" w:color="auto" w:fill="FFFFFF"/>
        <w:spacing w:line="400" w:lineRule="exact"/>
        <w:ind w:firstLine="718" w:firstLineChars="342"/>
        <w:rPr>
          <w:rFonts w:hint="eastAsia"/>
          <w:color w:val="auto"/>
          <w:highlight w:val="none"/>
          <w:lang w:eastAsia="zh-CN"/>
        </w:rPr>
      </w:pPr>
      <w:r>
        <w:rPr>
          <w:rFonts w:hint="eastAsia"/>
          <w:color w:val="auto"/>
          <w:highlight w:val="none"/>
        </w:rPr>
        <w:t>（3）不按评标委员会要求澄清、说明或补正的</w:t>
      </w:r>
      <w:r>
        <w:rPr>
          <w:rFonts w:hint="eastAsia"/>
          <w:color w:val="auto"/>
          <w:highlight w:val="none"/>
          <w:lang w:eastAsia="zh-CN"/>
        </w:rPr>
        <w:t>；</w:t>
      </w:r>
    </w:p>
    <w:p>
      <w:pPr>
        <w:shd w:val="clear" w:color="auto" w:fill="FFFFFF"/>
        <w:spacing w:line="400" w:lineRule="exact"/>
        <w:ind w:firstLine="718" w:firstLineChars="342"/>
        <w:rPr>
          <w:color w:val="auto"/>
          <w:highlight w:val="none"/>
        </w:rPr>
      </w:pPr>
      <w:r>
        <w:rPr>
          <w:rFonts w:hint="eastAsia"/>
          <w:color w:val="auto"/>
          <w:highlight w:val="none"/>
          <w:lang w:eastAsia="zh-CN"/>
        </w:rPr>
        <w:t>（</w:t>
      </w:r>
      <w:r>
        <w:rPr>
          <w:rFonts w:hint="eastAsia"/>
          <w:color w:val="auto"/>
          <w:highlight w:val="none"/>
          <w:lang w:val="en-US" w:eastAsia="zh-CN"/>
        </w:rPr>
        <w:t>4</w:t>
      </w:r>
      <w:r>
        <w:rPr>
          <w:rFonts w:hint="eastAsia"/>
          <w:color w:val="auto"/>
          <w:highlight w:val="none"/>
          <w:lang w:eastAsia="zh-CN"/>
        </w:rPr>
        <w:t>）投标人在开标会议前系统中确定的项目负责人与投标文件中项目负责人不一致的</w:t>
      </w:r>
      <w:r>
        <w:rPr>
          <w:rFonts w:hint="eastAsia"/>
          <w:color w:val="auto"/>
          <w:highlight w:val="none"/>
        </w:rPr>
        <w:t>。</w:t>
      </w:r>
    </w:p>
    <w:p>
      <w:pPr>
        <w:shd w:val="clear" w:color="auto" w:fill="FFFFFF"/>
        <w:spacing w:line="400" w:lineRule="exact"/>
        <w:ind w:firstLine="420" w:firstLineChars="200"/>
        <w:rPr>
          <w:color w:val="auto"/>
          <w:highlight w:val="none"/>
        </w:rPr>
      </w:pPr>
      <w:r>
        <w:rPr>
          <w:rFonts w:hint="eastAsia"/>
          <w:color w:val="auto"/>
          <w:highlight w:val="none"/>
        </w:rPr>
        <w:t>3.1.3投标报价有算术错误的，评标委员会按以下原则对投标报价进行修正，修正的价格经投标人书面确认后具有约束力。投标人不接受修正价格的，其投标作废标处理。</w:t>
      </w:r>
    </w:p>
    <w:p>
      <w:pPr>
        <w:shd w:val="clear" w:color="auto" w:fill="FFFFFF"/>
        <w:spacing w:line="400" w:lineRule="exact"/>
        <w:ind w:firstLine="718" w:firstLineChars="342"/>
        <w:rPr>
          <w:color w:val="auto"/>
          <w:highlight w:val="none"/>
        </w:rPr>
      </w:pPr>
      <w:bookmarkStart w:id="236" w:name="_Toc152042383"/>
      <w:r>
        <w:rPr>
          <w:rFonts w:hint="eastAsia"/>
          <w:color w:val="auto"/>
          <w:highlight w:val="none"/>
        </w:rPr>
        <w:t>（1）投标文件中的大写金额与小写金额不一致的，以大写金额为准；</w:t>
      </w:r>
      <w:bookmarkEnd w:id="236"/>
    </w:p>
    <w:p>
      <w:pPr>
        <w:shd w:val="clear" w:color="auto" w:fill="FFFFFF"/>
        <w:spacing w:line="400" w:lineRule="exact"/>
        <w:ind w:firstLine="718" w:firstLineChars="342"/>
        <w:rPr>
          <w:color w:val="auto"/>
          <w:highlight w:val="none"/>
        </w:rPr>
      </w:pPr>
      <w:r>
        <w:rPr>
          <w:rFonts w:hint="eastAsia"/>
          <w:color w:val="auto"/>
          <w:highlight w:val="none"/>
        </w:rPr>
        <w:t>（2）总价金额与依据单价计算出的结果不一致的，以单价金额为准修正总价，但单价金额小数点有明显错误的除外。</w:t>
      </w:r>
    </w:p>
    <w:p>
      <w:pPr>
        <w:pStyle w:val="124"/>
        <w:shd w:val="clear" w:color="auto" w:fill="FFFFFF"/>
        <w:rPr>
          <w:color w:val="auto"/>
          <w:highlight w:val="none"/>
        </w:rPr>
      </w:pPr>
      <w:bookmarkStart w:id="237" w:name="_Toc179632624"/>
      <w:bookmarkStart w:id="238" w:name="_Toc144974573"/>
      <w:bookmarkStart w:id="239" w:name="_Toc152045606"/>
      <w:bookmarkStart w:id="240" w:name="_Toc152042384"/>
      <w:r>
        <w:rPr>
          <w:rFonts w:hint="eastAsia"/>
          <w:color w:val="auto"/>
          <w:highlight w:val="none"/>
        </w:rPr>
        <w:t>3.2 详细评审</w:t>
      </w:r>
      <w:bookmarkEnd w:id="237"/>
      <w:bookmarkEnd w:id="238"/>
      <w:bookmarkEnd w:id="239"/>
      <w:bookmarkEnd w:id="240"/>
    </w:p>
    <w:p>
      <w:pPr>
        <w:shd w:val="clear" w:color="auto" w:fill="FFFFFF"/>
        <w:spacing w:line="400" w:lineRule="exact"/>
        <w:ind w:firstLine="420" w:firstLineChars="200"/>
        <w:rPr>
          <w:color w:val="auto"/>
          <w:highlight w:val="none"/>
        </w:rPr>
      </w:pPr>
      <w:r>
        <w:rPr>
          <w:rFonts w:hint="eastAsia"/>
          <w:color w:val="auto"/>
          <w:highlight w:val="none"/>
        </w:rPr>
        <w:t>3.2.1 评标委员会按本章第2.2款规定的量化因素和分值进行打分，并计算出综合评估得分。</w:t>
      </w:r>
    </w:p>
    <w:p>
      <w:pPr>
        <w:shd w:val="clear" w:color="auto" w:fill="FFFFFF"/>
        <w:spacing w:line="380" w:lineRule="exact"/>
        <w:ind w:firstLine="420" w:firstLineChars="200"/>
        <w:rPr>
          <w:color w:val="auto"/>
          <w:highlight w:val="none"/>
        </w:rPr>
      </w:pPr>
      <w:r>
        <w:rPr>
          <w:rFonts w:hint="eastAsia"/>
          <w:color w:val="auto"/>
          <w:highlight w:val="none"/>
        </w:rPr>
        <w:t>3.2.2 评分分值计算保留小数点后两位，小数点后第三位“四舍五入”。</w:t>
      </w:r>
    </w:p>
    <w:p>
      <w:pPr>
        <w:shd w:val="clear" w:color="auto" w:fill="FFFFFF"/>
        <w:spacing w:line="380" w:lineRule="exact"/>
        <w:ind w:firstLine="420" w:firstLineChars="200"/>
        <w:rPr>
          <w:color w:val="auto"/>
          <w:highlight w:val="none"/>
        </w:rPr>
      </w:pPr>
      <w:r>
        <w:rPr>
          <w:rFonts w:hint="eastAsia"/>
          <w:color w:val="auto"/>
          <w:highlight w:val="none"/>
        </w:rPr>
        <w:t>3.2.3 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经评标委员会成员半数以上表决同意，应认定该投标报价低于成本价，作废标处理。</w:t>
      </w:r>
    </w:p>
    <w:p>
      <w:pPr>
        <w:pStyle w:val="124"/>
        <w:shd w:val="clear" w:color="auto" w:fill="FFFFFF"/>
        <w:spacing w:line="380" w:lineRule="exact"/>
        <w:rPr>
          <w:color w:val="auto"/>
          <w:highlight w:val="none"/>
        </w:rPr>
      </w:pPr>
      <w:bookmarkStart w:id="241" w:name="_Toc144974575"/>
      <w:bookmarkStart w:id="242" w:name="_Toc152042385"/>
      <w:bookmarkStart w:id="243" w:name="_Toc152045607"/>
      <w:bookmarkStart w:id="244" w:name="_Toc179632625"/>
      <w:r>
        <w:rPr>
          <w:rFonts w:hint="eastAsia"/>
          <w:color w:val="auto"/>
          <w:highlight w:val="none"/>
        </w:rPr>
        <w:t>3.3 投标文件的澄清</w:t>
      </w:r>
      <w:bookmarkEnd w:id="241"/>
      <w:r>
        <w:rPr>
          <w:rFonts w:hint="eastAsia"/>
          <w:color w:val="auto"/>
          <w:highlight w:val="none"/>
        </w:rPr>
        <w:t>和补正</w:t>
      </w:r>
      <w:bookmarkEnd w:id="242"/>
      <w:bookmarkEnd w:id="243"/>
      <w:bookmarkEnd w:id="244"/>
    </w:p>
    <w:p>
      <w:pPr>
        <w:shd w:val="clear" w:color="auto" w:fill="FFFFFF"/>
        <w:spacing w:line="380" w:lineRule="exact"/>
        <w:ind w:firstLine="420" w:firstLineChars="200"/>
        <w:rPr>
          <w:color w:val="auto"/>
          <w:highlight w:val="none"/>
        </w:rPr>
      </w:pPr>
      <w:r>
        <w:rPr>
          <w:rFonts w:hint="eastAsia"/>
          <w:color w:val="auto"/>
          <w:highlight w:val="none"/>
        </w:rPr>
        <w:t>3.3.1在评标过程中，评标委员会可以书面形式要求投标人对所提交投标文件中不明确的内容进行书面澄清或说明，或者对细微偏差进行补正。评标委员会不接受投标人主动提出的澄清、说明或补正。</w:t>
      </w:r>
    </w:p>
    <w:p>
      <w:pPr>
        <w:shd w:val="clear" w:color="auto" w:fill="FFFFFF"/>
        <w:spacing w:line="380" w:lineRule="exact"/>
        <w:ind w:firstLine="420" w:firstLineChars="200"/>
        <w:rPr>
          <w:color w:val="auto"/>
          <w:highlight w:val="none"/>
        </w:rPr>
      </w:pPr>
      <w:r>
        <w:rPr>
          <w:rFonts w:hint="eastAsia"/>
          <w:color w:val="auto"/>
          <w:highlight w:val="none"/>
        </w:rPr>
        <w:t>3.3.2 澄清、说明和补正不得改变投标文件的实质性内容（算术性错误修正的除外）。投标人的书面澄清、说明和补正属于投标文件的组成部分。</w:t>
      </w:r>
    </w:p>
    <w:p>
      <w:pPr>
        <w:shd w:val="clear" w:color="auto" w:fill="FFFFFF"/>
        <w:spacing w:line="380" w:lineRule="exact"/>
        <w:ind w:firstLine="420" w:firstLineChars="200"/>
        <w:rPr>
          <w:color w:val="auto"/>
          <w:highlight w:val="none"/>
        </w:rPr>
      </w:pPr>
      <w:r>
        <w:rPr>
          <w:rFonts w:hint="eastAsia"/>
          <w:color w:val="auto"/>
          <w:highlight w:val="none"/>
        </w:rPr>
        <w:t>3.3.3 评标委员会对投标人提交的澄清、说明或补正有疑问的，可以要求投标人进一步澄清、说明或补正，直至满足评标委员会的要求。</w:t>
      </w:r>
    </w:p>
    <w:p>
      <w:pPr>
        <w:pStyle w:val="124"/>
        <w:shd w:val="clear" w:color="auto" w:fill="FFFFFF"/>
        <w:spacing w:line="380" w:lineRule="exact"/>
        <w:rPr>
          <w:color w:val="auto"/>
          <w:highlight w:val="none"/>
        </w:rPr>
      </w:pPr>
      <w:bookmarkStart w:id="245" w:name="_Toc144974576"/>
      <w:bookmarkStart w:id="246" w:name="_Toc152045608"/>
      <w:bookmarkStart w:id="247" w:name="_Toc179632626"/>
      <w:bookmarkStart w:id="248" w:name="_Toc152042386"/>
      <w:r>
        <w:rPr>
          <w:rFonts w:hint="eastAsia"/>
          <w:color w:val="auto"/>
          <w:highlight w:val="none"/>
        </w:rPr>
        <w:t>3.4 评标结果</w:t>
      </w:r>
      <w:bookmarkEnd w:id="245"/>
      <w:bookmarkEnd w:id="246"/>
      <w:bookmarkEnd w:id="247"/>
      <w:bookmarkEnd w:id="248"/>
    </w:p>
    <w:p>
      <w:pPr>
        <w:shd w:val="clear" w:color="auto" w:fill="FFFFFF"/>
        <w:spacing w:line="380" w:lineRule="exact"/>
        <w:ind w:firstLine="420" w:firstLineChars="200"/>
        <w:rPr>
          <w:color w:val="auto"/>
          <w:highlight w:val="none"/>
        </w:rPr>
      </w:pPr>
      <w:r>
        <w:rPr>
          <w:rFonts w:hint="eastAsia"/>
          <w:color w:val="auto"/>
          <w:highlight w:val="none"/>
        </w:rPr>
        <w:t>3.4.1除第二章“投标人须知”前附表授权直接确定中标人外，评标委员会按照得分由高到低的顺序推荐中标候选人。</w:t>
      </w:r>
    </w:p>
    <w:p>
      <w:pPr>
        <w:shd w:val="clear" w:color="auto" w:fill="FFFFFF"/>
        <w:spacing w:line="380" w:lineRule="exact"/>
        <w:ind w:firstLine="420" w:firstLineChars="200"/>
        <w:rPr>
          <w:color w:val="auto"/>
          <w:highlight w:val="none"/>
        </w:rPr>
      </w:pPr>
      <w:r>
        <w:rPr>
          <w:rFonts w:hint="eastAsia"/>
          <w:color w:val="auto"/>
          <w:highlight w:val="none"/>
        </w:rPr>
        <w:t>3.4.2 评标委员会完成评标后，应当向招标人提交书面评标报告。</w:t>
      </w:r>
    </w:p>
    <w:p>
      <w:pPr>
        <w:shd w:val="clear" w:color="auto" w:fill="FFFFFF"/>
        <w:spacing w:line="420" w:lineRule="exact"/>
        <w:rPr>
          <w:rFonts w:ascii="黑体" w:hAnsi="宋体" w:eastAsia="黑体"/>
          <w:color w:val="auto"/>
          <w:sz w:val="24"/>
          <w:highlight w:val="none"/>
        </w:rPr>
      </w:pPr>
    </w:p>
    <w:p>
      <w:pPr>
        <w:shd w:val="clear" w:color="auto" w:fill="FFFFFF"/>
        <w:spacing w:line="420" w:lineRule="exact"/>
        <w:rPr>
          <w:rFonts w:ascii="黑体" w:hAnsi="宋体" w:eastAsia="黑体"/>
          <w:color w:val="auto"/>
          <w:sz w:val="24"/>
          <w:highlight w:val="none"/>
        </w:rPr>
      </w:pPr>
    </w:p>
    <w:p>
      <w:pPr>
        <w:shd w:val="clear" w:color="auto" w:fill="FFFFFF"/>
        <w:spacing w:line="420" w:lineRule="exact"/>
        <w:rPr>
          <w:rFonts w:ascii="黑体" w:hAnsi="宋体" w:eastAsia="黑体"/>
          <w:color w:val="auto"/>
          <w:sz w:val="24"/>
          <w:highlight w:val="none"/>
        </w:rPr>
      </w:pPr>
    </w:p>
    <w:p>
      <w:pPr>
        <w:shd w:val="clear" w:color="auto" w:fill="FFFFFF"/>
        <w:spacing w:line="420" w:lineRule="exact"/>
        <w:rPr>
          <w:rFonts w:ascii="黑体" w:hAnsi="宋体" w:eastAsia="黑体"/>
          <w:color w:val="auto"/>
          <w:sz w:val="24"/>
          <w:highlight w:val="none"/>
        </w:rPr>
      </w:pPr>
    </w:p>
    <w:p>
      <w:pPr>
        <w:shd w:val="clear" w:color="auto" w:fill="FFFFFF"/>
        <w:spacing w:line="420" w:lineRule="exact"/>
        <w:rPr>
          <w:rFonts w:ascii="黑体" w:hAnsi="宋体" w:eastAsia="黑体"/>
          <w:color w:val="auto"/>
          <w:sz w:val="24"/>
          <w:highlight w:val="none"/>
        </w:rPr>
      </w:pPr>
    </w:p>
    <w:p>
      <w:pPr>
        <w:shd w:val="clear" w:color="auto" w:fill="FFFFFF"/>
        <w:spacing w:line="420" w:lineRule="exact"/>
        <w:rPr>
          <w:rFonts w:ascii="黑体" w:hAnsi="宋体" w:eastAsia="黑体"/>
          <w:color w:val="auto"/>
          <w:sz w:val="24"/>
          <w:highlight w:val="none"/>
        </w:rPr>
      </w:pPr>
    </w:p>
    <w:p>
      <w:pPr>
        <w:shd w:val="clear" w:color="auto" w:fill="FFFFFF"/>
        <w:spacing w:line="420" w:lineRule="exact"/>
        <w:rPr>
          <w:rFonts w:ascii="黑体" w:hAnsi="宋体" w:eastAsia="黑体"/>
          <w:color w:val="auto"/>
          <w:sz w:val="24"/>
          <w:highlight w:val="none"/>
        </w:rPr>
      </w:pPr>
    </w:p>
    <w:p>
      <w:pPr>
        <w:shd w:val="clear" w:color="auto" w:fill="FFFFFF"/>
        <w:spacing w:line="420" w:lineRule="exact"/>
        <w:rPr>
          <w:rFonts w:ascii="黑体" w:hAnsi="宋体" w:eastAsia="黑体"/>
          <w:color w:val="auto"/>
          <w:sz w:val="24"/>
          <w:highlight w:val="none"/>
        </w:rPr>
      </w:pPr>
    </w:p>
    <w:p>
      <w:pPr>
        <w:shd w:val="clear" w:color="auto" w:fill="FFFFFF"/>
        <w:spacing w:line="420" w:lineRule="exact"/>
        <w:rPr>
          <w:rFonts w:ascii="黑体" w:hAnsi="宋体" w:eastAsia="黑体"/>
          <w:color w:val="auto"/>
          <w:szCs w:val="21"/>
          <w:highlight w:val="none"/>
        </w:rPr>
      </w:pPr>
      <w:r>
        <w:rPr>
          <w:rFonts w:hint="eastAsia" w:ascii="黑体" w:hAnsi="宋体" w:eastAsia="黑体"/>
          <w:color w:val="auto"/>
          <w:szCs w:val="21"/>
          <w:highlight w:val="none"/>
        </w:rPr>
        <w:t>附件A:评标详细程序</w:t>
      </w:r>
    </w:p>
    <w:p>
      <w:pPr>
        <w:shd w:val="clear" w:color="auto" w:fill="FFFFFF"/>
        <w:spacing w:before="168" w:beforeLines="70" w:after="168" w:afterLines="70" w:line="420" w:lineRule="exact"/>
        <w:jc w:val="center"/>
        <w:rPr>
          <w:rFonts w:ascii="黑体" w:hAnsi="宋体" w:eastAsia="黑体"/>
          <w:color w:val="auto"/>
          <w:sz w:val="28"/>
          <w:szCs w:val="28"/>
          <w:highlight w:val="none"/>
        </w:rPr>
      </w:pPr>
      <w:r>
        <w:rPr>
          <w:rFonts w:hint="eastAsia" w:ascii="黑体" w:hAnsi="宋体" w:eastAsia="黑体"/>
          <w:color w:val="auto"/>
          <w:sz w:val="28"/>
          <w:szCs w:val="28"/>
          <w:highlight w:val="none"/>
        </w:rPr>
        <w:t>评标详细程序</w:t>
      </w:r>
    </w:p>
    <w:p>
      <w:pPr>
        <w:shd w:val="clear" w:color="auto" w:fill="FFFFFF"/>
        <w:spacing w:line="420" w:lineRule="exact"/>
        <w:rPr>
          <w:rFonts w:ascii="宋体" w:hAnsi="宋体"/>
          <w:b/>
          <w:color w:val="auto"/>
          <w:szCs w:val="21"/>
          <w:highlight w:val="none"/>
        </w:rPr>
      </w:pPr>
      <w:r>
        <w:rPr>
          <w:rFonts w:hint="eastAsia" w:ascii="宋体" w:hAnsi="宋体"/>
          <w:b/>
          <w:color w:val="auto"/>
          <w:szCs w:val="21"/>
          <w:highlight w:val="none"/>
        </w:rPr>
        <w:t>A0.总  则</w:t>
      </w:r>
    </w:p>
    <w:p>
      <w:pPr>
        <w:shd w:val="clear" w:color="auto" w:fill="FFFFFF"/>
        <w:spacing w:line="420" w:lineRule="exact"/>
        <w:ind w:firstLine="420" w:firstLineChars="200"/>
        <w:rPr>
          <w:rFonts w:ascii="宋体" w:hAnsi="宋体"/>
          <w:color w:val="auto"/>
          <w:szCs w:val="21"/>
          <w:highlight w:val="none"/>
        </w:rPr>
      </w:pPr>
      <w:r>
        <w:rPr>
          <w:rFonts w:hint="eastAsia" w:ascii="宋体" w:hAnsi="宋体"/>
          <w:color w:val="auto"/>
          <w:szCs w:val="21"/>
          <w:highlight w:val="none"/>
        </w:rPr>
        <w:t>本附件是本章“评标办法”的组成部分，是对本章第3条所规定的评标程序的进一些</w:t>
      </w:r>
    </w:p>
    <w:p>
      <w:pPr>
        <w:shd w:val="clear" w:color="auto" w:fill="FFFFFF"/>
        <w:spacing w:line="420" w:lineRule="exact"/>
        <w:rPr>
          <w:rFonts w:ascii="宋体" w:hAnsi="宋体"/>
          <w:color w:val="auto"/>
          <w:szCs w:val="21"/>
          <w:highlight w:val="none"/>
        </w:rPr>
      </w:pPr>
      <w:r>
        <w:rPr>
          <w:rFonts w:hint="eastAsia" w:ascii="宋体" w:hAnsi="宋体"/>
          <w:color w:val="auto"/>
          <w:szCs w:val="21"/>
          <w:highlight w:val="none"/>
        </w:rPr>
        <w:t>细化，评标委员会应当按照本附件所规定的详细程序开展并完成评标工作。</w:t>
      </w:r>
    </w:p>
    <w:p>
      <w:pPr>
        <w:shd w:val="clear" w:color="auto" w:fill="FFFFFF"/>
        <w:spacing w:before="48" w:beforeLines="20" w:after="48" w:afterLines="20" w:line="420" w:lineRule="exact"/>
        <w:rPr>
          <w:rFonts w:ascii="宋体" w:hAnsi="宋体"/>
          <w:b/>
          <w:color w:val="auto"/>
          <w:szCs w:val="21"/>
          <w:highlight w:val="none"/>
        </w:rPr>
      </w:pPr>
      <w:r>
        <w:rPr>
          <w:rFonts w:hint="eastAsia" w:ascii="宋体" w:hAnsi="宋体"/>
          <w:b/>
          <w:color w:val="auto"/>
          <w:szCs w:val="21"/>
          <w:highlight w:val="none"/>
        </w:rPr>
        <w:t>A1.基本程序</w:t>
      </w:r>
    </w:p>
    <w:p>
      <w:pPr>
        <w:shd w:val="clear" w:color="auto" w:fill="FFFFFF"/>
        <w:spacing w:line="420" w:lineRule="exact"/>
        <w:ind w:firstLine="420" w:firstLineChars="200"/>
        <w:rPr>
          <w:rFonts w:ascii="宋体" w:hAnsi="宋体"/>
          <w:color w:val="auto"/>
          <w:szCs w:val="21"/>
          <w:highlight w:val="none"/>
        </w:rPr>
      </w:pPr>
      <w:r>
        <w:rPr>
          <w:rFonts w:hint="eastAsia" w:ascii="宋体" w:hAnsi="宋体"/>
          <w:color w:val="auto"/>
          <w:szCs w:val="21"/>
          <w:highlight w:val="none"/>
        </w:rPr>
        <w:t>评标活动将按以下五个步骤进行：</w:t>
      </w:r>
    </w:p>
    <w:p>
      <w:pPr>
        <w:shd w:val="clear" w:color="auto" w:fill="FFFFFF"/>
        <w:spacing w:before="72" w:beforeLines="30" w:line="420" w:lineRule="exact"/>
        <w:ind w:firstLine="420" w:firstLineChars="200"/>
        <w:rPr>
          <w:rFonts w:ascii="宋体" w:hAnsi="宋体"/>
          <w:color w:val="auto"/>
          <w:szCs w:val="21"/>
          <w:highlight w:val="none"/>
        </w:rPr>
      </w:pPr>
      <w:r>
        <w:rPr>
          <w:rFonts w:hint="eastAsia" w:ascii="宋体" w:hAnsi="宋体"/>
          <w:color w:val="auto"/>
          <w:szCs w:val="21"/>
          <w:highlight w:val="none"/>
        </w:rPr>
        <w:t>（1）评标准备；</w:t>
      </w:r>
    </w:p>
    <w:p>
      <w:pPr>
        <w:shd w:val="clear" w:color="auto" w:fill="FFFFFF"/>
        <w:spacing w:before="72" w:beforeLines="30" w:line="420" w:lineRule="exact"/>
        <w:ind w:firstLine="420" w:firstLineChars="200"/>
        <w:rPr>
          <w:rFonts w:ascii="宋体" w:hAnsi="宋体"/>
          <w:color w:val="auto"/>
          <w:szCs w:val="21"/>
          <w:highlight w:val="none"/>
        </w:rPr>
      </w:pPr>
      <w:r>
        <w:rPr>
          <w:rFonts w:hint="eastAsia" w:ascii="宋体" w:hAnsi="宋体"/>
          <w:color w:val="auto"/>
          <w:szCs w:val="21"/>
          <w:highlight w:val="none"/>
        </w:rPr>
        <w:t>（2）初步评审；</w:t>
      </w:r>
    </w:p>
    <w:p>
      <w:pPr>
        <w:shd w:val="clear" w:color="auto" w:fill="FFFFFF"/>
        <w:spacing w:before="72" w:beforeLines="30" w:line="420" w:lineRule="exact"/>
        <w:ind w:firstLine="420" w:firstLineChars="200"/>
        <w:rPr>
          <w:rFonts w:ascii="宋体" w:hAnsi="宋体"/>
          <w:color w:val="auto"/>
          <w:szCs w:val="21"/>
          <w:highlight w:val="none"/>
        </w:rPr>
      </w:pPr>
      <w:r>
        <w:rPr>
          <w:rFonts w:hint="eastAsia" w:ascii="宋体" w:hAnsi="宋体"/>
          <w:color w:val="auto"/>
          <w:szCs w:val="21"/>
          <w:highlight w:val="none"/>
        </w:rPr>
        <w:t>（3）详细评审；</w:t>
      </w:r>
    </w:p>
    <w:p>
      <w:pPr>
        <w:shd w:val="clear" w:color="auto" w:fill="FFFFFF"/>
        <w:spacing w:before="72" w:beforeLines="30" w:line="420" w:lineRule="exact"/>
        <w:ind w:firstLine="420" w:firstLineChars="200"/>
        <w:rPr>
          <w:rFonts w:ascii="宋体" w:hAnsi="宋体"/>
          <w:color w:val="auto"/>
          <w:szCs w:val="21"/>
          <w:highlight w:val="none"/>
        </w:rPr>
      </w:pPr>
      <w:r>
        <w:rPr>
          <w:rFonts w:hint="eastAsia" w:ascii="宋体" w:hAnsi="宋体"/>
          <w:color w:val="auto"/>
          <w:szCs w:val="21"/>
          <w:highlight w:val="none"/>
        </w:rPr>
        <w:t>（4）澄清、说明或补正；</w:t>
      </w:r>
    </w:p>
    <w:p>
      <w:pPr>
        <w:shd w:val="clear" w:color="auto" w:fill="FFFFFF"/>
        <w:spacing w:before="72" w:beforeLines="30" w:after="72" w:afterLines="30" w:line="420" w:lineRule="exact"/>
        <w:ind w:firstLine="420" w:firstLineChars="200"/>
        <w:rPr>
          <w:rFonts w:ascii="宋体" w:hAnsi="宋体"/>
          <w:color w:val="auto"/>
          <w:szCs w:val="21"/>
          <w:highlight w:val="none"/>
        </w:rPr>
      </w:pPr>
      <w:r>
        <w:rPr>
          <w:rFonts w:hint="eastAsia" w:ascii="宋体" w:hAnsi="宋体"/>
          <w:color w:val="auto"/>
          <w:szCs w:val="21"/>
          <w:highlight w:val="none"/>
        </w:rPr>
        <w:t>（5）推荐中标候选人或者直接确定中标人及提交评标报告。</w:t>
      </w:r>
    </w:p>
    <w:p>
      <w:pPr>
        <w:shd w:val="clear" w:color="auto" w:fill="FFFFFF"/>
        <w:spacing w:line="420" w:lineRule="exact"/>
        <w:rPr>
          <w:rFonts w:ascii="宋体" w:hAnsi="宋体"/>
          <w:b/>
          <w:color w:val="auto"/>
          <w:szCs w:val="21"/>
          <w:highlight w:val="none"/>
        </w:rPr>
      </w:pPr>
      <w:r>
        <w:rPr>
          <w:rFonts w:hint="eastAsia" w:ascii="宋体" w:hAnsi="宋体"/>
          <w:b/>
          <w:color w:val="auto"/>
          <w:szCs w:val="21"/>
          <w:highlight w:val="none"/>
        </w:rPr>
        <w:t>A2.评标准备</w:t>
      </w:r>
    </w:p>
    <w:p>
      <w:pPr>
        <w:shd w:val="clear" w:color="auto" w:fill="FFFFFF"/>
        <w:spacing w:line="420" w:lineRule="exact"/>
        <w:rPr>
          <w:rFonts w:ascii="宋体" w:hAnsi="宋体"/>
          <w:b/>
          <w:color w:val="auto"/>
          <w:szCs w:val="21"/>
          <w:highlight w:val="none"/>
        </w:rPr>
      </w:pPr>
      <w:r>
        <w:rPr>
          <w:rFonts w:hint="eastAsia" w:ascii="宋体" w:hAnsi="宋体"/>
          <w:b/>
          <w:color w:val="auto"/>
          <w:szCs w:val="21"/>
          <w:highlight w:val="none"/>
        </w:rPr>
        <w:t>A2.1评标委员会成员签到</w:t>
      </w:r>
    </w:p>
    <w:p>
      <w:pPr>
        <w:shd w:val="clear" w:color="auto" w:fill="FFFFFF"/>
        <w:spacing w:line="420" w:lineRule="exact"/>
        <w:ind w:firstLine="420" w:firstLineChars="200"/>
        <w:rPr>
          <w:rFonts w:ascii="宋体" w:hAnsi="宋体"/>
          <w:color w:val="auto"/>
          <w:szCs w:val="21"/>
          <w:highlight w:val="none"/>
        </w:rPr>
      </w:pPr>
      <w:r>
        <w:rPr>
          <w:rFonts w:hint="eastAsia" w:ascii="宋体" w:hAnsi="宋体"/>
          <w:color w:val="auto"/>
          <w:szCs w:val="21"/>
          <w:highlight w:val="none"/>
        </w:rPr>
        <w:t>评标委员会成员到达评标现场时应在签到表上签到以证明其出席。评标委员会签到表见</w:t>
      </w:r>
    </w:p>
    <w:p>
      <w:pPr>
        <w:shd w:val="clear" w:color="auto" w:fill="FFFFFF"/>
        <w:spacing w:line="420" w:lineRule="exact"/>
        <w:rPr>
          <w:rFonts w:ascii="宋体" w:hAnsi="宋体"/>
          <w:b/>
          <w:color w:val="auto"/>
          <w:szCs w:val="21"/>
          <w:highlight w:val="none"/>
          <w:u w:val="single"/>
        </w:rPr>
      </w:pPr>
      <w:r>
        <w:rPr>
          <w:rFonts w:hint="eastAsia" w:ascii="宋体" w:hAnsi="宋体"/>
          <w:b/>
          <w:color w:val="auto"/>
          <w:szCs w:val="21"/>
          <w:highlight w:val="none"/>
          <w:u w:val="single"/>
        </w:rPr>
        <w:t>附表A-1</w:t>
      </w:r>
      <w:r>
        <w:rPr>
          <w:rFonts w:hint="eastAsia" w:ascii="宋体" w:hAnsi="宋体"/>
          <w:b/>
          <w:color w:val="auto"/>
          <w:szCs w:val="21"/>
          <w:highlight w:val="none"/>
        </w:rPr>
        <w:t>。</w:t>
      </w:r>
    </w:p>
    <w:p>
      <w:pPr>
        <w:shd w:val="clear" w:color="auto" w:fill="FFFFFF"/>
        <w:spacing w:before="48" w:beforeLines="20" w:after="48" w:afterLines="20" w:line="420" w:lineRule="exact"/>
        <w:rPr>
          <w:rFonts w:ascii="宋体" w:hAnsi="宋体"/>
          <w:b/>
          <w:color w:val="auto"/>
          <w:szCs w:val="21"/>
          <w:highlight w:val="none"/>
        </w:rPr>
      </w:pPr>
      <w:r>
        <w:rPr>
          <w:rFonts w:hint="eastAsia" w:ascii="宋体" w:hAnsi="宋体"/>
          <w:b/>
          <w:color w:val="auto"/>
          <w:szCs w:val="21"/>
          <w:highlight w:val="none"/>
        </w:rPr>
        <w:t>A2.2评标委员会的分工</w:t>
      </w:r>
    </w:p>
    <w:p>
      <w:pPr>
        <w:shd w:val="clear" w:color="auto" w:fill="FFFFFF"/>
        <w:spacing w:line="420" w:lineRule="exact"/>
        <w:ind w:firstLine="420" w:firstLineChars="200"/>
        <w:rPr>
          <w:rFonts w:ascii="宋体" w:hAnsi="宋体"/>
          <w:color w:val="auto"/>
          <w:szCs w:val="21"/>
          <w:highlight w:val="none"/>
        </w:rPr>
      </w:pPr>
      <w:r>
        <w:rPr>
          <w:rFonts w:hint="eastAsia" w:ascii="宋体" w:hAnsi="宋体"/>
          <w:color w:val="auto"/>
          <w:szCs w:val="21"/>
          <w:highlight w:val="none"/>
        </w:rPr>
        <w:t>评标委员会首先推选一名评标委员会主任。招标人也可以直接指定评标委员会主任。评标委员会主任负责评标活动的组织领导工作。评标委员会主任在与其他评标委员会成员商议的基础上可以将评标委员会划分为技术组和商务组。</w:t>
      </w:r>
    </w:p>
    <w:p>
      <w:pPr>
        <w:shd w:val="clear" w:color="auto" w:fill="FFFFFF"/>
        <w:spacing w:before="48" w:beforeLines="20" w:after="48" w:afterLines="20" w:line="420" w:lineRule="exact"/>
        <w:rPr>
          <w:rFonts w:ascii="宋体" w:hAnsi="宋体"/>
          <w:b/>
          <w:color w:val="auto"/>
          <w:szCs w:val="21"/>
          <w:highlight w:val="none"/>
        </w:rPr>
      </w:pPr>
      <w:r>
        <w:rPr>
          <w:rFonts w:hint="eastAsia" w:ascii="宋体" w:hAnsi="宋体"/>
          <w:b/>
          <w:color w:val="auto"/>
          <w:szCs w:val="21"/>
          <w:highlight w:val="none"/>
        </w:rPr>
        <w:t>A2.3熟悉文件资料</w:t>
      </w:r>
    </w:p>
    <w:p>
      <w:pPr>
        <w:shd w:val="clear" w:color="auto" w:fill="FFFFFF"/>
        <w:spacing w:line="420" w:lineRule="exact"/>
        <w:ind w:firstLine="420" w:firstLineChars="200"/>
        <w:rPr>
          <w:rFonts w:ascii="宋体" w:hAnsi="宋体"/>
          <w:color w:val="auto"/>
          <w:szCs w:val="21"/>
          <w:highlight w:val="none"/>
        </w:rPr>
      </w:pPr>
      <w:r>
        <w:rPr>
          <w:rFonts w:hint="eastAsia" w:ascii="宋体" w:hAnsi="宋体"/>
          <w:color w:val="auto"/>
          <w:szCs w:val="21"/>
          <w:highlight w:val="none"/>
        </w:rPr>
        <w:t>A2.3.1评标委员会主任应组织评标委员会成员认真研究招标文件，了解和熟悉招标目的、招标范围、主要合同条件、技术标准和要求、质量标准和工期要求，掌握评标标准和方法，熟悉本章及附件中包括的评标表格的使用，如果本章及附件所附的表格不能满足评标所需时，评标委员会应补充编制评标所需的表格，尤其是用于详细分析计算的表格。未在招标文件中规定的标准和方法不得作为评标的依据。</w:t>
      </w:r>
    </w:p>
    <w:p>
      <w:pPr>
        <w:shd w:val="clear" w:color="auto" w:fill="FFFFFF"/>
        <w:adjustRightInd w:val="0"/>
        <w:snapToGrid w:val="0"/>
        <w:spacing w:line="420" w:lineRule="exact"/>
        <w:ind w:firstLine="420" w:firstLineChars="200"/>
        <w:rPr>
          <w:rFonts w:ascii="宋体" w:hAnsi="宋体"/>
          <w:color w:val="auto"/>
          <w:szCs w:val="21"/>
          <w:highlight w:val="none"/>
        </w:rPr>
      </w:pPr>
      <w:r>
        <w:rPr>
          <w:rFonts w:hint="eastAsia" w:ascii="黑体" w:hAnsi="宋体" w:eastAsia="黑体"/>
          <w:color w:val="auto"/>
          <w:szCs w:val="21"/>
          <w:highlight w:val="none"/>
        </w:rPr>
        <w:t>A2.3.2</w:t>
      </w:r>
      <w:r>
        <w:rPr>
          <w:rFonts w:hint="eastAsia" w:ascii="宋体" w:hAnsi="宋体"/>
          <w:color w:val="auto"/>
          <w:szCs w:val="21"/>
          <w:highlight w:val="none"/>
        </w:rPr>
        <w:t>招标人或招标代理机构应向评标委员会提供评标所需的信息和数据，包括招标文件、未在开标会上当场拒绝的各投标文件、开标会记录、资格预审文件及各投标人在资格预审阶段递交的资格预审申请文件(适用于已进行资格预审的)、标底(如有)、工程所在地工程造价管理部门颁布的工程造价信息、定额(如作为计价依据时)、有关的法律、法规、规章、国家标准以及招标人或评标委员会认为必要的其他信息和数据。</w:t>
      </w:r>
    </w:p>
    <w:p>
      <w:pPr>
        <w:shd w:val="clear" w:color="auto" w:fill="FFFFFF"/>
        <w:adjustRightInd w:val="0"/>
        <w:snapToGrid w:val="0"/>
        <w:spacing w:before="48" w:beforeLines="20" w:after="48" w:afterLines="20" w:line="402" w:lineRule="atLeast"/>
        <w:rPr>
          <w:rFonts w:ascii="宋体" w:hAnsi="宋体"/>
          <w:b/>
          <w:color w:val="auto"/>
          <w:szCs w:val="21"/>
          <w:highlight w:val="none"/>
        </w:rPr>
      </w:pPr>
      <w:r>
        <w:rPr>
          <w:rFonts w:hint="eastAsia" w:ascii="宋体" w:hAnsi="宋体"/>
          <w:b/>
          <w:color w:val="auto"/>
          <w:szCs w:val="21"/>
          <w:highlight w:val="none"/>
        </w:rPr>
        <w:t>A2.4暗标编号(适用于对施工组织设计进行暗标评审的)</w:t>
      </w:r>
    </w:p>
    <w:p>
      <w:pPr>
        <w:shd w:val="clear" w:color="auto" w:fill="FFFFFF"/>
        <w:adjustRightInd w:val="0"/>
        <w:snapToGrid w:val="0"/>
        <w:spacing w:line="402" w:lineRule="atLeast"/>
        <w:ind w:firstLine="420" w:firstLineChars="200"/>
        <w:rPr>
          <w:rFonts w:ascii="宋体" w:hAnsi="宋体"/>
          <w:color w:val="auto"/>
          <w:szCs w:val="21"/>
          <w:highlight w:val="none"/>
        </w:rPr>
      </w:pPr>
      <w:r>
        <w:rPr>
          <w:rFonts w:hint="eastAsia" w:ascii="宋体" w:hAnsi="宋体"/>
          <w:color w:val="auto"/>
          <w:szCs w:val="21"/>
          <w:highlight w:val="none"/>
        </w:rPr>
        <w:t>第二章“投标人须知”前附表第10．3款要求对施工组织设计采用“暗标”评审方式且第八章“投标文件格式”中对施工组织设计的编制有暗标要求，则在评标工作开始前，招标人将指定专人负责编制投标文件暗标编码，并就暗标编码与投标人的对应关系做好暗标记录。暗标编码按随机方式编制。在评标委员会全体成员均完成暗标部分评审并对评审结果进行汇总和签字确认后，招标人方可向评标委员会公布暗标记录。暗标记录公布前必须妥善保管并予以保密。</w:t>
      </w:r>
    </w:p>
    <w:p>
      <w:pPr>
        <w:shd w:val="clear" w:color="auto" w:fill="FFFFFF"/>
        <w:adjustRightInd w:val="0"/>
        <w:snapToGrid w:val="0"/>
        <w:spacing w:before="48" w:beforeLines="20" w:after="48" w:afterLines="20" w:line="402" w:lineRule="atLeast"/>
        <w:rPr>
          <w:rFonts w:ascii="宋体" w:hAnsi="宋体"/>
          <w:b/>
          <w:color w:val="auto"/>
          <w:szCs w:val="21"/>
          <w:highlight w:val="none"/>
        </w:rPr>
      </w:pPr>
      <w:r>
        <w:rPr>
          <w:rFonts w:hint="eastAsia" w:ascii="宋体" w:hAnsi="宋体"/>
          <w:b/>
          <w:color w:val="auto"/>
          <w:szCs w:val="21"/>
          <w:highlight w:val="none"/>
        </w:rPr>
        <w:t>A2.5对投标文件进行基础性数据分析和整理工作(清标)</w:t>
      </w:r>
    </w:p>
    <w:p>
      <w:pPr>
        <w:shd w:val="clear" w:color="auto" w:fill="FFFFFF"/>
        <w:adjustRightInd w:val="0"/>
        <w:snapToGrid w:val="0"/>
        <w:spacing w:line="402" w:lineRule="atLeast"/>
        <w:ind w:firstLine="420" w:firstLineChars="200"/>
        <w:rPr>
          <w:rFonts w:ascii="宋体" w:hAnsi="宋体"/>
          <w:color w:val="auto"/>
          <w:szCs w:val="21"/>
          <w:highlight w:val="none"/>
        </w:rPr>
      </w:pPr>
      <w:r>
        <w:rPr>
          <w:rFonts w:hint="eastAsia" w:ascii="黑体" w:hAnsi="宋体" w:eastAsia="黑体"/>
          <w:color w:val="auto"/>
          <w:szCs w:val="21"/>
          <w:highlight w:val="none"/>
        </w:rPr>
        <w:t>A2.5.1</w:t>
      </w:r>
      <w:r>
        <w:rPr>
          <w:rFonts w:hint="eastAsia" w:ascii="宋体" w:hAnsi="宋体"/>
          <w:color w:val="auto"/>
          <w:szCs w:val="21"/>
          <w:highlight w:val="none"/>
        </w:rPr>
        <w:t>在不改变投标人投标文件实质性内容的前提下，评标委员会应当对投标文件进行基础性数据分析和整理(本章中简称为“清标”)，从而发现并提取其中可能存在的对招标范围理解的偏差、投标报价的算术性错误、错漏项、投标报价构成不合理、不平衡报价等存在明显异常的问题，并就这些问题整理形成清标成果。评标委员会对清标成果审议后，决定需要投标人进行书面澄清、说明或补正的问题，形成质疑问卷，向投标人发出问题澄清通知(包括质疑问卷)。</w:t>
      </w:r>
    </w:p>
    <w:p>
      <w:pPr>
        <w:shd w:val="clear" w:color="auto" w:fill="FFFFFF"/>
        <w:adjustRightInd w:val="0"/>
        <w:snapToGrid w:val="0"/>
        <w:spacing w:line="402" w:lineRule="atLeast"/>
        <w:ind w:firstLine="420" w:firstLineChars="200"/>
        <w:rPr>
          <w:rFonts w:ascii="宋体" w:hAnsi="宋体"/>
          <w:color w:val="auto"/>
          <w:szCs w:val="21"/>
          <w:highlight w:val="none"/>
        </w:rPr>
      </w:pPr>
      <w:r>
        <w:rPr>
          <w:rFonts w:hint="eastAsia" w:ascii="黑体" w:hAnsi="宋体" w:eastAsia="黑体"/>
          <w:color w:val="auto"/>
          <w:szCs w:val="21"/>
          <w:highlight w:val="none"/>
        </w:rPr>
        <w:t>A2.5.2</w:t>
      </w:r>
      <w:r>
        <w:rPr>
          <w:rFonts w:hint="eastAsia" w:ascii="宋体" w:hAnsi="宋体"/>
          <w:color w:val="auto"/>
          <w:szCs w:val="21"/>
          <w:highlight w:val="none"/>
        </w:rPr>
        <w:t>在不影响评标委员会成员的法定权利的前提下，评标委员会可委托由招标人专门成立的清标工作小组完成清标工作。在这种情况下，清标工作可以在评标工作开始之前完成，也可以与评标工作平行进行。清标工作小组成员应为具备相应执业资格的专业人员，且应当符合有关法律法规对评标专家的回避规定和要求，不得与任何投标人有利益、上下级等关系，不得代行依法应当由评标委员会及其成员行使的权利。清标成果应当经过评标委员会的审核确认，经过评标委员会审核确认的清标成果视同是评标委员会的工作成果，并由评标委员会以书面方式追加对清标工作小组的授权，书面授权委托书必须由评标委员会全体成员签名。</w:t>
      </w:r>
    </w:p>
    <w:p>
      <w:pPr>
        <w:shd w:val="clear" w:color="auto" w:fill="FFFFFF"/>
        <w:adjustRightInd w:val="0"/>
        <w:snapToGrid w:val="0"/>
        <w:spacing w:line="402" w:lineRule="atLeast"/>
        <w:ind w:firstLine="420" w:firstLineChars="200"/>
        <w:rPr>
          <w:rFonts w:ascii="宋体" w:hAnsi="宋体"/>
          <w:color w:val="auto"/>
          <w:szCs w:val="21"/>
          <w:highlight w:val="none"/>
        </w:rPr>
      </w:pPr>
      <w:r>
        <w:rPr>
          <w:rFonts w:hint="eastAsia" w:ascii="黑体" w:hAnsi="宋体" w:eastAsia="黑体"/>
          <w:color w:val="auto"/>
          <w:szCs w:val="21"/>
          <w:highlight w:val="none"/>
        </w:rPr>
        <w:t>A2.5.3</w:t>
      </w:r>
      <w:r>
        <w:rPr>
          <w:rFonts w:hint="eastAsia" w:ascii="宋体" w:hAnsi="宋体"/>
          <w:color w:val="auto"/>
          <w:szCs w:val="21"/>
          <w:highlight w:val="none"/>
        </w:rPr>
        <w:t>投标人接到评标委员会发出的问题澄清通知后，应按评标委员会的要求提供书面澄清资料并按要求进行密封，在规定的时间递交到指定地点。投标人递交的书面澄清资料由评标委员会开启。</w:t>
      </w:r>
    </w:p>
    <w:p>
      <w:pPr>
        <w:shd w:val="clear" w:color="auto" w:fill="FFFFFF"/>
        <w:adjustRightInd w:val="0"/>
        <w:snapToGrid w:val="0"/>
        <w:spacing w:before="48" w:beforeLines="20" w:line="402" w:lineRule="atLeast"/>
        <w:rPr>
          <w:rFonts w:ascii="宋体" w:hAnsi="宋体"/>
          <w:b/>
          <w:color w:val="auto"/>
          <w:szCs w:val="21"/>
          <w:highlight w:val="none"/>
        </w:rPr>
      </w:pPr>
      <w:r>
        <w:rPr>
          <w:rFonts w:hint="eastAsia" w:ascii="宋体" w:hAnsi="宋体"/>
          <w:b/>
          <w:color w:val="auto"/>
          <w:szCs w:val="21"/>
          <w:highlight w:val="none"/>
        </w:rPr>
        <w:t>A3初步评审</w:t>
      </w:r>
    </w:p>
    <w:p>
      <w:pPr>
        <w:shd w:val="clear" w:color="auto" w:fill="FFFFFF"/>
        <w:adjustRightInd w:val="0"/>
        <w:snapToGrid w:val="0"/>
        <w:spacing w:line="402" w:lineRule="atLeast"/>
        <w:rPr>
          <w:rFonts w:ascii="宋体" w:hAnsi="宋体"/>
          <w:b/>
          <w:color w:val="auto"/>
          <w:szCs w:val="21"/>
          <w:highlight w:val="none"/>
        </w:rPr>
      </w:pPr>
      <w:r>
        <w:rPr>
          <w:rFonts w:hint="eastAsia" w:ascii="宋体" w:hAnsi="宋体"/>
          <w:b/>
          <w:color w:val="auto"/>
          <w:szCs w:val="21"/>
          <w:highlight w:val="none"/>
        </w:rPr>
        <w:t>A3.1形式评审</w:t>
      </w:r>
    </w:p>
    <w:p>
      <w:pPr>
        <w:shd w:val="clear" w:color="auto" w:fill="FFFFFF"/>
        <w:adjustRightInd w:val="0"/>
        <w:snapToGrid w:val="0"/>
        <w:spacing w:line="402" w:lineRule="atLeast"/>
        <w:ind w:firstLine="420" w:firstLineChars="200"/>
        <w:rPr>
          <w:rFonts w:ascii="宋体" w:hAnsi="宋体"/>
          <w:color w:val="auto"/>
          <w:szCs w:val="21"/>
          <w:highlight w:val="none"/>
        </w:rPr>
      </w:pPr>
      <w:r>
        <w:rPr>
          <w:rFonts w:hint="eastAsia" w:ascii="宋体" w:hAnsi="宋体"/>
          <w:color w:val="auto"/>
          <w:szCs w:val="21"/>
          <w:highlight w:val="none"/>
        </w:rPr>
        <w:t>评标委员会根据评标办法前附表中规定的评审因素和评审标准，对投标人的投标文件进行形式评审，并使用</w:t>
      </w:r>
      <w:r>
        <w:rPr>
          <w:rFonts w:hint="eastAsia" w:ascii="宋体" w:hAnsi="宋体"/>
          <w:b/>
          <w:color w:val="auto"/>
          <w:szCs w:val="21"/>
          <w:highlight w:val="none"/>
        </w:rPr>
        <w:t>附表A-2</w:t>
      </w:r>
      <w:r>
        <w:rPr>
          <w:rFonts w:hint="eastAsia" w:ascii="宋体" w:hAnsi="宋体"/>
          <w:color w:val="auto"/>
          <w:szCs w:val="21"/>
          <w:highlight w:val="none"/>
        </w:rPr>
        <w:t>记录评审结果。</w:t>
      </w:r>
    </w:p>
    <w:p>
      <w:pPr>
        <w:shd w:val="clear" w:color="auto" w:fill="FFFFFF"/>
        <w:adjustRightInd w:val="0"/>
        <w:snapToGrid w:val="0"/>
        <w:spacing w:before="48" w:beforeLines="20" w:after="48" w:afterLines="20" w:line="402" w:lineRule="atLeast"/>
        <w:rPr>
          <w:rFonts w:ascii="宋体" w:hAnsi="宋体"/>
          <w:b/>
          <w:color w:val="auto"/>
          <w:szCs w:val="21"/>
          <w:highlight w:val="none"/>
        </w:rPr>
      </w:pPr>
      <w:r>
        <w:rPr>
          <w:rFonts w:hint="eastAsia" w:ascii="宋体" w:hAnsi="宋体"/>
          <w:b/>
          <w:color w:val="auto"/>
          <w:szCs w:val="21"/>
          <w:highlight w:val="none"/>
        </w:rPr>
        <w:t>A3.2资格评审</w:t>
      </w:r>
    </w:p>
    <w:p>
      <w:pPr>
        <w:shd w:val="clear" w:color="auto" w:fill="FFFFFF"/>
        <w:adjustRightInd w:val="0"/>
        <w:snapToGrid w:val="0"/>
        <w:spacing w:line="402" w:lineRule="atLeast"/>
        <w:ind w:firstLine="420" w:firstLineChars="200"/>
        <w:rPr>
          <w:rFonts w:ascii="宋体" w:hAnsi="宋体"/>
          <w:color w:val="auto"/>
          <w:szCs w:val="21"/>
          <w:highlight w:val="none"/>
        </w:rPr>
      </w:pPr>
      <w:r>
        <w:rPr>
          <w:rFonts w:hint="eastAsia" w:ascii="黑体" w:hAnsi="宋体" w:eastAsia="黑体"/>
          <w:color w:val="auto"/>
          <w:szCs w:val="21"/>
          <w:highlight w:val="none"/>
        </w:rPr>
        <w:t xml:space="preserve">A3.2.1 </w:t>
      </w:r>
      <w:r>
        <w:rPr>
          <w:rFonts w:hint="eastAsia" w:ascii="宋体" w:hAnsi="宋体"/>
          <w:color w:val="auto"/>
          <w:szCs w:val="21"/>
          <w:highlight w:val="none"/>
        </w:rPr>
        <w:t xml:space="preserve"> 评标委员会根据评标办法前附表中规定的评审因素和评审标准，对投标人的投标文件进行资格评审，并使用</w:t>
      </w:r>
      <w:r>
        <w:rPr>
          <w:rFonts w:hint="eastAsia" w:ascii="宋体" w:hAnsi="宋体"/>
          <w:b/>
          <w:color w:val="auto"/>
          <w:szCs w:val="21"/>
          <w:highlight w:val="none"/>
        </w:rPr>
        <w:t>附表A-3</w:t>
      </w:r>
      <w:r>
        <w:rPr>
          <w:rFonts w:hint="eastAsia" w:ascii="宋体" w:hAnsi="宋体"/>
          <w:color w:val="auto"/>
          <w:szCs w:val="21"/>
          <w:highlight w:val="none"/>
        </w:rPr>
        <w:t>记录评审结果。(适用于未进行资格预审的)</w:t>
      </w:r>
    </w:p>
    <w:p>
      <w:pPr>
        <w:shd w:val="clear" w:color="auto" w:fill="FFFFFF"/>
        <w:adjustRightInd w:val="0"/>
        <w:snapToGrid w:val="0"/>
        <w:spacing w:line="430" w:lineRule="exact"/>
        <w:ind w:firstLine="420" w:firstLineChars="200"/>
        <w:rPr>
          <w:rFonts w:ascii="宋体" w:hAnsi="宋体"/>
          <w:color w:val="auto"/>
          <w:szCs w:val="21"/>
          <w:highlight w:val="none"/>
        </w:rPr>
      </w:pPr>
      <w:r>
        <w:rPr>
          <w:rFonts w:hint="eastAsia" w:ascii="黑体" w:hAnsi="宋体" w:eastAsia="黑体"/>
          <w:color w:val="auto"/>
          <w:szCs w:val="21"/>
          <w:highlight w:val="none"/>
        </w:rPr>
        <w:t>A3.2.1</w:t>
      </w:r>
      <w:r>
        <w:rPr>
          <w:rFonts w:hint="eastAsia" w:ascii="宋体" w:hAnsi="宋体"/>
          <w:color w:val="auto"/>
          <w:szCs w:val="21"/>
          <w:highlight w:val="none"/>
        </w:rPr>
        <w:t xml:space="preserve">  当投标人资格预审申请文件的内容发生重大变化时，评标委员会依据资格预审文件中规定的标准和方法，对照投标人在资格预审阶段递交的资格预审文件中的资料以及在投标文件中更新的资料，对其更新的资料进行评审(适用于已进行资格预审的)。其中：</w:t>
      </w:r>
    </w:p>
    <w:p>
      <w:pPr>
        <w:shd w:val="clear" w:color="auto" w:fill="FFFFFF"/>
        <w:adjustRightInd w:val="0"/>
        <w:snapToGrid w:val="0"/>
        <w:spacing w:before="72" w:beforeLines="30" w:line="430" w:lineRule="exact"/>
        <w:ind w:firstLine="420" w:firstLineChars="200"/>
        <w:rPr>
          <w:rFonts w:ascii="宋体" w:hAnsi="宋体"/>
          <w:color w:val="auto"/>
          <w:szCs w:val="21"/>
          <w:highlight w:val="none"/>
        </w:rPr>
      </w:pPr>
      <w:r>
        <w:rPr>
          <w:rFonts w:hint="eastAsia" w:ascii="宋体" w:hAnsi="宋体"/>
          <w:color w:val="auto"/>
          <w:szCs w:val="21"/>
          <w:highlight w:val="none"/>
        </w:rPr>
        <w:t>(1)资格预审采用“合格制”的，投标文件中更新的资料应当符合资格预审文件中规定的审查标准，否则其投标作废标处理；</w:t>
      </w:r>
    </w:p>
    <w:p>
      <w:pPr>
        <w:shd w:val="clear" w:color="auto" w:fill="FFFFFF"/>
        <w:adjustRightInd w:val="0"/>
        <w:snapToGrid w:val="0"/>
        <w:spacing w:before="72" w:beforeLines="30" w:line="430" w:lineRule="exact"/>
        <w:ind w:firstLine="420" w:firstLineChars="200"/>
        <w:rPr>
          <w:rFonts w:ascii="宋体" w:hAnsi="宋体"/>
          <w:color w:val="auto"/>
          <w:szCs w:val="21"/>
          <w:highlight w:val="none"/>
        </w:rPr>
      </w:pPr>
      <w:r>
        <w:rPr>
          <w:rFonts w:hint="eastAsia" w:ascii="宋体" w:hAnsi="宋体"/>
          <w:color w:val="auto"/>
          <w:szCs w:val="21"/>
          <w:highlight w:val="none"/>
        </w:rPr>
        <w:t>(2)资格预审采用“有限数量制”的，投标文件中更新的资料应当符合资格预审文件中规定的审查标准，其中以评分方式进行审查的，其更新的资料按照资格预审文件中规定的评分标准评分后，其得分应当保证即便在资格预审阶段仍然能够获得投标资格且没有对未通过资格预审的其他资格预审申请人构成不公平，否则其投标作废标处理。</w:t>
      </w:r>
    </w:p>
    <w:p>
      <w:pPr>
        <w:shd w:val="clear" w:color="auto" w:fill="FFFFFF"/>
        <w:adjustRightInd w:val="0"/>
        <w:snapToGrid w:val="0"/>
        <w:spacing w:before="48" w:beforeLines="20" w:after="48" w:afterLines="20" w:line="430" w:lineRule="exact"/>
        <w:rPr>
          <w:rFonts w:ascii="宋体" w:hAnsi="宋体"/>
          <w:b/>
          <w:color w:val="auto"/>
          <w:szCs w:val="21"/>
          <w:highlight w:val="none"/>
        </w:rPr>
      </w:pPr>
      <w:r>
        <w:rPr>
          <w:rFonts w:hint="eastAsia" w:ascii="黑体" w:hAnsi="宋体" w:eastAsia="黑体"/>
          <w:b/>
          <w:color w:val="auto"/>
          <w:szCs w:val="21"/>
          <w:highlight w:val="none"/>
        </w:rPr>
        <w:t xml:space="preserve">A3．3 </w:t>
      </w:r>
      <w:r>
        <w:rPr>
          <w:rFonts w:hint="eastAsia" w:ascii="宋体" w:hAnsi="宋体"/>
          <w:b/>
          <w:color w:val="auto"/>
          <w:szCs w:val="21"/>
          <w:highlight w:val="none"/>
        </w:rPr>
        <w:t>响应性评审</w:t>
      </w:r>
    </w:p>
    <w:p>
      <w:pPr>
        <w:shd w:val="clear" w:color="auto" w:fill="FFFFFF"/>
        <w:adjustRightInd w:val="0"/>
        <w:snapToGrid w:val="0"/>
        <w:spacing w:line="430" w:lineRule="exact"/>
        <w:ind w:firstLine="420" w:firstLineChars="200"/>
        <w:rPr>
          <w:rFonts w:ascii="宋体" w:hAnsi="宋体"/>
          <w:color w:val="auto"/>
          <w:szCs w:val="21"/>
          <w:highlight w:val="none"/>
        </w:rPr>
      </w:pPr>
      <w:r>
        <w:rPr>
          <w:rFonts w:hint="eastAsia" w:ascii="黑体" w:hAnsi="宋体" w:eastAsia="黑体"/>
          <w:color w:val="auto"/>
          <w:szCs w:val="21"/>
          <w:highlight w:val="none"/>
        </w:rPr>
        <w:t>A3.3.1</w:t>
      </w:r>
      <w:r>
        <w:rPr>
          <w:rFonts w:hint="eastAsia" w:ascii="宋体" w:hAnsi="宋体"/>
          <w:color w:val="auto"/>
          <w:szCs w:val="21"/>
          <w:highlight w:val="none"/>
        </w:rPr>
        <w:t>评标委员会根据评标办法前附表中规定的评审因素和评审标准，对投标人的投标文件进行响应性评审，并使用</w:t>
      </w:r>
      <w:r>
        <w:rPr>
          <w:rFonts w:hint="eastAsia" w:ascii="宋体" w:hAnsi="宋体"/>
          <w:b/>
          <w:color w:val="auto"/>
          <w:szCs w:val="21"/>
          <w:highlight w:val="none"/>
        </w:rPr>
        <w:t>附表A-4</w:t>
      </w:r>
      <w:r>
        <w:rPr>
          <w:rFonts w:hint="eastAsia" w:ascii="宋体" w:hAnsi="宋体"/>
          <w:color w:val="auto"/>
          <w:szCs w:val="21"/>
          <w:highlight w:val="none"/>
        </w:rPr>
        <w:t>记录评审结果。</w:t>
      </w:r>
    </w:p>
    <w:p>
      <w:pPr>
        <w:shd w:val="clear" w:color="auto" w:fill="FFFFFF"/>
        <w:adjustRightInd w:val="0"/>
        <w:snapToGrid w:val="0"/>
        <w:spacing w:line="430" w:lineRule="exact"/>
        <w:ind w:firstLine="420" w:firstLineChars="200"/>
        <w:rPr>
          <w:rFonts w:ascii="宋体" w:hAnsi="宋体"/>
          <w:color w:val="auto"/>
          <w:szCs w:val="21"/>
          <w:highlight w:val="none"/>
        </w:rPr>
      </w:pPr>
      <w:r>
        <w:rPr>
          <w:rFonts w:hint="eastAsia" w:ascii="黑体" w:hAnsi="宋体" w:eastAsia="黑体"/>
          <w:color w:val="auto"/>
          <w:szCs w:val="21"/>
          <w:highlight w:val="none"/>
        </w:rPr>
        <w:t>A3.3.2</w:t>
      </w:r>
      <w:r>
        <w:rPr>
          <w:rFonts w:hint="eastAsia" w:ascii="宋体" w:hAnsi="宋体"/>
          <w:color w:val="auto"/>
          <w:szCs w:val="21"/>
          <w:highlight w:val="none"/>
        </w:rPr>
        <w:t>投标人投标价格不得超出(不含等于)按照本章前附表的规定计算的“拦标价”，凡投标人的投标价格超出“拦标价”)，该投标人的投标文件不能通过响应性评审。(适用于设立拦标价的情形)</w:t>
      </w:r>
    </w:p>
    <w:p>
      <w:pPr>
        <w:shd w:val="clear" w:color="auto" w:fill="FFFFFF"/>
        <w:adjustRightInd w:val="0"/>
        <w:snapToGrid w:val="0"/>
        <w:spacing w:line="430" w:lineRule="exact"/>
        <w:ind w:firstLine="420" w:firstLineChars="200"/>
        <w:rPr>
          <w:rFonts w:ascii="宋体" w:hAnsi="宋体"/>
          <w:color w:val="auto"/>
          <w:szCs w:val="21"/>
          <w:highlight w:val="none"/>
        </w:rPr>
      </w:pPr>
      <w:r>
        <w:rPr>
          <w:rFonts w:hint="eastAsia" w:ascii="黑体" w:hAnsi="宋体" w:eastAsia="黑体"/>
          <w:color w:val="auto"/>
          <w:szCs w:val="21"/>
          <w:highlight w:val="none"/>
        </w:rPr>
        <w:t>A3.3.２</w:t>
      </w:r>
      <w:r>
        <w:rPr>
          <w:rFonts w:hint="eastAsia" w:ascii="宋体" w:hAnsi="宋体"/>
          <w:color w:val="auto"/>
          <w:szCs w:val="21"/>
          <w:highlight w:val="none"/>
        </w:rPr>
        <w:t>投标人投标价格不得超出(不含等于)按照第二章“投标人须知”前附表第10．2款载明的招标控制价，凡投标人的投标价格超出招标控制价的，该投标人的投标文件不能通过响应性评审。(适用于设立招标控制价的情形)</w:t>
      </w:r>
    </w:p>
    <w:p>
      <w:pPr>
        <w:shd w:val="clear" w:color="auto" w:fill="FFFFFF"/>
        <w:adjustRightInd w:val="0"/>
        <w:snapToGrid w:val="0"/>
        <w:spacing w:line="430" w:lineRule="exact"/>
        <w:rPr>
          <w:rFonts w:ascii="宋体" w:hAnsi="宋体"/>
          <w:b/>
          <w:color w:val="auto"/>
          <w:szCs w:val="21"/>
          <w:highlight w:val="none"/>
        </w:rPr>
      </w:pPr>
      <w:r>
        <w:rPr>
          <w:rFonts w:hint="eastAsia" w:ascii="黑体" w:hAnsi="宋体" w:eastAsia="黑体"/>
          <w:b/>
          <w:color w:val="auto"/>
          <w:szCs w:val="21"/>
          <w:highlight w:val="none"/>
        </w:rPr>
        <w:t>A3.4</w:t>
      </w:r>
      <w:r>
        <w:rPr>
          <w:rFonts w:hint="eastAsia" w:ascii="宋体" w:hAnsi="宋体"/>
          <w:b/>
          <w:color w:val="auto"/>
          <w:szCs w:val="21"/>
          <w:highlight w:val="none"/>
        </w:rPr>
        <w:t xml:space="preserve">  判断投标是否为废标</w:t>
      </w:r>
    </w:p>
    <w:p>
      <w:pPr>
        <w:shd w:val="clear" w:color="auto" w:fill="FFFFFF"/>
        <w:adjustRightInd w:val="0"/>
        <w:snapToGrid w:val="0"/>
        <w:spacing w:line="430" w:lineRule="exact"/>
        <w:ind w:firstLine="420" w:firstLineChars="200"/>
        <w:rPr>
          <w:rFonts w:ascii="宋体" w:hAnsi="宋体"/>
          <w:color w:val="auto"/>
          <w:szCs w:val="21"/>
          <w:highlight w:val="none"/>
        </w:rPr>
      </w:pPr>
      <w:r>
        <w:rPr>
          <w:rFonts w:hint="eastAsia" w:ascii="黑体" w:hAnsi="宋体" w:eastAsia="黑体"/>
          <w:color w:val="auto"/>
          <w:szCs w:val="21"/>
          <w:highlight w:val="none"/>
        </w:rPr>
        <w:t xml:space="preserve">A3.4.1 </w:t>
      </w:r>
      <w:r>
        <w:rPr>
          <w:rFonts w:hint="eastAsia" w:ascii="宋体" w:hAnsi="宋体"/>
          <w:color w:val="auto"/>
          <w:szCs w:val="21"/>
          <w:highlight w:val="none"/>
        </w:rPr>
        <w:t>判断投标人的投标是否为废标的全部条件(包括本章第3．1．2项中规定的条件)，在</w:t>
      </w:r>
      <w:r>
        <w:rPr>
          <w:rFonts w:hint="eastAsia" w:ascii="宋体" w:hAnsi="宋体"/>
          <w:b/>
          <w:color w:val="auto"/>
          <w:szCs w:val="21"/>
          <w:highlight w:val="none"/>
        </w:rPr>
        <w:t>本章附件B</w:t>
      </w:r>
      <w:r>
        <w:rPr>
          <w:rFonts w:hint="eastAsia" w:ascii="宋体" w:hAnsi="宋体"/>
          <w:color w:val="auto"/>
          <w:szCs w:val="21"/>
          <w:highlight w:val="none"/>
        </w:rPr>
        <w:t>中集中列示。</w:t>
      </w:r>
    </w:p>
    <w:p>
      <w:pPr>
        <w:shd w:val="clear" w:color="auto" w:fill="FFFFFF"/>
        <w:adjustRightInd w:val="0"/>
        <w:snapToGrid w:val="0"/>
        <w:spacing w:line="430" w:lineRule="exact"/>
        <w:ind w:firstLine="420" w:firstLineChars="200"/>
        <w:rPr>
          <w:rFonts w:ascii="宋体" w:hAnsi="宋体"/>
          <w:color w:val="auto"/>
          <w:szCs w:val="21"/>
          <w:highlight w:val="none"/>
        </w:rPr>
      </w:pPr>
      <w:r>
        <w:rPr>
          <w:rFonts w:hint="eastAsia" w:ascii="黑体" w:hAnsi="宋体" w:eastAsia="黑体"/>
          <w:color w:val="auto"/>
          <w:szCs w:val="21"/>
          <w:highlight w:val="none"/>
        </w:rPr>
        <w:t>A3.4.2</w:t>
      </w:r>
      <w:r>
        <w:rPr>
          <w:rFonts w:hint="eastAsia" w:ascii="宋体" w:hAnsi="宋体"/>
          <w:color w:val="auto"/>
          <w:szCs w:val="21"/>
          <w:highlight w:val="none"/>
        </w:rPr>
        <w:t>本章附件</w:t>
      </w:r>
      <w:r>
        <w:rPr>
          <w:rFonts w:hint="eastAsia" w:ascii="宋体" w:hAnsi="宋体"/>
          <w:b/>
          <w:color w:val="auto"/>
          <w:szCs w:val="21"/>
          <w:highlight w:val="none"/>
        </w:rPr>
        <w:t>B集</w:t>
      </w:r>
      <w:r>
        <w:rPr>
          <w:rFonts w:hint="eastAsia" w:ascii="宋体" w:hAnsi="宋体"/>
          <w:color w:val="auto"/>
          <w:szCs w:val="21"/>
          <w:highlight w:val="none"/>
        </w:rPr>
        <w:t>中列示的废标条件不应与第二章“投标人须知”和本章正文部分包括的废标条件抵触，如果出现相互矛盾的情况，以第二章“投标人须知”和本章正文部分的规定为准。</w:t>
      </w:r>
    </w:p>
    <w:p>
      <w:pPr>
        <w:shd w:val="clear" w:color="auto" w:fill="FFFFFF"/>
        <w:adjustRightInd w:val="0"/>
        <w:snapToGrid w:val="0"/>
        <w:spacing w:line="430" w:lineRule="exact"/>
        <w:ind w:firstLine="420" w:firstLineChars="200"/>
        <w:rPr>
          <w:rFonts w:ascii="宋体" w:hAnsi="宋体"/>
          <w:color w:val="auto"/>
          <w:szCs w:val="21"/>
          <w:highlight w:val="none"/>
        </w:rPr>
      </w:pPr>
      <w:r>
        <w:rPr>
          <w:rFonts w:hint="eastAsia" w:ascii="黑体" w:hAnsi="宋体" w:eastAsia="黑体"/>
          <w:color w:val="auto"/>
          <w:szCs w:val="21"/>
          <w:highlight w:val="none"/>
        </w:rPr>
        <w:t>A3.4.3</w:t>
      </w:r>
      <w:r>
        <w:rPr>
          <w:rFonts w:hint="eastAsia" w:ascii="宋体" w:hAnsi="宋体"/>
          <w:color w:val="auto"/>
          <w:szCs w:val="21"/>
          <w:highlight w:val="none"/>
        </w:rPr>
        <w:t>评标委员会在评标(包括初步评审和详细评审)过程中，依据本章</w:t>
      </w:r>
      <w:r>
        <w:rPr>
          <w:rFonts w:hint="eastAsia" w:ascii="宋体" w:hAnsi="宋体"/>
          <w:b/>
          <w:color w:val="auto"/>
          <w:szCs w:val="21"/>
          <w:highlight w:val="none"/>
        </w:rPr>
        <w:t>附件B</w:t>
      </w:r>
      <w:r>
        <w:rPr>
          <w:rFonts w:hint="eastAsia" w:ascii="宋体" w:hAnsi="宋体"/>
          <w:color w:val="auto"/>
          <w:szCs w:val="21"/>
          <w:highlight w:val="none"/>
        </w:rPr>
        <w:t>中规定的废标条件判断投标人的投标是否为废标。</w:t>
      </w:r>
    </w:p>
    <w:p>
      <w:pPr>
        <w:shd w:val="clear" w:color="auto" w:fill="FFFFFF"/>
        <w:adjustRightInd w:val="0"/>
        <w:snapToGrid w:val="0"/>
        <w:spacing w:line="430" w:lineRule="exact"/>
        <w:rPr>
          <w:rFonts w:ascii="宋体" w:hAnsi="宋体"/>
          <w:b/>
          <w:color w:val="auto"/>
          <w:szCs w:val="21"/>
          <w:highlight w:val="none"/>
        </w:rPr>
      </w:pPr>
      <w:r>
        <w:rPr>
          <w:rFonts w:hint="eastAsia" w:ascii="黑体" w:hAnsi="宋体" w:eastAsia="黑体"/>
          <w:b/>
          <w:color w:val="auto"/>
          <w:szCs w:val="21"/>
          <w:highlight w:val="none"/>
        </w:rPr>
        <w:t>A3.5</w:t>
      </w:r>
      <w:r>
        <w:rPr>
          <w:rFonts w:hint="eastAsia" w:ascii="宋体" w:hAnsi="宋体"/>
          <w:b/>
          <w:color w:val="auto"/>
          <w:szCs w:val="21"/>
          <w:highlight w:val="none"/>
        </w:rPr>
        <w:t>算术错误修正</w:t>
      </w:r>
    </w:p>
    <w:p>
      <w:pPr>
        <w:shd w:val="clear" w:color="auto" w:fill="FFFFFF"/>
        <w:adjustRightInd w:val="0"/>
        <w:snapToGrid w:val="0"/>
        <w:spacing w:line="430" w:lineRule="exact"/>
        <w:ind w:firstLine="420" w:firstLineChars="200"/>
        <w:rPr>
          <w:rFonts w:ascii="宋体" w:hAnsi="宋体"/>
          <w:color w:val="auto"/>
          <w:szCs w:val="21"/>
          <w:highlight w:val="none"/>
        </w:rPr>
      </w:pPr>
      <w:r>
        <w:rPr>
          <w:rFonts w:hint="eastAsia" w:ascii="宋体" w:hAnsi="宋体"/>
          <w:color w:val="auto"/>
          <w:szCs w:val="21"/>
          <w:highlight w:val="none"/>
        </w:rPr>
        <w:t>评标委员会依据本章中规定的相关原则对投标报价中存在的算术错误进行修正，并根据算术错误修正结果计算评标价。</w:t>
      </w:r>
    </w:p>
    <w:p>
      <w:pPr>
        <w:shd w:val="clear" w:color="auto" w:fill="FFFFFF"/>
        <w:adjustRightInd w:val="0"/>
        <w:snapToGrid w:val="0"/>
        <w:spacing w:before="48" w:beforeLines="20" w:after="48" w:afterLines="20" w:line="430" w:lineRule="exact"/>
        <w:rPr>
          <w:rFonts w:ascii="宋体" w:hAnsi="宋体"/>
          <w:b/>
          <w:color w:val="auto"/>
          <w:szCs w:val="21"/>
          <w:highlight w:val="none"/>
        </w:rPr>
      </w:pPr>
      <w:r>
        <w:rPr>
          <w:rFonts w:hint="eastAsia" w:ascii="黑体" w:hAnsi="宋体" w:eastAsia="黑体"/>
          <w:b/>
          <w:color w:val="auto"/>
          <w:szCs w:val="21"/>
          <w:highlight w:val="none"/>
        </w:rPr>
        <w:t>A3．6</w:t>
      </w:r>
      <w:r>
        <w:rPr>
          <w:rFonts w:hint="eastAsia" w:ascii="宋体" w:hAnsi="宋体"/>
          <w:b/>
          <w:color w:val="auto"/>
          <w:szCs w:val="21"/>
          <w:highlight w:val="none"/>
        </w:rPr>
        <w:t>澄清、说明或补正</w:t>
      </w:r>
    </w:p>
    <w:p>
      <w:pPr>
        <w:shd w:val="clear" w:color="auto" w:fill="FFFFFF"/>
        <w:adjustRightInd w:val="0"/>
        <w:snapToGrid w:val="0"/>
        <w:spacing w:line="430" w:lineRule="exact"/>
        <w:ind w:firstLine="420" w:firstLineChars="200"/>
        <w:rPr>
          <w:rFonts w:ascii="宋体" w:hAnsi="宋体"/>
          <w:color w:val="auto"/>
          <w:szCs w:val="21"/>
          <w:highlight w:val="none"/>
        </w:rPr>
      </w:pPr>
      <w:r>
        <w:rPr>
          <w:rFonts w:hint="eastAsia" w:ascii="宋体" w:hAnsi="宋体"/>
          <w:color w:val="auto"/>
          <w:szCs w:val="21"/>
          <w:highlight w:val="none"/>
        </w:rPr>
        <w:t>在初步评审过程中，评标委员会应当就投标文件中不明确的内容要求投标人进行澄清、说明或者补正。投标人对此以书面形式予以澄清、说明或者补正。澄清、说明或补正根据本章第3.3款的规定执行。</w:t>
      </w:r>
    </w:p>
    <w:p>
      <w:pPr>
        <w:shd w:val="clear" w:color="auto" w:fill="FFFFFF"/>
        <w:adjustRightInd w:val="0"/>
        <w:snapToGrid w:val="0"/>
        <w:spacing w:before="48" w:beforeLines="20" w:after="48" w:afterLines="20" w:line="430" w:lineRule="exact"/>
        <w:rPr>
          <w:rFonts w:ascii="宋体" w:hAnsi="宋体"/>
          <w:b/>
          <w:color w:val="auto"/>
          <w:szCs w:val="21"/>
          <w:highlight w:val="none"/>
        </w:rPr>
      </w:pPr>
      <w:r>
        <w:rPr>
          <w:rFonts w:hint="eastAsia" w:ascii="黑体" w:hAnsi="宋体" w:eastAsia="黑体"/>
          <w:b/>
          <w:color w:val="auto"/>
          <w:szCs w:val="21"/>
          <w:highlight w:val="none"/>
        </w:rPr>
        <w:t>A4</w:t>
      </w:r>
      <w:r>
        <w:rPr>
          <w:rFonts w:hint="eastAsia" w:ascii="宋体" w:hAnsi="宋体"/>
          <w:b/>
          <w:color w:val="auto"/>
          <w:szCs w:val="21"/>
          <w:highlight w:val="none"/>
        </w:rPr>
        <w:t>．详细评审</w:t>
      </w:r>
    </w:p>
    <w:p>
      <w:pPr>
        <w:shd w:val="clear" w:color="auto" w:fill="FFFFFF"/>
        <w:adjustRightInd w:val="0"/>
        <w:snapToGrid w:val="0"/>
        <w:spacing w:line="430" w:lineRule="exact"/>
        <w:ind w:firstLine="420" w:firstLineChars="200"/>
        <w:rPr>
          <w:rFonts w:ascii="宋体" w:hAnsi="宋体"/>
          <w:color w:val="auto"/>
          <w:szCs w:val="21"/>
          <w:highlight w:val="none"/>
        </w:rPr>
      </w:pPr>
      <w:r>
        <w:rPr>
          <w:rFonts w:hint="eastAsia" w:ascii="宋体" w:hAnsi="宋体"/>
          <w:color w:val="auto"/>
          <w:szCs w:val="21"/>
          <w:highlight w:val="none"/>
        </w:rPr>
        <w:t>只有通过了初步评审、被判定为合格的投标方可进入详细评审。</w:t>
      </w:r>
    </w:p>
    <w:p>
      <w:pPr>
        <w:shd w:val="clear" w:color="auto" w:fill="FFFFFF"/>
        <w:adjustRightInd w:val="0"/>
        <w:snapToGrid w:val="0"/>
        <w:spacing w:before="48" w:beforeLines="20" w:after="48" w:afterLines="20" w:line="430" w:lineRule="exact"/>
        <w:rPr>
          <w:rFonts w:ascii="宋体" w:hAnsi="宋体"/>
          <w:b/>
          <w:color w:val="auto"/>
          <w:szCs w:val="21"/>
          <w:highlight w:val="none"/>
        </w:rPr>
      </w:pPr>
      <w:r>
        <w:rPr>
          <w:rFonts w:hint="eastAsia" w:ascii="黑体" w:hAnsi="宋体" w:eastAsia="黑体"/>
          <w:b/>
          <w:color w:val="auto"/>
          <w:szCs w:val="21"/>
          <w:highlight w:val="none"/>
        </w:rPr>
        <w:t>A4.1</w:t>
      </w:r>
      <w:r>
        <w:rPr>
          <w:rFonts w:hint="eastAsia" w:ascii="宋体" w:hAnsi="宋体"/>
          <w:b/>
          <w:color w:val="auto"/>
          <w:szCs w:val="21"/>
          <w:highlight w:val="none"/>
        </w:rPr>
        <w:t>详细评审的程序</w:t>
      </w:r>
    </w:p>
    <w:p>
      <w:pPr>
        <w:shd w:val="clear" w:color="auto" w:fill="FFFFFF"/>
        <w:adjustRightInd w:val="0"/>
        <w:snapToGrid w:val="0"/>
        <w:spacing w:line="430" w:lineRule="exact"/>
        <w:ind w:firstLine="420" w:firstLineChars="200"/>
        <w:rPr>
          <w:rFonts w:ascii="宋体" w:hAnsi="宋体"/>
          <w:color w:val="auto"/>
          <w:szCs w:val="21"/>
          <w:highlight w:val="none"/>
        </w:rPr>
      </w:pPr>
      <w:r>
        <w:rPr>
          <w:rFonts w:hint="eastAsia" w:ascii="黑体" w:hAnsi="宋体" w:eastAsia="黑体"/>
          <w:color w:val="auto"/>
          <w:szCs w:val="21"/>
          <w:highlight w:val="none"/>
        </w:rPr>
        <w:t>A4.1.1</w:t>
      </w:r>
      <w:r>
        <w:rPr>
          <w:rFonts w:hint="eastAsia" w:ascii="宋体" w:hAnsi="宋体"/>
          <w:color w:val="auto"/>
          <w:szCs w:val="21"/>
          <w:highlight w:val="none"/>
        </w:rPr>
        <w:t xml:space="preserve">  评标委员会按照本章第3．2款中规定的程序进行详细评审：</w:t>
      </w:r>
    </w:p>
    <w:p>
      <w:pPr>
        <w:shd w:val="clear" w:color="auto" w:fill="FFFFFF"/>
        <w:adjustRightInd w:val="0"/>
        <w:snapToGrid w:val="0"/>
        <w:spacing w:line="430" w:lineRule="exact"/>
        <w:ind w:firstLine="852" w:firstLineChars="406"/>
        <w:rPr>
          <w:rFonts w:ascii="宋体" w:hAnsi="宋体"/>
          <w:color w:val="auto"/>
          <w:szCs w:val="21"/>
          <w:highlight w:val="none"/>
        </w:rPr>
      </w:pPr>
      <w:r>
        <w:rPr>
          <w:rFonts w:hint="eastAsia" w:ascii="宋体" w:hAnsi="宋体"/>
          <w:color w:val="auto"/>
          <w:szCs w:val="21"/>
          <w:highlight w:val="none"/>
        </w:rPr>
        <w:t>(1)施工组织设计评审和评分；</w:t>
      </w:r>
    </w:p>
    <w:p>
      <w:pPr>
        <w:shd w:val="clear" w:color="auto" w:fill="FFFFFF"/>
        <w:adjustRightInd w:val="0"/>
        <w:snapToGrid w:val="0"/>
        <w:spacing w:line="430" w:lineRule="exact"/>
        <w:ind w:firstLine="852" w:firstLineChars="406"/>
        <w:rPr>
          <w:rFonts w:ascii="宋体" w:hAnsi="宋体"/>
          <w:color w:val="auto"/>
          <w:szCs w:val="21"/>
          <w:highlight w:val="none"/>
        </w:rPr>
      </w:pPr>
      <w:r>
        <w:rPr>
          <w:rFonts w:hint="eastAsia" w:ascii="宋体" w:hAnsi="宋体"/>
          <w:color w:val="auto"/>
          <w:szCs w:val="21"/>
          <w:highlight w:val="none"/>
        </w:rPr>
        <w:t>(2)项目管理机构评审和评分；</w:t>
      </w:r>
    </w:p>
    <w:p>
      <w:pPr>
        <w:shd w:val="clear" w:color="auto" w:fill="FFFFFF"/>
        <w:adjustRightInd w:val="0"/>
        <w:snapToGrid w:val="0"/>
        <w:spacing w:line="430" w:lineRule="exact"/>
        <w:ind w:firstLine="852" w:firstLineChars="406"/>
        <w:rPr>
          <w:rFonts w:ascii="宋体" w:hAnsi="宋体"/>
          <w:color w:val="auto"/>
          <w:szCs w:val="21"/>
          <w:highlight w:val="none"/>
        </w:rPr>
      </w:pPr>
      <w:r>
        <w:rPr>
          <w:rFonts w:hint="eastAsia" w:ascii="宋体" w:hAnsi="宋体"/>
          <w:color w:val="auto"/>
          <w:szCs w:val="21"/>
          <w:highlight w:val="none"/>
        </w:rPr>
        <w:t>(3)投标报价评审和评分，并对明显低于其他投标报价的投标报价，或者在设有标底时明显低于标底的投标报价，判断是否低于其个别成本；</w:t>
      </w:r>
    </w:p>
    <w:p>
      <w:pPr>
        <w:shd w:val="clear" w:color="auto" w:fill="FFFFFF"/>
        <w:adjustRightInd w:val="0"/>
        <w:snapToGrid w:val="0"/>
        <w:spacing w:line="430" w:lineRule="exact"/>
        <w:ind w:firstLine="882" w:firstLineChars="420"/>
        <w:rPr>
          <w:rFonts w:ascii="宋体" w:hAnsi="宋体"/>
          <w:color w:val="auto"/>
          <w:szCs w:val="21"/>
          <w:highlight w:val="none"/>
        </w:rPr>
      </w:pPr>
      <w:r>
        <w:rPr>
          <w:rFonts w:hint="eastAsia" w:ascii="宋体" w:hAnsi="宋体"/>
          <w:color w:val="auto"/>
          <w:szCs w:val="21"/>
          <w:highlight w:val="none"/>
        </w:rPr>
        <w:t>(4)其他因素评审和评分；</w:t>
      </w:r>
    </w:p>
    <w:p>
      <w:pPr>
        <w:shd w:val="clear" w:color="auto" w:fill="FFFFFF"/>
        <w:adjustRightInd w:val="0"/>
        <w:snapToGrid w:val="0"/>
        <w:spacing w:line="430" w:lineRule="exact"/>
        <w:ind w:firstLine="882" w:firstLineChars="420"/>
        <w:rPr>
          <w:rFonts w:ascii="宋体" w:hAnsi="宋体"/>
          <w:color w:val="auto"/>
          <w:szCs w:val="21"/>
          <w:highlight w:val="none"/>
        </w:rPr>
      </w:pPr>
      <w:r>
        <w:rPr>
          <w:rFonts w:hint="eastAsia" w:ascii="宋体" w:hAnsi="宋体"/>
          <w:color w:val="auto"/>
          <w:szCs w:val="21"/>
          <w:highlight w:val="none"/>
        </w:rPr>
        <w:t>(5)汇总评分结果。</w:t>
      </w:r>
    </w:p>
    <w:p>
      <w:pPr>
        <w:shd w:val="clear" w:color="auto" w:fill="FFFFFF"/>
        <w:adjustRightInd w:val="0"/>
        <w:snapToGrid w:val="0"/>
        <w:spacing w:before="48" w:beforeLines="20" w:after="48" w:afterLines="20" w:line="430" w:lineRule="exact"/>
        <w:rPr>
          <w:rFonts w:ascii="宋体" w:hAnsi="宋体"/>
          <w:b/>
          <w:color w:val="auto"/>
          <w:szCs w:val="21"/>
          <w:highlight w:val="none"/>
        </w:rPr>
      </w:pPr>
      <w:r>
        <w:rPr>
          <w:rFonts w:hint="eastAsia" w:ascii="黑体" w:hAnsi="宋体" w:eastAsia="黑体"/>
          <w:b/>
          <w:color w:val="auto"/>
          <w:szCs w:val="21"/>
          <w:highlight w:val="none"/>
        </w:rPr>
        <w:t>A4.2</w:t>
      </w:r>
      <w:r>
        <w:rPr>
          <w:rFonts w:hint="eastAsia" w:ascii="宋体" w:hAnsi="宋体"/>
          <w:b/>
          <w:color w:val="auto"/>
          <w:szCs w:val="21"/>
          <w:highlight w:val="none"/>
        </w:rPr>
        <w:t xml:space="preserve">  施工组织设计评审和评分</w:t>
      </w:r>
    </w:p>
    <w:p>
      <w:pPr>
        <w:shd w:val="clear" w:color="auto" w:fill="FFFFFF"/>
        <w:adjustRightInd w:val="0"/>
        <w:snapToGrid w:val="0"/>
        <w:spacing w:line="430" w:lineRule="exact"/>
        <w:ind w:firstLine="420" w:firstLineChars="200"/>
        <w:rPr>
          <w:rFonts w:ascii="宋体" w:hAnsi="宋体"/>
          <w:color w:val="auto"/>
          <w:szCs w:val="21"/>
          <w:highlight w:val="none"/>
        </w:rPr>
      </w:pPr>
      <w:r>
        <w:rPr>
          <w:rFonts w:hint="eastAsia" w:ascii="黑体" w:hAnsi="宋体" w:eastAsia="黑体"/>
          <w:color w:val="auto"/>
          <w:szCs w:val="21"/>
          <w:highlight w:val="none"/>
        </w:rPr>
        <w:t>A4.2.1</w:t>
      </w:r>
      <w:r>
        <w:rPr>
          <w:rFonts w:hint="eastAsia" w:ascii="宋体" w:hAnsi="宋体"/>
          <w:color w:val="auto"/>
          <w:szCs w:val="21"/>
          <w:highlight w:val="none"/>
        </w:rPr>
        <w:t>按照评标办法前附表中规定的分值设定、各项评分因素、评分标准，对施工组织设计进行评审和评分，并使用</w:t>
      </w:r>
      <w:r>
        <w:rPr>
          <w:rFonts w:hint="eastAsia" w:ascii="宋体" w:hAnsi="宋体"/>
          <w:b/>
          <w:color w:val="auto"/>
          <w:szCs w:val="21"/>
          <w:highlight w:val="none"/>
        </w:rPr>
        <w:t>附表A-5</w:t>
      </w:r>
      <w:r>
        <w:rPr>
          <w:rFonts w:hint="eastAsia" w:ascii="宋体" w:hAnsi="宋体"/>
          <w:color w:val="auto"/>
          <w:szCs w:val="21"/>
          <w:highlight w:val="none"/>
        </w:rPr>
        <w:t>记录对施工组织设计的评分结果，施工组织设计的得分记录为</w:t>
      </w:r>
      <w:r>
        <w:rPr>
          <w:rFonts w:hint="eastAsia" w:ascii="宋体" w:hAnsi="宋体"/>
          <w:b/>
          <w:color w:val="auto"/>
          <w:szCs w:val="21"/>
          <w:highlight w:val="none"/>
        </w:rPr>
        <w:t>A</w:t>
      </w:r>
      <w:r>
        <w:rPr>
          <w:rFonts w:hint="eastAsia" w:ascii="宋体" w:hAnsi="宋体"/>
          <w:color w:val="auto"/>
          <w:szCs w:val="21"/>
          <w:highlight w:val="none"/>
        </w:rPr>
        <w:t>。</w:t>
      </w:r>
    </w:p>
    <w:p>
      <w:pPr>
        <w:shd w:val="clear" w:color="auto" w:fill="FFFFFF"/>
        <w:adjustRightInd w:val="0"/>
        <w:snapToGrid w:val="0"/>
        <w:spacing w:before="48" w:beforeLines="20" w:after="48" w:afterLines="20" w:line="430" w:lineRule="exact"/>
        <w:rPr>
          <w:rFonts w:ascii="宋体" w:hAnsi="宋体"/>
          <w:b/>
          <w:color w:val="auto"/>
          <w:szCs w:val="21"/>
          <w:highlight w:val="none"/>
        </w:rPr>
      </w:pPr>
      <w:r>
        <w:rPr>
          <w:rFonts w:hint="eastAsia" w:ascii="黑体" w:hAnsi="宋体" w:eastAsia="黑体"/>
          <w:b/>
          <w:color w:val="auto"/>
          <w:szCs w:val="21"/>
          <w:highlight w:val="none"/>
        </w:rPr>
        <w:t>A4．3</w:t>
      </w:r>
      <w:r>
        <w:rPr>
          <w:rFonts w:hint="eastAsia" w:ascii="宋体" w:hAnsi="宋体"/>
          <w:b/>
          <w:color w:val="auto"/>
          <w:szCs w:val="21"/>
          <w:highlight w:val="none"/>
        </w:rPr>
        <w:t>项目管理机构评审和评分</w:t>
      </w:r>
    </w:p>
    <w:p>
      <w:pPr>
        <w:shd w:val="clear" w:color="auto" w:fill="FFFFFF"/>
        <w:adjustRightInd w:val="0"/>
        <w:snapToGrid w:val="0"/>
        <w:spacing w:line="430" w:lineRule="exact"/>
        <w:ind w:firstLine="420" w:firstLineChars="200"/>
        <w:rPr>
          <w:rFonts w:ascii="宋体" w:hAnsi="宋体"/>
          <w:color w:val="auto"/>
          <w:szCs w:val="21"/>
          <w:highlight w:val="none"/>
        </w:rPr>
      </w:pPr>
      <w:r>
        <w:rPr>
          <w:rFonts w:hint="eastAsia" w:ascii="黑体" w:hAnsi="宋体" w:eastAsia="黑体"/>
          <w:color w:val="auto"/>
          <w:szCs w:val="21"/>
          <w:highlight w:val="none"/>
        </w:rPr>
        <w:t>A4.3.1</w:t>
      </w:r>
      <w:r>
        <w:rPr>
          <w:rFonts w:hint="eastAsia" w:ascii="宋体" w:hAnsi="宋体"/>
          <w:color w:val="auto"/>
          <w:szCs w:val="21"/>
          <w:highlight w:val="none"/>
        </w:rPr>
        <w:t>按照评标办法前附表中规定的分值设定、各项评分因素、评分标准，对项目管理机构进行评审和评分，并使用</w:t>
      </w:r>
      <w:r>
        <w:rPr>
          <w:rFonts w:hint="eastAsia" w:ascii="宋体" w:hAnsi="宋体"/>
          <w:b/>
          <w:color w:val="auto"/>
          <w:szCs w:val="21"/>
          <w:highlight w:val="none"/>
        </w:rPr>
        <w:t>附表A-6</w:t>
      </w:r>
      <w:r>
        <w:rPr>
          <w:rFonts w:hint="eastAsia" w:ascii="宋体" w:hAnsi="宋体"/>
          <w:color w:val="auto"/>
          <w:szCs w:val="21"/>
          <w:highlight w:val="none"/>
        </w:rPr>
        <w:t>记录对项目管理机构的评分结果，项目管理机构的得分记录为</w:t>
      </w:r>
      <w:r>
        <w:rPr>
          <w:rFonts w:hint="eastAsia" w:ascii="宋体" w:hAnsi="宋体"/>
          <w:b/>
          <w:color w:val="auto"/>
          <w:szCs w:val="21"/>
          <w:highlight w:val="none"/>
        </w:rPr>
        <w:t>B</w:t>
      </w:r>
      <w:r>
        <w:rPr>
          <w:rFonts w:hint="eastAsia" w:ascii="宋体" w:hAnsi="宋体"/>
          <w:color w:val="auto"/>
          <w:szCs w:val="21"/>
          <w:highlight w:val="none"/>
        </w:rPr>
        <w:t>。</w:t>
      </w:r>
    </w:p>
    <w:p>
      <w:pPr>
        <w:shd w:val="clear" w:color="auto" w:fill="FFFFFF"/>
        <w:adjustRightInd w:val="0"/>
        <w:snapToGrid w:val="0"/>
        <w:spacing w:before="48" w:beforeLines="20" w:after="48" w:afterLines="20" w:line="430" w:lineRule="exact"/>
        <w:rPr>
          <w:rFonts w:ascii="宋体" w:hAnsi="宋体"/>
          <w:b/>
          <w:color w:val="auto"/>
          <w:szCs w:val="21"/>
          <w:highlight w:val="none"/>
        </w:rPr>
      </w:pPr>
      <w:r>
        <w:rPr>
          <w:rFonts w:hint="eastAsia" w:ascii="黑体" w:hAnsi="宋体" w:eastAsia="黑体"/>
          <w:b/>
          <w:color w:val="auto"/>
          <w:szCs w:val="21"/>
          <w:highlight w:val="none"/>
        </w:rPr>
        <w:t>A4.4</w:t>
      </w:r>
      <w:r>
        <w:rPr>
          <w:rFonts w:hint="eastAsia" w:ascii="宋体" w:hAnsi="宋体"/>
          <w:b/>
          <w:color w:val="auto"/>
          <w:szCs w:val="21"/>
          <w:highlight w:val="none"/>
        </w:rPr>
        <w:t>投标报价评审和评分(仅按投标总报价进行评分)</w:t>
      </w:r>
    </w:p>
    <w:p>
      <w:pPr>
        <w:shd w:val="clear" w:color="auto" w:fill="FFFFFF"/>
        <w:adjustRightInd w:val="0"/>
        <w:snapToGrid w:val="0"/>
        <w:spacing w:line="430" w:lineRule="exact"/>
        <w:ind w:firstLine="420" w:firstLineChars="200"/>
        <w:rPr>
          <w:rFonts w:ascii="宋体" w:hAnsi="宋体"/>
          <w:color w:val="auto"/>
          <w:szCs w:val="21"/>
          <w:highlight w:val="none"/>
        </w:rPr>
      </w:pPr>
      <w:r>
        <w:rPr>
          <w:rFonts w:hint="eastAsia" w:ascii="黑体" w:hAnsi="宋体" w:eastAsia="黑体"/>
          <w:color w:val="auto"/>
          <w:szCs w:val="21"/>
          <w:highlight w:val="none"/>
        </w:rPr>
        <w:t>A4.4.1</w:t>
      </w:r>
      <w:r>
        <w:rPr>
          <w:rFonts w:hint="eastAsia" w:ascii="宋体" w:hAnsi="宋体"/>
          <w:color w:val="auto"/>
          <w:szCs w:val="21"/>
          <w:highlight w:val="none"/>
        </w:rPr>
        <w:t>按照评标办法前附表中规定的方法计算“评标基准价”。</w:t>
      </w:r>
    </w:p>
    <w:p>
      <w:pPr>
        <w:shd w:val="clear" w:color="auto" w:fill="FFFFFF"/>
        <w:adjustRightInd w:val="0"/>
        <w:snapToGrid w:val="0"/>
        <w:spacing w:before="48" w:beforeLines="20" w:line="430" w:lineRule="exact"/>
        <w:ind w:firstLine="420" w:firstLineChars="200"/>
        <w:rPr>
          <w:rFonts w:ascii="宋体" w:hAnsi="宋体"/>
          <w:color w:val="auto"/>
          <w:szCs w:val="21"/>
          <w:highlight w:val="none"/>
        </w:rPr>
      </w:pPr>
      <w:r>
        <w:rPr>
          <w:rFonts w:hint="eastAsia" w:ascii="宋体" w:hAnsi="宋体"/>
          <w:color w:val="auto"/>
          <w:szCs w:val="21"/>
          <w:highlight w:val="none"/>
        </w:rPr>
        <w:t>A4.4.2按照评标办法前附表中规定的方法，计算各个已通过了初步评审、施工组织设计评审和项目管理机构评审并且经过评审认定为不低于其成本的投标报价的“偏差率”。</w:t>
      </w:r>
    </w:p>
    <w:p>
      <w:pPr>
        <w:shd w:val="clear" w:color="auto" w:fill="FFFFFF"/>
        <w:adjustRightInd w:val="0"/>
        <w:snapToGrid w:val="0"/>
        <w:spacing w:before="48" w:beforeLines="20" w:line="430" w:lineRule="exact"/>
        <w:ind w:firstLine="420" w:firstLineChars="200"/>
        <w:rPr>
          <w:rFonts w:ascii="宋体" w:hAnsi="宋体"/>
          <w:color w:val="auto"/>
          <w:szCs w:val="21"/>
          <w:highlight w:val="none"/>
        </w:rPr>
      </w:pPr>
      <w:r>
        <w:rPr>
          <w:rFonts w:hint="eastAsia" w:ascii="宋体" w:hAnsi="宋体"/>
          <w:color w:val="auto"/>
          <w:szCs w:val="21"/>
          <w:highlight w:val="none"/>
        </w:rPr>
        <w:t>A4.4.3按照评标办法前附表中规定的评分标准，对照投标报价的偏差率，分别对各个投标报价进行评分，使用</w:t>
      </w:r>
      <w:r>
        <w:rPr>
          <w:rFonts w:hint="eastAsia" w:ascii="宋体" w:hAnsi="宋体"/>
          <w:b/>
          <w:color w:val="auto"/>
          <w:szCs w:val="21"/>
          <w:highlight w:val="none"/>
        </w:rPr>
        <w:t>附表A-7</w:t>
      </w:r>
      <w:r>
        <w:rPr>
          <w:rFonts w:hint="eastAsia" w:ascii="宋体" w:hAnsi="宋体"/>
          <w:color w:val="auto"/>
          <w:szCs w:val="21"/>
          <w:highlight w:val="none"/>
        </w:rPr>
        <w:t>记录对投标报价的评分结果，投标报价的得分记录为</w:t>
      </w:r>
      <w:r>
        <w:rPr>
          <w:rFonts w:hint="eastAsia" w:ascii="宋体" w:hAnsi="宋体"/>
          <w:b/>
          <w:color w:val="auto"/>
          <w:szCs w:val="21"/>
          <w:highlight w:val="none"/>
        </w:rPr>
        <w:t>C</w:t>
      </w:r>
      <w:r>
        <w:rPr>
          <w:rFonts w:hint="eastAsia" w:ascii="宋体" w:hAnsi="宋体"/>
          <w:color w:val="auto"/>
          <w:szCs w:val="21"/>
          <w:highlight w:val="none"/>
        </w:rPr>
        <w:t>。</w:t>
      </w:r>
    </w:p>
    <w:p>
      <w:pPr>
        <w:shd w:val="clear" w:color="auto" w:fill="FFFFFF"/>
        <w:adjustRightInd w:val="0"/>
        <w:snapToGrid w:val="0"/>
        <w:spacing w:before="48" w:beforeLines="20" w:after="48" w:afterLines="20" w:line="430" w:lineRule="exact"/>
        <w:rPr>
          <w:rFonts w:ascii="宋体" w:hAnsi="宋体"/>
          <w:b/>
          <w:color w:val="auto"/>
          <w:szCs w:val="21"/>
          <w:highlight w:val="none"/>
        </w:rPr>
      </w:pPr>
      <w:r>
        <w:rPr>
          <w:rFonts w:hint="eastAsia" w:ascii="黑体" w:hAnsi="宋体" w:eastAsia="黑体"/>
          <w:b/>
          <w:color w:val="auto"/>
          <w:szCs w:val="21"/>
          <w:highlight w:val="none"/>
        </w:rPr>
        <w:t>A4.4</w:t>
      </w:r>
      <w:r>
        <w:rPr>
          <w:rFonts w:hint="eastAsia" w:ascii="宋体" w:hAnsi="宋体"/>
          <w:b/>
          <w:color w:val="auto"/>
          <w:szCs w:val="21"/>
          <w:highlight w:val="none"/>
        </w:rPr>
        <w:t>投标报价评审和评分(按投标总报价中的分项报价分别进行评分)</w:t>
      </w:r>
    </w:p>
    <w:p>
      <w:pPr>
        <w:shd w:val="clear" w:color="auto" w:fill="FFFFFF"/>
        <w:adjustRightInd w:val="0"/>
        <w:snapToGrid w:val="0"/>
        <w:spacing w:line="430" w:lineRule="exact"/>
        <w:ind w:firstLine="420" w:firstLineChars="200"/>
        <w:rPr>
          <w:rFonts w:ascii="宋体" w:hAnsi="宋体"/>
          <w:color w:val="auto"/>
          <w:szCs w:val="21"/>
          <w:highlight w:val="none"/>
        </w:rPr>
      </w:pPr>
      <w:r>
        <w:rPr>
          <w:rFonts w:hint="eastAsia" w:ascii="黑体" w:hAnsi="宋体" w:eastAsia="黑体"/>
          <w:color w:val="auto"/>
          <w:szCs w:val="21"/>
          <w:highlight w:val="none"/>
        </w:rPr>
        <w:t>A4.4.1</w:t>
      </w:r>
      <w:r>
        <w:rPr>
          <w:rFonts w:hint="eastAsia" w:ascii="宋体" w:hAnsi="宋体"/>
          <w:color w:val="auto"/>
          <w:szCs w:val="21"/>
          <w:highlight w:val="none"/>
        </w:rPr>
        <w:t>投标报价按以下项目的分项投标报价分别进行评审和评分：</w:t>
      </w:r>
    </w:p>
    <w:p>
      <w:pPr>
        <w:shd w:val="clear" w:color="auto" w:fill="FFFFFF"/>
        <w:adjustRightInd w:val="0"/>
        <w:snapToGrid w:val="0"/>
        <w:spacing w:line="430" w:lineRule="exact"/>
        <w:ind w:firstLine="200"/>
        <w:rPr>
          <w:rFonts w:ascii="宋体" w:hAnsi="宋体"/>
          <w:color w:val="auto"/>
          <w:szCs w:val="21"/>
          <w:highlight w:val="none"/>
        </w:rPr>
      </w:pPr>
      <w:r>
        <w:rPr>
          <w:rFonts w:hint="eastAsia" w:ascii="宋体" w:hAnsi="宋体"/>
          <w:color w:val="auto"/>
          <w:szCs w:val="21"/>
          <w:highlight w:val="none"/>
        </w:rPr>
        <w:t>（1）投标总报价减去以下分别进行评分的各个分项投标报价以后的部分；</w:t>
      </w:r>
    </w:p>
    <w:p>
      <w:pPr>
        <w:shd w:val="clear" w:color="auto" w:fill="FFFFFF"/>
        <w:adjustRightInd w:val="0"/>
        <w:snapToGrid w:val="0"/>
        <w:spacing w:line="430" w:lineRule="exact"/>
        <w:ind w:firstLine="200"/>
        <w:rPr>
          <w:rFonts w:ascii="宋体" w:hAnsi="宋体"/>
          <w:color w:val="auto"/>
          <w:szCs w:val="21"/>
          <w:highlight w:val="none"/>
        </w:rPr>
      </w:pPr>
      <w:r>
        <w:rPr>
          <w:rFonts w:hint="eastAsia" w:ascii="宋体" w:hAnsi="宋体"/>
          <w:color w:val="auto"/>
          <w:szCs w:val="21"/>
          <w:highlight w:val="none"/>
        </w:rPr>
        <w:t xml:space="preserve">（2) </w:t>
      </w:r>
      <w:r>
        <w:rPr>
          <w:rFonts w:hint="eastAsia" w:ascii="宋体" w:hAnsi="宋体"/>
          <w:color w:val="auto"/>
          <w:szCs w:val="21"/>
          <w:highlight w:val="none"/>
          <w:u w:val="single"/>
        </w:rPr>
        <w:t xml:space="preserve">                             /                             </w:t>
      </w:r>
      <w:r>
        <w:rPr>
          <w:rFonts w:hint="eastAsia" w:ascii="宋体" w:hAnsi="宋体"/>
          <w:color w:val="auto"/>
          <w:szCs w:val="21"/>
          <w:highlight w:val="none"/>
        </w:rPr>
        <w:t>；</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 xml:space="preserve">（3) </w:t>
      </w:r>
      <w:r>
        <w:rPr>
          <w:rFonts w:hint="eastAsia" w:ascii="宋体" w:hAnsi="宋体"/>
          <w:color w:val="auto"/>
          <w:szCs w:val="21"/>
          <w:highlight w:val="none"/>
          <w:u w:val="single"/>
        </w:rPr>
        <w:t xml:space="preserve">                         /                                 </w:t>
      </w:r>
      <w:r>
        <w:rPr>
          <w:rFonts w:hint="eastAsia" w:ascii="宋体" w:hAnsi="宋体"/>
          <w:color w:val="auto"/>
          <w:szCs w:val="21"/>
          <w:highlight w:val="none"/>
        </w:rPr>
        <w:t>；</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 xml:space="preserve">（4) </w:t>
      </w:r>
      <w:r>
        <w:rPr>
          <w:rFonts w:hint="eastAsia" w:ascii="宋体" w:hAnsi="宋体"/>
          <w:color w:val="auto"/>
          <w:szCs w:val="21"/>
          <w:highlight w:val="none"/>
          <w:u w:val="single"/>
        </w:rPr>
        <w:t xml:space="preserve">                         /                                 </w:t>
      </w:r>
      <w:r>
        <w:rPr>
          <w:rFonts w:hint="eastAsia" w:ascii="宋体" w:hAnsi="宋体"/>
          <w:color w:val="auto"/>
          <w:szCs w:val="21"/>
          <w:highlight w:val="none"/>
        </w:rPr>
        <w:t>；</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 xml:space="preserve">（5) </w:t>
      </w:r>
      <w:r>
        <w:rPr>
          <w:rFonts w:hint="eastAsia" w:ascii="宋体" w:hAnsi="宋体"/>
          <w:color w:val="auto"/>
          <w:szCs w:val="21"/>
          <w:highlight w:val="none"/>
          <w:u w:val="single"/>
        </w:rPr>
        <w:t xml:space="preserve">                         /                                 </w:t>
      </w:r>
      <w:r>
        <w:rPr>
          <w:rFonts w:hint="eastAsia" w:ascii="宋体" w:hAnsi="宋体"/>
          <w:color w:val="auto"/>
          <w:szCs w:val="21"/>
          <w:highlight w:val="none"/>
        </w:rPr>
        <w:t>；</w:t>
      </w:r>
    </w:p>
    <w:p>
      <w:pPr>
        <w:shd w:val="clear" w:color="auto" w:fill="FFFFFF"/>
        <w:adjustRightInd w:val="0"/>
        <w:snapToGrid w:val="0"/>
        <w:spacing w:line="440" w:lineRule="exact"/>
        <w:ind w:firstLine="525" w:firstLineChars="250"/>
        <w:rPr>
          <w:rFonts w:ascii="宋体" w:hAnsi="宋体"/>
          <w:color w:val="auto"/>
          <w:szCs w:val="21"/>
          <w:highlight w:val="none"/>
        </w:rPr>
      </w:pPr>
      <w:r>
        <w:rPr>
          <w:rFonts w:hint="eastAsia" w:ascii="宋体" w:hAnsi="宋体"/>
          <w:color w:val="auto"/>
          <w:szCs w:val="21"/>
          <w:highlight w:val="none"/>
        </w:rPr>
        <w:t>…………</w:t>
      </w:r>
    </w:p>
    <w:p>
      <w:pPr>
        <w:shd w:val="clear" w:color="auto" w:fill="FFFFFF"/>
        <w:adjustRightInd w:val="0"/>
        <w:snapToGrid w:val="0"/>
        <w:spacing w:before="48" w:beforeLines="20" w:line="440" w:lineRule="exact"/>
        <w:ind w:firstLine="420" w:firstLineChars="200"/>
        <w:rPr>
          <w:rFonts w:ascii="宋体" w:hAnsi="宋体"/>
          <w:color w:val="auto"/>
          <w:szCs w:val="21"/>
          <w:highlight w:val="none"/>
        </w:rPr>
      </w:pPr>
      <w:r>
        <w:rPr>
          <w:rFonts w:hint="eastAsia" w:ascii="黑体" w:hAnsi="宋体" w:eastAsia="黑体"/>
          <w:color w:val="auto"/>
          <w:szCs w:val="21"/>
          <w:highlight w:val="none"/>
        </w:rPr>
        <w:t xml:space="preserve">A4.4.2 </w:t>
      </w:r>
      <w:r>
        <w:rPr>
          <w:rFonts w:hint="eastAsia" w:ascii="宋体" w:hAnsi="宋体"/>
          <w:color w:val="auto"/>
          <w:szCs w:val="21"/>
          <w:highlight w:val="none"/>
        </w:rPr>
        <w:t>按照评标办法前附表中规定的方法，分别计算各个分项投标报价“评标基准价”。</w:t>
      </w:r>
    </w:p>
    <w:p>
      <w:pPr>
        <w:shd w:val="clear" w:color="auto" w:fill="FFFFFF"/>
        <w:adjustRightInd w:val="0"/>
        <w:snapToGrid w:val="0"/>
        <w:spacing w:before="48" w:beforeLines="20" w:line="440" w:lineRule="exact"/>
        <w:ind w:firstLine="420" w:firstLineChars="200"/>
        <w:rPr>
          <w:rFonts w:ascii="宋体" w:hAnsi="宋体"/>
          <w:color w:val="auto"/>
          <w:szCs w:val="21"/>
          <w:highlight w:val="none"/>
        </w:rPr>
      </w:pPr>
      <w:r>
        <w:rPr>
          <w:rFonts w:hint="eastAsia" w:ascii="黑体" w:hAnsi="宋体" w:eastAsia="黑体"/>
          <w:color w:val="auto"/>
          <w:szCs w:val="21"/>
          <w:highlight w:val="none"/>
        </w:rPr>
        <w:t>A4.4.3</w:t>
      </w:r>
      <w:r>
        <w:rPr>
          <w:rFonts w:hint="eastAsia" w:ascii="宋体" w:hAnsi="宋体"/>
          <w:color w:val="auto"/>
          <w:szCs w:val="21"/>
          <w:highlight w:val="none"/>
        </w:rPr>
        <w:t>按照评标办法前附表中规定的方法，分别计算各个分项投标报价与对应的分项投标报价评标基准价之间的偏差率。</w:t>
      </w:r>
    </w:p>
    <w:p>
      <w:pPr>
        <w:shd w:val="clear" w:color="auto" w:fill="FFFFFF"/>
        <w:adjustRightInd w:val="0"/>
        <w:snapToGrid w:val="0"/>
        <w:spacing w:before="48" w:beforeLines="20" w:line="440" w:lineRule="exact"/>
        <w:ind w:firstLine="420" w:firstLineChars="200"/>
        <w:rPr>
          <w:rFonts w:ascii="宋体" w:hAnsi="宋体"/>
          <w:color w:val="auto"/>
          <w:szCs w:val="21"/>
          <w:highlight w:val="none"/>
        </w:rPr>
      </w:pPr>
      <w:r>
        <w:rPr>
          <w:rFonts w:hint="eastAsia" w:ascii="黑体" w:hAnsi="宋体" w:eastAsia="黑体"/>
          <w:color w:val="auto"/>
          <w:szCs w:val="21"/>
          <w:highlight w:val="none"/>
        </w:rPr>
        <w:t>A4.4.4</w:t>
      </w:r>
      <w:r>
        <w:rPr>
          <w:rFonts w:hint="eastAsia" w:ascii="宋体" w:hAnsi="宋体"/>
          <w:color w:val="auto"/>
          <w:szCs w:val="21"/>
          <w:highlight w:val="none"/>
        </w:rPr>
        <w:t>按照评标办法前附表中规定的评分标准，对照分项投标报价的偏差率，分别对各个分项投标报价进行评分，汇总各个分项投标报价的得分，使用附表A-7记录对各个投标报价的评分结果，投标报价的得分记录为C。</w:t>
      </w:r>
    </w:p>
    <w:p>
      <w:pPr>
        <w:shd w:val="clear" w:color="auto" w:fill="FFFFFF"/>
        <w:adjustRightInd w:val="0"/>
        <w:snapToGrid w:val="0"/>
        <w:spacing w:before="48" w:beforeLines="20" w:after="48" w:afterLines="20" w:line="440" w:lineRule="exact"/>
        <w:rPr>
          <w:rFonts w:ascii="宋体" w:hAnsi="宋体"/>
          <w:b/>
          <w:color w:val="auto"/>
          <w:szCs w:val="21"/>
          <w:highlight w:val="none"/>
        </w:rPr>
      </w:pPr>
      <w:r>
        <w:rPr>
          <w:rFonts w:hint="eastAsia" w:ascii="黑体" w:hAnsi="宋体" w:eastAsia="黑体"/>
          <w:b/>
          <w:color w:val="auto"/>
          <w:szCs w:val="21"/>
          <w:highlight w:val="none"/>
        </w:rPr>
        <w:t>A4.5</w:t>
      </w:r>
      <w:r>
        <w:rPr>
          <w:rFonts w:hint="eastAsia" w:ascii="宋体" w:hAnsi="宋体"/>
          <w:b/>
          <w:color w:val="auto"/>
          <w:szCs w:val="21"/>
          <w:highlight w:val="none"/>
        </w:rPr>
        <w:t xml:space="preserve">  其他因素的评审和评分</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根据评标办法前附表中规定的分值设定、各项评分因素和相应的评分标准，对其他因素(如果有)进行评审和评分，并使用</w:t>
      </w:r>
      <w:r>
        <w:rPr>
          <w:rFonts w:hint="eastAsia" w:ascii="宋体" w:hAnsi="宋体"/>
          <w:b/>
          <w:color w:val="auto"/>
          <w:szCs w:val="21"/>
          <w:highlight w:val="none"/>
        </w:rPr>
        <w:t>附表A-8</w:t>
      </w:r>
      <w:r>
        <w:rPr>
          <w:rFonts w:hint="eastAsia" w:ascii="宋体" w:hAnsi="宋体"/>
          <w:color w:val="auto"/>
          <w:szCs w:val="21"/>
          <w:highlight w:val="none"/>
        </w:rPr>
        <w:t>记录对其他因素的评分结果，其他因素的得分记录为</w:t>
      </w:r>
      <w:r>
        <w:rPr>
          <w:rFonts w:hint="eastAsia" w:ascii="宋体" w:hAnsi="宋体"/>
          <w:b/>
          <w:color w:val="auto"/>
          <w:szCs w:val="21"/>
          <w:highlight w:val="none"/>
        </w:rPr>
        <w:t>D</w:t>
      </w:r>
      <w:r>
        <w:rPr>
          <w:rFonts w:hint="eastAsia" w:ascii="宋体" w:hAnsi="宋体"/>
          <w:color w:val="auto"/>
          <w:szCs w:val="21"/>
          <w:highlight w:val="none"/>
        </w:rPr>
        <w:t>。</w:t>
      </w:r>
    </w:p>
    <w:p>
      <w:pPr>
        <w:shd w:val="clear" w:color="auto" w:fill="FFFFFF"/>
        <w:adjustRightInd w:val="0"/>
        <w:snapToGrid w:val="0"/>
        <w:spacing w:before="48" w:beforeLines="20" w:after="48" w:afterLines="20" w:line="440" w:lineRule="exact"/>
        <w:rPr>
          <w:rFonts w:ascii="宋体" w:hAnsi="宋体"/>
          <w:b/>
          <w:color w:val="auto"/>
          <w:szCs w:val="21"/>
          <w:highlight w:val="none"/>
        </w:rPr>
      </w:pPr>
      <w:r>
        <w:rPr>
          <w:rFonts w:hint="eastAsia" w:ascii="黑体" w:hAnsi="宋体" w:eastAsia="黑体"/>
          <w:b/>
          <w:color w:val="auto"/>
          <w:szCs w:val="21"/>
          <w:highlight w:val="none"/>
        </w:rPr>
        <w:t>A4.6</w:t>
      </w:r>
      <w:r>
        <w:rPr>
          <w:rFonts w:hint="eastAsia" w:ascii="宋体" w:hAnsi="宋体"/>
          <w:b/>
          <w:color w:val="auto"/>
          <w:szCs w:val="21"/>
          <w:highlight w:val="none"/>
        </w:rPr>
        <w:t xml:space="preserve">  判断投标报价是否低于成本</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根据本章第3.2.4项的规定，评标委员会根据本章附件C中规定的程序、标准和方法，判断投标报价是否低于其成本。由评标委员会认定投标人以低于成本竞标的，其投标作废标处理。</w:t>
      </w:r>
    </w:p>
    <w:p>
      <w:pPr>
        <w:shd w:val="clear" w:color="auto" w:fill="FFFFFF"/>
        <w:adjustRightInd w:val="0"/>
        <w:snapToGrid w:val="0"/>
        <w:spacing w:line="440" w:lineRule="exact"/>
        <w:rPr>
          <w:rFonts w:ascii="宋体" w:hAnsi="宋体"/>
          <w:b/>
          <w:color w:val="auto"/>
          <w:szCs w:val="21"/>
          <w:highlight w:val="none"/>
        </w:rPr>
      </w:pPr>
      <w:r>
        <w:rPr>
          <w:rFonts w:hint="eastAsia" w:ascii="黑体" w:hAnsi="宋体" w:eastAsia="黑体"/>
          <w:b/>
          <w:color w:val="auto"/>
          <w:szCs w:val="21"/>
          <w:highlight w:val="none"/>
        </w:rPr>
        <w:t xml:space="preserve">A4.7  </w:t>
      </w:r>
      <w:r>
        <w:rPr>
          <w:rFonts w:hint="eastAsia" w:ascii="宋体" w:hAnsi="宋体"/>
          <w:b/>
          <w:color w:val="auto"/>
          <w:szCs w:val="21"/>
          <w:highlight w:val="none"/>
        </w:rPr>
        <w:t>澄清、说明或补正</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在详细评审过程中，评标委员会应当就投标文件中不明确的内容要求投标人进行澄清、说明或者补正。投标人对此以书面形式予以澄清、说明或者补正。澄清、说明或补正根据本章第3.3款的规定执行。</w:t>
      </w:r>
    </w:p>
    <w:p>
      <w:pPr>
        <w:shd w:val="clear" w:color="auto" w:fill="FFFFFF"/>
        <w:adjustRightInd w:val="0"/>
        <w:snapToGrid w:val="0"/>
        <w:spacing w:line="440" w:lineRule="exact"/>
        <w:rPr>
          <w:rFonts w:ascii="宋体" w:hAnsi="宋体"/>
          <w:b/>
          <w:color w:val="auto"/>
          <w:szCs w:val="21"/>
          <w:highlight w:val="none"/>
        </w:rPr>
      </w:pPr>
      <w:r>
        <w:rPr>
          <w:rFonts w:hint="eastAsia" w:ascii="黑体" w:hAnsi="宋体" w:eastAsia="黑体"/>
          <w:b/>
          <w:color w:val="auto"/>
          <w:szCs w:val="21"/>
          <w:highlight w:val="none"/>
        </w:rPr>
        <w:t xml:space="preserve">A4.8  </w:t>
      </w:r>
      <w:r>
        <w:rPr>
          <w:rFonts w:hint="eastAsia" w:ascii="宋体" w:hAnsi="宋体"/>
          <w:b/>
          <w:color w:val="auto"/>
          <w:szCs w:val="21"/>
          <w:highlight w:val="none"/>
        </w:rPr>
        <w:t>汇总评分结果</w:t>
      </w:r>
    </w:p>
    <w:p>
      <w:pPr>
        <w:shd w:val="clear" w:color="auto" w:fill="FFFFFF"/>
        <w:adjustRightInd w:val="0"/>
        <w:snapToGrid w:val="0"/>
        <w:spacing w:line="440" w:lineRule="exact"/>
        <w:ind w:firstLine="422" w:firstLineChars="200"/>
        <w:rPr>
          <w:rFonts w:ascii="宋体" w:hAnsi="宋体"/>
          <w:color w:val="auto"/>
          <w:szCs w:val="21"/>
          <w:highlight w:val="none"/>
        </w:rPr>
      </w:pPr>
      <w:r>
        <w:rPr>
          <w:rFonts w:hint="eastAsia" w:ascii="宋体" w:hAnsi="宋体"/>
          <w:b/>
          <w:color w:val="auto"/>
          <w:szCs w:val="21"/>
          <w:highlight w:val="none"/>
        </w:rPr>
        <w:t>A4.8.1</w:t>
      </w:r>
      <w:r>
        <w:rPr>
          <w:rFonts w:hint="eastAsia" w:ascii="宋体" w:hAnsi="宋体"/>
          <w:color w:val="auto"/>
          <w:szCs w:val="21"/>
          <w:highlight w:val="none"/>
        </w:rPr>
        <w:t>评标委员会成员应按照附表</w:t>
      </w:r>
      <w:r>
        <w:rPr>
          <w:rFonts w:hint="eastAsia" w:ascii="宋体" w:hAnsi="宋体"/>
          <w:b/>
          <w:color w:val="auto"/>
          <w:szCs w:val="21"/>
          <w:highlight w:val="none"/>
        </w:rPr>
        <w:t>A-9</w:t>
      </w:r>
      <w:r>
        <w:rPr>
          <w:rFonts w:hint="eastAsia" w:ascii="宋体" w:hAnsi="宋体"/>
          <w:color w:val="auto"/>
          <w:szCs w:val="21"/>
          <w:highlight w:val="none"/>
        </w:rPr>
        <w:t>的格式填写详细评审评分汇总表。</w:t>
      </w:r>
    </w:p>
    <w:p>
      <w:pPr>
        <w:shd w:val="clear" w:color="auto" w:fill="FFFFFF"/>
        <w:adjustRightInd w:val="0"/>
        <w:snapToGrid w:val="0"/>
        <w:spacing w:line="440" w:lineRule="exact"/>
        <w:ind w:firstLine="422" w:firstLineChars="200"/>
        <w:rPr>
          <w:rFonts w:ascii="宋体" w:hAnsi="宋体"/>
          <w:color w:val="auto"/>
          <w:szCs w:val="21"/>
          <w:highlight w:val="none"/>
        </w:rPr>
      </w:pPr>
      <w:r>
        <w:rPr>
          <w:rFonts w:hint="eastAsia" w:ascii="宋体" w:hAnsi="宋体"/>
          <w:b/>
          <w:color w:val="auto"/>
          <w:szCs w:val="21"/>
          <w:highlight w:val="none"/>
        </w:rPr>
        <w:t>A4.8.2</w:t>
      </w:r>
      <w:r>
        <w:rPr>
          <w:rFonts w:hint="eastAsia" w:ascii="宋体" w:hAnsi="宋体"/>
          <w:color w:val="auto"/>
          <w:szCs w:val="21"/>
          <w:highlight w:val="none"/>
        </w:rPr>
        <w:t>详细评审工作全部结束后，按照附表</w:t>
      </w:r>
      <w:r>
        <w:rPr>
          <w:rFonts w:hint="eastAsia" w:ascii="宋体" w:hAnsi="宋体"/>
          <w:b/>
          <w:color w:val="auto"/>
          <w:szCs w:val="21"/>
          <w:highlight w:val="none"/>
        </w:rPr>
        <w:t>A-10</w:t>
      </w:r>
      <w:r>
        <w:rPr>
          <w:rFonts w:hint="eastAsia" w:ascii="宋体" w:hAnsi="宋体"/>
          <w:color w:val="auto"/>
          <w:szCs w:val="21"/>
          <w:highlight w:val="none"/>
        </w:rPr>
        <w:t>的格式汇总各个评标委员会成员的详细评审评分结果，并按照详细评审最终得分由高至低的次序对投标人进行排序。</w:t>
      </w:r>
    </w:p>
    <w:p>
      <w:pPr>
        <w:shd w:val="clear" w:color="auto" w:fill="FFFFFF"/>
        <w:adjustRightInd w:val="0"/>
        <w:snapToGrid w:val="0"/>
        <w:spacing w:before="48" w:beforeLines="20" w:line="440" w:lineRule="exact"/>
        <w:rPr>
          <w:rFonts w:ascii="宋体" w:hAnsi="宋体"/>
          <w:b/>
          <w:color w:val="auto"/>
          <w:szCs w:val="21"/>
          <w:highlight w:val="none"/>
        </w:rPr>
      </w:pPr>
      <w:r>
        <w:rPr>
          <w:rFonts w:hint="eastAsia" w:ascii="黑体" w:hAnsi="宋体" w:eastAsia="黑体"/>
          <w:b/>
          <w:color w:val="auto"/>
          <w:szCs w:val="21"/>
          <w:highlight w:val="none"/>
        </w:rPr>
        <w:t xml:space="preserve">A5. </w:t>
      </w:r>
      <w:r>
        <w:rPr>
          <w:rFonts w:hint="eastAsia" w:ascii="宋体" w:hAnsi="宋体"/>
          <w:b/>
          <w:color w:val="auto"/>
          <w:szCs w:val="21"/>
          <w:highlight w:val="none"/>
        </w:rPr>
        <w:t xml:space="preserve"> 推荐中标候选人或者直接确定中标人</w:t>
      </w:r>
    </w:p>
    <w:p>
      <w:pPr>
        <w:shd w:val="clear" w:color="auto" w:fill="FFFFFF"/>
        <w:adjustRightInd w:val="0"/>
        <w:snapToGrid w:val="0"/>
        <w:spacing w:line="440" w:lineRule="exact"/>
        <w:rPr>
          <w:rFonts w:ascii="宋体" w:hAnsi="宋体"/>
          <w:b/>
          <w:color w:val="auto"/>
          <w:szCs w:val="21"/>
          <w:highlight w:val="none"/>
        </w:rPr>
      </w:pPr>
      <w:r>
        <w:rPr>
          <w:rFonts w:hint="eastAsia" w:ascii="黑体" w:hAnsi="宋体" w:eastAsia="黑体"/>
          <w:b/>
          <w:color w:val="auto"/>
          <w:szCs w:val="21"/>
          <w:highlight w:val="none"/>
        </w:rPr>
        <w:t xml:space="preserve">A5.1  </w:t>
      </w:r>
      <w:r>
        <w:rPr>
          <w:rFonts w:hint="eastAsia" w:ascii="宋体" w:hAnsi="宋体"/>
          <w:b/>
          <w:color w:val="auto"/>
          <w:szCs w:val="21"/>
          <w:highlight w:val="none"/>
        </w:rPr>
        <w:t>推荐中标候选人</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黑体" w:hAnsi="宋体" w:eastAsia="黑体"/>
          <w:color w:val="auto"/>
          <w:szCs w:val="21"/>
          <w:highlight w:val="none"/>
        </w:rPr>
        <w:t>A5.1.1</w:t>
      </w:r>
      <w:r>
        <w:rPr>
          <w:rFonts w:hint="eastAsia" w:ascii="宋体" w:hAnsi="宋体"/>
          <w:color w:val="auto"/>
          <w:szCs w:val="21"/>
          <w:highlight w:val="none"/>
        </w:rPr>
        <w:t xml:space="preserve">  除第二章“投标人须知”前附表第7．1款授权直接确定中标人外，评标委员会在推荐中标候选人时，应遵照以下原则:</w:t>
      </w:r>
    </w:p>
    <w:p>
      <w:pPr>
        <w:shd w:val="clear" w:color="auto" w:fill="FFFFFF"/>
        <w:adjustRightInd w:val="0"/>
        <w:snapToGrid w:val="0"/>
        <w:spacing w:line="441" w:lineRule="exact"/>
        <w:ind w:firstLine="420" w:firstLineChars="200"/>
        <w:rPr>
          <w:rFonts w:ascii="宋体" w:hAnsi="宋体"/>
          <w:color w:val="auto"/>
          <w:szCs w:val="21"/>
          <w:highlight w:val="none"/>
        </w:rPr>
      </w:pPr>
      <w:r>
        <w:rPr>
          <w:rFonts w:hint="eastAsia" w:ascii="宋体" w:hAnsi="宋体"/>
          <w:color w:val="auto"/>
          <w:szCs w:val="21"/>
          <w:highlight w:val="none"/>
        </w:rPr>
        <w:t>(1)评标委员会按照最终得分由高至低的次序排列，并根据第二章“投标人须知”前附表第7.1款规定的中标候选人数量，将排序在前的投标人推荐为中标候选人。</w:t>
      </w:r>
    </w:p>
    <w:p>
      <w:pPr>
        <w:shd w:val="clear" w:color="auto" w:fill="FFFFFF"/>
        <w:adjustRightInd w:val="0"/>
        <w:snapToGrid w:val="0"/>
        <w:spacing w:line="441" w:lineRule="exact"/>
        <w:ind w:firstLine="420" w:firstLineChars="200"/>
        <w:rPr>
          <w:rFonts w:ascii="宋体" w:hAnsi="宋体"/>
          <w:color w:val="auto"/>
          <w:szCs w:val="21"/>
          <w:highlight w:val="none"/>
        </w:rPr>
      </w:pPr>
      <w:r>
        <w:rPr>
          <w:rFonts w:hint="eastAsia" w:ascii="宋体" w:hAnsi="宋体"/>
          <w:color w:val="auto"/>
          <w:szCs w:val="21"/>
          <w:highlight w:val="none"/>
        </w:rPr>
        <w:t>(2)如果评标委员会根据本章的规定作废标处理后，有效投标不足三个，且少于第二章“投标人须知”前附表第7.1款规定的中标候选人数量的，则评标委员会可以将所有有效投标按最终得分由高至低的次序作为中标候选人向招标人推荐。如果因有效投标不足三个使得投标明显缺乏竞争的，评标委员会可以建议招标人重新招标。</w:t>
      </w:r>
    </w:p>
    <w:p>
      <w:pPr>
        <w:shd w:val="clear" w:color="auto" w:fill="FFFFFF"/>
        <w:adjustRightInd w:val="0"/>
        <w:snapToGrid w:val="0"/>
        <w:spacing w:line="441" w:lineRule="exact"/>
        <w:ind w:firstLine="420" w:firstLineChars="200"/>
        <w:rPr>
          <w:rFonts w:ascii="宋体" w:hAnsi="宋体"/>
          <w:color w:val="auto"/>
          <w:szCs w:val="21"/>
          <w:highlight w:val="none"/>
        </w:rPr>
      </w:pPr>
      <w:r>
        <w:rPr>
          <w:rFonts w:hint="eastAsia" w:ascii="黑体" w:hAnsi="宋体" w:eastAsia="黑体"/>
          <w:color w:val="auto"/>
          <w:szCs w:val="21"/>
          <w:highlight w:val="none"/>
        </w:rPr>
        <w:t xml:space="preserve">A5.2.2  </w:t>
      </w:r>
      <w:r>
        <w:rPr>
          <w:rFonts w:hint="eastAsia" w:ascii="宋体" w:hAnsi="宋体"/>
          <w:color w:val="auto"/>
          <w:szCs w:val="21"/>
          <w:highlight w:val="none"/>
        </w:rPr>
        <w:t>投标人数量少于三个或者所有投标被否决的，招标人应当依法重新招标。</w:t>
      </w:r>
    </w:p>
    <w:p>
      <w:pPr>
        <w:shd w:val="clear" w:color="auto" w:fill="FFFFFF"/>
        <w:adjustRightInd w:val="0"/>
        <w:snapToGrid w:val="0"/>
        <w:spacing w:before="48" w:beforeLines="20" w:after="48" w:afterLines="20" w:line="441" w:lineRule="exact"/>
        <w:rPr>
          <w:rFonts w:ascii="宋体" w:hAnsi="宋体"/>
          <w:b/>
          <w:color w:val="auto"/>
          <w:szCs w:val="21"/>
          <w:highlight w:val="none"/>
        </w:rPr>
      </w:pPr>
      <w:r>
        <w:rPr>
          <w:rFonts w:hint="eastAsia" w:ascii="黑体" w:hAnsi="宋体" w:eastAsia="黑体"/>
          <w:b/>
          <w:color w:val="auto"/>
          <w:szCs w:val="21"/>
          <w:highlight w:val="none"/>
        </w:rPr>
        <w:t>A5.2</w:t>
      </w:r>
      <w:r>
        <w:rPr>
          <w:rFonts w:hint="eastAsia" w:ascii="宋体" w:hAnsi="宋体"/>
          <w:b/>
          <w:color w:val="auto"/>
          <w:szCs w:val="21"/>
          <w:highlight w:val="none"/>
        </w:rPr>
        <w:t>直接确定中标人</w:t>
      </w:r>
    </w:p>
    <w:p>
      <w:pPr>
        <w:shd w:val="clear" w:color="auto" w:fill="FFFFFF"/>
        <w:adjustRightInd w:val="0"/>
        <w:snapToGrid w:val="0"/>
        <w:spacing w:line="441" w:lineRule="exact"/>
        <w:ind w:firstLine="420" w:firstLineChars="200"/>
        <w:rPr>
          <w:rFonts w:ascii="宋体" w:hAnsi="宋体"/>
          <w:color w:val="auto"/>
          <w:szCs w:val="21"/>
          <w:highlight w:val="none"/>
        </w:rPr>
      </w:pPr>
      <w:r>
        <w:rPr>
          <w:rFonts w:hint="eastAsia" w:ascii="宋体" w:hAnsi="宋体"/>
          <w:color w:val="auto"/>
          <w:szCs w:val="21"/>
          <w:highlight w:val="none"/>
        </w:rPr>
        <w:t>第二章“投标人须知”前附表授权评标委员会直接确定中标人的，评标委员会按照最终得分由高至低的次序排列，并确定排名第一的投标人为中标人。</w:t>
      </w:r>
    </w:p>
    <w:p>
      <w:pPr>
        <w:shd w:val="clear" w:color="auto" w:fill="FFFFFF"/>
        <w:adjustRightInd w:val="0"/>
        <w:snapToGrid w:val="0"/>
        <w:spacing w:before="48" w:beforeLines="20" w:after="48" w:afterLines="20" w:line="441" w:lineRule="exact"/>
        <w:rPr>
          <w:rFonts w:ascii="宋体" w:hAnsi="宋体"/>
          <w:b/>
          <w:color w:val="auto"/>
          <w:szCs w:val="21"/>
          <w:highlight w:val="none"/>
        </w:rPr>
      </w:pPr>
      <w:r>
        <w:rPr>
          <w:rFonts w:hint="eastAsia" w:ascii="黑体" w:hAnsi="宋体" w:eastAsia="黑体"/>
          <w:b/>
          <w:color w:val="auto"/>
          <w:szCs w:val="21"/>
          <w:highlight w:val="none"/>
        </w:rPr>
        <w:t>A5．3</w:t>
      </w:r>
      <w:r>
        <w:rPr>
          <w:rFonts w:hint="eastAsia" w:ascii="宋体" w:hAnsi="宋体"/>
          <w:b/>
          <w:color w:val="auto"/>
          <w:szCs w:val="21"/>
          <w:highlight w:val="none"/>
        </w:rPr>
        <w:t>编制评标报告</w:t>
      </w:r>
    </w:p>
    <w:p>
      <w:pPr>
        <w:shd w:val="clear" w:color="auto" w:fill="FFFFFF"/>
        <w:adjustRightInd w:val="0"/>
        <w:snapToGrid w:val="0"/>
        <w:spacing w:line="441" w:lineRule="exact"/>
        <w:ind w:firstLine="420" w:firstLineChars="200"/>
        <w:rPr>
          <w:rFonts w:ascii="宋体" w:hAnsi="宋体"/>
          <w:color w:val="auto"/>
          <w:szCs w:val="21"/>
          <w:highlight w:val="none"/>
        </w:rPr>
      </w:pPr>
      <w:r>
        <w:rPr>
          <w:rFonts w:hint="eastAsia" w:ascii="宋体" w:hAnsi="宋体"/>
          <w:color w:val="auto"/>
          <w:szCs w:val="21"/>
          <w:highlight w:val="none"/>
        </w:rPr>
        <w:t>评标委员会根据本章第3.4.2项的规定向招标人提交评标报告。评标报告应当由全体评标委员会成员签字，并于评标结束时抄送有关行政监督部门。评标报告应当包括以下内容：</w:t>
      </w:r>
    </w:p>
    <w:p>
      <w:pPr>
        <w:shd w:val="clear" w:color="auto" w:fill="FFFFFF"/>
        <w:adjustRightInd w:val="0"/>
        <w:snapToGrid w:val="0"/>
        <w:spacing w:before="72" w:beforeLines="30" w:line="441" w:lineRule="exact"/>
        <w:ind w:firstLine="420" w:firstLineChars="200"/>
        <w:rPr>
          <w:rFonts w:ascii="宋体" w:hAnsi="宋体"/>
          <w:color w:val="auto"/>
          <w:szCs w:val="21"/>
          <w:highlight w:val="none"/>
        </w:rPr>
      </w:pPr>
      <w:r>
        <w:rPr>
          <w:rFonts w:hint="eastAsia" w:ascii="宋体" w:hAnsi="宋体"/>
          <w:color w:val="auto"/>
          <w:szCs w:val="21"/>
          <w:highlight w:val="none"/>
        </w:rPr>
        <w:t>（</w:t>
      </w:r>
      <w:r>
        <w:rPr>
          <w:rFonts w:hint="eastAsia" w:ascii="黑体" w:hAnsi="宋体" w:eastAsia="黑体"/>
          <w:color w:val="auto"/>
          <w:szCs w:val="21"/>
          <w:highlight w:val="none"/>
        </w:rPr>
        <w:t>1</w:t>
      </w:r>
      <w:r>
        <w:rPr>
          <w:rFonts w:hint="eastAsia" w:ascii="宋体" w:hAnsi="宋体"/>
          <w:color w:val="auto"/>
          <w:szCs w:val="21"/>
          <w:highlight w:val="none"/>
        </w:rPr>
        <w:t>）基本情况和数据表；</w:t>
      </w:r>
    </w:p>
    <w:p>
      <w:pPr>
        <w:shd w:val="clear" w:color="auto" w:fill="FFFFFF"/>
        <w:adjustRightInd w:val="0"/>
        <w:snapToGrid w:val="0"/>
        <w:spacing w:before="72" w:beforeLines="30" w:line="441" w:lineRule="exact"/>
        <w:ind w:firstLine="420" w:firstLineChars="200"/>
        <w:rPr>
          <w:rFonts w:ascii="宋体" w:hAnsi="宋体"/>
          <w:color w:val="auto"/>
          <w:szCs w:val="21"/>
          <w:highlight w:val="none"/>
        </w:rPr>
      </w:pPr>
      <w:r>
        <w:rPr>
          <w:rFonts w:hint="eastAsia" w:ascii="宋体" w:hAnsi="宋体"/>
          <w:color w:val="auto"/>
          <w:szCs w:val="21"/>
          <w:highlight w:val="none"/>
        </w:rPr>
        <w:t>（</w:t>
      </w:r>
      <w:r>
        <w:rPr>
          <w:rFonts w:hint="eastAsia" w:ascii="黑体" w:hAnsi="宋体" w:eastAsia="黑体"/>
          <w:color w:val="auto"/>
          <w:szCs w:val="21"/>
          <w:highlight w:val="none"/>
        </w:rPr>
        <w:t>2</w:t>
      </w:r>
      <w:r>
        <w:rPr>
          <w:rFonts w:hint="eastAsia" w:ascii="宋体" w:hAnsi="宋体"/>
          <w:color w:val="auto"/>
          <w:szCs w:val="21"/>
          <w:highlight w:val="none"/>
        </w:rPr>
        <w:t>）评标委员会成员名单；</w:t>
      </w:r>
    </w:p>
    <w:p>
      <w:pPr>
        <w:shd w:val="clear" w:color="auto" w:fill="FFFFFF"/>
        <w:adjustRightInd w:val="0"/>
        <w:snapToGrid w:val="0"/>
        <w:spacing w:before="72" w:beforeLines="30" w:line="441" w:lineRule="exact"/>
        <w:ind w:firstLine="420" w:firstLineChars="200"/>
        <w:rPr>
          <w:rFonts w:ascii="宋体" w:hAnsi="宋体"/>
          <w:color w:val="auto"/>
          <w:szCs w:val="21"/>
          <w:highlight w:val="none"/>
        </w:rPr>
      </w:pPr>
      <w:r>
        <w:rPr>
          <w:rFonts w:hint="eastAsia" w:ascii="宋体" w:hAnsi="宋体"/>
          <w:color w:val="auto"/>
          <w:szCs w:val="21"/>
          <w:highlight w:val="none"/>
        </w:rPr>
        <w:t>（</w:t>
      </w:r>
      <w:r>
        <w:rPr>
          <w:rFonts w:hint="eastAsia" w:ascii="黑体" w:hAnsi="宋体" w:eastAsia="黑体"/>
          <w:color w:val="auto"/>
          <w:szCs w:val="21"/>
          <w:highlight w:val="none"/>
        </w:rPr>
        <w:t>3</w:t>
      </w:r>
      <w:r>
        <w:rPr>
          <w:rFonts w:hint="eastAsia" w:ascii="宋体" w:hAnsi="宋体"/>
          <w:color w:val="auto"/>
          <w:szCs w:val="21"/>
          <w:highlight w:val="none"/>
        </w:rPr>
        <w:t>）开标记录；</w:t>
      </w:r>
    </w:p>
    <w:p>
      <w:pPr>
        <w:shd w:val="clear" w:color="auto" w:fill="FFFFFF"/>
        <w:adjustRightInd w:val="0"/>
        <w:snapToGrid w:val="0"/>
        <w:spacing w:before="72" w:beforeLines="30" w:line="441" w:lineRule="exact"/>
        <w:ind w:firstLine="420" w:firstLineChars="200"/>
        <w:rPr>
          <w:rFonts w:ascii="宋体" w:hAnsi="宋体"/>
          <w:color w:val="auto"/>
          <w:szCs w:val="21"/>
          <w:highlight w:val="none"/>
        </w:rPr>
      </w:pPr>
      <w:r>
        <w:rPr>
          <w:rFonts w:hint="eastAsia" w:ascii="宋体" w:hAnsi="宋体"/>
          <w:color w:val="auto"/>
          <w:szCs w:val="21"/>
          <w:highlight w:val="none"/>
        </w:rPr>
        <w:t>（</w:t>
      </w:r>
      <w:r>
        <w:rPr>
          <w:rFonts w:hint="eastAsia" w:ascii="黑体" w:hAnsi="宋体" w:eastAsia="黑体"/>
          <w:color w:val="auto"/>
          <w:szCs w:val="21"/>
          <w:highlight w:val="none"/>
        </w:rPr>
        <w:t>4</w:t>
      </w:r>
      <w:r>
        <w:rPr>
          <w:rFonts w:hint="eastAsia" w:ascii="宋体" w:hAnsi="宋体"/>
          <w:color w:val="auto"/>
          <w:szCs w:val="21"/>
          <w:highlight w:val="none"/>
        </w:rPr>
        <w:t>）符合要求的投标一览表；</w:t>
      </w:r>
    </w:p>
    <w:p>
      <w:pPr>
        <w:shd w:val="clear" w:color="auto" w:fill="FFFFFF"/>
        <w:adjustRightInd w:val="0"/>
        <w:snapToGrid w:val="0"/>
        <w:spacing w:before="72" w:beforeLines="30" w:line="441" w:lineRule="exact"/>
        <w:ind w:firstLine="420" w:firstLineChars="200"/>
        <w:rPr>
          <w:rFonts w:ascii="宋体" w:hAnsi="宋体"/>
          <w:color w:val="auto"/>
          <w:szCs w:val="21"/>
          <w:highlight w:val="none"/>
        </w:rPr>
      </w:pPr>
      <w:r>
        <w:rPr>
          <w:rFonts w:hint="eastAsia" w:ascii="宋体" w:hAnsi="宋体"/>
          <w:color w:val="auto"/>
          <w:szCs w:val="21"/>
          <w:highlight w:val="none"/>
        </w:rPr>
        <w:t>（</w:t>
      </w:r>
      <w:r>
        <w:rPr>
          <w:rFonts w:hint="eastAsia" w:ascii="黑体" w:hAnsi="宋体" w:eastAsia="黑体"/>
          <w:color w:val="auto"/>
          <w:szCs w:val="21"/>
          <w:highlight w:val="none"/>
        </w:rPr>
        <w:t>5</w:t>
      </w:r>
      <w:r>
        <w:rPr>
          <w:rFonts w:hint="eastAsia" w:ascii="宋体" w:hAnsi="宋体"/>
          <w:color w:val="auto"/>
          <w:szCs w:val="21"/>
          <w:highlight w:val="none"/>
        </w:rPr>
        <w:t>）废标情况说明；</w:t>
      </w:r>
    </w:p>
    <w:p>
      <w:pPr>
        <w:shd w:val="clear" w:color="auto" w:fill="FFFFFF"/>
        <w:adjustRightInd w:val="0"/>
        <w:snapToGrid w:val="0"/>
        <w:spacing w:before="72" w:beforeLines="30" w:line="441" w:lineRule="exact"/>
        <w:ind w:firstLine="420" w:firstLineChars="200"/>
        <w:rPr>
          <w:rFonts w:ascii="宋体" w:hAnsi="宋体"/>
          <w:color w:val="auto"/>
          <w:szCs w:val="21"/>
          <w:highlight w:val="none"/>
        </w:rPr>
      </w:pPr>
      <w:r>
        <w:rPr>
          <w:rFonts w:hint="eastAsia" w:ascii="宋体" w:hAnsi="宋体"/>
          <w:color w:val="auto"/>
          <w:szCs w:val="21"/>
          <w:highlight w:val="none"/>
        </w:rPr>
        <w:t>（</w:t>
      </w:r>
      <w:r>
        <w:rPr>
          <w:rFonts w:hint="eastAsia" w:ascii="黑体" w:hAnsi="宋体" w:eastAsia="黑体"/>
          <w:color w:val="auto"/>
          <w:szCs w:val="21"/>
          <w:highlight w:val="none"/>
        </w:rPr>
        <w:t>6</w:t>
      </w:r>
      <w:r>
        <w:rPr>
          <w:rFonts w:hint="eastAsia" w:ascii="宋体" w:hAnsi="宋体"/>
          <w:color w:val="auto"/>
          <w:szCs w:val="21"/>
          <w:highlight w:val="none"/>
        </w:rPr>
        <w:t>）评标标准、评标方法或者评标因素一览表；</w:t>
      </w:r>
    </w:p>
    <w:p>
      <w:pPr>
        <w:shd w:val="clear" w:color="auto" w:fill="FFFFFF"/>
        <w:adjustRightInd w:val="0"/>
        <w:snapToGrid w:val="0"/>
        <w:spacing w:before="72" w:beforeLines="30" w:line="441" w:lineRule="exact"/>
        <w:ind w:firstLine="420" w:firstLineChars="200"/>
        <w:rPr>
          <w:rFonts w:ascii="宋体" w:hAnsi="宋体"/>
          <w:color w:val="auto"/>
          <w:szCs w:val="21"/>
          <w:highlight w:val="none"/>
        </w:rPr>
      </w:pPr>
      <w:r>
        <w:rPr>
          <w:rFonts w:hint="eastAsia" w:ascii="宋体" w:hAnsi="宋体"/>
          <w:color w:val="auto"/>
          <w:szCs w:val="21"/>
          <w:highlight w:val="none"/>
        </w:rPr>
        <w:t>（</w:t>
      </w:r>
      <w:r>
        <w:rPr>
          <w:rFonts w:hint="eastAsia" w:ascii="黑体" w:hAnsi="宋体" w:eastAsia="黑体"/>
          <w:color w:val="auto"/>
          <w:szCs w:val="21"/>
          <w:highlight w:val="none"/>
        </w:rPr>
        <w:t>7</w:t>
      </w:r>
      <w:r>
        <w:rPr>
          <w:rFonts w:hint="eastAsia" w:ascii="宋体" w:hAnsi="宋体"/>
          <w:color w:val="auto"/>
          <w:szCs w:val="21"/>
          <w:highlight w:val="none"/>
        </w:rPr>
        <w:t>）经评审的价格一览表(包括评标委员会在评标过程中所形成的所有记载评标结果、结论的表格、说明、记录等文件)；</w:t>
      </w:r>
    </w:p>
    <w:p>
      <w:pPr>
        <w:shd w:val="clear" w:color="auto" w:fill="FFFFFF"/>
        <w:adjustRightInd w:val="0"/>
        <w:snapToGrid w:val="0"/>
        <w:spacing w:before="72" w:beforeLines="30" w:line="441" w:lineRule="exact"/>
        <w:ind w:firstLine="420" w:firstLineChars="200"/>
        <w:rPr>
          <w:rFonts w:ascii="宋体" w:hAnsi="宋体"/>
          <w:color w:val="auto"/>
          <w:szCs w:val="21"/>
          <w:highlight w:val="none"/>
        </w:rPr>
      </w:pPr>
      <w:r>
        <w:rPr>
          <w:rFonts w:hint="eastAsia" w:ascii="宋体" w:hAnsi="宋体"/>
          <w:color w:val="auto"/>
          <w:szCs w:val="21"/>
          <w:highlight w:val="none"/>
        </w:rPr>
        <w:t>（</w:t>
      </w:r>
      <w:r>
        <w:rPr>
          <w:rFonts w:hint="eastAsia" w:ascii="黑体" w:hAnsi="宋体" w:eastAsia="黑体"/>
          <w:color w:val="auto"/>
          <w:szCs w:val="21"/>
          <w:highlight w:val="none"/>
        </w:rPr>
        <w:t>8</w:t>
      </w:r>
      <w:r>
        <w:rPr>
          <w:rFonts w:hint="eastAsia" w:ascii="宋体" w:hAnsi="宋体"/>
          <w:color w:val="auto"/>
          <w:szCs w:val="21"/>
          <w:highlight w:val="none"/>
        </w:rPr>
        <w:t>）经评审的投标人排序；</w:t>
      </w:r>
    </w:p>
    <w:p>
      <w:pPr>
        <w:shd w:val="clear" w:color="auto" w:fill="FFFFFF"/>
        <w:adjustRightInd w:val="0"/>
        <w:snapToGrid w:val="0"/>
        <w:spacing w:before="72" w:beforeLines="30" w:line="441" w:lineRule="exact"/>
        <w:ind w:firstLine="420" w:firstLineChars="200"/>
        <w:rPr>
          <w:rFonts w:ascii="宋体" w:hAnsi="宋体"/>
          <w:color w:val="auto"/>
          <w:szCs w:val="21"/>
          <w:highlight w:val="none"/>
        </w:rPr>
      </w:pPr>
      <w:r>
        <w:rPr>
          <w:rFonts w:hint="eastAsia" w:ascii="宋体" w:hAnsi="宋体"/>
          <w:color w:val="auto"/>
          <w:szCs w:val="21"/>
          <w:highlight w:val="none"/>
        </w:rPr>
        <w:t>（</w:t>
      </w:r>
      <w:r>
        <w:rPr>
          <w:rFonts w:hint="eastAsia" w:ascii="黑体" w:hAnsi="宋体" w:eastAsia="黑体"/>
          <w:color w:val="auto"/>
          <w:szCs w:val="21"/>
          <w:highlight w:val="none"/>
        </w:rPr>
        <w:t>9</w:t>
      </w:r>
      <w:r>
        <w:rPr>
          <w:rFonts w:hint="eastAsia" w:ascii="宋体" w:hAnsi="宋体"/>
          <w:color w:val="auto"/>
          <w:szCs w:val="21"/>
          <w:highlight w:val="none"/>
        </w:rPr>
        <w:t>）推荐的中标候选人名单(如果第二章“投标人须知”前附表授权评标委员会直接确定中标人，则为“确定的中标人”)与签订合同前要处理的事宜；</w:t>
      </w:r>
    </w:p>
    <w:p>
      <w:pPr>
        <w:shd w:val="clear" w:color="auto" w:fill="FFFFFF"/>
        <w:adjustRightInd w:val="0"/>
        <w:snapToGrid w:val="0"/>
        <w:spacing w:before="72" w:beforeLines="30" w:line="441" w:lineRule="exact"/>
        <w:ind w:firstLine="420" w:firstLineChars="200"/>
        <w:rPr>
          <w:rFonts w:ascii="宋体" w:hAnsi="宋体"/>
          <w:color w:val="auto"/>
          <w:szCs w:val="21"/>
          <w:highlight w:val="none"/>
        </w:rPr>
      </w:pPr>
      <w:r>
        <w:rPr>
          <w:rFonts w:hint="eastAsia" w:ascii="宋体" w:hAnsi="宋体"/>
          <w:color w:val="auto"/>
          <w:szCs w:val="21"/>
          <w:highlight w:val="none"/>
        </w:rPr>
        <w:t>（</w:t>
      </w:r>
      <w:r>
        <w:rPr>
          <w:rFonts w:hint="eastAsia" w:ascii="黑体" w:hAnsi="宋体" w:eastAsia="黑体"/>
          <w:color w:val="auto"/>
          <w:szCs w:val="21"/>
          <w:highlight w:val="none"/>
        </w:rPr>
        <w:t>10</w:t>
      </w:r>
      <w:r>
        <w:rPr>
          <w:rFonts w:hint="eastAsia" w:ascii="宋体" w:hAnsi="宋体"/>
          <w:color w:val="auto"/>
          <w:szCs w:val="21"/>
          <w:highlight w:val="none"/>
        </w:rPr>
        <w:t>）澄清、说明、补正事项纪要。</w:t>
      </w:r>
    </w:p>
    <w:p>
      <w:pPr>
        <w:shd w:val="clear" w:color="auto" w:fill="FFFFFF"/>
        <w:adjustRightInd w:val="0"/>
        <w:snapToGrid w:val="0"/>
        <w:spacing w:before="48" w:beforeLines="20" w:after="48" w:afterLines="20" w:line="441" w:lineRule="exact"/>
        <w:rPr>
          <w:rFonts w:ascii="宋体" w:hAnsi="宋体"/>
          <w:b/>
          <w:color w:val="auto"/>
          <w:szCs w:val="21"/>
          <w:highlight w:val="none"/>
        </w:rPr>
      </w:pPr>
      <w:r>
        <w:rPr>
          <w:rFonts w:hint="eastAsia" w:ascii="黑体" w:hAnsi="宋体" w:eastAsia="黑体"/>
          <w:b/>
          <w:color w:val="auto"/>
          <w:szCs w:val="21"/>
          <w:highlight w:val="none"/>
        </w:rPr>
        <w:t>A6．</w:t>
      </w:r>
      <w:r>
        <w:rPr>
          <w:rFonts w:hint="eastAsia" w:ascii="宋体" w:hAnsi="宋体"/>
          <w:b/>
          <w:color w:val="auto"/>
          <w:szCs w:val="21"/>
          <w:highlight w:val="none"/>
        </w:rPr>
        <w:t>特殊情况的处置程序</w:t>
      </w:r>
    </w:p>
    <w:p>
      <w:pPr>
        <w:shd w:val="clear" w:color="auto" w:fill="FFFFFF"/>
        <w:adjustRightInd w:val="0"/>
        <w:snapToGrid w:val="0"/>
        <w:spacing w:line="441" w:lineRule="exact"/>
        <w:rPr>
          <w:rFonts w:ascii="宋体" w:hAnsi="宋体"/>
          <w:b/>
          <w:color w:val="auto"/>
          <w:szCs w:val="21"/>
          <w:highlight w:val="none"/>
        </w:rPr>
      </w:pPr>
      <w:r>
        <w:rPr>
          <w:rFonts w:hint="eastAsia" w:ascii="黑体" w:hAnsi="宋体" w:eastAsia="黑体"/>
          <w:b/>
          <w:color w:val="auto"/>
          <w:szCs w:val="21"/>
          <w:highlight w:val="none"/>
        </w:rPr>
        <w:t>A6.1</w:t>
      </w:r>
      <w:r>
        <w:rPr>
          <w:rFonts w:hint="eastAsia" w:ascii="宋体" w:hAnsi="宋体"/>
          <w:b/>
          <w:color w:val="auto"/>
          <w:szCs w:val="21"/>
          <w:highlight w:val="none"/>
        </w:rPr>
        <w:t xml:space="preserve">  暗标评审的评审程序规定(适用于对施工组织设计进行暗标评审的)</w:t>
      </w:r>
    </w:p>
    <w:p>
      <w:pPr>
        <w:shd w:val="clear" w:color="auto" w:fill="FFFFFF"/>
        <w:adjustRightInd w:val="0"/>
        <w:snapToGrid w:val="0"/>
        <w:spacing w:line="441" w:lineRule="exact"/>
        <w:ind w:firstLine="420" w:firstLineChars="200"/>
        <w:rPr>
          <w:rFonts w:ascii="宋体" w:hAnsi="宋体"/>
          <w:color w:val="auto"/>
          <w:szCs w:val="21"/>
          <w:highlight w:val="none"/>
        </w:rPr>
      </w:pPr>
      <w:r>
        <w:rPr>
          <w:rFonts w:hint="eastAsia" w:ascii="宋体" w:hAnsi="宋体"/>
          <w:color w:val="auto"/>
          <w:szCs w:val="21"/>
          <w:highlight w:val="none"/>
        </w:rPr>
        <w:t>如果第二章“投标人须知”前附表第</w:t>
      </w:r>
      <w:r>
        <w:rPr>
          <w:rFonts w:hint="eastAsia" w:ascii="黑体" w:hAnsi="宋体" w:eastAsia="黑体"/>
          <w:color w:val="auto"/>
          <w:szCs w:val="21"/>
          <w:highlight w:val="none"/>
        </w:rPr>
        <w:t>10.3</w:t>
      </w:r>
      <w:r>
        <w:rPr>
          <w:rFonts w:hint="eastAsia" w:ascii="宋体" w:hAnsi="宋体"/>
          <w:color w:val="auto"/>
          <w:szCs w:val="21"/>
          <w:highlight w:val="none"/>
        </w:rPr>
        <w:t>款要求对施工组织设计采用“暗标”评审方式且第八章“投标文件格式”中对施工组织设计的编制有暗标要求，评标委员会需对施工组织设计进行暗标评审的，则评标委员会需将施工组织设计(暗标)评审提前到初步评审之前进行。施工组织设计评审结果封存后再进行形式评审、资格评审、响应性评审和项目管理机构评审。项目管理机构评审完成后再公开暗标编码与投标人名称之间的对应关系。</w:t>
      </w:r>
    </w:p>
    <w:p>
      <w:pPr>
        <w:shd w:val="clear" w:color="auto" w:fill="FFFFFF"/>
        <w:adjustRightInd w:val="0"/>
        <w:snapToGrid w:val="0"/>
        <w:spacing w:before="48" w:beforeLines="20" w:after="48" w:afterLines="20" w:line="440" w:lineRule="exact"/>
        <w:rPr>
          <w:rFonts w:ascii="宋体" w:hAnsi="宋体"/>
          <w:b/>
          <w:color w:val="auto"/>
          <w:szCs w:val="21"/>
          <w:highlight w:val="none"/>
        </w:rPr>
      </w:pPr>
      <w:r>
        <w:rPr>
          <w:rFonts w:hint="eastAsia" w:ascii="黑体" w:hAnsi="宋体" w:eastAsia="黑体"/>
          <w:b/>
          <w:color w:val="auto"/>
          <w:szCs w:val="21"/>
          <w:highlight w:val="none"/>
        </w:rPr>
        <w:t>A6.2</w:t>
      </w:r>
      <w:r>
        <w:rPr>
          <w:rFonts w:hint="eastAsia" w:ascii="宋体" w:hAnsi="宋体"/>
          <w:b/>
          <w:color w:val="auto"/>
          <w:szCs w:val="21"/>
          <w:highlight w:val="none"/>
        </w:rPr>
        <w:t>关于评标活动暂停</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黑体" w:hAnsi="宋体" w:eastAsia="黑体"/>
          <w:color w:val="auto"/>
          <w:szCs w:val="21"/>
          <w:highlight w:val="none"/>
        </w:rPr>
        <w:t>A6.2.1</w:t>
      </w:r>
      <w:r>
        <w:rPr>
          <w:rFonts w:hint="eastAsia" w:ascii="宋体" w:hAnsi="宋体"/>
          <w:color w:val="auto"/>
          <w:szCs w:val="21"/>
          <w:highlight w:val="none"/>
        </w:rPr>
        <w:t>评标委员会应当执行连续评标的原则，按评标办法中规定的程序、内容、方法、标准完成全部评标工作。</w:t>
      </w:r>
    </w:p>
    <w:p>
      <w:pPr>
        <w:shd w:val="clear" w:color="auto" w:fill="FFFFFF"/>
        <w:adjustRightInd w:val="0"/>
        <w:snapToGrid w:val="0"/>
        <w:spacing w:before="48" w:beforeLines="20" w:line="440" w:lineRule="exact"/>
        <w:ind w:firstLine="420" w:firstLineChars="200"/>
        <w:rPr>
          <w:rFonts w:ascii="宋体" w:hAnsi="宋体"/>
          <w:color w:val="auto"/>
          <w:szCs w:val="21"/>
          <w:highlight w:val="none"/>
        </w:rPr>
      </w:pPr>
      <w:r>
        <w:rPr>
          <w:rFonts w:hint="eastAsia" w:ascii="黑体" w:hAnsi="宋体" w:eastAsia="黑体"/>
          <w:color w:val="auto"/>
          <w:szCs w:val="21"/>
          <w:highlight w:val="none"/>
        </w:rPr>
        <w:t>A6.2.2</w:t>
      </w:r>
      <w:r>
        <w:rPr>
          <w:rFonts w:hint="eastAsia" w:ascii="宋体" w:hAnsi="宋体"/>
          <w:color w:val="auto"/>
          <w:szCs w:val="21"/>
          <w:highlight w:val="none"/>
        </w:rPr>
        <w:t>发生评标暂停情况时，评标委员会应当封存全部投标文件和评标记录，继续评标的条件具备时，由原评标委员会继续评标。</w:t>
      </w:r>
    </w:p>
    <w:p>
      <w:pPr>
        <w:shd w:val="clear" w:color="auto" w:fill="FFFFFF"/>
        <w:adjustRightInd w:val="0"/>
        <w:snapToGrid w:val="0"/>
        <w:spacing w:line="440" w:lineRule="exact"/>
        <w:rPr>
          <w:rFonts w:ascii="宋体" w:hAnsi="宋体"/>
          <w:b/>
          <w:color w:val="auto"/>
          <w:szCs w:val="21"/>
          <w:highlight w:val="none"/>
        </w:rPr>
      </w:pPr>
      <w:r>
        <w:rPr>
          <w:rFonts w:hint="eastAsia" w:ascii="黑体" w:hAnsi="宋体" w:eastAsia="黑体"/>
          <w:b/>
          <w:color w:val="auto"/>
          <w:szCs w:val="21"/>
          <w:highlight w:val="none"/>
        </w:rPr>
        <w:t>A6.3</w:t>
      </w:r>
      <w:r>
        <w:rPr>
          <w:rFonts w:hint="eastAsia" w:ascii="宋体" w:hAnsi="宋体"/>
          <w:b/>
          <w:color w:val="auto"/>
          <w:szCs w:val="21"/>
          <w:highlight w:val="none"/>
        </w:rPr>
        <w:t xml:space="preserve">  关于评标中途更换评委</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黑体" w:hAnsi="宋体" w:eastAsia="黑体"/>
          <w:color w:val="auto"/>
          <w:szCs w:val="21"/>
          <w:highlight w:val="none"/>
        </w:rPr>
        <w:t>A6.3.1</w:t>
      </w:r>
      <w:r>
        <w:rPr>
          <w:rFonts w:hint="eastAsia" w:ascii="宋体" w:hAnsi="宋体"/>
          <w:color w:val="auto"/>
          <w:szCs w:val="21"/>
          <w:highlight w:val="none"/>
        </w:rPr>
        <w:t xml:space="preserve">  除非发生下列情况之一，评标委员会成员不得在评标中途更换：</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(1) 因不可抗拒的客观原因，不能到场或需在评标中途退出评标活动。</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(2) 根据法律法规规定，某个或某几个评标委员会成员需要回避。</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黑体" w:hAnsi="宋体" w:eastAsia="黑体"/>
          <w:color w:val="auto"/>
          <w:szCs w:val="21"/>
          <w:highlight w:val="none"/>
        </w:rPr>
        <w:t>A6.3.2</w:t>
      </w:r>
      <w:r>
        <w:rPr>
          <w:rFonts w:hint="eastAsia" w:ascii="宋体" w:hAnsi="宋体"/>
          <w:color w:val="auto"/>
          <w:szCs w:val="21"/>
          <w:highlight w:val="none"/>
        </w:rPr>
        <w:t>退出评标的评标委员会成员，其已完成的评标行为无效。由招标人根据本招标文件规定的评标委员会成员生产方式另行确定替代者进行评标。</w:t>
      </w:r>
    </w:p>
    <w:p>
      <w:pPr>
        <w:shd w:val="clear" w:color="auto" w:fill="FFFFFF"/>
        <w:adjustRightInd w:val="0"/>
        <w:snapToGrid w:val="0"/>
        <w:spacing w:before="48" w:beforeLines="20" w:after="48" w:afterLines="20" w:line="440" w:lineRule="exact"/>
        <w:rPr>
          <w:rFonts w:ascii="宋体" w:hAnsi="宋体"/>
          <w:b/>
          <w:color w:val="auto"/>
          <w:szCs w:val="21"/>
          <w:highlight w:val="none"/>
        </w:rPr>
      </w:pPr>
      <w:r>
        <w:rPr>
          <w:rFonts w:hint="eastAsia" w:ascii="黑体" w:hAnsi="宋体" w:eastAsia="黑体"/>
          <w:b/>
          <w:color w:val="auto"/>
          <w:szCs w:val="21"/>
          <w:highlight w:val="none"/>
        </w:rPr>
        <w:t>A6.4</w:t>
      </w:r>
      <w:r>
        <w:rPr>
          <w:rFonts w:hint="eastAsia" w:ascii="宋体" w:hAnsi="宋体"/>
          <w:b/>
          <w:color w:val="auto"/>
          <w:szCs w:val="21"/>
          <w:highlight w:val="none"/>
        </w:rPr>
        <w:t xml:space="preserve"> 记名投票</w:t>
      </w:r>
    </w:p>
    <w:p>
      <w:pPr>
        <w:shd w:val="clear" w:color="auto" w:fill="FFFFFF"/>
        <w:adjustRightInd w:val="0"/>
        <w:snapToGrid w:val="0"/>
        <w:spacing w:line="440" w:lineRule="exact"/>
        <w:ind w:firstLine="420" w:firstLineChars="200"/>
        <w:rPr>
          <w:rFonts w:ascii="宋体" w:hAnsi="宋体"/>
          <w:color w:val="auto"/>
          <w:szCs w:val="21"/>
          <w:highlight w:val="none"/>
        </w:rPr>
        <w:sectPr>
          <w:pgSz w:w="11906" w:h="16838"/>
          <w:pgMar w:top="1588" w:right="1701" w:bottom="1418" w:left="1701" w:header="851" w:footer="851" w:gutter="0"/>
          <w:cols w:space="720" w:num="1"/>
          <w:docGrid w:linePitch="312" w:charSpace="0"/>
        </w:sectPr>
      </w:pPr>
      <w:r>
        <w:rPr>
          <w:rFonts w:hint="eastAsia" w:ascii="宋体" w:hAnsi="宋体"/>
          <w:color w:val="auto"/>
          <w:szCs w:val="21"/>
          <w:highlight w:val="none"/>
        </w:rPr>
        <w:t>在任何评标环节中，需评标委员会就某项定性的评审结论做出表决的，由评标委员会全体成员按照少数服从多数的原则，以记名投票方式表决。</w:t>
      </w:r>
    </w:p>
    <w:p>
      <w:pPr>
        <w:shd w:val="clear" w:color="auto" w:fill="FFFFFF"/>
        <w:adjustRightInd w:val="0"/>
        <w:snapToGrid w:val="0"/>
        <w:spacing w:line="440" w:lineRule="exact"/>
        <w:rPr>
          <w:rFonts w:ascii="黑体" w:hAnsi="宋体" w:eastAsia="黑体"/>
          <w:color w:val="auto"/>
          <w:szCs w:val="21"/>
          <w:highlight w:val="none"/>
        </w:rPr>
      </w:pPr>
      <w:r>
        <w:rPr>
          <w:rFonts w:hint="eastAsia" w:ascii="黑体" w:hAnsi="宋体" w:eastAsia="黑体"/>
          <w:color w:val="auto"/>
          <w:szCs w:val="21"/>
          <w:highlight w:val="none"/>
        </w:rPr>
        <w:t>附件</w:t>
      </w:r>
      <w:r>
        <w:rPr>
          <w:rFonts w:hint="eastAsia" w:ascii="宋体" w:hAnsi="宋体"/>
          <w:b/>
          <w:color w:val="auto"/>
          <w:szCs w:val="21"/>
          <w:highlight w:val="none"/>
        </w:rPr>
        <w:t>B</w:t>
      </w:r>
      <w:r>
        <w:rPr>
          <w:rFonts w:hint="eastAsia" w:ascii="黑体" w:hAnsi="宋体" w:eastAsia="黑体"/>
          <w:color w:val="auto"/>
          <w:szCs w:val="21"/>
          <w:highlight w:val="none"/>
        </w:rPr>
        <w:t>：废标条件</w:t>
      </w:r>
    </w:p>
    <w:p>
      <w:pPr>
        <w:shd w:val="clear" w:color="auto" w:fill="FFFFFF"/>
        <w:adjustRightInd w:val="0"/>
        <w:snapToGrid w:val="0"/>
        <w:spacing w:before="240" w:beforeLines="100" w:after="240" w:afterLines="100" w:line="440" w:lineRule="exact"/>
        <w:ind w:firstLine="560" w:firstLineChars="200"/>
        <w:jc w:val="center"/>
        <w:rPr>
          <w:rFonts w:ascii="黑体" w:hAnsi="宋体" w:eastAsia="黑体"/>
          <w:color w:val="auto"/>
          <w:sz w:val="28"/>
          <w:szCs w:val="28"/>
          <w:highlight w:val="none"/>
        </w:rPr>
      </w:pPr>
      <w:r>
        <w:rPr>
          <w:rFonts w:hint="eastAsia" w:ascii="黑体" w:hAnsi="宋体" w:eastAsia="黑体"/>
          <w:color w:val="auto"/>
          <w:sz w:val="28"/>
          <w:szCs w:val="28"/>
          <w:highlight w:val="none"/>
        </w:rPr>
        <w:t>废 标 条 件</w:t>
      </w:r>
    </w:p>
    <w:p>
      <w:pPr>
        <w:shd w:val="clear" w:color="auto" w:fill="FFFFFF"/>
        <w:adjustRightInd w:val="0"/>
        <w:snapToGrid w:val="0"/>
        <w:spacing w:line="340" w:lineRule="exact"/>
        <w:rPr>
          <w:rFonts w:ascii="黑体" w:hAnsi="宋体" w:eastAsia="黑体"/>
          <w:b/>
          <w:color w:val="auto"/>
          <w:szCs w:val="21"/>
          <w:highlight w:val="none"/>
        </w:rPr>
      </w:pPr>
      <w:r>
        <w:rPr>
          <w:rFonts w:hint="eastAsia" w:ascii="黑体" w:eastAsia="黑体"/>
          <w:b/>
          <w:color w:val="auto"/>
          <w:szCs w:val="21"/>
          <w:highlight w:val="none"/>
        </w:rPr>
        <w:t>B0</w:t>
      </w:r>
      <w:r>
        <w:rPr>
          <w:rFonts w:hint="eastAsia" w:ascii="黑体" w:hAnsi="宋体" w:eastAsia="黑体"/>
          <w:b/>
          <w:color w:val="auto"/>
          <w:szCs w:val="21"/>
          <w:highlight w:val="none"/>
        </w:rPr>
        <w:t>.总  则</w:t>
      </w:r>
    </w:p>
    <w:p>
      <w:pPr>
        <w:shd w:val="clear" w:color="auto" w:fill="FFFFFF"/>
        <w:adjustRightInd w:val="0"/>
        <w:snapToGrid w:val="0"/>
        <w:spacing w:line="340" w:lineRule="exact"/>
        <w:ind w:firstLine="420" w:firstLineChars="200"/>
        <w:rPr>
          <w:rFonts w:ascii="黑体" w:hAnsi="宋体" w:eastAsia="黑体"/>
          <w:color w:val="auto"/>
          <w:szCs w:val="21"/>
          <w:highlight w:val="none"/>
        </w:rPr>
      </w:pPr>
      <w:r>
        <w:rPr>
          <w:rFonts w:hint="eastAsia" w:ascii="黑体" w:hAnsi="宋体" w:eastAsia="黑体"/>
          <w:color w:val="auto"/>
          <w:szCs w:val="21"/>
          <w:highlight w:val="none"/>
        </w:rPr>
        <w:t>本附件所集中列示的废标条件，是本章“评标办法”的组成部分，是对第二章“投标人须知”和本章正文部分所规定的废标条件的总结和补充，如果出现相互矛盾的情况，以第二章“投标人须知”和本章正文部分的规定为准。</w:t>
      </w:r>
    </w:p>
    <w:p>
      <w:pPr>
        <w:shd w:val="clear" w:color="auto" w:fill="FFFFFF"/>
        <w:adjustRightInd w:val="0"/>
        <w:snapToGrid w:val="0"/>
        <w:spacing w:line="340" w:lineRule="exact"/>
        <w:rPr>
          <w:rFonts w:ascii="黑体" w:eastAsia="黑体"/>
          <w:b/>
          <w:color w:val="auto"/>
          <w:szCs w:val="21"/>
          <w:highlight w:val="none"/>
        </w:rPr>
      </w:pPr>
      <w:r>
        <w:rPr>
          <w:rFonts w:hint="eastAsia" w:ascii="黑体" w:eastAsia="黑体"/>
          <w:b/>
          <w:color w:val="auto"/>
          <w:szCs w:val="21"/>
          <w:highlight w:val="none"/>
        </w:rPr>
        <w:t>B1</w:t>
      </w:r>
      <w:r>
        <w:rPr>
          <w:rFonts w:hint="eastAsia" w:ascii="黑体" w:hAnsi="宋体" w:eastAsia="黑体"/>
          <w:b/>
          <w:color w:val="auto"/>
          <w:szCs w:val="21"/>
          <w:highlight w:val="none"/>
        </w:rPr>
        <w:t>．废标条件</w:t>
      </w:r>
    </w:p>
    <w:p>
      <w:pPr>
        <w:shd w:val="clear" w:color="auto" w:fill="FFFFFF"/>
        <w:adjustRightInd w:val="0"/>
        <w:snapToGrid w:val="0"/>
        <w:spacing w:line="340" w:lineRule="exact"/>
        <w:ind w:firstLine="420" w:firstLineChars="200"/>
        <w:rPr>
          <w:rFonts w:ascii="黑体" w:hAnsi="宋体" w:eastAsia="黑体"/>
          <w:color w:val="auto"/>
          <w:szCs w:val="21"/>
          <w:highlight w:val="none"/>
        </w:rPr>
      </w:pPr>
      <w:r>
        <w:rPr>
          <w:rFonts w:hint="eastAsia" w:ascii="黑体" w:hAnsi="宋体" w:eastAsia="黑体"/>
          <w:color w:val="auto"/>
          <w:szCs w:val="21"/>
          <w:highlight w:val="none"/>
        </w:rPr>
        <w:t>投标人或其投标文件有下列情形之一的，其投标作废标处理：</w:t>
      </w:r>
    </w:p>
    <w:p>
      <w:pPr>
        <w:shd w:val="clear" w:color="auto" w:fill="FFFFFF"/>
        <w:adjustRightInd w:val="0"/>
        <w:snapToGrid w:val="0"/>
        <w:spacing w:line="340" w:lineRule="exact"/>
        <w:ind w:firstLine="422" w:firstLineChars="200"/>
        <w:rPr>
          <w:rFonts w:ascii="黑体" w:hAnsi="宋体" w:eastAsia="黑体"/>
          <w:color w:val="auto"/>
          <w:szCs w:val="21"/>
          <w:highlight w:val="none"/>
        </w:rPr>
      </w:pPr>
      <w:r>
        <w:rPr>
          <w:rFonts w:hint="eastAsia" w:ascii="黑体" w:hAnsi="宋体" w:eastAsia="黑体"/>
          <w:b/>
          <w:color w:val="auto"/>
          <w:szCs w:val="21"/>
          <w:highlight w:val="none"/>
        </w:rPr>
        <w:t>B1.1</w:t>
      </w:r>
      <w:r>
        <w:rPr>
          <w:rFonts w:hint="eastAsia" w:ascii="黑体" w:hAnsi="宋体" w:eastAsia="黑体"/>
          <w:color w:val="auto"/>
          <w:szCs w:val="21"/>
          <w:highlight w:val="none"/>
        </w:rPr>
        <w:t xml:space="preserve">  有第二章“投标人须知”第</w:t>
      </w:r>
      <w:r>
        <w:rPr>
          <w:rFonts w:hint="eastAsia" w:ascii="黑体" w:eastAsia="黑体"/>
          <w:color w:val="auto"/>
          <w:szCs w:val="21"/>
          <w:highlight w:val="none"/>
        </w:rPr>
        <w:t>1.4.3</w:t>
      </w:r>
      <w:r>
        <w:rPr>
          <w:rFonts w:hint="eastAsia" w:ascii="黑体" w:hAnsi="宋体" w:eastAsia="黑体"/>
          <w:color w:val="auto"/>
          <w:szCs w:val="21"/>
          <w:highlight w:val="none"/>
        </w:rPr>
        <w:t>项规定的任何一种情形的。</w:t>
      </w:r>
    </w:p>
    <w:p>
      <w:pPr>
        <w:shd w:val="clear" w:color="auto" w:fill="FFFFFF"/>
        <w:adjustRightInd w:val="0"/>
        <w:snapToGrid w:val="0"/>
        <w:spacing w:line="340" w:lineRule="exact"/>
        <w:ind w:firstLine="422" w:firstLineChars="200"/>
        <w:rPr>
          <w:rFonts w:ascii="黑体" w:hAnsi="宋体" w:eastAsia="黑体"/>
          <w:color w:val="auto"/>
          <w:szCs w:val="21"/>
          <w:highlight w:val="none"/>
        </w:rPr>
      </w:pPr>
      <w:r>
        <w:rPr>
          <w:rFonts w:hint="eastAsia" w:ascii="黑体" w:hAnsi="宋体" w:eastAsia="黑体"/>
          <w:b/>
          <w:color w:val="auto"/>
          <w:szCs w:val="21"/>
          <w:highlight w:val="none"/>
        </w:rPr>
        <w:t>B1.2</w:t>
      </w:r>
      <w:r>
        <w:rPr>
          <w:rFonts w:hint="eastAsia" w:ascii="黑体" w:hAnsi="宋体" w:eastAsia="黑体"/>
          <w:color w:val="auto"/>
          <w:szCs w:val="21"/>
          <w:highlight w:val="none"/>
        </w:rPr>
        <w:t xml:space="preserve">  有串通投标或弄虚作假或有其他违法行为的。</w:t>
      </w:r>
    </w:p>
    <w:p>
      <w:pPr>
        <w:shd w:val="clear" w:color="auto" w:fill="FFFFFF"/>
        <w:adjustRightInd w:val="0"/>
        <w:snapToGrid w:val="0"/>
        <w:spacing w:line="340" w:lineRule="exact"/>
        <w:ind w:firstLine="422" w:firstLineChars="200"/>
        <w:rPr>
          <w:rFonts w:ascii="黑体" w:hAnsi="宋体" w:eastAsia="黑体"/>
          <w:color w:val="auto"/>
          <w:szCs w:val="21"/>
          <w:highlight w:val="none"/>
        </w:rPr>
      </w:pPr>
      <w:r>
        <w:rPr>
          <w:rFonts w:hint="eastAsia" w:ascii="黑体" w:hAnsi="宋体" w:eastAsia="黑体"/>
          <w:b/>
          <w:color w:val="auto"/>
          <w:szCs w:val="21"/>
          <w:highlight w:val="none"/>
        </w:rPr>
        <w:t>B1.3</w:t>
      </w:r>
      <w:r>
        <w:rPr>
          <w:rFonts w:hint="eastAsia" w:ascii="黑体" w:hAnsi="宋体" w:eastAsia="黑体"/>
          <w:color w:val="auto"/>
          <w:szCs w:val="21"/>
          <w:highlight w:val="none"/>
        </w:rPr>
        <w:t xml:space="preserve">  不按评标委员会要求澄清、说明或补正的。</w:t>
      </w:r>
    </w:p>
    <w:p>
      <w:pPr>
        <w:shd w:val="clear" w:color="auto" w:fill="FFFFFF"/>
        <w:adjustRightInd w:val="0"/>
        <w:snapToGrid w:val="0"/>
        <w:spacing w:line="340" w:lineRule="exact"/>
        <w:ind w:firstLine="422" w:firstLineChars="200"/>
        <w:rPr>
          <w:rFonts w:ascii="黑体" w:hAnsi="宋体" w:eastAsia="黑体"/>
          <w:color w:val="auto"/>
          <w:szCs w:val="21"/>
          <w:highlight w:val="none"/>
        </w:rPr>
      </w:pPr>
      <w:r>
        <w:rPr>
          <w:rFonts w:hint="eastAsia" w:ascii="黑体" w:hAnsi="宋体" w:eastAsia="黑体"/>
          <w:b/>
          <w:color w:val="auto"/>
          <w:szCs w:val="21"/>
          <w:highlight w:val="none"/>
        </w:rPr>
        <w:t>B1.4</w:t>
      </w:r>
      <w:r>
        <w:rPr>
          <w:rFonts w:hint="eastAsia" w:ascii="黑体" w:hAnsi="宋体" w:eastAsia="黑体"/>
          <w:color w:val="auto"/>
          <w:szCs w:val="21"/>
          <w:highlight w:val="none"/>
        </w:rPr>
        <w:t xml:space="preserve">  在形式评审、资格评审(适用于未进行资格预审的)、响应性评审中，评标委员会认定投标人的投标不符合评标办法前附表中规定的任何一项评审标准的。</w:t>
      </w:r>
    </w:p>
    <w:p>
      <w:pPr>
        <w:shd w:val="clear" w:color="auto" w:fill="FFFFFF"/>
        <w:adjustRightInd w:val="0"/>
        <w:snapToGrid w:val="0"/>
        <w:spacing w:line="340" w:lineRule="exact"/>
        <w:ind w:firstLine="422" w:firstLineChars="200"/>
        <w:rPr>
          <w:rFonts w:ascii="黑体" w:hAnsi="宋体" w:eastAsia="黑体"/>
          <w:color w:val="auto"/>
          <w:szCs w:val="21"/>
          <w:highlight w:val="none"/>
        </w:rPr>
      </w:pPr>
      <w:r>
        <w:rPr>
          <w:rFonts w:hint="eastAsia" w:ascii="黑体" w:hAnsi="宋体" w:eastAsia="黑体"/>
          <w:b/>
          <w:color w:val="auto"/>
          <w:szCs w:val="21"/>
          <w:highlight w:val="none"/>
        </w:rPr>
        <w:t>B1.5</w:t>
      </w:r>
      <w:r>
        <w:rPr>
          <w:rFonts w:hint="eastAsia" w:ascii="黑体" w:hAnsi="宋体" w:eastAsia="黑体"/>
          <w:color w:val="auto"/>
          <w:szCs w:val="21"/>
          <w:highlight w:val="none"/>
        </w:rPr>
        <w:t xml:space="preserve">  当投标人资格预审申请文件的内容发生重大变化时，其在投标文件中更新的资料，未能通过资格评审的(适用于已进行资格预审的)。</w:t>
      </w:r>
    </w:p>
    <w:p>
      <w:pPr>
        <w:shd w:val="clear" w:color="auto" w:fill="FFFFFF"/>
        <w:adjustRightInd w:val="0"/>
        <w:snapToGrid w:val="0"/>
        <w:spacing w:line="340" w:lineRule="exact"/>
        <w:ind w:firstLine="422" w:firstLineChars="200"/>
        <w:rPr>
          <w:rFonts w:ascii="黑体" w:hAnsi="宋体" w:eastAsia="黑体"/>
          <w:strike/>
          <w:dstrike w:val="0"/>
          <w:color w:val="auto"/>
          <w:szCs w:val="21"/>
          <w:highlight w:val="none"/>
        </w:rPr>
      </w:pPr>
      <w:r>
        <w:rPr>
          <w:rFonts w:hint="eastAsia" w:ascii="黑体" w:hAnsi="宋体" w:eastAsia="黑体"/>
          <w:b/>
          <w:strike/>
          <w:dstrike w:val="0"/>
          <w:color w:val="auto"/>
          <w:szCs w:val="21"/>
          <w:highlight w:val="none"/>
        </w:rPr>
        <w:t>B1.6</w:t>
      </w:r>
      <w:r>
        <w:rPr>
          <w:rFonts w:hint="eastAsia" w:ascii="黑体" w:hAnsi="宋体" w:eastAsia="黑体"/>
          <w:strike/>
          <w:dstrike w:val="0"/>
          <w:color w:val="auto"/>
          <w:szCs w:val="21"/>
          <w:highlight w:val="none"/>
        </w:rPr>
        <w:t xml:space="preserve">  投标报价文件(投标函除外)未经有资格的工程造价专业人员签字并加盖执业专用章的；(采用造价下浮率计分法的工程投标文件，此条不作要求)</w:t>
      </w:r>
    </w:p>
    <w:p>
      <w:pPr>
        <w:shd w:val="clear" w:color="auto" w:fill="FFFFFF"/>
        <w:adjustRightInd w:val="0"/>
        <w:snapToGrid w:val="0"/>
        <w:spacing w:line="340" w:lineRule="exact"/>
        <w:ind w:firstLine="422" w:firstLineChars="200"/>
        <w:rPr>
          <w:rFonts w:ascii="黑体" w:hAnsi="宋体" w:eastAsia="黑体"/>
          <w:strike/>
          <w:color w:val="auto"/>
          <w:szCs w:val="21"/>
          <w:highlight w:val="none"/>
        </w:rPr>
      </w:pPr>
      <w:r>
        <w:rPr>
          <w:rFonts w:hint="eastAsia" w:ascii="黑体" w:hAnsi="宋体" w:eastAsia="黑体"/>
          <w:b/>
          <w:strike/>
          <w:color w:val="auto"/>
          <w:szCs w:val="21"/>
          <w:highlight w:val="none"/>
        </w:rPr>
        <w:t>B1.7</w:t>
      </w:r>
      <w:r>
        <w:rPr>
          <w:rFonts w:hint="eastAsia" w:ascii="黑体" w:hAnsi="宋体" w:eastAsia="黑体"/>
          <w:strike/>
          <w:color w:val="auto"/>
          <w:szCs w:val="21"/>
          <w:highlight w:val="none"/>
        </w:rPr>
        <w:t xml:space="preserve">  在施工组织设计和项目管理机构评审中，评标委员会认定投标人的投标未能通过此项评审的。</w:t>
      </w:r>
    </w:p>
    <w:p>
      <w:pPr>
        <w:shd w:val="clear" w:color="auto" w:fill="FFFFFF"/>
        <w:adjustRightInd w:val="0"/>
        <w:snapToGrid w:val="0"/>
        <w:spacing w:line="340" w:lineRule="exact"/>
        <w:ind w:firstLine="422" w:firstLineChars="200"/>
        <w:rPr>
          <w:rFonts w:ascii="黑体" w:hAnsi="宋体" w:eastAsia="黑体"/>
          <w:color w:val="auto"/>
          <w:szCs w:val="21"/>
          <w:highlight w:val="none"/>
        </w:rPr>
      </w:pPr>
      <w:r>
        <w:rPr>
          <w:rFonts w:hint="eastAsia" w:ascii="黑体" w:hAnsi="宋体" w:eastAsia="黑体"/>
          <w:b/>
          <w:color w:val="auto"/>
          <w:szCs w:val="21"/>
          <w:highlight w:val="none"/>
        </w:rPr>
        <w:t>B1.8</w:t>
      </w:r>
      <w:r>
        <w:rPr>
          <w:rFonts w:hint="eastAsia" w:ascii="黑体" w:hAnsi="宋体" w:eastAsia="黑体"/>
          <w:color w:val="auto"/>
          <w:szCs w:val="21"/>
          <w:highlight w:val="none"/>
        </w:rPr>
        <w:t xml:space="preserve">  评标委员会认定投标人以低于成本报价竞标的。</w:t>
      </w:r>
    </w:p>
    <w:p>
      <w:pPr>
        <w:shd w:val="clear" w:color="auto" w:fill="FFFFFF"/>
        <w:adjustRightInd w:val="0"/>
        <w:snapToGrid w:val="0"/>
        <w:spacing w:line="340" w:lineRule="exact"/>
        <w:ind w:firstLine="420" w:firstLineChars="200"/>
        <w:rPr>
          <w:rFonts w:ascii="黑体" w:hAnsi="宋体" w:eastAsia="黑体"/>
          <w:bCs/>
          <w:color w:val="auto"/>
          <w:szCs w:val="21"/>
          <w:highlight w:val="none"/>
        </w:rPr>
      </w:pPr>
      <w:r>
        <w:rPr>
          <w:rFonts w:hint="eastAsia" w:ascii="黑体" w:hAnsi="宋体" w:eastAsia="黑体"/>
          <w:bCs/>
          <w:color w:val="auto"/>
          <w:szCs w:val="21"/>
          <w:highlight w:val="none"/>
        </w:rPr>
        <w:t>B1.9  投标人相关人员未按第二章“投标人须知”第</w:t>
      </w:r>
      <w:r>
        <w:rPr>
          <w:rFonts w:hint="eastAsia" w:ascii="黑体" w:eastAsia="黑体"/>
          <w:bCs/>
          <w:color w:val="auto"/>
          <w:szCs w:val="21"/>
          <w:highlight w:val="none"/>
        </w:rPr>
        <w:t>10</w:t>
      </w:r>
      <w:r>
        <w:rPr>
          <w:rFonts w:hint="eastAsia" w:ascii="黑体" w:hAnsi="宋体" w:eastAsia="黑体"/>
          <w:bCs/>
          <w:color w:val="auto"/>
          <w:szCs w:val="21"/>
          <w:highlight w:val="none"/>
        </w:rPr>
        <w:t>.</w:t>
      </w:r>
      <w:r>
        <w:rPr>
          <w:rFonts w:hint="eastAsia" w:ascii="黑体" w:eastAsia="黑体"/>
          <w:bCs/>
          <w:color w:val="auto"/>
          <w:szCs w:val="21"/>
          <w:highlight w:val="none"/>
        </w:rPr>
        <w:t>6，10.13.3</w:t>
      </w:r>
      <w:r>
        <w:rPr>
          <w:rFonts w:hint="eastAsia" w:ascii="黑体" w:hAnsi="宋体" w:eastAsia="黑体"/>
          <w:bCs/>
          <w:color w:val="auto"/>
          <w:szCs w:val="21"/>
          <w:highlight w:val="none"/>
        </w:rPr>
        <w:t>款规定出席开标会的。投标人必须按投标人须知前附表第10.6条、10.13.3条和投标人须知第5.1条的规定，派员参加开标会议，投标人参加会议人员和所需携带的证件必须在投标截止时间前送达投标人须知前附表第4.2.2条指定的递交投标文件地点，否则视为自愿放弃本次投标。</w:t>
      </w:r>
    </w:p>
    <w:p>
      <w:pPr>
        <w:shd w:val="clear" w:color="auto" w:fill="FFFFFF"/>
        <w:adjustRightInd w:val="0"/>
        <w:snapToGrid w:val="0"/>
        <w:spacing w:line="340" w:lineRule="exact"/>
        <w:ind w:firstLine="422" w:firstLineChars="200"/>
        <w:rPr>
          <w:rFonts w:ascii="黑体" w:hAnsi="宋体" w:eastAsia="黑体"/>
          <w:strike/>
          <w:color w:val="auto"/>
          <w:szCs w:val="21"/>
          <w:highlight w:val="none"/>
        </w:rPr>
      </w:pPr>
      <w:r>
        <w:rPr>
          <w:rFonts w:hint="eastAsia" w:ascii="黑体" w:hAnsi="宋体" w:eastAsia="黑体"/>
          <w:b/>
          <w:strike/>
          <w:color w:val="auto"/>
          <w:szCs w:val="21"/>
          <w:highlight w:val="none"/>
        </w:rPr>
        <w:t>B1.10</w:t>
      </w:r>
      <w:bookmarkStart w:id="249" w:name="_Hlk11847011"/>
      <w:r>
        <w:rPr>
          <w:rFonts w:hint="eastAsia" w:ascii="黑体" w:hAnsi="宋体" w:eastAsia="黑体"/>
          <w:bCs/>
          <w:strike/>
          <w:color w:val="auto"/>
          <w:szCs w:val="21"/>
          <w:highlight w:val="none"/>
        </w:rPr>
        <w:t>采</w:t>
      </w:r>
      <w:r>
        <w:rPr>
          <w:rFonts w:hint="eastAsia" w:ascii="黑体" w:hAnsi="宋体" w:eastAsia="黑体"/>
          <w:strike/>
          <w:color w:val="auto"/>
          <w:szCs w:val="21"/>
          <w:highlight w:val="none"/>
        </w:rPr>
        <w:t>用电子投标的项目，因投标人原因导致电子投标文件无法导入（解密）系统的，其投标应作无效或者废标处理。</w:t>
      </w:r>
      <w:bookmarkEnd w:id="249"/>
    </w:p>
    <w:p>
      <w:pPr>
        <w:shd w:val="clear" w:color="auto" w:fill="FFFFFF"/>
        <w:spacing w:line="360" w:lineRule="exact"/>
        <w:ind w:firstLine="422" w:firstLineChars="200"/>
        <w:rPr>
          <w:rFonts w:ascii="黑体" w:hAnsi="宋体" w:eastAsia="黑体"/>
          <w:strike/>
          <w:color w:val="auto"/>
          <w:szCs w:val="21"/>
          <w:highlight w:val="none"/>
        </w:rPr>
      </w:pPr>
      <w:r>
        <w:rPr>
          <w:rFonts w:hint="eastAsia" w:ascii="黑体" w:hAnsi="宋体" w:eastAsia="黑体"/>
          <w:b/>
          <w:strike/>
          <w:color w:val="auto"/>
          <w:szCs w:val="21"/>
          <w:highlight w:val="none"/>
        </w:rPr>
        <w:t>B1.11</w:t>
      </w:r>
      <w:r>
        <w:rPr>
          <w:rFonts w:hint="eastAsia" w:ascii="黑体" w:hAnsi="宋体" w:eastAsia="黑体"/>
          <w:bCs/>
          <w:strike/>
          <w:color w:val="auto"/>
          <w:szCs w:val="21"/>
          <w:highlight w:val="none"/>
        </w:rPr>
        <w:t>采用</w:t>
      </w:r>
      <w:r>
        <w:rPr>
          <w:rFonts w:hint="eastAsia" w:ascii="黑体" w:hAnsi="宋体" w:eastAsia="黑体"/>
          <w:strike/>
          <w:color w:val="auto"/>
          <w:szCs w:val="21"/>
          <w:highlight w:val="none"/>
        </w:rPr>
        <w:t>电子投标的项目，不符合招标文件第二章投标人须知</w:t>
      </w:r>
      <w:r>
        <w:rPr>
          <w:strike/>
          <w:color w:val="auto"/>
          <w:highlight w:val="none"/>
        </w:rPr>
        <w:t xml:space="preserve">3.7.6  </w:t>
      </w:r>
      <w:r>
        <w:rPr>
          <w:rFonts w:hint="eastAsia"/>
          <w:strike/>
          <w:color w:val="auto"/>
          <w:highlight w:val="none"/>
        </w:rPr>
        <w:t>“电子投标文件编制要求”和</w:t>
      </w:r>
      <w:r>
        <w:rPr>
          <w:rFonts w:cs="宋体"/>
          <w:strike/>
          <w:color w:val="auto"/>
          <w:highlight w:val="none"/>
        </w:rPr>
        <w:t>4.2.6</w:t>
      </w:r>
      <w:r>
        <w:rPr>
          <w:rFonts w:hint="eastAsia" w:cs="宋体"/>
          <w:strike/>
          <w:color w:val="auto"/>
          <w:highlight w:val="none"/>
        </w:rPr>
        <w:t>“电子投标文件递交要求”中4.2.6.1要求</w:t>
      </w:r>
      <w:r>
        <w:rPr>
          <w:rFonts w:hint="eastAsia" w:ascii="黑体" w:hAnsi="宋体" w:eastAsia="黑体"/>
          <w:strike/>
          <w:color w:val="auto"/>
          <w:szCs w:val="21"/>
          <w:highlight w:val="none"/>
        </w:rPr>
        <w:t>的，其投标应作无效或者废标处理。</w:t>
      </w:r>
    </w:p>
    <w:p>
      <w:pPr>
        <w:shd w:val="clear" w:color="auto" w:fill="FFFFFF"/>
        <w:adjustRightInd w:val="0"/>
        <w:snapToGrid w:val="0"/>
        <w:spacing w:line="340" w:lineRule="exact"/>
        <w:ind w:firstLine="422" w:firstLineChars="200"/>
        <w:rPr>
          <w:rFonts w:ascii="黑体" w:hAnsi="宋体" w:eastAsia="黑体"/>
          <w:strike/>
          <w:color w:val="auto"/>
          <w:szCs w:val="21"/>
          <w:highlight w:val="none"/>
        </w:rPr>
      </w:pPr>
      <w:r>
        <w:rPr>
          <w:rFonts w:hint="eastAsia" w:ascii="黑体" w:hAnsi="宋体" w:eastAsia="黑体"/>
          <w:b/>
          <w:strike/>
          <w:color w:val="auto"/>
          <w:szCs w:val="21"/>
          <w:highlight w:val="none"/>
        </w:rPr>
        <w:t>B1.12</w:t>
      </w:r>
      <w:r>
        <w:rPr>
          <w:rFonts w:hint="eastAsia" w:ascii="黑体" w:hAnsi="宋体" w:eastAsia="黑体"/>
          <w:strike/>
          <w:color w:val="auto"/>
          <w:szCs w:val="21"/>
          <w:highlight w:val="none"/>
        </w:rPr>
        <w:t>投标报价时，安全文明施工基本费的费率不得低于现行施工取费费率的下限。如采用造价下浮率计分法的，则投标人须承诺：安全文明施工基本费按审定后的招标控制价的费用金额计取。否则视为实质性不响应招标文件。</w:t>
      </w:r>
    </w:p>
    <w:p>
      <w:pPr>
        <w:shd w:val="clear" w:color="auto" w:fill="FFFFFF"/>
        <w:adjustRightInd w:val="0"/>
        <w:snapToGrid w:val="0"/>
        <w:spacing w:line="340" w:lineRule="exact"/>
        <w:ind w:firstLine="422" w:firstLineChars="200"/>
        <w:rPr>
          <w:rFonts w:ascii="黑体" w:hAnsi="宋体" w:eastAsia="黑体"/>
          <w:color w:val="auto"/>
          <w:szCs w:val="21"/>
          <w:highlight w:val="none"/>
        </w:rPr>
      </w:pPr>
      <w:r>
        <w:rPr>
          <w:rFonts w:hint="eastAsia" w:ascii="黑体" w:hAnsi="宋体" w:eastAsia="黑体"/>
          <w:b/>
          <w:color w:val="auto"/>
          <w:szCs w:val="21"/>
          <w:highlight w:val="none"/>
        </w:rPr>
        <w:t xml:space="preserve">B1.13 </w:t>
      </w:r>
      <w:r>
        <w:rPr>
          <w:rFonts w:hint="eastAsia" w:ascii="黑体" w:hAnsi="宋体" w:eastAsia="黑体"/>
          <w:color w:val="auto"/>
          <w:szCs w:val="21"/>
          <w:highlight w:val="none"/>
        </w:rPr>
        <w:t>采用基准投标报价计分法的工程，投标总报价必须且只能精确到元；采用造价下浮率计分法的工程，下浮率报价最多只能精确到小数点后二位。否则作废标处理。</w:t>
      </w:r>
    </w:p>
    <w:p>
      <w:pPr>
        <w:shd w:val="clear" w:color="auto" w:fill="FFFFFF"/>
        <w:adjustRightInd w:val="0"/>
        <w:snapToGrid w:val="0"/>
        <w:spacing w:line="340" w:lineRule="exact"/>
        <w:ind w:firstLine="422" w:firstLineChars="200"/>
        <w:rPr>
          <w:rFonts w:ascii="宋体" w:hAnsi="宋体"/>
          <w:color w:val="auto"/>
          <w:szCs w:val="21"/>
          <w:highlight w:val="none"/>
        </w:rPr>
      </w:pPr>
      <w:r>
        <w:rPr>
          <w:rFonts w:hint="eastAsia" w:ascii="黑体" w:hAnsi="宋体" w:eastAsia="黑体"/>
          <w:b/>
          <w:strike/>
          <w:dstrike w:val="0"/>
          <w:color w:val="auto"/>
          <w:szCs w:val="21"/>
          <w:highlight w:val="none"/>
        </w:rPr>
        <w:t>B1.14 其他：招标文件中带“★”的指标为必须满足内容，不满足的投标单位作无效标处理。</w:t>
      </w:r>
    </w:p>
    <w:p>
      <w:pPr>
        <w:shd w:val="clear" w:color="auto" w:fill="FFFFFF"/>
        <w:adjustRightInd w:val="0"/>
        <w:snapToGrid w:val="0"/>
        <w:spacing w:line="360" w:lineRule="exact"/>
        <w:rPr>
          <w:rFonts w:ascii="黑体" w:hAnsi="宋体" w:eastAsia="黑体"/>
          <w:color w:val="auto"/>
          <w:szCs w:val="21"/>
          <w:highlight w:val="none"/>
        </w:rPr>
      </w:pPr>
      <w:r>
        <w:rPr>
          <w:rFonts w:hint="eastAsia" w:ascii="黑体" w:hAnsi="宋体" w:eastAsia="黑体"/>
          <w:color w:val="auto"/>
          <w:szCs w:val="21"/>
          <w:highlight w:val="none"/>
        </w:rPr>
        <w:t>附件C：投标人成本评审办法（略）</w:t>
      </w:r>
    </w:p>
    <w:p>
      <w:pPr>
        <w:shd w:val="clear" w:color="auto" w:fill="FFFFFF"/>
        <w:adjustRightInd w:val="0"/>
        <w:snapToGrid w:val="0"/>
        <w:spacing w:line="360" w:lineRule="exact"/>
        <w:rPr>
          <w:rFonts w:ascii="黑体" w:hAnsi="宋体" w:eastAsia="黑体"/>
          <w:color w:val="auto"/>
          <w:szCs w:val="21"/>
          <w:highlight w:val="none"/>
        </w:rPr>
      </w:pPr>
      <w:r>
        <w:rPr>
          <w:rFonts w:hint="eastAsia" w:ascii="黑体" w:hAnsi="宋体" w:eastAsia="黑体"/>
          <w:color w:val="auto"/>
          <w:szCs w:val="21"/>
          <w:highlight w:val="none"/>
        </w:rPr>
        <w:t>附件D：备选投标方案的评审方法（略）</w:t>
      </w:r>
    </w:p>
    <w:p>
      <w:pPr>
        <w:shd w:val="clear" w:color="auto" w:fill="FFFFFF"/>
        <w:adjustRightInd w:val="0"/>
        <w:snapToGrid w:val="0"/>
        <w:spacing w:line="360" w:lineRule="exact"/>
        <w:rPr>
          <w:rFonts w:ascii="黑体" w:hAnsi="宋体" w:eastAsia="黑体"/>
          <w:color w:val="auto"/>
          <w:szCs w:val="21"/>
          <w:highlight w:val="none"/>
        </w:rPr>
      </w:pPr>
      <w:r>
        <w:rPr>
          <w:rFonts w:ascii="黑体" w:hAnsi="宋体" w:eastAsia="黑体"/>
          <w:color w:val="auto"/>
          <w:szCs w:val="21"/>
          <w:highlight w:val="none"/>
        </w:rPr>
        <w:br w:type="page"/>
      </w:r>
      <w:r>
        <w:rPr>
          <w:rFonts w:hint="eastAsia" w:ascii="黑体" w:hAnsi="宋体" w:eastAsia="黑体"/>
          <w:color w:val="auto"/>
          <w:szCs w:val="21"/>
          <w:highlight w:val="none"/>
        </w:rPr>
        <w:t>附件E：计算机辅助评标方法</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E1.1 评委应根据账号和密码或者使用评委个人数字证书登录电子辅助评标系统，并在</w:t>
      </w:r>
    </w:p>
    <w:p>
      <w:pPr>
        <w:shd w:val="clear" w:color="auto" w:fill="FFFFFF"/>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xml:space="preserve">系统上或者借助系统完成评审工作。 </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 xml:space="preserve">E1.2 电子辅助评标系统按照以下程序设置： </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 xml:space="preserve">（1）评标准备； </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 xml:space="preserve">（2）初步评审； </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 xml:space="preserve">（3）详细评审； </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 xml:space="preserve">（4）出具评标报告。 </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E1.3 评委在评审时应熟悉招标文件，并对照招标文件对所评审项目设置的评审指标进</w:t>
      </w:r>
    </w:p>
    <w:p>
      <w:pPr>
        <w:shd w:val="clear" w:color="auto" w:fill="FFFFFF"/>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行核对。经核对，评审指标设置有误的，应告知招标人按照招标文件的约定进行调整；评审</w:t>
      </w:r>
    </w:p>
    <w:p>
      <w:pPr>
        <w:shd w:val="clear" w:color="auto" w:fill="FFFFFF"/>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xml:space="preserve">指标设置正确的，对评审指标设置进行确认。 </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E1.4 在不改变投标人投标文件实质性内容的前提下，评标委员会应当对投标文件进行</w:t>
      </w:r>
    </w:p>
    <w:p>
      <w:pPr>
        <w:shd w:val="clear" w:color="auto" w:fill="FFFFFF"/>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xml:space="preserve">基础性数据分析和整理， 从而发现并提取其中可能存在的对招标范围理解的偏差、 投标报价的算术性错误、错漏项、投标报价构成不合理、不平衡报价等存在明显异常的问题，并就这些问题整理形成清标成果。 </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评标委员会对清标成果审议后，决定需要投标人进行书面澄清、说明或补正的问题，向</w:t>
      </w:r>
    </w:p>
    <w:p>
      <w:pPr>
        <w:shd w:val="clear" w:color="auto" w:fill="FFFFFF"/>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xml:space="preserve">投标人发出问题澄清书面通知；清标工作与初步评审工作平行进行。 </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 xml:space="preserve">E1.5 初步评审分为形式评审、资格评审和响应性评审等三个阶段，并依次组织审查。 </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 xml:space="preserve">E1.6 在初步评审阶段，各评委先行独立对各投标文件进行审查，并递交审查意见。 各评委完成递交审查意见后， 出现评委对相关投标人审查认为不能通过初步评审 （包括不响应资格审查条件的） ，评委应在辅助评标系统上进行表决，并根据各评委表决意见，按照少数服从多数的原则（招标文件中另有约定的，按招标文件约定），形成统一审查意见。 </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 xml:space="preserve">E1.7 评委在评审过程中认为需要表决的其他评审事项，按照上款办法组织表决。 </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 xml:space="preserve">E1.8 在完成初步评审后，对通过初步评审的投标人组织详细评审。 </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 xml:space="preserve">E1.9 设有技术标、商务标详细评审的，应先组织技术标、商务标详细评审，并在评委完成技术标、商务标详细评审后进行下浮率、修正系数等商务标所需参数的抽取。未设技术标、商务标详细评审的，上述参数应在初步评审结束后抽取。 </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 xml:space="preserve">E1.10 在完成详细评审后，评标委员会应根据评标情况出具评标报告。 </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E1.11 评委应严格按照招标文件载明的评标办法（资格审查办法）对投标文件评审。评</w:t>
      </w:r>
    </w:p>
    <w:p>
      <w:pPr>
        <w:shd w:val="clear" w:color="auto" w:fill="FFFFFF"/>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xml:space="preserve">委的评审应客观公正，同时应在提交评审结果前仔细核对，以避免出现各种差错。 </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在评审过程中，评委发现其评审确实有误且有客观、充分的事实依据证实的，应以书面</w:t>
      </w:r>
    </w:p>
    <w:p>
      <w:pPr>
        <w:shd w:val="clear" w:color="auto" w:fill="FFFFFF"/>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xml:space="preserve">形式说明情况，并按照以下办法提请重新评审： </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（1）发现初步评审有误的，应提请评标委员会进行表决，但已进入详细评审的，应报</w:t>
      </w:r>
    </w:p>
    <w:p>
      <w:pPr>
        <w:shd w:val="clear" w:color="auto" w:fill="FFFFFF"/>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xml:space="preserve">经相关监管部门同意后， 提请表决。 评标委员会根据表决结果， 调整或维持原初步评审结果；  </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（2）发现技术标详细评审有误的，应提请评标小组组长同意后重新评审打分，但所有</w:t>
      </w:r>
    </w:p>
    <w:p>
      <w:pPr>
        <w:shd w:val="clear" w:color="auto" w:fill="FFFFFF"/>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xml:space="preserve">评委均已提交技术标详细评审的，应报经相关监管部门同意后才被允许重新评审打分； </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（3）发现商务标详细评审有误的，应提请评标小组组长同意后重新评审打分，但所有</w:t>
      </w:r>
    </w:p>
    <w:p>
      <w:pPr>
        <w:shd w:val="clear" w:color="auto" w:fill="FFFFFF"/>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xml:space="preserve">评委均已提交商务标详细评审的，应报经相关监管部门同意后才被允许重新评审打分。 </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E1.11 评委不能提供客观、充分事实依据的，或者以其主观判断因素作为理由的，不得</w:t>
      </w:r>
    </w:p>
    <w:p>
      <w:pPr>
        <w:shd w:val="clear" w:color="auto" w:fill="FFFFFF"/>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xml:space="preserve">允许重新评审。 </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 xml:space="preserve">E1.12 评标小组组长应牵头组织或负责做好以下评审工作： </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（1）在评标准备阶段，牵头组织各评委对评审指标的核对工作，经核对无误的，对评</w:t>
      </w:r>
    </w:p>
    <w:p>
      <w:pPr>
        <w:shd w:val="clear" w:color="auto" w:fill="FFFFFF"/>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xml:space="preserve">审指标设置进行确认； </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（2）对出现相关投标人初步评审不能通过的，以及其他需要表决的，发起表决并根据</w:t>
      </w:r>
    </w:p>
    <w:p>
      <w:pPr>
        <w:shd w:val="clear" w:color="auto" w:fill="FFFFFF"/>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xml:space="preserve">各评委表决结果形成统一审查意见； </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（3）对有评委提请重新评审的，按规定发起相关评委重新评审流程，但按规定需要报</w:t>
      </w:r>
    </w:p>
    <w:p>
      <w:pPr>
        <w:shd w:val="clear" w:color="auto" w:fill="FFFFFF"/>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xml:space="preserve">经相关监管部门同意的，应在征得同意后发起。 </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 xml:space="preserve">（4）牵头组织评委出具评标报告。 </w:t>
      </w:r>
    </w:p>
    <w:p>
      <w:pPr>
        <w:shd w:val="clear" w:color="auto" w:fill="FFFFFF"/>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E1.13 因电子辅助评标系统及其网络、设备故障造成无法正常评标的，应排除相应故障</w:t>
      </w:r>
    </w:p>
    <w:p>
      <w:pPr>
        <w:shd w:val="clear" w:color="auto" w:fill="FFFFFF"/>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后继续评标。对因故障重大，排除故障的时间较长或者难以准确预计的，应封存投标资料，</w:t>
      </w:r>
    </w:p>
    <w:p>
      <w:pPr>
        <w:shd w:val="clear" w:color="auto" w:fill="FFFFFF"/>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另行确定继续评标的时间或者改为人工评标。</w:t>
      </w:r>
    </w:p>
    <w:p>
      <w:pPr>
        <w:shd w:val="clear" w:color="auto" w:fill="FFFFFF"/>
        <w:adjustRightInd w:val="0"/>
        <w:snapToGrid w:val="0"/>
        <w:spacing w:line="440" w:lineRule="exact"/>
        <w:ind w:firstLine="420" w:firstLineChars="200"/>
        <w:rPr>
          <w:rFonts w:ascii="宋体" w:hAnsi="宋体"/>
          <w:color w:val="auto"/>
          <w:szCs w:val="21"/>
          <w:highlight w:val="none"/>
        </w:rPr>
      </w:pPr>
    </w:p>
    <w:p>
      <w:pPr>
        <w:shd w:val="clear" w:color="auto" w:fill="FFFFFF"/>
        <w:adjustRightInd w:val="0"/>
        <w:snapToGrid w:val="0"/>
        <w:spacing w:line="360" w:lineRule="exact"/>
        <w:rPr>
          <w:rFonts w:ascii="黑体" w:eastAsia="黑体"/>
          <w:color w:val="auto"/>
          <w:szCs w:val="21"/>
          <w:highlight w:val="none"/>
        </w:rPr>
      </w:pPr>
      <w:r>
        <w:rPr>
          <w:rFonts w:hint="eastAsia" w:ascii="黑体" w:eastAsia="黑体"/>
          <w:color w:val="auto"/>
          <w:szCs w:val="21"/>
          <w:highlight w:val="none"/>
        </w:rPr>
        <w:t>附表A-1：评标委员会签到表</w:t>
      </w:r>
      <w:r>
        <w:rPr>
          <w:rFonts w:hint="eastAsia" w:ascii="黑体" w:hAnsi="宋体" w:eastAsia="黑体"/>
          <w:color w:val="auto"/>
          <w:szCs w:val="21"/>
          <w:highlight w:val="none"/>
        </w:rPr>
        <w:t>（略）</w:t>
      </w:r>
    </w:p>
    <w:p>
      <w:pPr>
        <w:shd w:val="clear" w:color="auto" w:fill="FFFFFF"/>
        <w:spacing w:line="360" w:lineRule="exact"/>
        <w:rPr>
          <w:rFonts w:ascii="黑体" w:eastAsia="黑体"/>
          <w:color w:val="auto"/>
          <w:szCs w:val="21"/>
          <w:highlight w:val="none"/>
        </w:rPr>
      </w:pPr>
      <w:r>
        <w:rPr>
          <w:rFonts w:hint="eastAsia" w:ascii="黑体" w:eastAsia="黑体"/>
          <w:color w:val="auto"/>
          <w:szCs w:val="21"/>
          <w:highlight w:val="none"/>
        </w:rPr>
        <w:t>附表A-2：形式评审记录表</w:t>
      </w:r>
      <w:r>
        <w:rPr>
          <w:rFonts w:hint="eastAsia" w:ascii="黑体" w:hAnsi="宋体" w:eastAsia="黑体"/>
          <w:color w:val="auto"/>
          <w:szCs w:val="21"/>
          <w:highlight w:val="none"/>
        </w:rPr>
        <w:t>（略）</w:t>
      </w:r>
    </w:p>
    <w:p>
      <w:pPr>
        <w:shd w:val="clear" w:color="auto" w:fill="FFFFFF"/>
        <w:spacing w:line="360" w:lineRule="exact"/>
        <w:rPr>
          <w:rFonts w:ascii="黑体" w:hAnsi="宋体" w:eastAsia="黑体"/>
          <w:color w:val="auto"/>
          <w:szCs w:val="21"/>
          <w:highlight w:val="none"/>
        </w:rPr>
      </w:pPr>
      <w:r>
        <w:rPr>
          <w:rFonts w:hint="eastAsia" w:ascii="黑体" w:hAnsi="宋体" w:eastAsia="黑体"/>
          <w:color w:val="auto"/>
          <w:szCs w:val="21"/>
          <w:highlight w:val="none"/>
        </w:rPr>
        <w:t>附表A-3：资格评审记录表（略）</w:t>
      </w:r>
    </w:p>
    <w:p>
      <w:pPr>
        <w:shd w:val="clear" w:color="auto" w:fill="FFFFFF"/>
        <w:spacing w:line="360" w:lineRule="exact"/>
        <w:rPr>
          <w:rFonts w:ascii="黑体" w:hAnsi="宋体" w:eastAsia="黑体"/>
          <w:color w:val="auto"/>
          <w:szCs w:val="21"/>
          <w:highlight w:val="none"/>
        </w:rPr>
      </w:pPr>
      <w:r>
        <w:rPr>
          <w:rFonts w:hint="eastAsia" w:ascii="黑体" w:hAnsi="宋体" w:eastAsia="黑体"/>
          <w:color w:val="auto"/>
          <w:szCs w:val="21"/>
          <w:highlight w:val="none"/>
        </w:rPr>
        <w:t>附表A-4：响应性评审记录表（略）</w:t>
      </w:r>
    </w:p>
    <w:p>
      <w:pPr>
        <w:shd w:val="clear" w:color="auto" w:fill="FFFFFF"/>
        <w:spacing w:line="360" w:lineRule="exact"/>
        <w:rPr>
          <w:rFonts w:ascii="黑体" w:hAnsi="宋体" w:eastAsia="黑体"/>
          <w:color w:val="auto"/>
          <w:szCs w:val="21"/>
          <w:highlight w:val="none"/>
        </w:rPr>
      </w:pPr>
      <w:r>
        <w:rPr>
          <w:rFonts w:hint="eastAsia" w:ascii="黑体" w:hAnsi="宋体" w:eastAsia="黑体"/>
          <w:color w:val="auto"/>
          <w:szCs w:val="21"/>
          <w:highlight w:val="none"/>
        </w:rPr>
        <w:t>附表A-5：施工组织设计评审记录表（略）</w:t>
      </w:r>
    </w:p>
    <w:p>
      <w:pPr>
        <w:shd w:val="clear" w:color="auto" w:fill="FFFFFF"/>
        <w:spacing w:line="360" w:lineRule="exact"/>
        <w:rPr>
          <w:rFonts w:ascii="黑体" w:eastAsia="黑体"/>
          <w:color w:val="auto"/>
          <w:szCs w:val="21"/>
          <w:highlight w:val="none"/>
        </w:rPr>
      </w:pPr>
      <w:r>
        <w:rPr>
          <w:rFonts w:hint="eastAsia" w:ascii="黑体" w:eastAsia="黑体"/>
          <w:color w:val="auto"/>
          <w:szCs w:val="21"/>
          <w:highlight w:val="none"/>
        </w:rPr>
        <w:t>附表A-6：项目管理机构评审记录表</w:t>
      </w:r>
      <w:r>
        <w:rPr>
          <w:rFonts w:hint="eastAsia" w:ascii="黑体" w:hAnsi="宋体" w:eastAsia="黑体"/>
          <w:color w:val="auto"/>
          <w:szCs w:val="21"/>
          <w:highlight w:val="none"/>
        </w:rPr>
        <w:t>（略）</w:t>
      </w:r>
    </w:p>
    <w:p>
      <w:pPr>
        <w:shd w:val="clear" w:color="auto" w:fill="FFFFFF"/>
        <w:spacing w:line="360" w:lineRule="exact"/>
        <w:rPr>
          <w:rFonts w:ascii="黑体" w:eastAsia="黑体"/>
          <w:color w:val="auto"/>
          <w:szCs w:val="21"/>
          <w:highlight w:val="none"/>
        </w:rPr>
      </w:pPr>
      <w:r>
        <w:rPr>
          <w:rFonts w:hint="eastAsia" w:ascii="黑体" w:eastAsia="黑体"/>
          <w:color w:val="auto"/>
          <w:szCs w:val="21"/>
          <w:highlight w:val="none"/>
        </w:rPr>
        <w:t>附表A-7：投标报价评分记录表</w:t>
      </w:r>
      <w:r>
        <w:rPr>
          <w:rFonts w:hint="eastAsia" w:ascii="黑体" w:hAnsi="宋体" w:eastAsia="黑体"/>
          <w:color w:val="auto"/>
          <w:szCs w:val="21"/>
          <w:highlight w:val="none"/>
        </w:rPr>
        <w:t>（略）</w:t>
      </w:r>
    </w:p>
    <w:p>
      <w:pPr>
        <w:shd w:val="clear" w:color="auto" w:fill="FFFFFF"/>
        <w:spacing w:line="360" w:lineRule="exact"/>
        <w:rPr>
          <w:rFonts w:ascii="黑体" w:eastAsia="黑体"/>
          <w:color w:val="auto"/>
          <w:szCs w:val="21"/>
          <w:highlight w:val="none"/>
        </w:rPr>
      </w:pPr>
      <w:r>
        <w:rPr>
          <w:rFonts w:hint="eastAsia" w:ascii="黑体" w:eastAsia="黑体"/>
          <w:color w:val="auto"/>
          <w:szCs w:val="21"/>
          <w:highlight w:val="none"/>
        </w:rPr>
        <w:t>附表A-8：其他因素评审记录表</w:t>
      </w:r>
      <w:r>
        <w:rPr>
          <w:rFonts w:hint="eastAsia" w:ascii="黑体" w:hAnsi="宋体" w:eastAsia="黑体"/>
          <w:color w:val="auto"/>
          <w:szCs w:val="21"/>
          <w:highlight w:val="none"/>
        </w:rPr>
        <w:t>（略）</w:t>
      </w:r>
    </w:p>
    <w:p>
      <w:pPr>
        <w:shd w:val="clear" w:color="auto" w:fill="FFFFFF"/>
        <w:spacing w:line="360" w:lineRule="exact"/>
        <w:rPr>
          <w:rFonts w:ascii="黑体" w:eastAsia="黑体"/>
          <w:color w:val="auto"/>
          <w:szCs w:val="21"/>
          <w:highlight w:val="none"/>
        </w:rPr>
      </w:pPr>
      <w:r>
        <w:rPr>
          <w:rFonts w:hint="eastAsia" w:ascii="黑体" w:eastAsia="黑体"/>
          <w:color w:val="auto"/>
          <w:szCs w:val="21"/>
          <w:highlight w:val="none"/>
        </w:rPr>
        <w:t>附表A-9：详细评审评分汇总表</w:t>
      </w:r>
      <w:r>
        <w:rPr>
          <w:rFonts w:hint="eastAsia" w:ascii="黑体" w:hAnsi="宋体" w:eastAsia="黑体"/>
          <w:color w:val="auto"/>
          <w:szCs w:val="21"/>
          <w:highlight w:val="none"/>
        </w:rPr>
        <w:t>（略）</w:t>
      </w:r>
    </w:p>
    <w:p>
      <w:pPr>
        <w:shd w:val="clear" w:color="auto" w:fill="FFFFFF"/>
        <w:spacing w:line="360" w:lineRule="exact"/>
        <w:rPr>
          <w:rFonts w:ascii="黑体" w:eastAsia="黑体"/>
          <w:color w:val="auto"/>
          <w:szCs w:val="21"/>
          <w:highlight w:val="none"/>
        </w:rPr>
      </w:pPr>
      <w:r>
        <w:rPr>
          <w:rFonts w:hint="eastAsia" w:ascii="黑体" w:eastAsia="黑体"/>
          <w:color w:val="auto"/>
          <w:szCs w:val="21"/>
          <w:highlight w:val="none"/>
        </w:rPr>
        <w:t>附表A-10：评标结果汇总表</w:t>
      </w:r>
      <w:r>
        <w:rPr>
          <w:rFonts w:hint="eastAsia" w:ascii="黑体" w:hAnsi="宋体" w:eastAsia="黑体"/>
          <w:color w:val="auto"/>
          <w:szCs w:val="21"/>
          <w:highlight w:val="none"/>
        </w:rPr>
        <w:t>（略）</w:t>
      </w:r>
    </w:p>
    <w:p>
      <w:pPr>
        <w:pStyle w:val="4"/>
        <w:jc w:val="center"/>
        <w:rPr>
          <w:rFonts w:ascii="黑体" w:hAnsi="黑体" w:eastAsia="黑体"/>
          <w:b w:val="0"/>
          <w:bCs w:val="0"/>
          <w:color w:val="auto"/>
          <w:sz w:val="32"/>
          <w:highlight w:val="none"/>
        </w:rPr>
      </w:pPr>
      <w:bookmarkStart w:id="250" w:name="_Toc179632627"/>
      <w:bookmarkStart w:id="251" w:name="_Toc144974577"/>
      <w:bookmarkStart w:id="252" w:name="_Toc152042387"/>
      <w:bookmarkStart w:id="253" w:name="_Toc152045609"/>
      <w:r>
        <w:rPr>
          <w:rFonts w:ascii="黑体" w:hAnsi="黑体" w:eastAsia="黑体"/>
          <w:b w:val="0"/>
          <w:bCs w:val="0"/>
          <w:color w:val="auto"/>
          <w:sz w:val="32"/>
          <w:highlight w:val="none"/>
        </w:rPr>
        <w:br w:type="page"/>
      </w:r>
      <w:r>
        <w:rPr>
          <w:rFonts w:hint="eastAsia" w:ascii="黑体" w:hAnsi="黑体" w:eastAsia="黑体"/>
          <w:b w:val="0"/>
          <w:bCs w:val="0"/>
          <w:color w:val="auto"/>
          <w:sz w:val="32"/>
          <w:highlight w:val="none"/>
        </w:rPr>
        <w:t>第四章 合同主要条款及格式</w:t>
      </w:r>
      <w:bookmarkEnd w:id="250"/>
      <w:bookmarkEnd w:id="251"/>
      <w:bookmarkEnd w:id="252"/>
      <w:bookmarkEnd w:id="253"/>
    </w:p>
    <w:p>
      <w:pPr>
        <w:spacing w:line="360" w:lineRule="auto"/>
        <w:jc w:val="left"/>
        <w:rPr>
          <w:rFonts w:ascii="宋体" w:hAnsi="宋体" w:cs="宋体"/>
          <w:b/>
          <w:color w:val="auto"/>
          <w:sz w:val="24"/>
          <w:highlight w:val="none"/>
        </w:rPr>
      </w:pPr>
      <w:bookmarkStart w:id="254" w:name="_Toc351203633"/>
      <w:r>
        <w:rPr>
          <w:rFonts w:hint="eastAsia" w:ascii="宋体" w:hAnsi="宋体" w:cs="宋体"/>
          <w:b/>
          <w:color w:val="auto"/>
          <w:sz w:val="24"/>
          <w:highlight w:val="none"/>
        </w:rPr>
        <w:t>1.合同</w:t>
      </w:r>
      <w:bookmarkStart w:id="255" w:name="OLE_LINK1"/>
      <w:r>
        <w:rPr>
          <w:rFonts w:hint="eastAsia" w:ascii="宋体" w:hAnsi="宋体" w:cs="宋体"/>
          <w:b/>
          <w:color w:val="auto"/>
          <w:sz w:val="24"/>
          <w:highlight w:val="none"/>
        </w:rPr>
        <w:t>范围</w:t>
      </w:r>
      <w:bookmarkEnd w:id="255"/>
    </w:p>
    <w:p>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本合同条款适用与本次采购活动。项目实施范围详见附件——招标文件和投标文件及补充文件、采购设计图、承诺书等。</w:t>
      </w:r>
    </w:p>
    <w:p>
      <w:pPr>
        <w:pStyle w:val="141"/>
        <w:spacing w:line="360" w:lineRule="auto"/>
        <w:jc w:val="left"/>
        <w:rPr>
          <w:rFonts w:hAnsi="宋体" w:cs="宋体"/>
          <w:b/>
          <w:color w:val="auto"/>
          <w:sz w:val="24"/>
          <w:szCs w:val="24"/>
          <w:highlight w:val="none"/>
        </w:rPr>
      </w:pPr>
      <w:r>
        <w:rPr>
          <w:rFonts w:hint="eastAsia" w:hAnsi="宋体" w:cs="宋体"/>
          <w:b/>
          <w:color w:val="auto"/>
          <w:sz w:val="24"/>
          <w:szCs w:val="24"/>
          <w:highlight w:val="none"/>
        </w:rPr>
        <w:t>2.合同的签订</w:t>
      </w:r>
    </w:p>
    <w:p>
      <w:pPr>
        <w:snapToGrid w:val="0"/>
        <w:spacing w:line="360" w:lineRule="auto"/>
        <w:jc w:val="left"/>
        <w:rPr>
          <w:rFonts w:ascii="宋体" w:hAnsi="宋体" w:cs="宋体"/>
          <w:color w:val="auto"/>
          <w:sz w:val="24"/>
          <w:highlight w:val="none"/>
        </w:rPr>
      </w:pPr>
      <w:r>
        <w:rPr>
          <w:rFonts w:hint="eastAsia" w:ascii="宋体" w:hAnsi="宋体" w:cs="宋体"/>
          <w:color w:val="auto"/>
          <w:sz w:val="24"/>
          <w:highlight w:val="none"/>
        </w:rPr>
        <w:t>2.1中标人须在中标通知书发出30日内按招标文件和中标供应商投标文件的约定，凭中标通知书和采购人在约定的时间、地点，由法定代表人或其授权代表与采购人签订书面合同。</w:t>
      </w:r>
      <w:r>
        <w:rPr>
          <w:rFonts w:ascii="宋体" w:hAnsi="宋体" w:cs="宋体"/>
          <w:color w:val="auto"/>
          <w:sz w:val="24"/>
          <w:highlight w:val="none"/>
        </w:rPr>
        <w:t>签订合同前中标人</w:t>
      </w:r>
      <w:r>
        <w:rPr>
          <w:rFonts w:hint="eastAsia" w:ascii="宋体" w:hAnsi="宋体" w:cs="宋体"/>
          <w:color w:val="auto"/>
          <w:sz w:val="24"/>
          <w:highlight w:val="none"/>
        </w:rPr>
        <w:t>须缴纳5%的履约保证金。</w:t>
      </w:r>
    </w:p>
    <w:p>
      <w:pPr>
        <w:pStyle w:val="14"/>
        <w:tabs>
          <w:tab w:val="left" w:pos="780"/>
        </w:tabs>
        <w:spacing w:afterLines="0" w:line="360" w:lineRule="auto"/>
        <w:ind w:left="0" w:firstLine="0"/>
        <w:rPr>
          <w:rFonts w:ascii="宋体" w:hAnsi="宋体" w:cs="宋体"/>
          <w:color w:val="auto"/>
          <w:highlight w:val="none"/>
        </w:rPr>
      </w:pPr>
      <w:r>
        <w:rPr>
          <w:rFonts w:hint="eastAsia" w:ascii="宋体" w:hAnsi="宋体" w:cs="宋体"/>
          <w:color w:val="auto"/>
          <w:highlight w:val="none"/>
        </w:rPr>
        <w:t>2.1.1交货地点：用户指定地点。</w:t>
      </w:r>
    </w:p>
    <w:p>
      <w:pPr>
        <w:pStyle w:val="14"/>
        <w:tabs>
          <w:tab w:val="left" w:pos="780"/>
        </w:tabs>
        <w:spacing w:afterLines="0" w:line="360" w:lineRule="auto"/>
        <w:ind w:left="0" w:firstLine="0"/>
        <w:rPr>
          <w:rFonts w:ascii="宋体" w:hAnsi="宋体" w:cs="宋体"/>
          <w:color w:val="auto"/>
          <w:highlight w:val="none"/>
        </w:rPr>
      </w:pPr>
      <w:r>
        <w:rPr>
          <w:rFonts w:hint="eastAsia" w:ascii="宋体" w:hAnsi="宋体" w:cs="宋体"/>
          <w:color w:val="auto"/>
          <w:highlight w:val="none"/>
        </w:rPr>
        <w:t>2.1.2服务期：按标项内具体要求执行。</w:t>
      </w:r>
    </w:p>
    <w:p>
      <w:pPr>
        <w:pStyle w:val="14"/>
        <w:tabs>
          <w:tab w:val="left" w:pos="780"/>
        </w:tabs>
        <w:spacing w:afterLines="0" w:line="360" w:lineRule="auto"/>
        <w:ind w:left="0" w:firstLine="0"/>
        <w:rPr>
          <w:rFonts w:hint="eastAsia" w:ascii="宋体" w:hAnsi="宋体" w:cs="宋体"/>
          <w:color w:val="auto"/>
          <w:highlight w:val="none"/>
        </w:rPr>
      </w:pPr>
      <w:r>
        <w:rPr>
          <w:rFonts w:hint="eastAsia" w:ascii="宋体" w:hAnsi="宋体" w:cs="宋体"/>
          <w:color w:val="auto"/>
          <w:highlight w:val="none"/>
        </w:rPr>
        <w:t>2.2交货方式：中标人收到采购人指令5个工作日内，负责将所有货物运至现场安装调试，在所有设备安装调试验收合格前的所有设备材料的运输、保管、保险均由中标人负责。包括施工图范围内为货物安装、调试、验收、运行、维护、服务所需的一切配套内容。</w:t>
      </w:r>
    </w:p>
    <w:p>
      <w:pPr>
        <w:pStyle w:val="14"/>
        <w:tabs>
          <w:tab w:val="left" w:pos="780"/>
        </w:tabs>
        <w:spacing w:afterLines="0" w:line="360" w:lineRule="auto"/>
        <w:ind w:left="0" w:firstLine="0"/>
        <w:rPr>
          <w:rFonts w:ascii="宋体" w:hAnsi="宋体" w:cs="宋体"/>
          <w:color w:val="auto"/>
          <w:highlight w:val="none"/>
        </w:rPr>
      </w:pPr>
      <w:r>
        <w:rPr>
          <w:rFonts w:hint="eastAsia" w:ascii="宋体" w:hAnsi="宋体" w:cs="宋体"/>
          <w:b/>
          <w:color w:val="auto"/>
          <w:highlight w:val="none"/>
        </w:rPr>
        <w:t>3.付款方式：</w:t>
      </w:r>
      <w:r>
        <w:rPr>
          <w:rFonts w:hint="eastAsia" w:ascii="宋体" w:hAnsi="宋体" w:cs="宋体"/>
          <w:color w:val="auto"/>
          <w:highlight w:val="none"/>
        </w:rPr>
        <w:t>按标项内具体要求执行。</w:t>
      </w:r>
    </w:p>
    <w:p>
      <w:pPr>
        <w:tabs>
          <w:tab w:val="left" w:pos="7950"/>
        </w:tabs>
        <w:spacing w:line="360" w:lineRule="auto"/>
        <w:jc w:val="left"/>
        <w:rPr>
          <w:rFonts w:ascii="宋体" w:hAnsi="宋体" w:cs="宋体"/>
          <w:b/>
          <w:color w:val="auto"/>
          <w:sz w:val="24"/>
          <w:highlight w:val="none"/>
        </w:rPr>
      </w:pPr>
      <w:r>
        <w:rPr>
          <w:rFonts w:hint="eastAsia" w:ascii="宋体" w:hAnsi="宋体" w:cs="宋体"/>
          <w:b/>
          <w:color w:val="auto"/>
          <w:sz w:val="24"/>
          <w:highlight w:val="none"/>
        </w:rPr>
        <w:t>4.合同修改</w:t>
      </w:r>
    </w:p>
    <w:p>
      <w:pPr>
        <w:pStyle w:val="14"/>
        <w:tabs>
          <w:tab w:val="left" w:pos="780"/>
        </w:tabs>
        <w:spacing w:afterLines="0" w:line="360" w:lineRule="auto"/>
        <w:ind w:left="0" w:firstLine="0"/>
        <w:contextualSpacing/>
        <w:rPr>
          <w:rFonts w:hint="eastAsia" w:ascii="宋体" w:hAnsi="宋体" w:cs="宋体"/>
          <w:color w:val="auto"/>
          <w:highlight w:val="none"/>
        </w:rPr>
      </w:pPr>
      <w:r>
        <w:rPr>
          <w:rFonts w:hint="eastAsia" w:ascii="宋体" w:hAnsi="宋体" w:cs="宋体"/>
          <w:color w:val="auto"/>
          <w:highlight w:val="none"/>
        </w:rPr>
        <w:t>4.1双方的任何一方对合同内容提出修改，均应以书面形式通知对方，并达成由双方签署的合同修改书，须报管理部门批准。</w:t>
      </w:r>
    </w:p>
    <w:p>
      <w:pPr>
        <w:pStyle w:val="14"/>
        <w:tabs>
          <w:tab w:val="left" w:pos="780"/>
        </w:tabs>
        <w:spacing w:afterLines="0" w:line="360" w:lineRule="auto"/>
        <w:ind w:left="142" w:hanging="142"/>
        <w:rPr>
          <w:rFonts w:ascii="宋体" w:hAnsi="宋体" w:cs="宋体"/>
          <w:color w:val="auto"/>
          <w:highlight w:val="none"/>
        </w:rPr>
      </w:pPr>
      <w:r>
        <w:rPr>
          <w:rFonts w:hint="eastAsia" w:ascii="宋体" w:hAnsi="宋体" w:cs="宋体"/>
          <w:color w:val="auto"/>
          <w:highlight w:val="none"/>
        </w:rPr>
        <w:t>4.2除非甲方对产品的品牌、型号规格和涉及价格因素的技术参数提出修改，乙方不得对合同价格提出修改要求。</w:t>
      </w:r>
    </w:p>
    <w:p>
      <w:pPr>
        <w:snapToGrid w:val="0"/>
        <w:spacing w:line="360" w:lineRule="auto"/>
        <w:jc w:val="left"/>
        <w:rPr>
          <w:rFonts w:ascii="宋体" w:hAnsi="宋体"/>
          <w:b/>
          <w:color w:val="auto"/>
          <w:sz w:val="24"/>
          <w:highlight w:val="none"/>
        </w:rPr>
      </w:pPr>
      <w:r>
        <w:rPr>
          <w:rFonts w:hint="eastAsia" w:ascii="宋体" w:hAnsi="宋体"/>
          <w:b/>
          <w:color w:val="auto"/>
          <w:sz w:val="24"/>
          <w:highlight w:val="none"/>
        </w:rPr>
        <w:t>5.商品包装和快递包装要求</w:t>
      </w:r>
    </w:p>
    <w:p>
      <w:pPr>
        <w:snapToGrid w:val="0"/>
        <w:spacing w:line="360" w:lineRule="auto"/>
        <w:ind w:firstLine="482" w:firstLineChars="200"/>
        <w:jc w:val="left"/>
        <w:rPr>
          <w:rFonts w:ascii="宋体" w:hAnsi="宋体"/>
          <w:b/>
          <w:color w:val="auto"/>
          <w:sz w:val="24"/>
          <w:highlight w:val="none"/>
        </w:rPr>
      </w:pPr>
      <w:r>
        <w:rPr>
          <w:rFonts w:hint="eastAsia" w:ascii="宋体" w:hAnsi="宋体"/>
          <w:b/>
          <w:color w:val="auto"/>
          <w:sz w:val="24"/>
          <w:highlight w:val="none"/>
        </w:rPr>
        <w:t>本次项目采购所涉及的商品包装和快递包装要求均应符合《关于印发《商品包装政府采购需求标准（试行）》、 《快递包装政府采购需求标准（试行）》的通知》（财办库〔2020〕123号）文件要求，必要时由采购人在履约验收环节要求供应商出具检测报告。</w:t>
      </w:r>
    </w:p>
    <w:p>
      <w:pPr>
        <w:snapToGrid w:val="0"/>
        <w:spacing w:line="360" w:lineRule="auto"/>
        <w:jc w:val="left"/>
        <w:rPr>
          <w:rFonts w:ascii="宋体" w:hAnsi="宋体"/>
          <w:b/>
          <w:color w:val="auto"/>
          <w:sz w:val="24"/>
          <w:highlight w:val="none"/>
        </w:rPr>
      </w:pPr>
      <w:r>
        <w:rPr>
          <w:rFonts w:hint="eastAsia" w:ascii="宋体" w:hAnsi="宋体"/>
          <w:b/>
          <w:color w:val="auto"/>
          <w:sz w:val="24"/>
          <w:highlight w:val="none"/>
        </w:rPr>
        <w:t>6. 质量标准和验收</w:t>
      </w:r>
    </w:p>
    <w:p>
      <w:pPr>
        <w:snapToGrid w:val="0"/>
        <w:spacing w:line="360" w:lineRule="auto"/>
        <w:jc w:val="left"/>
        <w:rPr>
          <w:rFonts w:ascii="宋体" w:hAnsi="宋体"/>
          <w:color w:val="auto"/>
          <w:sz w:val="24"/>
          <w:highlight w:val="none"/>
        </w:rPr>
      </w:pPr>
      <w:r>
        <w:rPr>
          <w:rFonts w:hint="eastAsia" w:ascii="宋体" w:hAnsi="宋体"/>
          <w:color w:val="auto"/>
          <w:sz w:val="24"/>
          <w:highlight w:val="none"/>
        </w:rPr>
        <w:t>6.1中标人提供的产品及服务必须是经合法途径取得的。</w:t>
      </w:r>
    </w:p>
    <w:p>
      <w:pPr>
        <w:snapToGrid w:val="0"/>
        <w:spacing w:line="360" w:lineRule="auto"/>
        <w:jc w:val="left"/>
        <w:rPr>
          <w:rFonts w:ascii="宋体" w:hAnsi="宋体"/>
          <w:color w:val="auto"/>
          <w:sz w:val="24"/>
          <w:highlight w:val="none"/>
        </w:rPr>
      </w:pPr>
      <w:r>
        <w:rPr>
          <w:rFonts w:hint="eastAsia" w:ascii="宋体" w:hAnsi="宋体"/>
          <w:color w:val="auto"/>
          <w:sz w:val="24"/>
          <w:highlight w:val="none"/>
        </w:rPr>
        <w:t>6.2中标人应按现行的国家或行业技术及验收标准和招标文件的规定提供工程、货物或服务，因中标人提供的工程、货物或服务达不到约定的质量标准，中标人承担违约责任。</w:t>
      </w:r>
    </w:p>
    <w:p>
      <w:pPr>
        <w:snapToGrid w:val="0"/>
        <w:spacing w:line="360" w:lineRule="auto"/>
        <w:jc w:val="left"/>
        <w:rPr>
          <w:rFonts w:ascii="宋体" w:hAnsi="宋体"/>
          <w:color w:val="auto"/>
          <w:sz w:val="24"/>
          <w:highlight w:val="none"/>
        </w:rPr>
      </w:pPr>
      <w:r>
        <w:rPr>
          <w:rFonts w:hint="eastAsia" w:ascii="宋体" w:hAnsi="宋体"/>
          <w:color w:val="auto"/>
          <w:sz w:val="24"/>
          <w:highlight w:val="none"/>
        </w:rPr>
        <w:t>6.3验收由使用单位按规定组织相关人员或专家进行。发现货物的数量、质量、规格与招标文件不符，或者在质量保证期内，证实货物存在缺陷，包括潜在的缺陷或使用不符合要求的材料等，使用单位以书面形式通知中标人，中标人在收到通知后应在使用单位指定时间内免费维修或更换有缺陷的货物。如果中标人在指定时间内未弥补缺陷，使用单位可采取必要的补救措施，但由此引发的所有费用由中标人承担。</w:t>
      </w:r>
    </w:p>
    <w:p>
      <w:pPr>
        <w:spacing w:line="360" w:lineRule="auto"/>
        <w:ind w:hanging="2"/>
        <w:jc w:val="left"/>
        <w:rPr>
          <w:rFonts w:hint="eastAsia" w:ascii="宋体" w:hAnsi="宋体"/>
          <w:color w:val="auto"/>
          <w:sz w:val="24"/>
          <w:highlight w:val="none"/>
        </w:rPr>
      </w:pPr>
      <w:r>
        <w:rPr>
          <w:rFonts w:hint="eastAsia" w:ascii="宋体" w:hAnsi="宋体"/>
          <w:color w:val="auto"/>
          <w:sz w:val="24"/>
          <w:highlight w:val="none"/>
        </w:rPr>
        <w:t>6.4中标人</w:t>
      </w:r>
      <w:r>
        <w:rPr>
          <w:rFonts w:hint="eastAsia" w:ascii="宋体" w:hAnsi="宋体" w:cs="宋体"/>
          <w:color w:val="auto"/>
          <w:kern w:val="0"/>
          <w:sz w:val="24"/>
          <w:highlight w:val="none"/>
        </w:rPr>
        <w:t>提供的货物如侵犯了第三方合法权益而引发的任何纠纷或诉讼，均由</w:t>
      </w:r>
      <w:r>
        <w:rPr>
          <w:rFonts w:hint="eastAsia" w:ascii="宋体" w:hAnsi="宋体"/>
          <w:color w:val="auto"/>
          <w:sz w:val="24"/>
          <w:highlight w:val="none"/>
        </w:rPr>
        <w:t>中标人</w:t>
      </w:r>
      <w:r>
        <w:rPr>
          <w:rFonts w:hint="eastAsia" w:ascii="宋体" w:hAnsi="宋体" w:cs="宋体"/>
          <w:color w:val="auto"/>
          <w:kern w:val="0"/>
          <w:sz w:val="24"/>
          <w:highlight w:val="none"/>
        </w:rPr>
        <w:t>负责交涉并承担全部责任。</w:t>
      </w:r>
    </w:p>
    <w:p>
      <w:pPr>
        <w:spacing w:line="360" w:lineRule="auto"/>
        <w:ind w:hanging="2"/>
        <w:jc w:val="left"/>
        <w:rPr>
          <w:rFonts w:hint="eastAsia" w:ascii="宋体" w:hAnsi="宋体"/>
          <w:color w:val="auto"/>
          <w:sz w:val="24"/>
          <w:highlight w:val="none"/>
        </w:rPr>
      </w:pPr>
      <w:r>
        <w:rPr>
          <w:rFonts w:hint="eastAsia" w:ascii="宋体" w:hAnsi="宋体"/>
          <w:color w:val="auto"/>
          <w:sz w:val="24"/>
          <w:highlight w:val="none"/>
        </w:rPr>
        <w:t>6.5中标人提供给招标单位的货物应通过货物制造商的出厂检验、并提供质量合格证书。因中标人提供的货物达不到约定的质量标准，中标人应更换至约定的质量标准，并承担违约责任。</w:t>
      </w:r>
    </w:p>
    <w:p>
      <w:pPr>
        <w:spacing w:line="360" w:lineRule="auto"/>
        <w:ind w:hanging="2"/>
        <w:jc w:val="left"/>
        <w:rPr>
          <w:rFonts w:hint="eastAsia" w:ascii="宋体" w:hAnsi="宋体"/>
          <w:color w:val="auto"/>
          <w:sz w:val="24"/>
          <w:highlight w:val="none"/>
        </w:rPr>
      </w:pPr>
      <w:r>
        <w:rPr>
          <w:rFonts w:hint="eastAsia" w:ascii="宋体" w:hAnsi="宋体"/>
          <w:color w:val="auto"/>
          <w:sz w:val="24"/>
          <w:highlight w:val="none"/>
        </w:rPr>
        <w:t>6.6因包装、运输引起的货物损坏，中标人应及时更换。由于更换导致的逾期交付，按违约条款支付违约金。</w:t>
      </w:r>
    </w:p>
    <w:p>
      <w:pPr>
        <w:spacing w:line="360" w:lineRule="auto"/>
        <w:ind w:hanging="2"/>
        <w:jc w:val="left"/>
        <w:rPr>
          <w:rFonts w:ascii="宋体" w:hAnsi="宋体"/>
          <w:color w:val="auto"/>
          <w:sz w:val="24"/>
          <w:highlight w:val="none"/>
        </w:rPr>
      </w:pPr>
      <w:r>
        <w:rPr>
          <w:rFonts w:hint="eastAsia" w:ascii="宋体" w:hAnsi="宋体"/>
          <w:color w:val="auto"/>
          <w:sz w:val="24"/>
          <w:highlight w:val="none"/>
        </w:rPr>
        <w:t>6.7双方对工程、货物或服务的质量有争议的，由双方同意的专业检测机构鉴定，所需费及因此造成的损失由责任方承担，双方均有责任的，双方根据其责任分别承担。</w:t>
      </w:r>
    </w:p>
    <w:p>
      <w:pPr>
        <w:spacing w:line="360" w:lineRule="auto"/>
        <w:ind w:hanging="2"/>
        <w:jc w:val="left"/>
        <w:rPr>
          <w:rFonts w:ascii="宋体" w:hAnsi="宋体"/>
          <w:b/>
          <w:color w:val="auto"/>
          <w:sz w:val="24"/>
          <w:highlight w:val="none"/>
        </w:rPr>
      </w:pPr>
      <w:r>
        <w:rPr>
          <w:rFonts w:hint="eastAsia" w:ascii="宋体" w:hAnsi="宋体"/>
          <w:b/>
          <w:color w:val="auto"/>
          <w:sz w:val="24"/>
          <w:highlight w:val="none"/>
        </w:rPr>
        <w:t>7.违约责任</w:t>
      </w:r>
    </w:p>
    <w:p>
      <w:pPr>
        <w:tabs>
          <w:tab w:val="left" w:pos="1540"/>
        </w:tabs>
        <w:spacing w:line="360" w:lineRule="auto"/>
        <w:ind w:left="-2" w:leftChars="-1"/>
        <w:jc w:val="left"/>
        <w:rPr>
          <w:rFonts w:ascii="宋体" w:hAnsi="宋体"/>
          <w:color w:val="auto"/>
          <w:kern w:val="0"/>
          <w:sz w:val="24"/>
          <w:highlight w:val="none"/>
        </w:rPr>
      </w:pPr>
      <w:r>
        <w:rPr>
          <w:rFonts w:hint="eastAsia" w:ascii="宋体" w:hAnsi="宋体"/>
          <w:color w:val="auto"/>
          <w:kern w:val="0"/>
          <w:sz w:val="24"/>
          <w:highlight w:val="none"/>
        </w:rPr>
        <w:t>7.1提供的货物和服务质量必须达到合格，凡安装调试、设备试运转过程中发现的设备质量问题，中标人必须无偿返工直至符合质量要求，承担返工所发生的一切费用和招标人的直接经济损失。</w:t>
      </w:r>
    </w:p>
    <w:p>
      <w:pPr>
        <w:tabs>
          <w:tab w:val="left" w:pos="1540"/>
        </w:tabs>
        <w:spacing w:line="360" w:lineRule="auto"/>
        <w:ind w:left="-2" w:leftChars="-1"/>
        <w:jc w:val="left"/>
        <w:rPr>
          <w:rFonts w:ascii="宋体" w:hAnsi="宋体"/>
          <w:color w:val="auto"/>
          <w:kern w:val="0"/>
          <w:sz w:val="24"/>
          <w:highlight w:val="none"/>
        </w:rPr>
      </w:pPr>
      <w:r>
        <w:rPr>
          <w:rFonts w:hint="eastAsia" w:ascii="宋体" w:hAnsi="宋体"/>
          <w:color w:val="auto"/>
          <w:kern w:val="0"/>
          <w:sz w:val="24"/>
          <w:highlight w:val="none"/>
        </w:rPr>
        <w:t>7.2由于采购人保管不善或使用不当造成设备短缺、故障或损坏，中标人协助采购人及时给予补齐或修复。</w:t>
      </w:r>
    </w:p>
    <w:p>
      <w:pPr>
        <w:tabs>
          <w:tab w:val="left" w:pos="1560"/>
        </w:tabs>
        <w:spacing w:line="360" w:lineRule="auto"/>
        <w:ind w:left="-2" w:leftChars="-1"/>
        <w:jc w:val="left"/>
        <w:rPr>
          <w:rFonts w:ascii="宋体" w:hAnsi="宋体"/>
          <w:b/>
          <w:color w:val="auto"/>
          <w:kern w:val="0"/>
          <w:sz w:val="24"/>
          <w:highlight w:val="none"/>
        </w:rPr>
      </w:pPr>
      <w:r>
        <w:rPr>
          <w:rFonts w:hint="eastAsia" w:ascii="宋体" w:hAnsi="宋体"/>
          <w:b/>
          <w:color w:val="auto"/>
          <w:kern w:val="0"/>
          <w:sz w:val="24"/>
          <w:highlight w:val="none"/>
        </w:rPr>
        <w:t>8．违约赔偿</w:t>
      </w:r>
    </w:p>
    <w:p>
      <w:pPr>
        <w:spacing w:line="360" w:lineRule="auto"/>
        <w:rPr>
          <w:rFonts w:ascii="宋体" w:hAnsi="宋体"/>
          <w:color w:val="auto"/>
          <w:sz w:val="24"/>
          <w:highlight w:val="none"/>
        </w:rPr>
      </w:pPr>
      <w:r>
        <w:rPr>
          <w:rFonts w:hint="eastAsia" w:ascii="宋体" w:hAnsi="宋体"/>
          <w:color w:val="auto"/>
          <w:sz w:val="24"/>
          <w:highlight w:val="none"/>
        </w:rPr>
        <w:t>8.1除不可抗力外，如中标人发生不能按期完成供货任务，采购人发生中途变更等情况，应及时以书面形式通知对方。双方应本着友好的态度进行协商，妥善解决。如协商无效，按规定处以违约金。</w:t>
      </w:r>
    </w:p>
    <w:p>
      <w:pPr>
        <w:tabs>
          <w:tab w:val="left" w:pos="3870"/>
          <w:tab w:val="left" w:pos="4085"/>
        </w:tabs>
        <w:snapToGrid w:val="0"/>
        <w:spacing w:line="360" w:lineRule="auto"/>
        <w:jc w:val="left"/>
        <w:rPr>
          <w:rFonts w:ascii="宋体" w:hAnsi="宋体"/>
          <w:color w:val="auto"/>
          <w:sz w:val="24"/>
          <w:highlight w:val="none"/>
        </w:rPr>
      </w:pPr>
      <w:r>
        <w:rPr>
          <w:rFonts w:hint="eastAsia" w:ascii="宋体" w:hAnsi="宋体"/>
          <w:color w:val="auto"/>
          <w:kern w:val="0"/>
          <w:sz w:val="24"/>
          <w:highlight w:val="none"/>
        </w:rPr>
        <w:t xml:space="preserve">8.2 </w:t>
      </w:r>
      <w:r>
        <w:rPr>
          <w:rFonts w:hint="eastAsia" w:ascii="宋体" w:hAnsi="宋体"/>
          <w:color w:val="auto"/>
          <w:sz w:val="24"/>
          <w:highlight w:val="none"/>
        </w:rPr>
        <w:t>中标人和采购人签订合同，按合同规定的供货时间供货并安装调试完毕。逾期每推迟一天，扣中标价0.1%的滞纳金给采购人。</w:t>
      </w:r>
    </w:p>
    <w:p>
      <w:pPr>
        <w:snapToGrid w:val="0"/>
        <w:spacing w:line="360" w:lineRule="auto"/>
        <w:jc w:val="left"/>
        <w:rPr>
          <w:rFonts w:ascii="宋体" w:hAnsi="宋体"/>
          <w:color w:val="auto"/>
          <w:sz w:val="24"/>
          <w:highlight w:val="none"/>
        </w:rPr>
      </w:pPr>
      <w:r>
        <w:rPr>
          <w:rFonts w:hint="eastAsia" w:ascii="宋体" w:hAnsi="宋体"/>
          <w:color w:val="auto"/>
          <w:sz w:val="24"/>
          <w:highlight w:val="none"/>
        </w:rPr>
        <w:t>8.3采购人在规定时间无正当理由拒签合同者，以招标违约处理，并赔偿中标人由此造成的直接经济损失。</w:t>
      </w:r>
    </w:p>
    <w:p>
      <w:pPr>
        <w:spacing w:line="360" w:lineRule="auto"/>
        <w:jc w:val="left"/>
        <w:rPr>
          <w:rFonts w:ascii="宋体" w:hAnsi="宋体"/>
          <w:b/>
          <w:color w:val="auto"/>
          <w:sz w:val="24"/>
          <w:highlight w:val="none"/>
        </w:rPr>
      </w:pPr>
      <w:r>
        <w:rPr>
          <w:rFonts w:hint="eastAsia" w:ascii="宋体" w:hAnsi="宋体"/>
          <w:b/>
          <w:color w:val="auto"/>
          <w:sz w:val="24"/>
          <w:highlight w:val="none"/>
        </w:rPr>
        <w:t>9.不可抗力</w:t>
      </w:r>
    </w:p>
    <w:p>
      <w:pPr>
        <w:spacing w:line="360" w:lineRule="auto"/>
        <w:jc w:val="left"/>
        <w:rPr>
          <w:rFonts w:ascii="宋体" w:hAnsi="宋体"/>
          <w:color w:val="auto"/>
          <w:kern w:val="0"/>
          <w:sz w:val="24"/>
          <w:highlight w:val="none"/>
        </w:rPr>
      </w:pPr>
      <w:r>
        <w:rPr>
          <w:rFonts w:hint="eastAsia" w:ascii="宋体" w:hAnsi="宋体"/>
          <w:color w:val="auto"/>
          <w:kern w:val="0"/>
          <w:sz w:val="24"/>
          <w:highlight w:val="none"/>
        </w:rPr>
        <w:t>9.1如果双方中任何一方由于战争、严重火灾、水灾、台风和地震以及其它经双方同意属于不可抗力的事故，致使合同履行受阻时，履行合同的期限应予延长，延长的期限应相当于事故所影响的时间。</w:t>
      </w:r>
    </w:p>
    <w:p>
      <w:pPr>
        <w:spacing w:line="360" w:lineRule="auto"/>
        <w:jc w:val="left"/>
        <w:rPr>
          <w:rFonts w:ascii="宋体" w:hAnsi="宋体"/>
          <w:color w:val="auto"/>
          <w:kern w:val="0"/>
          <w:sz w:val="24"/>
          <w:highlight w:val="none"/>
        </w:rPr>
      </w:pPr>
      <w:r>
        <w:rPr>
          <w:rFonts w:hint="eastAsia" w:ascii="宋体" w:hAnsi="宋体"/>
          <w:color w:val="auto"/>
          <w:kern w:val="0"/>
          <w:sz w:val="24"/>
          <w:highlight w:val="none"/>
        </w:rPr>
        <w:t>9.2受事故影响的一方应在不可抗力的事故发生后尽快以电报或电传通知另一方，并在事故发生后14天内，将有关部门出具的证明文件用挂号信航寄给或送给另一方。如果不可抗力影响时间延续120天以上的， 双方应通过友好协商在合理的时间内达成进一步履行合同的协议。</w:t>
      </w:r>
    </w:p>
    <w:p>
      <w:pPr>
        <w:spacing w:line="360" w:lineRule="auto"/>
        <w:jc w:val="left"/>
        <w:rPr>
          <w:rFonts w:ascii="宋体" w:hAnsi="宋体"/>
          <w:b/>
          <w:color w:val="auto"/>
          <w:sz w:val="24"/>
          <w:highlight w:val="none"/>
        </w:rPr>
      </w:pPr>
      <w:r>
        <w:rPr>
          <w:rFonts w:hint="eastAsia" w:ascii="宋体" w:hAnsi="宋体"/>
          <w:b/>
          <w:color w:val="auto"/>
          <w:sz w:val="24"/>
          <w:highlight w:val="none"/>
        </w:rPr>
        <w:t>10.解决合同纠纷的方式</w:t>
      </w:r>
    </w:p>
    <w:p>
      <w:pPr>
        <w:spacing w:line="360" w:lineRule="auto"/>
        <w:jc w:val="left"/>
        <w:rPr>
          <w:rFonts w:hint="eastAsia" w:ascii="宋体" w:hAnsi="宋体"/>
          <w:color w:val="auto"/>
          <w:kern w:val="0"/>
          <w:sz w:val="24"/>
          <w:highlight w:val="none"/>
        </w:rPr>
      </w:pPr>
      <w:r>
        <w:rPr>
          <w:rFonts w:hint="eastAsia" w:ascii="宋体" w:hAnsi="宋体"/>
          <w:color w:val="auto"/>
          <w:kern w:val="0"/>
          <w:sz w:val="24"/>
          <w:highlight w:val="none"/>
        </w:rPr>
        <w:t>10.1凡有关本合同或与本合同中发生的争端，双方应通过友好协商，妥善解决。如通过协商仍不能解决时，可选择向项目所在地人民法院申请诉讼。</w:t>
      </w:r>
    </w:p>
    <w:p>
      <w:pPr>
        <w:spacing w:line="360" w:lineRule="auto"/>
        <w:jc w:val="left"/>
        <w:rPr>
          <w:rFonts w:hint="eastAsia" w:ascii="宋体" w:hAnsi="宋体"/>
          <w:color w:val="auto"/>
          <w:kern w:val="0"/>
          <w:sz w:val="24"/>
          <w:highlight w:val="none"/>
        </w:rPr>
      </w:pPr>
      <w:r>
        <w:rPr>
          <w:rFonts w:hint="eastAsia" w:ascii="宋体" w:hAnsi="宋体"/>
          <w:color w:val="auto"/>
          <w:kern w:val="0"/>
          <w:sz w:val="24"/>
          <w:highlight w:val="none"/>
        </w:rPr>
        <w:t>10.2诉讼费用除人民法院另有裁决外，由败诉方承担。</w:t>
      </w:r>
    </w:p>
    <w:p>
      <w:pPr>
        <w:spacing w:line="360" w:lineRule="auto"/>
        <w:jc w:val="left"/>
        <w:rPr>
          <w:rFonts w:hint="eastAsia" w:ascii="宋体" w:hAnsi="宋体"/>
          <w:color w:val="auto"/>
          <w:kern w:val="0"/>
          <w:sz w:val="24"/>
          <w:highlight w:val="none"/>
        </w:rPr>
      </w:pPr>
      <w:r>
        <w:rPr>
          <w:rFonts w:hint="eastAsia" w:ascii="宋体" w:hAnsi="宋体"/>
          <w:color w:val="auto"/>
          <w:kern w:val="0"/>
          <w:sz w:val="24"/>
          <w:highlight w:val="none"/>
        </w:rPr>
        <w:t>10.3在诉讼期间，除正在进行裁定的部分外，本合同其他部分应继续执行。</w:t>
      </w:r>
    </w:p>
    <w:p>
      <w:pPr>
        <w:spacing w:line="360" w:lineRule="auto"/>
        <w:jc w:val="left"/>
        <w:rPr>
          <w:rFonts w:ascii="宋体" w:hAnsi="宋体"/>
          <w:color w:val="auto"/>
          <w:kern w:val="0"/>
          <w:sz w:val="24"/>
          <w:highlight w:val="none"/>
        </w:rPr>
      </w:pPr>
      <w:r>
        <w:rPr>
          <w:rFonts w:hint="eastAsia" w:ascii="宋体" w:hAnsi="宋体"/>
          <w:color w:val="auto"/>
          <w:kern w:val="0"/>
          <w:sz w:val="24"/>
          <w:highlight w:val="none"/>
        </w:rPr>
        <w:t>10.4合同应在双方签字盖章后开始生效。</w:t>
      </w:r>
    </w:p>
    <w:p>
      <w:pPr>
        <w:tabs>
          <w:tab w:val="left" w:pos="4830"/>
        </w:tabs>
        <w:spacing w:line="360" w:lineRule="auto"/>
        <w:jc w:val="left"/>
        <w:rPr>
          <w:rFonts w:hAnsi="宋体"/>
          <w:b/>
          <w:color w:val="auto"/>
          <w:sz w:val="36"/>
          <w:szCs w:val="36"/>
          <w:highlight w:val="none"/>
        </w:rPr>
      </w:pPr>
      <w:r>
        <w:rPr>
          <w:rFonts w:hint="eastAsia" w:ascii="宋体" w:hAnsi="宋体"/>
          <w:color w:val="auto"/>
          <w:sz w:val="24"/>
          <w:highlight w:val="none"/>
        </w:rPr>
        <w:t>（注：在正式签约时，根据上述精神应拟就更为详尽的合同书）</w:t>
      </w:r>
    </w:p>
    <w:p>
      <w:pPr>
        <w:shd w:val="clear" w:color="auto" w:fill="FFFFFF"/>
        <w:spacing w:line="440" w:lineRule="exact"/>
        <w:ind w:firstLine="420"/>
        <w:jc w:val="left"/>
        <w:rPr>
          <w:rFonts w:ascii="宋体" w:hAnsi="宋体"/>
          <w:color w:val="auto"/>
          <w:szCs w:val="21"/>
          <w:highlight w:val="none"/>
        </w:rPr>
      </w:pPr>
      <w:r>
        <w:rPr>
          <w:rFonts w:eastAsia="仿宋_GB2312"/>
          <w:color w:val="auto"/>
          <w:szCs w:val="21"/>
          <w:highlight w:val="none"/>
        </w:rPr>
        <w:br w:type="page"/>
      </w:r>
    </w:p>
    <w:bookmarkEnd w:id="254"/>
    <w:p>
      <w:pPr>
        <w:pStyle w:val="4"/>
        <w:jc w:val="center"/>
        <w:rPr>
          <w:color w:val="auto"/>
          <w:highlight w:val="none"/>
        </w:rPr>
      </w:pPr>
      <w:r>
        <w:rPr>
          <w:rFonts w:hint="eastAsia"/>
          <w:color w:val="auto"/>
          <w:highlight w:val="none"/>
        </w:rPr>
        <w:t>第五章  工程量清单</w:t>
      </w:r>
    </w:p>
    <w:p>
      <w:pPr>
        <w:shd w:val="clear" w:color="auto" w:fill="FFFFFF"/>
        <w:spacing w:line="400" w:lineRule="exact"/>
        <w:ind w:firstLine="420" w:firstLineChars="200"/>
        <w:jc w:val="center"/>
        <w:rPr>
          <w:rFonts w:ascii="黑体" w:eastAsia="黑体"/>
          <w:color w:val="auto"/>
          <w:szCs w:val="21"/>
          <w:highlight w:val="none"/>
        </w:rPr>
      </w:pPr>
    </w:p>
    <w:p>
      <w:pPr>
        <w:jc w:val="center"/>
        <w:rPr>
          <w:color w:val="auto"/>
          <w:highlight w:val="none"/>
        </w:rPr>
      </w:pPr>
      <w:r>
        <w:rPr>
          <w:rFonts w:hint="eastAsia"/>
          <w:color w:val="auto"/>
          <w:highlight w:val="none"/>
        </w:rPr>
        <w:t>略</w:t>
      </w:r>
    </w:p>
    <w:p>
      <w:pPr>
        <w:pStyle w:val="69"/>
        <w:rPr>
          <w:color w:val="auto"/>
          <w:highlight w:val="none"/>
        </w:rPr>
      </w:pPr>
    </w:p>
    <w:p>
      <w:pPr>
        <w:rPr>
          <w:color w:val="auto"/>
          <w:highlight w:val="none"/>
        </w:rPr>
      </w:pPr>
    </w:p>
    <w:p>
      <w:pPr>
        <w:pStyle w:val="4"/>
        <w:jc w:val="center"/>
        <w:rPr>
          <w:color w:val="auto"/>
          <w:highlight w:val="none"/>
        </w:rPr>
      </w:pPr>
      <w:r>
        <w:rPr>
          <w:rFonts w:hint="eastAsia"/>
          <w:color w:val="auto"/>
          <w:highlight w:val="none"/>
        </w:rPr>
        <w:t>第六章  图  纸</w:t>
      </w:r>
    </w:p>
    <w:p>
      <w:pPr>
        <w:shd w:val="clear" w:color="auto" w:fill="FFFFFF"/>
        <w:ind w:firstLine="420" w:firstLineChars="200"/>
        <w:rPr>
          <w:rFonts w:ascii="黑体" w:eastAsia="黑体"/>
          <w:color w:val="auto"/>
          <w:szCs w:val="21"/>
          <w:highlight w:val="none"/>
        </w:rPr>
      </w:pPr>
      <w:r>
        <w:rPr>
          <w:rFonts w:hint="eastAsia" w:ascii="黑体" w:eastAsia="黑体"/>
          <w:color w:val="auto"/>
          <w:szCs w:val="21"/>
          <w:highlight w:val="none"/>
        </w:rPr>
        <w:t>（经施工图审查合格后的图纸。略）</w:t>
      </w:r>
    </w:p>
    <w:p>
      <w:pPr>
        <w:shd w:val="clear" w:color="auto" w:fill="FFFFFF"/>
        <w:ind w:firstLine="880" w:firstLineChars="200"/>
        <w:rPr>
          <w:rFonts w:ascii="黑体" w:eastAsia="黑体"/>
          <w:color w:val="auto"/>
          <w:sz w:val="44"/>
          <w:szCs w:val="44"/>
          <w:highlight w:val="none"/>
        </w:rPr>
      </w:pPr>
    </w:p>
    <w:p>
      <w:pPr>
        <w:pStyle w:val="4"/>
        <w:keepNext/>
        <w:keepLines/>
        <w:pageBreakBefore w:val="0"/>
        <w:widowControl w:val="0"/>
        <w:kinsoku/>
        <w:wordWrap/>
        <w:overflowPunct/>
        <w:topLinePunct w:val="0"/>
        <w:autoSpaceDE/>
        <w:autoSpaceDN/>
        <w:bidi w:val="0"/>
        <w:adjustRightInd/>
        <w:snapToGrid/>
        <w:spacing w:before="100" w:after="90" w:line="360" w:lineRule="auto"/>
        <w:jc w:val="center"/>
        <w:textAlignment w:val="auto"/>
        <w:rPr>
          <w:rFonts w:ascii="黑体" w:eastAsia="黑体"/>
          <w:color w:val="auto"/>
          <w:sz w:val="32"/>
          <w:szCs w:val="32"/>
          <w:highlight w:val="none"/>
        </w:rPr>
      </w:pPr>
      <w:r>
        <w:rPr>
          <w:rFonts w:ascii="黑体" w:eastAsia="黑体"/>
          <w:color w:val="auto"/>
          <w:highlight w:val="none"/>
        </w:rPr>
        <w:br w:type="page"/>
      </w:r>
      <w:r>
        <w:rPr>
          <w:rFonts w:hint="eastAsia" w:ascii="黑体" w:eastAsia="黑体"/>
          <w:color w:val="auto"/>
          <w:sz w:val="32"/>
          <w:szCs w:val="32"/>
          <w:highlight w:val="none"/>
        </w:rPr>
        <w:t>第七章  技术标准和要求</w:t>
      </w:r>
    </w:p>
    <w:p>
      <w:pPr>
        <w:tabs>
          <w:tab w:val="left" w:pos="1365"/>
        </w:tabs>
        <w:spacing w:line="360" w:lineRule="auto"/>
        <w:rPr>
          <w:rFonts w:ascii="宋体" w:hAnsi="宋体"/>
          <w:b/>
          <w:bCs/>
          <w:color w:val="auto"/>
          <w:sz w:val="24"/>
          <w:highlight w:val="none"/>
        </w:rPr>
      </w:pPr>
      <w:r>
        <w:rPr>
          <w:rFonts w:hint="eastAsia" w:ascii="宋体" w:hAnsi="宋体"/>
          <w:b/>
          <w:bCs/>
          <w:color w:val="auto"/>
          <w:sz w:val="24"/>
          <w:highlight w:val="none"/>
        </w:rPr>
        <w:t>一、项目概况</w:t>
      </w:r>
    </w:p>
    <w:p>
      <w:pPr>
        <w:pStyle w:val="507"/>
        <w:widowControl w:val="0"/>
        <w:spacing w:line="400" w:lineRule="exact"/>
        <w:ind w:firstLine="480"/>
        <w:rPr>
          <w:rFonts w:hint="eastAsia" w:ascii="宋体" w:hAnsi="宋体"/>
          <w:color w:val="auto"/>
          <w:kern w:val="2"/>
          <w:sz w:val="24"/>
          <w:szCs w:val="24"/>
          <w:highlight w:val="none"/>
        </w:rPr>
      </w:pPr>
      <w:r>
        <w:rPr>
          <w:rFonts w:hint="eastAsia" w:ascii="宋体" w:hAnsi="宋体"/>
          <w:color w:val="auto"/>
          <w:kern w:val="2"/>
          <w:sz w:val="24"/>
          <w:szCs w:val="24"/>
          <w:highlight w:val="none"/>
        </w:rPr>
        <w:t>车辆超限运输严重破坏了公路设施，对公路桥梁的安全构成严重威胁，增加了公路维护费用，缩短了公路的使用寿命，同时容易引发道路交通事故。车辆超限运输会造成公路运输运价低迷，干扰运输行业的健康发展。非现场执法系统的建设可以显著地提高公路的管理水平，有效缓解交通管理执法人员的不足，保障公路桥梁和人民的生命财产安全。</w:t>
      </w:r>
    </w:p>
    <w:p>
      <w:pPr>
        <w:tabs>
          <w:tab w:val="left" w:pos="1365"/>
        </w:tabs>
        <w:spacing w:line="360" w:lineRule="auto"/>
        <w:ind w:firstLine="480" w:firstLineChars="200"/>
        <w:rPr>
          <w:rFonts w:ascii="宋体" w:hAnsi="宋体"/>
          <w:color w:val="auto"/>
          <w:sz w:val="24"/>
          <w:highlight w:val="none"/>
        </w:rPr>
      </w:pPr>
      <w:r>
        <w:rPr>
          <w:rFonts w:hint="eastAsia" w:ascii="宋体" w:hAnsi="宋体"/>
          <w:color w:val="auto"/>
          <w:sz w:val="24"/>
          <w:highlight w:val="none"/>
        </w:rPr>
        <w:t>329国道原K47+670上虞方向和原K47+750柯桥方向的机动车道内设置治超非现场执法电子检测系统。因329国道智慧快速路的建设，以上两处点位的非现场执法电子检测系统须进行移位。经多方现场踏勘商定，将以上监控系统移位至329国道K267+280（对应《329国道智慧快速路改造工程（湖安路至越兴路）》项目设计桩号K15+380），快速路主线全断面设置。</w:t>
      </w:r>
    </w:p>
    <w:p>
      <w:pPr>
        <w:pStyle w:val="178"/>
        <w:widowControl w:val="0"/>
        <w:snapToGrid/>
        <w:spacing w:afterLines="0" w:line="360" w:lineRule="auto"/>
        <w:ind w:firstLine="0" w:firstLineChars="0"/>
        <w:rPr>
          <w:rFonts w:ascii="宋体" w:hAnsi="宋体"/>
          <w:b/>
          <w:color w:val="auto"/>
          <w:szCs w:val="24"/>
          <w:highlight w:val="none"/>
        </w:rPr>
      </w:pPr>
      <w:r>
        <w:rPr>
          <w:rFonts w:hint="eastAsia" w:ascii="宋体" w:hAnsi="宋体"/>
          <w:b/>
          <w:color w:val="auto"/>
          <w:szCs w:val="24"/>
          <w:highlight w:val="none"/>
        </w:rPr>
        <w:t>二、范围及要求</w:t>
      </w:r>
    </w:p>
    <w:p>
      <w:pPr>
        <w:pStyle w:val="178"/>
        <w:widowControl w:val="0"/>
        <w:snapToGrid/>
        <w:spacing w:afterLines="0" w:line="400" w:lineRule="exact"/>
        <w:ind w:firstLine="0" w:firstLineChars="0"/>
        <w:rPr>
          <w:rFonts w:ascii="宋体" w:hAnsi="宋体"/>
          <w:b/>
          <w:color w:val="auto"/>
          <w:szCs w:val="24"/>
          <w:highlight w:val="none"/>
        </w:rPr>
      </w:pPr>
      <w:r>
        <w:rPr>
          <w:rFonts w:hint="eastAsia" w:ascii="宋体" w:hAnsi="宋体"/>
          <w:b/>
          <w:color w:val="auto"/>
          <w:szCs w:val="24"/>
          <w:highlight w:val="none"/>
        </w:rPr>
        <w:t>1.货物（材料）要求</w:t>
      </w:r>
    </w:p>
    <w:p>
      <w:pPr>
        <w:tabs>
          <w:tab w:val="left" w:pos="1365"/>
        </w:tabs>
        <w:spacing w:line="400" w:lineRule="exact"/>
        <w:rPr>
          <w:rFonts w:ascii="宋体" w:hAnsi="宋体"/>
          <w:color w:val="auto"/>
          <w:sz w:val="24"/>
          <w:highlight w:val="none"/>
        </w:rPr>
      </w:pPr>
      <w:r>
        <w:rPr>
          <w:rFonts w:hint="eastAsia" w:ascii="宋体" w:hAnsi="宋体"/>
          <w:color w:val="auto"/>
          <w:sz w:val="24"/>
          <w:highlight w:val="none"/>
        </w:rPr>
        <w:t>1.1投标人投标提供的货物必须是厂商生产的全新的，性能及指标符合国家及招标文件提出的有关技术、质量、安全标准。</w:t>
      </w:r>
    </w:p>
    <w:p>
      <w:pPr>
        <w:tabs>
          <w:tab w:val="left" w:pos="1365"/>
        </w:tabs>
        <w:spacing w:line="400" w:lineRule="exact"/>
        <w:rPr>
          <w:rFonts w:ascii="宋体" w:hAnsi="宋体"/>
          <w:color w:val="auto"/>
          <w:sz w:val="24"/>
          <w:highlight w:val="none"/>
        </w:rPr>
      </w:pPr>
      <w:r>
        <w:rPr>
          <w:rFonts w:hint="eastAsia" w:ascii="宋体" w:hAnsi="宋体"/>
          <w:color w:val="auto"/>
          <w:sz w:val="24"/>
          <w:highlight w:val="none"/>
        </w:rPr>
        <w:t>1.2所有货物在开箱检验时必须完好，无破损，配置与装箱单相符。数量、质量及性能不低于本技术规格书中提出的要求。</w:t>
      </w:r>
    </w:p>
    <w:p>
      <w:pPr>
        <w:tabs>
          <w:tab w:val="left" w:pos="1365"/>
        </w:tabs>
        <w:spacing w:line="400" w:lineRule="exact"/>
        <w:rPr>
          <w:rFonts w:ascii="宋体" w:hAnsi="宋体"/>
          <w:color w:val="auto"/>
          <w:sz w:val="24"/>
          <w:highlight w:val="none"/>
        </w:rPr>
      </w:pPr>
      <w:r>
        <w:rPr>
          <w:rFonts w:hint="eastAsia" w:ascii="宋体" w:hAnsi="宋体"/>
          <w:color w:val="auto"/>
          <w:sz w:val="24"/>
          <w:highlight w:val="none"/>
        </w:rPr>
        <w:t>1.3货物外观清洁，标记编号等字体清晰，明确。铭牌、使用指示、警告指示应以中文或英文及易懂的通用符号来表示；应准确无误地表明货物之型号、规格、制造厂及生产或出厂日期。</w:t>
      </w:r>
    </w:p>
    <w:p>
      <w:pPr>
        <w:tabs>
          <w:tab w:val="left" w:pos="1365"/>
        </w:tabs>
        <w:spacing w:line="400" w:lineRule="exact"/>
        <w:rPr>
          <w:rFonts w:ascii="宋体" w:hAnsi="宋体"/>
          <w:color w:val="auto"/>
          <w:sz w:val="24"/>
          <w:highlight w:val="none"/>
        </w:rPr>
      </w:pPr>
      <w:r>
        <w:rPr>
          <w:rFonts w:hint="eastAsia" w:ascii="宋体" w:hAnsi="宋体"/>
          <w:color w:val="auto"/>
          <w:sz w:val="24"/>
          <w:highlight w:val="none"/>
        </w:rPr>
        <w:t>1.4对于影响货物质量的必要组成部分，无论在技术规范中指出与否，投标人都应提供并在投标文件中明确列出。</w:t>
      </w:r>
    </w:p>
    <w:p>
      <w:pPr>
        <w:tabs>
          <w:tab w:val="left" w:pos="1365"/>
        </w:tabs>
        <w:spacing w:line="400" w:lineRule="exact"/>
        <w:rPr>
          <w:rFonts w:ascii="宋体" w:hAnsi="宋体"/>
          <w:color w:val="auto"/>
          <w:sz w:val="24"/>
          <w:highlight w:val="none"/>
        </w:rPr>
      </w:pPr>
      <w:r>
        <w:rPr>
          <w:rFonts w:hint="eastAsia" w:ascii="宋体" w:hAnsi="宋体"/>
          <w:color w:val="auto"/>
          <w:sz w:val="24"/>
          <w:highlight w:val="none"/>
        </w:rPr>
        <w:t>1.5所有货物提供出厂合格证等质量证明文件，国外生产的必须有合法的进货渠道证明，如海关报关单、原产地证明、商检证明等。</w:t>
      </w:r>
    </w:p>
    <w:p>
      <w:pPr>
        <w:tabs>
          <w:tab w:val="left" w:pos="1365"/>
        </w:tabs>
        <w:spacing w:line="400" w:lineRule="exact"/>
        <w:rPr>
          <w:rFonts w:ascii="宋体" w:hAnsi="宋体"/>
          <w:color w:val="auto"/>
          <w:sz w:val="24"/>
          <w:highlight w:val="none"/>
        </w:rPr>
      </w:pPr>
      <w:r>
        <w:rPr>
          <w:rFonts w:hint="eastAsia" w:ascii="宋体" w:hAnsi="宋体"/>
          <w:color w:val="auto"/>
          <w:sz w:val="24"/>
          <w:highlight w:val="none"/>
        </w:rPr>
        <w:t>1.6所有货物到现场安装使用前，采购人将进行抽样检验或试验。</w:t>
      </w:r>
    </w:p>
    <w:p>
      <w:pPr>
        <w:pStyle w:val="178"/>
        <w:widowControl w:val="0"/>
        <w:snapToGrid/>
        <w:spacing w:afterLines="0" w:line="400" w:lineRule="exact"/>
        <w:ind w:firstLine="0" w:firstLineChars="0"/>
        <w:rPr>
          <w:rFonts w:ascii="宋体" w:hAnsi="宋体"/>
          <w:b/>
          <w:color w:val="auto"/>
          <w:szCs w:val="24"/>
          <w:highlight w:val="none"/>
        </w:rPr>
      </w:pPr>
      <w:r>
        <w:rPr>
          <w:rFonts w:hint="eastAsia" w:ascii="宋体" w:hAnsi="宋体"/>
          <w:b/>
          <w:color w:val="auto"/>
          <w:szCs w:val="24"/>
          <w:highlight w:val="none"/>
        </w:rPr>
        <w:t>2.数量调整</w:t>
      </w:r>
    </w:p>
    <w:p>
      <w:pPr>
        <w:pStyle w:val="178"/>
        <w:widowControl w:val="0"/>
        <w:snapToGrid/>
        <w:spacing w:afterLines="0" w:line="400" w:lineRule="exact"/>
        <w:ind w:firstLine="480"/>
        <w:rPr>
          <w:rFonts w:ascii="宋体" w:hAnsi="宋体"/>
          <w:color w:val="auto"/>
          <w:szCs w:val="24"/>
          <w:highlight w:val="none"/>
        </w:rPr>
      </w:pPr>
      <w:r>
        <w:rPr>
          <w:rFonts w:hint="eastAsia" w:ascii="宋体" w:hAnsi="宋体"/>
          <w:color w:val="auto"/>
          <w:szCs w:val="24"/>
          <w:highlight w:val="none"/>
        </w:rPr>
        <w:t>采购人保留在签约及工程实施过程中调整部分方案、工作内容及定购设备数量和服务的权力，中标人不得拒绝。投标人应对设备和服务明细报价，因内容及数量增减引起的价格变动，在投标单价不变的前提下在决算时进行调整。</w:t>
      </w:r>
      <w:r>
        <w:rPr>
          <w:rFonts w:hint="eastAsia" w:ascii="宋体" w:hAnsi="宋体"/>
          <w:color w:val="auto"/>
          <w:highlight w:val="none"/>
        </w:rPr>
        <w:t>但最终结算总金额不得超过原合同采购金额的110%（不包括招标人提出变更引起的费用调整）。</w:t>
      </w:r>
    </w:p>
    <w:p>
      <w:pPr>
        <w:pStyle w:val="178"/>
        <w:widowControl w:val="0"/>
        <w:snapToGrid/>
        <w:spacing w:afterLines="0" w:line="400" w:lineRule="exact"/>
        <w:ind w:firstLine="480"/>
        <w:rPr>
          <w:rFonts w:ascii="宋体" w:hAnsi="宋体"/>
          <w:color w:val="auto"/>
          <w:szCs w:val="24"/>
          <w:highlight w:val="none"/>
        </w:rPr>
      </w:pPr>
      <w:r>
        <w:rPr>
          <w:rFonts w:hint="eastAsia" w:ascii="宋体" w:hAnsi="宋体"/>
          <w:color w:val="auto"/>
          <w:szCs w:val="24"/>
          <w:highlight w:val="none"/>
        </w:rPr>
        <w:t>如遇本次招标没有涉及的货物或服务时，由中标人提供申请，采购人确认后实施。</w:t>
      </w:r>
    </w:p>
    <w:p>
      <w:pPr>
        <w:pStyle w:val="178"/>
        <w:widowControl w:val="0"/>
        <w:snapToGrid/>
        <w:spacing w:afterLines="0" w:line="400" w:lineRule="exact"/>
        <w:ind w:firstLine="0" w:firstLineChars="0"/>
        <w:rPr>
          <w:rFonts w:ascii="宋体" w:hAnsi="宋体"/>
          <w:b/>
          <w:color w:val="auto"/>
          <w:szCs w:val="24"/>
          <w:highlight w:val="none"/>
        </w:rPr>
      </w:pPr>
      <w:r>
        <w:rPr>
          <w:rFonts w:hint="eastAsia" w:ascii="宋体" w:hAnsi="宋体"/>
          <w:b/>
          <w:color w:val="auto"/>
          <w:szCs w:val="24"/>
          <w:highlight w:val="none"/>
        </w:rPr>
        <w:t>3.安装及调试、验收</w:t>
      </w:r>
    </w:p>
    <w:p>
      <w:pPr>
        <w:pStyle w:val="178"/>
        <w:widowControl w:val="0"/>
        <w:snapToGrid/>
        <w:spacing w:afterLines="0" w:line="400" w:lineRule="exact"/>
        <w:ind w:firstLine="482"/>
        <w:rPr>
          <w:rFonts w:ascii="宋体" w:hAnsi="宋体"/>
          <w:b/>
          <w:bCs/>
          <w:color w:val="auto"/>
          <w:szCs w:val="24"/>
          <w:highlight w:val="none"/>
        </w:rPr>
      </w:pPr>
      <w:r>
        <w:rPr>
          <w:rFonts w:hint="eastAsia" w:ascii="宋体" w:hAnsi="宋体"/>
          <w:b/>
          <w:bCs/>
          <w:color w:val="auto"/>
          <w:szCs w:val="24"/>
          <w:highlight w:val="none"/>
        </w:rPr>
        <w:t>中标人应派经采购人认可的有经验和能力、具有相应资质的技术人员，根据招标文件规定施工及相关规范，负责货物安装工作，在安装期间应充分了解安装进度要求，解决安装中出现的技术问题。</w:t>
      </w:r>
    </w:p>
    <w:p>
      <w:pPr>
        <w:tabs>
          <w:tab w:val="left" w:pos="1365"/>
        </w:tabs>
        <w:spacing w:line="400" w:lineRule="exact"/>
        <w:jc w:val="left"/>
        <w:rPr>
          <w:rFonts w:ascii="宋体" w:hAnsi="宋体" w:cs="宋体"/>
          <w:color w:val="auto"/>
          <w:kern w:val="0"/>
          <w:sz w:val="24"/>
          <w:highlight w:val="none"/>
        </w:rPr>
      </w:pPr>
      <w:r>
        <w:rPr>
          <w:rFonts w:hint="eastAsia" w:ascii="宋体" w:hAnsi="宋体"/>
          <w:color w:val="auto"/>
          <w:sz w:val="24"/>
          <w:highlight w:val="none"/>
        </w:rPr>
        <w:t>3.1中标人负责货物的安装、调试，</w:t>
      </w:r>
      <w:r>
        <w:rPr>
          <w:rFonts w:hint="eastAsia" w:ascii="宋体" w:hAnsi="宋体" w:cs="宋体"/>
          <w:color w:val="auto"/>
          <w:kern w:val="0"/>
          <w:sz w:val="24"/>
          <w:highlight w:val="none"/>
        </w:rPr>
        <w:t>并负责调试至验收合格。且包括施工图范围内为货物安装、调试、验收、运行、维护、服务所需的一切配套内容。</w:t>
      </w:r>
    </w:p>
    <w:p>
      <w:pPr>
        <w:tabs>
          <w:tab w:val="left" w:pos="1365"/>
        </w:tabs>
        <w:spacing w:line="400" w:lineRule="exact"/>
        <w:rPr>
          <w:rFonts w:ascii="宋体" w:hAnsi="宋体"/>
          <w:color w:val="auto"/>
          <w:sz w:val="24"/>
          <w:highlight w:val="none"/>
        </w:rPr>
      </w:pPr>
      <w:r>
        <w:rPr>
          <w:rFonts w:hint="eastAsia" w:ascii="宋体" w:hAnsi="宋体"/>
          <w:color w:val="auto"/>
          <w:sz w:val="24"/>
          <w:highlight w:val="none"/>
        </w:rPr>
        <w:t>3.2调试所需专用工具设施物料由中标人自备、自费运到现场，完工后自费搬走。</w:t>
      </w:r>
    </w:p>
    <w:p>
      <w:pPr>
        <w:spacing w:line="400" w:lineRule="exact"/>
        <w:rPr>
          <w:rFonts w:ascii="宋体" w:hAnsi="宋体" w:cs="宋体"/>
          <w:color w:val="auto"/>
          <w:kern w:val="0"/>
          <w:sz w:val="24"/>
          <w:highlight w:val="none"/>
        </w:rPr>
      </w:pPr>
      <w:r>
        <w:rPr>
          <w:rFonts w:hint="eastAsia" w:ascii="宋体" w:hAnsi="宋体"/>
          <w:color w:val="auto"/>
          <w:sz w:val="24"/>
          <w:highlight w:val="none"/>
        </w:rPr>
        <w:t>3.3</w:t>
      </w:r>
      <w:r>
        <w:rPr>
          <w:rFonts w:ascii="宋体" w:hAnsi="宋体" w:cs="宋体"/>
          <w:color w:val="auto"/>
          <w:kern w:val="0"/>
          <w:sz w:val="24"/>
          <w:highlight w:val="none"/>
        </w:rPr>
        <w:t>安装完成后，进行调试、</w:t>
      </w:r>
      <w:r>
        <w:rPr>
          <w:rFonts w:hint="eastAsia" w:ascii="宋体" w:hAnsi="宋体" w:cs="宋体"/>
          <w:color w:val="auto"/>
          <w:kern w:val="0"/>
          <w:sz w:val="24"/>
          <w:highlight w:val="none"/>
        </w:rPr>
        <w:t>委托</w:t>
      </w:r>
      <w:r>
        <w:rPr>
          <w:rFonts w:ascii="宋体" w:hAnsi="宋体" w:cs="宋体"/>
          <w:color w:val="auto"/>
          <w:kern w:val="0"/>
          <w:sz w:val="24"/>
          <w:highlight w:val="none"/>
        </w:rPr>
        <w:t>第三方100％</w:t>
      </w:r>
      <w:r>
        <w:rPr>
          <w:rFonts w:hint="eastAsia" w:ascii="宋体" w:hAnsi="宋体" w:cs="宋体"/>
          <w:color w:val="auto"/>
          <w:kern w:val="0"/>
          <w:sz w:val="24"/>
          <w:highlight w:val="none"/>
        </w:rPr>
        <w:t>抽样</w:t>
      </w:r>
      <w:r>
        <w:rPr>
          <w:rFonts w:ascii="宋体" w:hAnsi="宋体" w:cs="宋体"/>
          <w:color w:val="auto"/>
          <w:kern w:val="0"/>
          <w:sz w:val="24"/>
          <w:highlight w:val="none"/>
        </w:rPr>
        <w:t>检测</w:t>
      </w:r>
      <w:r>
        <w:rPr>
          <w:rFonts w:hint="eastAsia" w:ascii="宋体" w:hAnsi="宋体" w:cs="宋体"/>
          <w:color w:val="auto"/>
          <w:kern w:val="0"/>
          <w:sz w:val="24"/>
          <w:highlight w:val="none"/>
        </w:rPr>
        <w:t>合格作为验收条件</w:t>
      </w:r>
      <w:r>
        <w:rPr>
          <w:rFonts w:ascii="宋体" w:hAnsi="宋体" w:cs="宋体"/>
          <w:color w:val="auto"/>
          <w:kern w:val="0"/>
          <w:sz w:val="24"/>
          <w:highlight w:val="none"/>
        </w:rPr>
        <w:t>，验收按国家有关规范标准（国家无验收规范标准的按双方合同规定的要求）进行，第三方检测的费用由中标单位承担，该费用视为已包含在中标价内。</w:t>
      </w:r>
    </w:p>
    <w:p>
      <w:pPr>
        <w:tabs>
          <w:tab w:val="left" w:pos="1365"/>
        </w:tabs>
        <w:spacing w:line="400" w:lineRule="exact"/>
        <w:rPr>
          <w:rFonts w:ascii="宋体" w:hAnsi="宋体"/>
          <w:color w:val="auto"/>
          <w:sz w:val="24"/>
          <w:highlight w:val="none"/>
        </w:rPr>
      </w:pPr>
      <w:r>
        <w:rPr>
          <w:rFonts w:hint="eastAsia" w:ascii="宋体" w:hAnsi="宋体"/>
          <w:color w:val="auto"/>
          <w:sz w:val="24"/>
          <w:highlight w:val="none"/>
        </w:rPr>
        <w:t>3.4货物的拆箱、调试等各项工作由中标人负责，但必须在采购人指定人员的参与下进行。在实际实施前必须先经采购人同意方可进行。调试的原始记录须经各方签字后作为验收的文件之一。</w:t>
      </w:r>
    </w:p>
    <w:p>
      <w:pPr>
        <w:tabs>
          <w:tab w:val="left" w:pos="1365"/>
        </w:tabs>
        <w:spacing w:line="400" w:lineRule="exact"/>
        <w:rPr>
          <w:rFonts w:ascii="宋体" w:hAnsi="宋体"/>
          <w:color w:val="auto"/>
          <w:sz w:val="24"/>
          <w:highlight w:val="none"/>
        </w:rPr>
      </w:pPr>
      <w:r>
        <w:rPr>
          <w:rFonts w:hint="eastAsia" w:ascii="宋体" w:hAnsi="宋体"/>
          <w:color w:val="auto"/>
          <w:sz w:val="24"/>
          <w:highlight w:val="none"/>
        </w:rPr>
        <w:t>3.5所有的招标货物应按照国家有关技术标准在制造厂检查和试验合格，以表明其安全性能以及材料和结构的完整性。</w:t>
      </w:r>
    </w:p>
    <w:p>
      <w:pPr>
        <w:pStyle w:val="22"/>
        <w:widowControl w:val="0"/>
        <w:spacing w:afterLines="0" w:line="400" w:lineRule="exact"/>
        <w:ind w:left="0" w:firstLine="0"/>
        <w:jc w:val="both"/>
        <w:rPr>
          <w:rFonts w:ascii="宋体" w:hAnsi="宋体"/>
          <w:b/>
          <w:color w:val="auto"/>
          <w:szCs w:val="24"/>
          <w:highlight w:val="none"/>
        </w:rPr>
      </w:pPr>
      <w:r>
        <w:rPr>
          <w:rFonts w:hint="eastAsia" w:ascii="宋体" w:hAnsi="宋体"/>
          <w:b/>
          <w:color w:val="auto"/>
          <w:szCs w:val="24"/>
          <w:highlight w:val="none"/>
        </w:rPr>
        <w:t>4.技术培训</w:t>
      </w:r>
    </w:p>
    <w:p>
      <w:pPr>
        <w:tabs>
          <w:tab w:val="left" w:pos="1365"/>
        </w:tabs>
        <w:spacing w:line="400" w:lineRule="exact"/>
        <w:rPr>
          <w:rFonts w:ascii="宋体" w:hAnsi="宋体"/>
          <w:color w:val="auto"/>
          <w:sz w:val="24"/>
          <w:highlight w:val="none"/>
        </w:rPr>
      </w:pPr>
      <w:r>
        <w:rPr>
          <w:rFonts w:hint="eastAsia" w:ascii="宋体" w:hAnsi="宋体"/>
          <w:color w:val="auto"/>
          <w:sz w:val="24"/>
          <w:highlight w:val="none"/>
        </w:rPr>
        <w:t>4.1中标人须对采购人的技术人员培训。投标人须在投标文件中提供详细的培训计划，包括培训内容、培训时间、培训费用等。</w:t>
      </w:r>
    </w:p>
    <w:p>
      <w:pPr>
        <w:tabs>
          <w:tab w:val="left" w:pos="1365"/>
        </w:tabs>
        <w:spacing w:line="400" w:lineRule="exact"/>
        <w:rPr>
          <w:rFonts w:ascii="宋体" w:hAnsi="宋体"/>
          <w:color w:val="auto"/>
          <w:sz w:val="24"/>
          <w:highlight w:val="none"/>
        </w:rPr>
      </w:pPr>
      <w:r>
        <w:rPr>
          <w:rFonts w:hint="eastAsia" w:ascii="宋体" w:hAnsi="宋体"/>
          <w:color w:val="auto"/>
          <w:sz w:val="24"/>
          <w:highlight w:val="none"/>
        </w:rPr>
        <w:t>4.2中标人提供的负责培训的人员应具备同类设备五年以上的经验。</w:t>
      </w:r>
    </w:p>
    <w:p>
      <w:pPr>
        <w:tabs>
          <w:tab w:val="left" w:pos="1365"/>
        </w:tabs>
        <w:spacing w:line="400" w:lineRule="exact"/>
        <w:rPr>
          <w:rFonts w:ascii="宋体" w:hAnsi="宋体"/>
          <w:color w:val="auto"/>
          <w:sz w:val="24"/>
          <w:highlight w:val="none"/>
        </w:rPr>
      </w:pPr>
      <w:r>
        <w:rPr>
          <w:rFonts w:hint="eastAsia" w:ascii="宋体" w:hAnsi="宋体"/>
          <w:color w:val="auto"/>
          <w:sz w:val="24"/>
          <w:highlight w:val="none"/>
        </w:rPr>
        <w:t xml:space="preserve">4.3技术培训费用应包含在投标总价中。    </w:t>
      </w:r>
    </w:p>
    <w:p>
      <w:pPr>
        <w:tabs>
          <w:tab w:val="left" w:pos="1365"/>
        </w:tabs>
        <w:spacing w:line="400" w:lineRule="exact"/>
        <w:rPr>
          <w:rFonts w:ascii="宋体" w:hAnsi="宋体"/>
          <w:color w:val="auto"/>
          <w:sz w:val="24"/>
          <w:highlight w:val="none"/>
        </w:rPr>
      </w:pPr>
      <w:r>
        <w:rPr>
          <w:rFonts w:hint="eastAsia" w:ascii="宋体" w:hAnsi="宋体"/>
          <w:color w:val="auto"/>
          <w:sz w:val="24"/>
          <w:highlight w:val="none"/>
        </w:rPr>
        <w:t>4.4技术培训至少应包括下列内容：</w:t>
      </w:r>
    </w:p>
    <w:p>
      <w:pPr>
        <w:tabs>
          <w:tab w:val="left" w:pos="1365"/>
        </w:tabs>
        <w:spacing w:line="400" w:lineRule="exact"/>
        <w:rPr>
          <w:rFonts w:ascii="宋体" w:hAnsi="宋体"/>
          <w:color w:val="auto"/>
          <w:sz w:val="24"/>
          <w:highlight w:val="none"/>
        </w:rPr>
      </w:pPr>
      <w:r>
        <w:rPr>
          <w:rFonts w:hint="eastAsia" w:ascii="宋体" w:hAnsi="宋体"/>
          <w:color w:val="auto"/>
          <w:sz w:val="24"/>
          <w:highlight w:val="none"/>
        </w:rPr>
        <w:t>4.4.1原理、构成和功能的描述。</w:t>
      </w:r>
    </w:p>
    <w:p>
      <w:pPr>
        <w:tabs>
          <w:tab w:val="left" w:pos="1365"/>
        </w:tabs>
        <w:spacing w:line="400" w:lineRule="exact"/>
        <w:rPr>
          <w:rFonts w:ascii="宋体" w:hAnsi="宋体"/>
          <w:color w:val="auto"/>
          <w:sz w:val="24"/>
          <w:highlight w:val="none"/>
        </w:rPr>
      </w:pPr>
      <w:r>
        <w:rPr>
          <w:rFonts w:hint="eastAsia" w:ascii="宋体" w:hAnsi="宋体"/>
          <w:color w:val="auto"/>
          <w:sz w:val="24"/>
          <w:highlight w:val="none"/>
        </w:rPr>
        <w:t>4.4.2常见故障的处理或排除。</w:t>
      </w:r>
    </w:p>
    <w:p>
      <w:pPr>
        <w:tabs>
          <w:tab w:val="left" w:pos="1365"/>
        </w:tabs>
        <w:spacing w:line="400" w:lineRule="exact"/>
        <w:rPr>
          <w:rFonts w:ascii="宋体" w:hAnsi="宋体"/>
          <w:color w:val="auto"/>
          <w:sz w:val="24"/>
          <w:highlight w:val="none"/>
        </w:rPr>
      </w:pPr>
      <w:r>
        <w:rPr>
          <w:rFonts w:hint="eastAsia" w:ascii="宋体" w:hAnsi="宋体"/>
          <w:color w:val="auto"/>
          <w:sz w:val="24"/>
          <w:highlight w:val="none"/>
        </w:rPr>
        <w:t>4.4.3各系统部件（设备）的检查、调整和维护。</w:t>
      </w:r>
    </w:p>
    <w:p>
      <w:pPr>
        <w:tabs>
          <w:tab w:val="left" w:pos="1365"/>
        </w:tabs>
        <w:spacing w:line="400" w:lineRule="exact"/>
        <w:rPr>
          <w:rFonts w:ascii="宋体" w:hAnsi="宋体"/>
          <w:color w:val="auto"/>
          <w:sz w:val="24"/>
          <w:highlight w:val="none"/>
        </w:rPr>
      </w:pPr>
      <w:r>
        <w:rPr>
          <w:rFonts w:hint="eastAsia" w:ascii="宋体" w:hAnsi="宋体"/>
          <w:color w:val="auto"/>
          <w:sz w:val="24"/>
          <w:highlight w:val="none"/>
        </w:rPr>
        <w:t>4.4.4对使用者关于设备基本操作技能的培训。</w:t>
      </w:r>
    </w:p>
    <w:p>
      <w:pPr>
        <w:pStyle w:val="22"/>
        <w:widowControl w:val="0"/>
        <w:spacing w:afterLines="0" w:line="400" w:lineRule="exact"/>
        <w:ind w:left="0" w:firstLine="0"/>
        <w:jc w:val="both"/>
        <w:rPr>
          <w:rFonts w:ascii="宋体" w:hAnsi="宋体"/>
          <w:b/>
          <w:color w:val="auto"/>
          <w:szCs w:val="24"/>
          <w:highlight w:val="none"/>
        </w:rPr>
      </w:pPr>
      <w:r>
        <w:rPr>
          <w:rFonts w:hint="eastAsia" w:ascii="宋体" w:hAnsi="宋体"/>
          <w:b/>
          <w:color w:val="auto"/>
          <w:szCs w:val="24"/>
          <w:highlight w:val="none"/>
        </w:rPr>
        <w:t>5.售后服务</w:t>
      </w:r>
    </w:p>
    <w:p>
      <w:pPr>
        <w:pStyle w:val="16"/>
        <w:spacing w:line="400" w:lineRule="exact"/>
        <w:ind w:firstLine="0" w:firstLineChars="0"/>
        <w:rPr>
          <w:rFonts w:ascii="宋体" w:hAnsi="宋体"/>
          <w:color w:val="auto"/>
          <w:sz w:val="24"/>
          <w:highlight w:val="none"/>
        </w:rPr>
      </w:pPr>
      <w:r>
        <w:rPr>
          <w:rFonts w:hint="eastAsia" w:ascii="宋体" w:hAnsi="宋体"/>
          <w:color w:val="auto"/>
          <w:sz w:val="24"/>
          <w:highlight w:val="none"/>
        </w:rPr>
        <w:t>5.1投标人须提供经调试、试运行、验收合格移交后投入交通运输综合行政执法部门平台6个月后</w:t>
      </w:r>
      <w:r>
        <w:rPr>
          <w:rFonts w:hint="eastAsia" w:ascii="宋体" w:hAnsi="宋体"/>
          <w:b/>
          <w:color w:val="auto"/>
          <w:sz w:val="24"/>
          <w:highlight w:val="none"/>
        </w:rPr>
        <w:t>三年</w:t>
      </w:r>
      <w:r>
        <w:rPr>
          <w:rFonts w:hint="eastAsia" w:ascii="宋体" w:hAnsi="宋体"/>
          <w:color w:val="auto"/>
          <w:sz w:val="24"/>
          <w:highlight w:val="none"/>
        </w:rPr>
        <w:t>的免费质保期服务和免费维修保养服务(投标人可根据自身实力作出更长时间的质保承诺)。其中对运营网络、通讯、设备、系统等需要作出每年2次的鉴定（产生的相关所有费用均由中标人承担），鉴定结果需要符合交通运输综合行政执法部门规定要求。在此期间，投标人应免费处理因质量发生的故障，并进行正常保养。</w:t>
      </w:r>
    </w:p>
    <w:p>
      <w:pPr>
        <w:tabs>
          <w:tab w:val="left" w:pos="3870"/>
          <w:tab w:val="left" w:pos="4085"/>
        </w:tabs>
        <w:spacing w:line="400" w:lineRule="exact"/>
        <w:rPr>
          <w:rFonts w:ascii="宋体" w:hAnsi="宋体"/>
          <w:color w:val="auto"/>
          <w:sz w:val="24"/>
          <w:highlight w:val="none"/>
        </w:rPr>
      </w:pPr>
      <w:r>
        <w:rPr>
          <w:rFonts w:hint="eastAsia" w:ascii="宋体" w:hAnsi="宋体"/>
          <w:color w:val="auto"/>
          <w:sz w:val="24"/>
          <w:highlight w:val="none"/>
        </w:rPr>
        <w:t>5.2中标人必须有可靠的售后服务保障包括但不限于在绍兴有固定的维修服务点，能提供正常的技术、备品备件服务。中标人在接到采购人通知后，2小时内派人赴现场处理货物质量问题，并最迟在第2个工作日内排除故障，第2个工作日内无法修复的，必须采取临时调换等措施，以保证采购人的正常使用。临时调换的设备要求不低于原有的设备要求；否则按损失的大小，从质量保证金中扣除。</w:t>
      </w:r>
    </w:p>
    <w:p>
      <w:pPr>
        <w:spacing w:line="400" w:lineRule="exact"/>
        <w:rPr>
          <w:rFonts w:ascii="宋体" w:hAnsi="宋体"/>
          <w:b/>
          <w:color w:val="auto"/>
          <w:sz w:val="24"/>
          <w:highlight w:val="none"/>
        </w:rPr>
      </w:pPr>
      <w:r>
        <w:rPr>
          <w:rFonts w:hint="eastAsia" w:ascii="宋体" w:hAnsi="宋体"/>
          <w:b/>
          <w:color w:val="auto"/>
          <w:sz w:val="24"/>
          <w:highlight w:val="none"/>
        </w:rPr>
        <w:t>6. 服务要求</w:t>
      </w:r>
    </w:p>
    <w:p>
      <w:pPr>
        <w:tabs>
          <w:tab w:val="left" w:pos="3870"/>
          <w:tab w:val="left" w:pos="4085"/>
        </w:tabs>
        <w:spacing w:line="400" w:lineRule="exact"/>
        <w:rPr>
          <w:rFonts w:ascii="宋体" w:hAnsi="宋体"/>
          <w:color w:val="auto"/>
          <w:sz w:val="24"/>
          <w:highlight w:val="none"/>
        </w:rPr>
      </w:pPr>
      <w:r>
        <w:rPr>
          <w:rFonts w:hint="eastAsia" w:ascii="宋体" w:hAnsi="宋体"/>
          <w:color w:val="auto"/>
          <w:sz w:val="24"/>
          <w:highlight w:val="none"/>
        </w:rPr>
        <w:t>6.1 设备免费质保期内，如出现故障，中标人在接到电话2小时内到达采购人指定地点。</w:t>
      </w:r>
    </w:p>
    <w:p>
      <w:pPr>
        <w:tabs>
          <w:tab w:val="left" w:pos="3870"/>
          <w:tab w:val="left" w:pos="4085"/>
        </w:tabs>
        <w:spacing w:line="400" w:lineRule="exact"/>
        <w:rPr>
          <w:rFonts w:ascii="宋体" w:hAnsi="宋体"/>
          <w:color w:val="auto"/>
          <w:sz w:val="24"/>
          <w:highlight w:val="none"/>
        </w:rPr>
      </w:pPr>
      <w:r>
        <w:rPr>
          <w:rFonts w:hint="eastAsia" w:ascii="宋体" w:hAnsi="宋体"/>
          <w:color w:val="auto"/>
          <w:sz w:val="24"/>
          <w:highlight w:val="none"/>
        </w:rPr>
        <w:t>6.2 中标人提供的货物，必须符合招标文件及其投标文件规定的要求，如有不符，采购人可以无条件退货，造成的损失由中标人承担。</w:t>
      </w:r>
    </w:p>
    <w:p>
      <w:pPr>
        <w:tabs>
          <w:tab w:val="left" w:pos="3870"/>
          <w:tab w:val="left" w:pos="4085"/>
        </w:tabs>
        <w:spacing w:line="400" w:lineRule="exact"/>
        <w:rPr>
          <w:rFonts w:ascii="宋体" w:hAnsi="宋体"/>
          <w:color w:val="auto"/>
          <w:sz w:val="24"/>
          <w:highlight w:val="none"/>
        </w:rPr>
      </w:pPr>
      <w:r>
        <w:rPr>
          <w:rFonts w:hint="eastAsia" w:ascii="宋体" w:hAnsi="宋体"/>
          <w:color w:val="auto"/>
          <w:sz w:val="24"/>
          <w:highlight w:val="none"/>
        </w:rPr>
        <w:t>6.3 中标人、供货人名称必须一致，否则作违约处理，其履约保证金不予退还。</w:t>
      </w:r>
    </w:p>
    <w:p>
      <w:pPr>
        <w:tabs>
          <w:tab w:val="left" w:pos="3870"/>
          <w:tab w:val="left" w:pos="4085"/>
        </w:tabs>
        <w:spacing w:line="400" w:lineRule="exact"/>
        <w:rPr>
          <w:rFonts w:hint="eastAsia" w:ascii="宋体" w:hAnsi="宋体"/>
          <w:color w:val="auto"/>
          <w:sz w:val="24"/>
          <w:highlight w:val="none"/>
        </w:rPr>
      </w:pPr>
      <w:r>
        <w:rPr>
          <w:rFonts w:hint="eastAsia" w:ascii="宋体" w:hAnsi="宋体"/>
          <w:color w:val="auto"/>
          <w:sz w:val="24"/>
          <w:highlight w:val="none"/>
        </w:rPr>
        <w:t>6.4中标人应负责经第三方检测合格的利旧设备的接收、运输、安装、调试和保管，以及本项目所涉及的道路翻挖及修复，交通配合、利旧设备安装前检测（包括利旧设备的无条件利用（如出现故障、损坏后的更新）、原道路治超设施拆除费用（2万元包死报价不做调整，已由原安装单位拆除，该费用在合同签订后一个月内由中标单位支付给拆除单位）、工程完工后至移交前产生的网络费、不可利旧设备以料代工处置等费用，相关费用在总报价内综合考虑。</w:t>
      </w:r>
    </w:p>
    <w:p>
      <w:pPr>
        <w:spacing w:line="400" w:lineRule="exact"/>
        <w:rPr>
          <w:rFonts w:ascii="宋体" w:hAnsi="宋体"/>
          <w:b/>
          <w:color w:val="auto"/>
          <w:sz w:val="24"/>
          <w:highlight w:val="none"/>
        </w:rPr>
      </w:pPr>
      <w:r>
        <w:rPr>
          <w:rFonts w:hint="eastAsia" w:ascii="宋体" w:hAnsi="宋体"/>
          <w:b/>
          <w:color w:val="auto"/>
          <w:sz w:val="24"/>
          <w:highlight w:val="none"/>
        </w:rPr>
        <w:t>7. 项目实施人员费用</w:t>
      </w:r>
    </w:p>
    <w:p>
      <w:pPr>
        <w:spacing w:line="400" w:lineRule="exact"/>
        <w:rPr>
          <w:rFonts w:ascii="宋体" w:hAnsi="宋体"/>
          <w:b/>
          <w:color w:val="auto"/>
          <w:sz w:val="24"/>
          <w:highlight w:val="none"/>
        </w:rPr>
      </w:pPr>
      <w:r>
        <w:rPr>
          <w:rFonts w:hint="eastAsia" w:ascii="宋体" w:hAnsi="宋体"/>
          <w:color w:val="auto"/>
          <w:sz w:val="24"/>
          <w:highlight w:val="none"/>
        </w:rPr>
        <w:t>7.1中标人应自行承担选派专业人员的住宿、就餐和交通等费用。</w:t>
      </w:r>
    </w:p>
    <w:p>
      <w:pPr>
        <w:snapToGrid w:val="0"/>
        <w:spacing w:line="400" w:lineRule="exact"/>
        <w:jc w:val="left"/>
        <w:rPr>
          <w:rFonts w:ascii="宋体" w:hAnsi="宋体" w:cs="宋体"/>
          <w:b/>
          <w:color w:val="auto"/>
          <w:kern w:val="0"/>
          <w:sz w:val="24"/>
          <w:highlight w:val="none"/>
        </w:rPr>
      </w:pPr>
      <w:r>
        <w:rPr>
          <w:rFonts w:hint="eastAsia" w:ascii="宋体" w:hAnsi="宋体" w:cs="宋体"/>
          <w:b/>
          <w:color w:val="auto"/>
          <w:kern w:val="0"/>
          <w:sz w:val="24"/>
          <w:highlight w:val="none"/>
        </w:rPr>
        <w:t>7.2中标单位应当为本合同工程和施工场地内的自有人员、设备及第三方生命财产办理保险并支付保险费用，费用已包含在合同总价内。因中标单位未办理保险所造成采购人、监理人、其他中标人、第三方人员的损失，由中标单位承担赔偿责任。</w:t>
      </w:r>
    </w:p>
    <w:p>
      <w:pPr>
        <w:widowControl/>
        <w:jc w:val="left"/>
        <w:rPr>
          <w:rFonts w:ascii="宋体" w:hAnsi="宋体"/>
          <w:b/>
          <w:color w:val="auto"/>
          <w:sz w:val="24"/>
          <w:highlight w:val="none"/>
        </w:rPr>
      </w:pPr>
      <w:r>
        <w:rPr>
          <w:rFonts w:hint="eastAsia" w:ascii="宋体" w:hAnsi="宋体"/>
          <w:b/>
          <w:color w:val="auto"/>
          <w:sz w:val="24"/>
          <w:highlight w:val="none"/>
        </w:rPr>
        <w:t>8、招标项目设备名称及数量</w:t>
      </w:r>
    </w:p>
    <w:tbl>
      <w:tblPr>
        <w:tblStyle w:val="51"/>
        <w:tblW w:w="5549" w:type="pct"/>
        <w:tblInd w:w="0" w:type="dxa"/>
        <w:tblLayout w:type="fixed"/>
        <w:tblCellMar>
          <w:top w:w="0" w:type="dxa"/>
          <w:left w:w="108" w:type="dxa"/>
          <w:bottom w:w="0" w:type="dxa"/>
          <w:right w:w="108" w:type="dxa"/>
        </w:tblCellMar>
      </w:tblPr>
      <w:tblGrid>
        <w:gridCol w:w="586"/>
        <w:gridCol w:w="1051"/>
        <w:gridCol w:w="4507"/>
        <w:gridCol w:w="524"/>
        <w:gridCol w:w="758"/>
        <w:gridCol w:w="480"/>
        <w:gridCol w:w="652"/>
        <w:gridCol w:w="893"/>
        <w:gridCol w:w="7"/>
      </w:tblGrid>
      <w:tr>
        <w:tblPrEx>
          <w:tblCellMar>
            <w:top w:w="0" w:type="dxa"/>
            <w:left w:w="108" w:type="dxa"/>
            <w:bottom w:w="0" w:type="dxa"/>
            <w:right w:w="108" w:type="dxa"/>
          </w:tblCellMar>
        </w:tblPrEx>
        <w:trPr>
          <w:trHeight w:val="402" w:hRule="atLeast"/>
        </w:trPr>
        <w:tc>
          <w:tcPr>
            <w:tcW w:w="309" w:type="pct"/>
            <w:vMerge w:val="restart"/>
            <w:tcBorders>
              <w:top w:val="single" w:color="000000" w:sz="8"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b/>
                <w:bCs/>
                <w:color w:val="auto"/>
                <w:sz w:val="24"/>
                <w:highlight w:val="none"/>
              </w:rPr>
            </w:pPr>
            <w:r>
              <w:rPr>
                <w:rFonts w:hint="eastAsia" w:ascii="宋体" w:hAnsi="宋体" w:cs="宋体"/>
                <w:b/>
                <w:bCs/>
                <w:color w:val="auto"/>
                <w:kern w:val="0"/>
                <w:sz w:val="24"/>
                <w:highlight w:val="none"/>
              </w:rPr>
              <w:t>序号</w:t>
            </w:r>
          </w:p>
        </w:tc>
        <w:tc>
          <w:tcPr>
            <w:tcW w:w="555" w:type="pct"/>
            <w:vMerge w:val="restart"/>
            <w:tcBorders>
              <w:top w:val="single" w:color="000000" w:sz="8"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b/>
                <w:bCs/>
                <w:color w:val="auto"/>
                <w:sz w:val="24"/>
                <w:highlight w:val="none"/>
              </w:rPr>
            </w:pPr>
            <w:r>
              <w:rPr>
                <w:rFonts w:hint="eastAsia" w:ascii="宋体" w:hAnsi="宋体" w:cs="宋体"/>
                <w:b/>
                <w:bCs/>
                <w:color w:val="auto"/>
                <w:kern w:val="0"/>
                <w:sz w:val="24"/>
                <w:highlight w:val="none"/>
              </w:rPr>
              <w:t>项目</w:t>
            </w:r>
          </w:p>
        </w:tc>
        <w:tc>
          <w:tcPr>
            <w:tcW w:w="2382" w:type="pct"/>
            <w:vMerge w:val="restart"/>
            <w:tcBorders>
              <w:top w:val="single" w:color="000000" w:sz="8"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b/>
                <w:bCs/>
                <w:color w:val="auto"/>
                <w:sz w:val="22"/>
                <w:szCs w:val="22"/>
                <w:highlight w:val="none"/>
              </w:rPr>
            </w:pPr>
            <w:r>
              <w:rPr>
                <w:rFonts w:hint="eastAsia" w:ascii="宋体" w:hAnsi="宋体" w:cs="宋体"/>
                <w:b/>
                <w:bCs/>
                <w:color w:val="auto"/>
                <w:kern w:val="0"/>
                <w:sz w:val="22"/>
                <w:szCs w:val="22"/>
                <w:highlight w:val="none"/>
              </w:rPr>
              <w:t>型号规格</w:t>
            </w:r>
          </w:p>
        </w:tc>
        <w:tc>
          <w:tcPr>
            <w:tcW w:w="277" w:type="pct"/>
            <w:vMerge w:val="restart"/>
            <w:tcBorders>
              <w:top w:val="single" w:color="000000" w:sz="8"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b/>
                <w:bCs/>
                <w:color w:val="auto"/>
                <w:sz w:val="24"/>
                <w:highlight w:val="none"/>
              </w:rPr>
            </w:pPr>
            <w:r>
              <w:rPr>
                <w:rFonts w:hint="eastAsia" w:ascii="宋体" w:hAnsi="宋体" w:cs="宋体"/>
                <w:b/>
                <w:bCs/>
                <w:color w:val="auto"/>
                <w:kern w:val="0"/>
                <w:sz w:val="24"/>
                <w:highlight w:val="none"/>
              </w:rPr>
              <w:t>单位</w:t>
            </w:r>
          </w:p>
        </w:tc>
        <w:tc>
          <w:tcPr>
            <w:tcW w:w="400" w:type="pct"/>
            <w:tcBorders>
              <w:top w:val="single" w:color="000000" w:sz="8"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 w:val="24"/>
                <w:highlight w:val="none"/>
              </w:rPr>
            </w:pPr>
            <w:r>
              <w:rPr>
                <w:rFonts w:hint="eastAsia" w:ascii="宋体" w:hAnsi="宋体" w:cs="宋体"/>
                <w:b/>
                <w:bCs/>
                <w:color w:val="auto"/>
                <w:kern w:val="0"/>
                <w:sz w:val="24"/>
                <w:highlight w:val="none"/>
              </w:rPr>
              <w:t>数量</w:t>
            </w:r>
          </w:p>
        </w:tc>
        <w:tc>
          <w:tcPr>
            <w:tcW w:w="598" w:type="pct"/>
            <w:gridSpan w:val="2"/>
            <w:tcBorders>
              <w:top w:val="single" w:color="000000" w:sz="8"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 w:val="24"/>
                <w:highlight w:val="none"/>
              </w:rPr>
            </w:pPr>
            <w:r>
              <w:rPr>
                <w:rFonts w:hint="eastAsia" w:ascii="宋体" w:hAnsi="宋体" w:cs="宋体"/>
                <w:b/>
                <w:bCs/>
                <w:color w:val="auto"/>
                <w:kern w:val="0"/>
                <w:sz w:val="24"/>
                <w:highlight w:val="none"/>
              </w:rPr>
              <w:t>其中</w:t>
            </w:r>
          </w:p>
        </w:tc>
        <w:tc>
          <w:tcPr>
            <w:tcW w:w="475" w:type="pct"/>
            <w:gridSpan w:val="2"/>
            <w:vMerge w:val="restart"/>
            <w:tcBorders>
              <w:top w:val="single" w:color="000000" w:sz="8" w:space="0"/>
              <w:left w:val="single" w:color="000000" w:sz="4" w:space="0"/>
              <w:bottom w:val="single" w:color="000000" w:sz="4" w:space="0"/>
              <w:right w:val="single" w:color="000000" w:sz="8" w:space="0"/>
            </w:tcBorders>
            <w:shd w:val="clear" w:color="auto" w:fill="auto"/>
            <w:noWrap/>
            <w:vAlign w:val="center"/>
          </w:tcPr>
          <w:p>
            <w:pPr>
              <w:widowControl/>
              <w:jc w:val="center"/>
              <w:textAlignment w:val="center"/>
              <w:rPr>
                <w:b/>
                <w:bCs/>
                <w:color w:val="auto"/>
                <w:sz w:val="24"/>
                <w:highlight w:val="none"/>
              </w:rPr>
            </w:pPr>
            <w:r>
              <w:rPr>
                <w:rFonts w:hint="eastAsia" w:ascii="宋体" w:hAnsi="宋体" w:cs="宋体"/>
                <w:b/>
                <w:bCs/>
                <w:color w:val="auto"/>
                <w:kern w:val="0"/>
                <w:sz w:val="24"/>
                <w:highlight w:val="none"/>
              </w:rPr>
              <w:t>备注</w:t>
            </w:r>
          </w:p>
        </w:tc>
      </w:tr>
      <w:tr>
        <w:tblPrEx>
          <w:tblCellMar>
            <w:top w:w="0" w:type="dxa"/>
            <w:left w:w="108" w:type="dxa"/>
            <w:bottom w:w="0" w:type="dxa"/>
            <w:right w:w="108" w:type="dxa"/>
          </w:tblCellMar>
        </w:tblPrEx>
        <w:trPr>
          <w:trHeight w:val="402" w:hRule="atLeast"/>
        </w:trPr>
        <w:tc>
          <w:tcPr>
            <w:tcW w:w="309" w:type="pct"/>
            <w:vMerge w:val="continue"/>
            <w:tcBorders>
              <w:top w:val="single" w:color="000000" w:sz="8" w:space="0"/>
              <w:left w:val="single" w:color="000000" w:sz="8" w:space="0"/>
              <w:bottom w:val="single" w:color="000000" w:sz="4" w:space="0"/>
              <w:right w:val="single" w:color="000000" w:sz="4" w:space="0"/>
            </w:tcBorders>
            <w:shd w:val="clear" w:color="auto" w:fill="auto"/>
            <w:noWrap/>
            <w:vAlign w:val="center"/>
          </w:tcPr>
          <w:p>
            <w:pPr>
              <w:jc w:val="center"/>
              <w:rPr>
                <w:b/>
                <w:bCs/>
                <w:color w:val="auto"/>
                <w:sz w:val="24"/>
                <w:highlight w:val="none"/>
              </w:rPr>
            </w:pPr>
          </w:p>
        </w:tc>
        <w:tc>
          <w:tcPr>
            <w:tcW w:w="555" w:type="pct"/>
            <w:vMerge w:val="continue"/>
            <w:tcBorders>
              <w:top w:val="single" w:color="000000" w:sz="8" w:space="0"/>
              <w:left w:val="single" w:color="000000" w:sz="4" w:space="0"/>
              <w:bottom w:val="single" w:color="000000" w:sz="4" w:space="0"/>
              <w:right w:val="single" w:color="000000" w:sz="4" w:space="0"/>
            </w:tcBorders>
            <w:shd w:val="clear" w:color="auto" w:fill="auto"/>
            <w:noWrap/>
            <w:vAlign w:val="center"/>
          </w:tcPr>
          <w:p>
            <w:pPr>
              <w:jc w:val="center"/>
              <w:rPr>
                <w:b/>
                <w:bCs/>
                <w:color w:val="auto"/>
                <w:sz w:val="24"/>
                <w:highlight w:val="none"/>
              </w:rPr>
            </w:pPr>
          </w:p>
        </w:tc>
        <w:tc>
          <w:tcPr>
            <w:tcW w:w="2382" w:type="pct"/>
            <w:vMerge w:val="continue"/>
            <w:tcBorders>
              <w:top w:val="single" w:color="000000" w:sz="8" w:space="0"/>
              <w:left w:val="single" w:color="000000" w:sz="4" w:space="0"/>
              <w:bottom w:val="single" w:color="000000" w:sz="4" w:space="0"/>
              <w:right w:val="single" w:color="000000" w:sz="4" w:space="0"/>
            </w:tcBorders>
            <w:shd w:val="clear" w:color="auto" w:fill="auto"/>
            <w:noWrap/>
            <w:vAlign w:val="center"/>
          </w:tcPr>
          <w:p>
            <w:pPr>
              <w:jc w:val="center"/>
              <w:rPr>
                <w:b/>
                <w:bCs/>
                <w:color w:val="auto"/>
                <w:sz w:val="22"/>
                <w:szCs w:val="22"/>
                <w:highlight w:val="none"/>
              </w:rPr>
            </w:pPr>
          </w:p>
        </w:tc>
        <w:tc>
          <w:tcPr>
            <w:tcW w:w="277" w:type="pct"/>
            <w:vMerge w:val="continue"/>
            <w:tcBorders>
              <w:top w:val="single" w:color="000000" w:sz="8" w:space="0"/>
              <w:left w:val="single" w:color="000000" w:sz="4" w:space="0"/>
              <w:bottom w:val="single" w:color="000000" w:sz="4" w:space="0"/>
              <w:right w:val="single" w:color="000000" w:sz="4" w:space="0"/>
            </w:tcBorders>
            <w:shd w:val="clear" w:color="auto" w:fill="auto"/>
            <w:noWrap/>
            <w:vAlign w:val="center"/>
          </w:tcPr>
          <w:p>
            <w:pPr>
              <w:jc w:val="center"/>
              <w:rPr>
                <w:b/>
                <w:bCs/>
                <w:color w:val="auto"/>
                <w:sz w:val="24"/>
                <w:highlight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b/>
                <w:bCs/>
                <w:color w:val="auto"/>
                <w:sz w:val="24"/>
                <w:highlight w:val="none"/>
              </w:rPr>
            </w:pPr>
            <w:r>
              <w:rPr>
                <w:b/>
                <w:bCs/>
                <w:color w:val="auto"/>
                <w:kern w:val="0"/>
                <w:sz w:val="24"/>
                <w:highlight w:val="none"/>
              </w:rPr>
              <w:t>K15+380</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 w:val="24"/>
                <w:highlight w:val="none"/>
              </w:rPr>
            </w:pPr>
            <w:r>
              <w:rPr>
                <w:rFonts w:hint="eastAsia" w:ascii="宋体" w:hAnsi="宋体" w:cs="宋体"/>
                <w:b/>
                <w:bCs/>
                <w:color w:val="auto"/>
                <w:kern w:val="0"/>
                <w:sz w:val="24"/>
                <w:highlight w:val="none"/>
              </w:rPr>
              <w:t>利旧</w:t>
            </w: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 w:val="24"/>
                <w:highlight w:val="none"/>
              </w:rPr>
            </w:pPr>
            <w:r>
              <w:rPr>
                <w:rFonts w:hint="eastAsia" w:ascii="宋体" w:hAnsi="宋体" w:cs="宋体"/>
                <w:b/>
                <w:bCs/>
                <w:color w:val="auto"/>
                <w:kern w:val="0"/>
                <w:sz w:val="24"/>
                <w:highlight w:val="none"/>
              </w:rPr>
              <w:t>新增</w:t>
            </w:r>
          </w:p>
        </w:tc>
        <w:tc>
          <w:tcPr>
            <w:tcW w:w="475" w:type="pct"/>
            <w:gridSpan w:val="2"/>
            <w:vMerge w:val="continue"/>
            <w:tcBorders>
              <w:top w:val="single" w:color="000000" w:sz="8" w:space="0"/>
              <w:left w:val="single" w:color="000000" w:sz="4" w:space="0"/>
              <w:bottom w:val="single" w:color="000000" w:sz="4" w:space="0"/>
              <w:right w:val="single" w:color="000000" w:sz="8" w:space="0"/>
            </w:tcBorders>
            <w:shd w:val="clear" w:color="auto" w:fill="auto"/>
            <w:noWrap/>
            <w:vAlign w:val="center"/>
          </w:tcPr>
          <w:p>
            <w:pPr>
              <w:jc w:val="center"/>
              <w:rPr>
                <w:b/>
                <w:bCs/>
                <w:color w:val="auto"/>
                <w:sz w:val="24"/>
                <w:highlight w:val="none"/>
              </w:rPr>
            </w:pPr>
          </w:p>
        </w:tc>
      </w:tr>
      <w:tr>
        <w:tblPrEx>
          <w:tblCellMar>
            <w:top w:w="0" w:type="dxa"/>
            <w:left w:w="108" w:type="dxa"/>
            <w:bottom w:w="0" w:type="dxa"/>
            <w:right w:w="108" w:type="dxa"/>
          </w:tblCellMar>
        </w:tblPrEx>
        <w:trPr>
          <w:trHeight w:val="402"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b/>
                <w:bCs/>
                <w:color w:val="auto"/>
                <w:sz w:val="24"/>
                <w:highlight w:val="none"/>
              </w:rPr>
            </w:pPr>
            <w:r>
              <w:rPr>
                <w:rFonts w:hint="eastAsia" w:ascii="宋体" w:hAnsi="宋体" w:cs="宋体"/>
                <w:b/>
                <w:bCs/>
                <w:color w:val="auto"/>
                <w:kern w:val="0"/>
                <w:sz w:val="24"/>
                <w:highlight w:val="none"/>
              </w:rPr>
              <w:t>一</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b/>
                <w:bCs/>
                <w:color w:val="auto"/>
                <w:sz w:val="24"/>
                <w:highlight w:val="none"/>
              </w:rPr>
            </w:pPr>
            <w:r>
              <w:rPr>
                <w:rFonts w:hint="eastAsia" w:ascii="宋体" w:hAnsi="宋体" w:cs="宋体"/>
                <w:b/>
                <w:bCs/>
                <w:color w:val="auto"/>
                <w:kern w:val="0"/>
                <w:sz w:val="24"/>
                <w:highlight w:val="none"/>
              </w:rPr>
              <w:t>动态汽车衡</w:t>
            </w: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b/>
                <w:bCs/>
                <w:color w:val="auto"/>
                <w:sz w:val="22"/>
                <w:szCs w:val="22"/>
                <w:highlight w:val="none"/>
              </w:rPr>
            </w:pP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b/>
                <w:bCs/>
                <w:color w:val="auto"/>
                <w:sz w:val="24"/>
                <w:highlight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b/>
                <w:bCs/>
                <w:color w:val="auto"/>
                <w:sz w:val="24"/>
                <w:highlight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b/>
                <w:bCs/>
                <w:color w:val="auto"/>
                <w:sz w:val="24"/>
                <w:highlight w:val="none"/>
              </w:rPr>
            </w:pPr>
          </w:p>
        </w:tc>
        <w:tc>
          <w:tcPr>
            <w:tcW w:w="3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b/>
                <w:bCs/>
                <w:color w:val="auto"/>
                <w:sz w:val="24"/>
                <w:highlight w:val="none"/>
              </w:rPr>
            </w:pP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noWrap/>
            <w:vAlign w:val="center"/>
          </w:tcPr>
          <w:p>
            <w:pPr>
              <w:rPr>
                <w:b/>
                <w:bCs/>
                <w:color w:val="auto"/>
                <w:sz w:val="24"/>
                <w:highlight w:val="none"/>
              </w:rPr>
            </w:pPr>
          </w:p>
        </w:tc>
      </w:tr>
      <w:tr>
        <w:tblPrEx>
          <w:tblCellMar>
            <w:top w:w="0" w:type="dxa"/>
            <w:left w:w="108" w:type="dxa"/>
            <w:bottom w:w="0" w:type="dxa"/>
            <w:right w:w="108" w:type="dxa"/>
          </w:tblCellMar>
        </w:tblPrEx>
        <w:trPr>
          <w:trHeight w:val="402"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b/>
                <w:bCs/>
                <w:color w:val="auto"/>
                <w:sz w:val="24"/>
                <w:highlight w:val="none"/>
              </w:rPr>
            </w:pPr>
            <w:r>
              <w:rPr>
                <w:b/>
                <w:bCs/>
                <w:color w:val="auto"/>
                <w:kern w:val="0"/>
                <w:sz w:val="24"/>
                <w:highlight w:val="none"/>
              </w:rPr>
              <w:t>1</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b/>
                <w:bCs/>
                <w:color w:val="auto"/>
                <w:sz w:val="24"/>
                <w:highlight w:val="none"/>
              </w:rPr>
            </w:pPr>
            <w:r>
              <w:rPr>
                <w:rFonts w:hint="eastAsia" w:ascii="宋体" w:hAnsi="宋体" w:cs="宋体"/>
                <w:b/>
                <w:bCs/>
                <w:color w:val="auto"/>
                <w:kern w:val="0"/>
                <w:sz w:val="24"/>
                <w:highlight w:val="none"/>
              </w:rPr>
              <w:t>动态汽车衡</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color w:val="auto"/>
                <w:sz w:val="24"/>
                <w:highlight w:val="none"/>
              </w:rPr>
            </w:pPr>
            <w:r>
              <w:rPr>
                <w:rStyle w:val="510"/>
                <w:rFonts w:hint="default"/>
                <w:color w:val="auto"/>
                <w:highlight w:val="none"/>
              </w:rPr>
              <w:t>动态检测精度：</w:t>
            </w:r>
            <w:r>
              <w:rPr>
                <w:color w:val="auto"/>
                <w:kern w:val="0"/>
                <w:sz w:val="24"/>
                <w:highlight w:val="none"/>
              </w:rPr>
              <w:t>5</w:t>
            </w:r>
            <w:r>
              <w:rPr>
                <w:rStyle w:val="510"/>
                <w:rFonts w:hint="default"/>
                <w:color w:val="auto"/>
                <w:highlight w:val="none"/>
              </w:rPr>
              <w:t>级，通行速度：</w:t>
            </w:r>
            <w:r>
              <w:rPr>
                <w:color w:val="auto"/>
                <w:kern w:val="0"/>
                <w:sz w:val="24"/>
                <w:highlight w:val="none"/>
              </w:rPr>
              <w:t>1</w:t>
            </w:r>
            <w:r>
              <w:rPr>
                <w:rStyle w:val="510"/>
                <w:rFonts w:hint="default"/>
                <w:color w:val="auto"/>
                <w:highlight w:val="none"/>
              </w:rPr>
              <w:t>～≤</w:t>
            </w:r>
            <w:r>
              <w:rPr>
                <w:color w:val="auto"/>
                <w:kern w:val="0"/>
                <w:sz w:val="24"/>
                <w:highlight w:val="none"/>
              </w:rPr>
              <w:t>120Km/h</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b/>
                <w:bCs/>
                <w:color w:val="auto"/>
                <w:sz w:val="24"/>
                <w:highlight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b/>
                <w:bCs/>
                <w:color w:val="auto"/>
                <w:sz w:val="24"/>
                <w:highlight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b/>
                <w:bCs/>
                <w:color w:val="auto"/>
                <w:sz w:val="24"/>
                <w:highlight w:val="none"/>
              </w:rPr>
            </w:pP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b/>
                <w:bCs/>
                <w:color w:val="auto"/>
                <w:sz w:val="24"/>
                <w:highlight w:val="none"/>
              </w:rPr>
            </w:pP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noWrap/>
            <w:vAlign w:val="center"/>
          </w:tcPr>
          <w:p>
            <w:pPr>
              <w:jc w:val="center"/>
              <w:rPr>
                <w:color w:val="auto"/>
                <w:sz w:val="24"/>
                <w:highlight w:val="none"/>
              </w:rPr>
            </w:pPr>
          </w:p>
        </w:tc>
      </w:tr>
      <w:tr>
        <w:tblPrEx>
          <w:tblCellMar>
            <w:top w:w="0" w:type="dxa"/>
            <w:left w:w="108" w:type="dxa"/>
            <w:bottom w:w="0" w:type="dxa"/>
            <w:right w:w="108" w:type="dxa"/>
          </w:tblCellMar>
        </w:tblPrEx>
        <w:trPr>
          <w:trHeight w:val="1650"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1.1</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rStyle w:val="510"/>
                <w:rFonts w:hint="default"/>
                <w:color w:val="auto"/>
                <w:highlight w:val="none"/>
              </w:rPr>
              <w:t>石英称重传感器</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color w:val="auto"/>
                <w:sz w:val="22"/>
                <w:szCs w:val="22"/>
                <w:highlight w:val="none"/>
              </w:rPr>
            </w:pPr>
            <w:r>
              <w:rPr>
                <w:rStyle w:val="511"/>
                <w:rFonts w:hint="default"/>
                <w:color w:val="auto"/>
                <w:highlight w:val="none"/>
              </w:rPr>
              <w:t>传感器长度：</w:t>
            </w:r>
            <w:r>
              <w:rPr>
                <w:color w:val="auto"/>
                <w:kern w:val="0"/>
                <w:sz w:val="22"/>
                <w:szCs w:val="22"/>
                <w:highlight w:val="none"/>
              </w:rPr>
              <w:t>1.5m/1.75m/2m</w:t>
            </w:r>
            <w:r>
              <w:rPr>
                <w:rStyle w:val="511"/>
                <w:rFonts w:hint="default"/>
                <w:color w:val="auto"/>
                <w:highlight w:val="none"/>
              </w:rPr>
              <w:t>；传感器横截面≤</w:t>
            </w:r>
            <w:r>
              <w:rPr>
                <w:color w:val="auto"/>
                <w:kern w:val="0"/>
                <w:sz w:val="22"/>
                <w:szCs w:val="22"/>
                <w:highlight w:val="none"/>
              </w:rPr>
              <w:t>45×55mm</w:t>
            </w:r>
            <w:r>
              <w:rPr>
                <w:rStyle w:val="512"/>
                <w:color w:val="auto"/>
                <w:highlight w:val="none"/>
              </w:rPr>
              <w:t>2</w:t>
            </w:r>
            <w:r>
              <w:rPr>
                <w:rStyle w:val="511"/>
                <w:rFonts w:hint="default"/>
                <w:color w:val="auto"/>
                <w:highlight w:val="none"/>
              </w:rPr>
              <w:t>；传感器灵敏度</w:t>
            </w:r>
            <w:r>
              <w:rPr>
                <w:color w:val="auto"/>
                <w:kern w:val="0"/>
                <w:sz w:val="22"/>
                <w:szCs w:val="22"/>
                <w:highlight w:val="none"/>
              </w:rPr>
              <w:t>-1.62</w:t>
            </w:r>
            <w:r>
              <w:rPr>
                <w:rStyle w:val="511"/>
                <w:rFonts w:hint="default"/>
                <w:color w:val="auto"/>
                <w:highlight w:val="none"/>
              </w:rPr>
              <w:t>（</w:t>
            </w:r>
            <w:r>
              <w:rPr>
                <w:color w:val="auto"/>
                <w:kern w:val="0"/>
                <w:sz w:val="22"/>
                <w:szCs w:val="22"/>
                <w:highlight w:val="none"/>
              </w:rPr>
              <w:t>±10%</w:t>
            </w:r>
            <w:r>
              <w:rPr>
                <w:rStyle w:val="511"/>
                <w:rFonts w:hint="default"/>
                <w:color w:val="auto"/>
                <w:highlight w:val="none"/>
              </w:rPr>
              <w:t>）</w:t>
            </w:r>
            <w:r>
              <w:rPr>
                <w:color w:val="auto"/>
                <w:kern w:val="0"/>
                <w:sz w:val="22"/>
                <w:szCs w:val="22"/>
                <w:highlight w:val="none"/>
              </w:rPr>
              <w:t>pC/N</w:t>
            </w:r>
            <w:r>
              <w:rPr>
                <w:rStyle w:val="511"/>
                <w:rFonts w:hint="default"/>
                <w:color w:val="auto"/>
                <w:highlight w:val="none"/>
              </w:rPr>
              <w:t>；绝缘电阻＞</w:t>
            </w:r>
            <w:r>
              <w:rPr>
                <w:color w:val="auto"/>
                <w:kern w:val="0"/>
                <w:sz w:val="22"/>
                <w:szCs w:val="22"/>
                <w:highlight w:val="none"/>
              </w:rPr>
              <w:t>10</w:t>
            </w:r>
            <w:r>
              <w:rPr>
                <w:rStyle w:val="512"/>
                <w:color w:val="auto"/>
                <w:highlight w:val="none"/>
              </w:rPr>
              <w:t>10</w:t>
            </w:r>
            <w:r>
              <w:rPr>
                <w:color w:val="auto"/>
                <w:kern w:val="0"/>
                <w:sz w:val="22"/>
                <w:szCs w:val="22"/>
                <w:highlight w:val="none"/>
              </w:rPr>
              <w:t>Ω</w:t>
            </w:r>
            <w:r>
              <w:rPr>
                <w:rStyle w:val="511"/>
                <w:rFonts w:hint="default"/>
                <w:color w:val="auto"/>
                <w:highlight w:val="none"/>
              </w:rPr>
              <w:t>；传感器测点间误差：≤</w:t>
            </w:r>
            <w:r>
              <w:rPr>
                <w:color w:val="auto"/>
                <w:kern w:val="0"/>
                <w:sz w:val="22"/>
                <w:szCs w:val="22"/>
                <w:highlight w:val="none"/>
              </w:rPr>
              <w:t>±3%</w:t>
            </w:r>
            <w:r>
              <w:rPr>
                <w:rStyle w:val="511"/>
                <w:rFonts w:hint="default"/>
                <w:color w:val="auto"/>
                <w:highlight w:val="none"/>
              </w:rPr>
              <w:t>；总重误差范围：检定误差≤</w:t>
            </w:r>
            <w:r>
              <w:rPr>
                <w:color w:val="auto"/>
                <w:kern w:val="0"/>
                <w:sz w:val="22"/>
                <w:szCs w:val="22"/>
                <w:highlight w:val="none"/>
              </w:rPr>
              <w:t>±2.5%</w:t>
            </w:r>
            <w:r>
              <w:rPr>
                <w:rStyle w:val="511"/>
                <w:rFonts w:hint="default"/>
                <w:color w:val="auto"/>
                <w:highlight w:val="none"/>
              </w:rPr>
              <w:t>，使用误差≤</w:t>
            </w:r>
            <w:r>
              <w:rPr>
                <w:color w:val="auto"/>
                <w:kern w:val="0"/>
                <w:sz w:val="22"/>
                <w:szCs w:val="22"/>
                <w:highlight w:val="none"/>
              </w:rPr>
              <w:t>±5%</w:t>
            </w:r>
            <w:r>
              <w:rPr>
                <w:rStyle w:val="511"/>
                <w:rFonts w:hint="default"/>
                <w:color w:val="auto"/>
                <w:highlight w:val="none"/>
              </w:rPr>
              <w:t>；置信度：≥</w:t>
            </w:r>
            <w:r>
              <w:rPr>
                <w:color w:val="auto"/>
                <w:kern w:val="0"/>
                <w:sz w:val="22"/>
                <w:szCs w:val="22"/>
                <w:highlight w:val="none"/>
              </w:rPr>
              <w:t>95</w:t>
            </w:r>
            <w:r>
              <w:rPr>
                <w:rStyle w:val="511"/>
                <w:rFonts w:hint="default"/>
                <w:color w:val="auto"/>
                <w:highlight w:val="none"/>
              </w:rPr>
              <w:t>％；荷载能力（单轴）：≥</w:t>
            </w:r>
            <w:r>
              <w:rPr>
                <w:color w:val="auto"/>
                <w:kern w:val="0"/>
                <w:sz w:val="22"/>
                <w:szCs w:val="22"/>
                <w:highlight w:val="none"/>
              </w:rPr>
              <w:t>30t</w:t>
            </w:r>
            <w:r>
              <w:rPr>
                <w:rStyle w:val="511"/>
                <w:rFonts w:hint="default"/>
                <w:color w:val="auto"/>
                <w:highlight w:val="none"/>
              </w:rPr>
              <w:t>；过载能力（单轴）：≥</w:t>
            </w:r>
            <w:r>
              <w:rPr>
                <w:color w:val="auto"/>
                <w:kern w:val="0"/>
                <w:sz w:val="22"/>
                <w:szCs w:val="22"/>
                <w:highlight w:val="none"/>
              </w:rPr>
              <w:t>150</w:t>
            </w:r>
            <w:r>
              <w:rPr>
                <w:rStyle w:val="511"/>
                <w:rFonts w:hint="default"/>
                <w:color w:val="auto"/>
                <w:highlight w:val="none"/>
              </w:rPr>
              <w:t>％；速度误差：≤</w:t>
            </w:r>
            <w:r>
              <w:rPr>
                <w:color w:val="auto"/>
                <w:kern w:val="0"/>
                <w:sz w:val="22"/>
                <w:szCs w:val="22"/>
                <w:highlight w:val="none"/>
              </w:rPr>
              <w:t>±3%</w:t>
            </w:r>
            <w:r>
              <w:rPr>
                <w:rStyle w:val="511"/>
                <w:rFonts w:hint="default"/>
                <w:color w:val="auto"/>
                <w:highlight w:val="none"/>
              </w:rPr>
              <w:t>；轴距误差：≤</w:t>
            </w:r>
            <w:r>
              <w:rPr>
                <w:color w:val="auto"/>
                <w:kern w:val="0"/>
                <w:sz w:val="22"/>
                <w:szCs w:val="22"/>
                <w:highlight w:val="none"/>
              </w:rPr>
              <w:t>±150mm</w:t>
            </w:r>
            <w:r>
              <w:rPr>
                <w:rStyle w:val="511"/>
                <w:rFonts w:hint="default"/>
                <w:color w:val="auto"/>
                <w:highlight w:val="none"/>
              </w:rPr>
              <w:t>；流量检测精度：≥</w:t>
            </w:r>
            <w:r>
              <w:rPr>
                <w:color w:val="auto"/>
                <w:kern w:val="0"/>
                <w:sz w:val="22"/>
                <w:szCs w:val="22"/>
                <w:highlight w:val="none"/>
              </w:rPr>
              <w:t>99</w:t>
            </w:r>
            <w:r>
              <w:rPr>
                <w:rStyle w:val="511"/>
                <w:rFonts w:hint="default"/>
                <w:color w:val="auto"/>
                <w:highlight w:val="none"/>
              </w:rPr>
              <w:t>％；工作温度</w:t>
            </w:r>
            <w:r>
              <w:rPr>
                <w:color w:val="auto"/>
                <w:kern w:val="0"/>
                <w:sz w:val="22"/>
                <w:szCs w:val="22"/>
                <w:highlight w:val="none"/>
              </w:rPr>
              <w:t>-45</w:t>
            </w:r>
            <w:r>
              <w:rPr>
                <w:rStyle w:val="511"/>
                <w:rFonts w:hint="default"/>
                <w:color w:val="auto"/>
                <w:highlight w:val="none"/>
              </w:rPr>
              <w:t>～</w:t>
            </w:r>
            <w:r>
              <w:rPr>
                <w:color w:val="auto"/>
                <w:kern w:val="0"/>
                <w:sz w:val="22"/>
                <w:szCs w:val="22"/>
                <w:highlight w:val="none"/>
              </w:rPr>
              <w:t>80</w:t>
            </w:r>
            <w:r>
              <w:rPr>
                <w:rStyle w:val="511"/>
                <w:rFonts w:hint="default"/>
                <w:color w:val="auto"/>
                <w:highlight w:val="none"/>
              </w:rPr>
              <w:t>℃；防护等级</w:t>
            </w:r>
            <w:r>
              <w:rPr>
                <w:color w:val="auto"/>
                <w:kern w:val="0"/>
                <w:sz w:val="22"/>
                <w:szCs w:val="22"/>
                <w:highlight w:val="none"/>
              </w:rPr>
              <w:t>IP68</w:t>
            </w:r>
            <w:r>
              <w:rPr>
                <w:rStyle w:val="511"/>
                <w:rFonts w:hint="default"/>
                <w:color w:val="auto"/>
                <w:highlight w:val="none"/>
              </w:rPr>
              <w:t>；</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m</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51</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51</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行车道范围满铺</w:t>
            </w:r>
          </w:p>
        </w:tc>
      </w:tr>
      <w:tr>
        <w:tblPrEx>
          <w:tblCellMar>
            <w:top w:w="0" w:type="dxa"/>
            <w:left w:w="108" w:type="dxa"/>
            <w:bottom w:w="0" w:type="dxa"/>
            <w:right w:w="108" w:type="dxa"/>
          </w:tblCellMar>
        </w:tblPrEx>
        <w:trPr>
          <w:trHeight w:val="690"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1.2</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传感器密封胶</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color w:val="auto"/>
                <w:sz w:val="22"/>
                <w:szCs w:val="22"/>
                <w:highlight w:val="none"/>
              </w:rPr>
            </w:pPr>
            <w:r>
              <w:rPr>
                <w:rStyle w:val="511"/>
                <w:rFonts w:hint="default"/>
                <w:color w:val="auto"/>
                <w:highlight w:val="none"/>
              </w:rPr>
              <w:t>摄氏</w:t>
            </w:r>
            <w:r>
              <w:rPr>
                <w:color w:val="auto"/>
                <w:kern w:val="0"/>
                <w:sz w:val="22"/>
                <w:szCs w:val="22"/>
                <w:highlight w:val="none"/>
              </w:rPr>
              <w:t>23</w:t>
            </w:r>
            <w:r>
              <w:rPr>
                <w:rStyle w:val="511"/>
                <w:rFonts w:hint="default"/>
                <w:color w:val="auto"/>
                <w:highlight w:val="none"/>
              </w:rPr>
              <w:t>度下，</w:t>
            </w:r>
            <w:r>
              <w:rPr>
                <w:color w:val="auto"/>
                <w:kern w:val="0"/>
                <w:sz w:val="22"/>
                <w:szCs w:val="22"/>
                <w:highlight w:val="none"/>
              </w:rPr>
              <w:t>8</w:t>
            </w:r>
            <w:r>
              <w:rPr>
                <w:rStyle w:val="511"/>
                <w:rFonts w:hint="default"/>
                <w:color w:val="auto"/>
                <w:highlight w:val="none"/>
              </w:rPr>
              <w:t>小时内固化，抗压强度≥</w:t>
            </w:r>
            <w:r>
              <w:rPr>
                <w:color w:val="auto"/>
                <w:kern w:val="0"/>
                <w:sz w:val="22"/>
                <w:szCs w:val="22"/>
                <w:highlight w:val="none"/>
              </w:rPr>
              <w:t>30MPa</w:t>
            </w:r>
            <w:r>
              <w:rPr>
                <w:rStyle w:val="511"/>
                <w:rFonts w:hint="default"/>
                <w:color w:val="auto"/>
                <w:highlight w:val="none"/>
              </w:rPr>
              <w:t>，抗折强度≥</w:t>
            </w:r>
            <w:r>
              <w:rPr>
                <w:color w:val="auto"/>
                <w:kern w:val="0"/>
                <w:sz w:val="22"/>
                <w:szCs w:val="22"/>
                <w:highlight w:val="none"/>
              </w:rPr>
              <w:t>10MPa</w:t>
            </w:r>
            <w:r>
              <w:rPr>
                <w:rStyle w:val="511"/>
                <w:rFonts w:hint="default"/>
                <w:color w:val="auto"/>
                <w:highlight w:val="none"/>
              </w:rPr>
              <w:t>，粘接强度≥</w:t>
            </w:r>
            <w:r>
              <w:rPr>
                <w:color w:val="auto"/>
                <w:kern w:val="0"/>
                <w:sz w:val="22"/>
                <w:szCs w:val="22"/>
                <w:highlight w:val="none"/>
              </w:rPr>
              <w:t>3MPa</w:t>
            </w:r>
            <w:r>
              <w:rPr>
                <w:rStyle w:val="511"/>
                <w:rFonts w:hint="default"/>
                <w:color w:val="auto"/>
                <w:highlight w:val="none"/>
              </w:rPr>
              <w:t>；符合</w:t>
            </w:r>
            <w:r>
              <w:rPr>
                <w:color w:val="auto"/>
                <w:kern w:val="0"/>
                <w:sz w:val="22"/>
                <w:szCs w:val="22"/>
                <w:highlight w:val="none"/>
              </w:rPr>
              <w:t>GB50367-2006</w:t>
            </w:r>
            <w:r>
              <w:rPr>
                <w:rStyle w:val="511"/>
                <w:rFonts w:hint="default"/>
                <w:color w:val="auto"/>
                <w:highlight w:val="none"/>
              </w:rPr>
              <w:t>标准；</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m</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51</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51</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2445"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1.3</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双线圈高速车检器</w:t>
            </w:r>
          </w:p>
        </w:tc>
        <w:tc>
          <w:tcPr>
            <w:tcW w:w="2382" w:type="pct"/>
            <w:tcBorders>
              <w:top w:val="single" w:color="000000" w:sz="4" w:space="0"/>
              <w:left w:val="single" w:color="000000" w:sz="4" w:space="0"/>
              <w:bottom w:val="single" w:color="000000" w:sz="4" w:space="0"/>
              <w:right w:val="single" w:color="000000" w:sz="4" w:space="0"/>
            </w:tcBorders>
            <w:shd w:val="clear" w:color="auto" w:fill="auto"/>
          </w:tcPr>
          <w:p>
            <w:pPr>
              <w:widowControl/>
              <w:jc w:val="left"/>
              <w:textAlignment w:val="top"/>
              <w:rPr>
                <w:color w:val="auto"/>
                <w:sz w:val="22"/>
                <w:szCs w:val="22"/>
                <w:highlight w:val="none"/>
              </w:rPr>
            </w:pPr>
            <w:r>
              <w:rPr>
                <w:rStyle w:val="511"/>
                <w:rFonts w:hint="default"/>
                <w:color w:val="auto"/>
                <w:highlight w:val="none"/>
              </w:rPr>
              <w:t>整体结构采用分布式、模块化设计，可维护性和可靠性高；频率波动</w:t>
            </w:r>
            <w:r>
              <w:rPr>
                <w:color w:val="auto"/>
                <w:kern w:val="0"/>
                <w:sz w:val="22"/>
                <w:szCs w:val="22"/>
                <w:highlight w:val="none"/>
              </w:rPr>
              <w:t>&lt;2×10-5Hz</w:t>
            </w:r>
            <w:r>
              <w:rPr>
                <w:rStyle w:val="511"/>
                <w:rFonts w:hint="default"/>
                <w:color w:val="auto"/>
                <w:highlight w:val="none"/>
              </w:rPr>
              <w:t>；单通道</w:t>
            </w:r>
            <w:r>
              <w:rPr>
                <w:color w:val="auto"/>
                <w:kern w:val="0"/>
                <w:sz w:val="22"/>
                <w:szCs w:val="22"/>
                <w:highlight w:val="none"/>
              </w:rPr>
              <w:t>/</w:t>
            </w:r>
            <w:r>
              <w:rPr>
                <w:rStyle w:val="511"/>
                <w:rFonts w:hint="default"/>
                <w:color w:val="auto"/>
                <w:highlight w:val="none"/>
              </w:rPr>
              <w:t>四通道</w:t>
            </w:r>
            <w:r>
              <w:rPr>
                <w:color w:val="auto"/>
                <w:kern w:val="0"/>
                <w:sz w:val="22"/>
                <w:szCs w:val="22"/>
                <w:highlight w:val="none"/>
              </w:rPr>
              <w:t>320μs</w:t>
            </w:r>
            <w:r>
              <w:rPr>
                <w:rStyle w:val="511"/>
                <w:rFonts w:hint="default"/>
                <w:color w:val="auto"/>
                <w:highlight w:val="none"/>
              </w:rPr>
              <w:t>，测量误差</w:t>
            </w:r>
            <w:r>
              <w:rPr>
                <w:color w:val="auto"/>
                <w:kern w:val="0"/>
                <w:sz w:val="22"/>
                <w:szCs w:val="22"/>
                <w:highlight w:val="none"/>
              </w:rPr>
              <w:t>&lt;2×10-5Hz</w:t>
            </w:r>
            <w:r>
              <w:rPr>
                <w:rStyle w:val="511"/>
                <w:rFonts w:hint="default"/>
                <w:color w:val="auto"/>
                <w:highlight w:val="none"/>
              </w:rPr>
              <w:t>；采用高速通道顺序扫描技术，每通道</w:t>
            </w:r>
            <w:r>
              <w:rPr>
                <w:color w:val="auto"/>
                <w:kern w:val="0"/>
                <w:sz w:val="22"/>
                <w:szCs w:val="22"/>
                <w:highlight w:val="none"/>
              </w:rPr>
              <w:t>4</w:t>
            </w:r>
            <w:r>
              <w:rPr>
                <w:rStyle w:val="511"/>
                <w:rFonts w:hint="default"/>
                <w:color w:val="auto"/>
                <w:highlight w:val="none"/>
              </w:rPr>
              <w:t>种振荡频率选择开关；双</w:t>
            </w:r>
            <w:r>
              <w:rPr>
                <w:color w:val="auto"/>
                <w:kern w:val="0"/>
                <w:sz w:val="22"/>
                <w:szCs w:val="22"/>
                <w:highlight w:val="none"/>
              </w:rPr>
              <w:t>254</w:t>
            </w:r>
            <w:r>
              <w:rPr>
                <w:rStyle w:val="511"/>
                <w:rFonts w:hint="default"/>
                <w:color w:val="auto"/>
                <w:highlight w:val="none"/>
              </w:rPr>
              <w:t>级灵敏度调节范围；二维车型分类，通过车辆底盘长度和底盘高度进行分类；正行和逆行检测；双向数据检测，同时检测正行和逆行的车长、车速等数据；双通道协议输出，同时提供两个</w:t>
            </w:r>
            <w:r>
              <w:rPr>
                <w:color w:val="auto"/>
                <w:kern w:val="0"/>
                <w:sz w:val="22"/>
                <w:szCs w:val="22"/>
                <w:highlight w:val="none"/>
              </w:rPr>
              <w:t>RS232/RS485</w:t>
            </w:r>
            <w:r>
              <w:rPr>
                <w:rStyle w:val="511"/>
                <w:rFonts w:hint="default"/>
                <w:color w:val="auto"/>
                <w:highlight w:val="none"/>
              </w:rPr>
              <w:t>串行接口，分别输出统计数据和实时数据；独立配置数字</w:t>
            </w:r>
            <w:r>
              <w:rPr>
                <w:color w:val="auto"/>
                <w:kern w:val="0"/>
                <w:sz w:val="22"/>
                <w:szCs w:val="22"/>
                <w:highlight w:val="none"/>
              </w:rPr>
              <w:t>IO</w:t>
            </w:r>
            <w:r>
              <w:rPr>
                <w:rStyle w:val="511"/>
                <w:rFonts w:hint="default"/>
                <w:color w:val="auto"/>
                <w:highlight w:val="none"/>
              </w:rPr>
              <w:t>输出，每个检测卡对应每个检测线圈提供相应开关量输出，开关量输出结构用光电耦合进行隔离；每通道</w:t>
            </w:r>
            <w:r>
              <w:rPr>
                <w:color w:val="auto"/>
                <w:kern w:val="0"/>
                <w:sz w:val="22"/>
                <w:szCs w:val="22"/>
                <w:highlight w:val="none"/>
              </w:rPr>
              <w:t>4</w:t>
            </w:r>
            <w:r>
              <w:rPr>
                <w:rStyle w:val="511"/>
                <w:rFonts w:hint="default"/>
                <w:color w:val="auto"/>
                <w:highlight w:val="none"/>
              </w:rPr>
              <w:t>种数字量输出方式，通过型、存在型、扩展型、延迟型，后三种存在时间可在</w:t>
            </w:r>
            <w:r>
              <w:rPr>
                <w:color w:val="auto"/>
                <w:kern w:val="0"/>
                <w:sz w:val="22"/>
                <w:szCs w:val="22"/>
                <w:highlight w:val="none"/>
              </w:rPr>
              <w:t>1-65535</w:t>
            </w:r>
            <w:r>
              <w:rPr>
                <w:rStyle w:val="511"/>
                <w:rFonts w:hint="default"/>
                <w:color w:val="auto"/>
                <w:highlight w:val="none"/>
              </w:rPr>
              <w:t>秒之间任意设定；三重防雷</w:t>
            </w:r>
            <w:r>
              <w:rPr>
                <w:color w:val="auto"/>
                <w:kern w:val="0"/>
                <w:sz w:val="22"/>
                <w:szCs w:val="22"/>
                <w:highlight w:val="none"/>
              </w:rPr>
              <w:t>(</w:t>
            </w:r>
            <w:r>
              <w:rPr>
                <w:rStyle w:val="511"/>
                <w:rFonts w:hint="default"/>
                <w:color w:val="auto"/>
                <w:highlight w:val="none"/>
              </w:rPr>
              <w:t>半导体、隔离变压器、光隔离</w:t>
            </w:r>
            <w:r>
              <w:rPr>
                <w:color w:val="auto"/>
                <w:kern w:val="0"/>
                <w:sz w:val="22"/>
                <w:szCs w:val="22"/>
                <w:highlight w:val="none"/>
              </w:rPr>
              <w:t>)</w:t>
            </w:r>
            <w:r>
              <w:rPr>
                <w:rStyle w:val="511"/>
                <w:rFonts w:hint="default"/>
                <w:color w:val="auto"/>
                <w:highlight w:val="none"/>
              </w:rPr>
              <w:t>。（含线圈）</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rStyle w:val="510"/>
                <w:rFonts w:hint="default"/>
                <w:color w:val="auto"/>
                <w:highlight w:val="none"/>
              </w:rPr>
              <w:t>台</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2</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2</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623"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1.4</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联动控制器</w:t>
            </w:r>
          </w:p>
        </w:tc>
        <w:tc>
          <w:tcPr>
            <w:tcW w:w="2382" w:type="pct"/>
            <w:tcBorders>
              <w:top w:val="single" w:color="000000" w:sz="4" w:space="0"/>
              <w:left w:val="single" w:color="000000" w:sz="4" w:space="0"/>
              <w:bottom w:val="single" w:color="000000" w:sz="4" w:space="0"/>
              <w:right w:val="single" w:color="000000" w:sz="4" w:space="0"/>
            </w:tcBorders>
            <w:shd w:val="clear" w:color="auto" w:fill="auto"/>
          </w:tcPr>
          <w:p>
            <w:pPr>
              <w:widowControl/>
              <w:jc w:val="left"/>
              <w:textAlignment w:val="top"/>
              <w:rPr>
                <w:color w:val="auto"/>
                <w:sz w:val="22"/>
                <w:szCs w:val="22"/>
                <w:highlight w:val="none"/>
              </w:rPr>
            </w:pPr>
            <w:r>
              <w:rPr>
                <w:color w:val="auto"/>
                <w:kern w:val="0"/>
                <w:sz w:val="22"/>
                <w:szCs w:val="22"/>
                <w:highlight w:val="none"/>
              </w:rPr>
              <w:t>MCU</w:t>
            </w:r>
            <w:r>
              <w:rPr>
                <w:rStyle w:val="511"/>
                <w:rFonts w:hint="default"/>
                <w:color w:val="auto"/>
                <w:highlight w:val="none"/>
              </w:rPr>
              <w:t>：高速单片机</w:t>
            </w:r>
            <w:r>
              <w:rPr>
                <w:color w:val="auto"/>
                <w:kern w:val="0"/>
                <w:sz w:val="22"/>
                <w:szCs w:val="22"/>
                <w:highlight w:val="none"/>
              </w:rPr>
              <w:t>200MHZ</w:t>
            </w:r>
            <w:r>
              <w:rPr>
                <w:rStyle w:val="511"/>
                <w:rFonts w:hint="default"/>
                <w:color w:val="auto"/>
                <w:highlight w:val="none"/>
              </w:rPr>
              <w:t>；通讯接口：</w:t>
            </w:r>
            <w:r>
              <w:rPr>
                <w:color w:val="auto"/>
                <w:kern w:val="0"/>
                <w:sz w:val="22"/>
                <w:szCs w:val="22"/>
                <w:highlight w:val="none"/>
              </w:rPr>
              <w:t>1</w:t>
            </w:r>
            <w:r>
              <w:rPr>
                <w:rStyle w:val="511"/>
                <w:rFonts w:hint="default"/>
                <w:color w:val="auto"/>
                <w:highlight w:val="none"/>
              </w:rPr>
              <w:t>个</w:t>
            </w:r>
            <w:r>
              <w:rPr>
                <w:color w:val="auto"/>
                <w:kern w:val="0"/>
                <w:sz w:val="22"/>
                <w:szCs w:val="22"/>
                <w:highlight w:val="none"/>
              </w:rPr>
              <w:t>RS232/1</w:t>
            </w:r>
            <w:r>
              <w:rPr>
                <w:rStyle w:val="511"/>
                <w:rFonts w:hint="default"/>
                <w:color w:val="auto"/>
                <w:highlight w:val="none"/>
              </w:rPr>
              <w:t>个</w:t>
            </w:r>
            <w:r>
              <w:rPr>
                <w:color w:val="auto"/>
                <w:kern w:val="0"/>
                <w:sz w:val="22"/>
                <w:szCs w:val="22"/>
                <w:highlight w:val="none"/>
              </w:rPr>
              <w:t>RS485</w:t>
            </w:r>
            <w:r>
              <w:rPr>
                <w:rStyle w:val="511"/>
                <w:rFonts w:hint="default"/>
                <w:color w:val="auto"/>
                <w:highlight w:val="none"/>
              </w:rPr>
              <w:t>；输出：</w:t>
            </w:r>
            <w:r>
              <w:rPr>
                <w:color w:val="auto"/>
                <w:kern w:val="0"/>
                <w:sz w:val="22"/>
                <w:szCs w:val="22"/>
                <w:highlight w:val="none"/>
              </w:rPr>
              <w:t>4</w:t>
            </w:r>
            <w:r>
              <w:rPr>
                <w:rStyle w:val="511"/>
                <w:rFonts w:hint="default"/>
                <w:color w:val="auto"/>
                <w:highlight w:val="none"/>
              </w:rPr>
              <w:t>个光电隔离开关量输出；协议：兼容多家车检器通讯协议；电源：</w:t>
            </w:r>
            <w:r>
              <w:rPr>
                <w:color w:val="auto"/>
                <w:kern w:val="0"/>
                <w:sz w:val="22"/>
                <w:szCs w:val="22"/>
                <w:highlight w:val="none"/>
              </w:rPr>
              <w:t>DC12V 500mA</w:t>
            </w:r>
            <w:r>
              <w:rPr>
                <w:rStyle w:val="511"/>
                <w:rFonts w:hint="default"/>
                <w:color w:val="auto"/>
                <w:highlight w:val="none"/>
              </w:rPr>
              <w:t>；工作温度：</w:t>
            </w:r>
            <w:r>
              <w:rPr>
                <w:color w:val="auto"/>
                <w:kern w:val="0"/>
                <w:sz w:val="22"/>
                <w:szCs w:val="22"/>
                <w:highlight w:val="none"/>
              </w:rPr>
              <w:t>-30</w:t>
            </w:r>
            <w:r>
              <w:rPr>
                <w:rStyle w:val="511"/>
                <w:rFonts w:hint="default"/>
                <w:color w:val="auto"/>
                <w:highlight w:val="none"/>
              </w:rPr>
              <w:t>℃</w:t>
            </w:r>
            <w:r>
              <w:rPr>
                <w:color w:val="auto"/>
                <w:kern w:val="0"/>
                <w:sz w:val="22"/>
                <w:szCs w:val="22"/>
                <w:highlight w:val="none"/>
              </w:rPr>
              <w:t>-80</w:t>
            </w:r>
            <w:r>
              <w:rPr>
                <w:rStyle w:val="511"/>
                <w:rFonts w:hint="default"/>
                <w:color w:val="auto"/>
                <w:highlight w:val="none"/>
              </w:rPr>
              <w:t>℃</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rStyle w:val="510"/>
                <w:rFonts w:hint="default"/>
                <w:color w:val="auto"/>
                <w:highlight w:val="none"/>
              </w:rPr>
              <w:t>台</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2</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2</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1380"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1.5</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rStyle w:val="510"/>
                <w:rFonts w:hint="default"/>
                <w:color w:val="auto"/>
                <w:highlight w:val="none"/>
              </w:rPr>
              <w:t>电荷放大器</w:t>
            </w:r>
          </w:p>
        </w:tc>
        <w:tc>
          <w:tcPr>
            <w:tcW w:w="2382" w:type="pct"/>
            <w:tcBorders>
              <w:top w:val="single" w:color="000000" w:sz="4" w:space="0"/>
              <w:left w:val="single" w:color="000000" w:sz="4" w:space="0"/>
              <w:bottom w:val="single" w:color="000000" w:sz="4" w:space="0"/>
              <w:right w:val="single" w:color="000000" w:sz="4" w:space="0"/>
            </w:tcBorders>
            <w:shd w:val="clear" w:color="auto" w:fill="auto"/>
          </w:tcPr>
          <w:p>
            <w:pPr>
              <w:widowControl/>
              <w:jc w:val="left"/>
              <w:textAlignment w:val="top"/>
              <w:rPr>
                <w:color w:val="auto"/>
                <w:sz w:val="22"/>
                <w:szCs w:val="22"/>
                <w:highlight w:val="none"/>
              </w:rPr>
            </w:pPr>
            <w:r>
              <w:rPr>
                <w:rStyle w:val="511"/>
                <w:rFonts w:hint="default"/>
                <w:color w:val="auto"/>
                <w:highlight w:val="none"/>
              </w:rPr>
              <w:t>通道数：</w:t>
            </w:r>
            <w:r>
              <w:rPr>
                <w:color w:val="auto"/>
                <w:kern w:val="0"/>
                <w:sz w:val="22"/>
                <w:szCs w:val="22"/>
                <w:highlight w:val="none"/>
              </w:rPr>
              <w:t>6</w:t>
            </w:r>
            <w:r>
              <w:rPr>
                <w:rStyle w:val="511"/>
                <w:rFonts w:hint="default"/>
                <w:color w:val="auto"/>
                <w:highlight w:val="none"/>
              </w:rPr>
              <w:t>路，单车道可接入</w:t>
            </w:r>
            <w:r>
              <w:rPr>
                <w:color w:val="auto"/>
                <w:kern w:val="0"/>
                <w:sz w:val="22"/>
                <w:szCs w:val="22"/>
                <w:highlight w:val="none"/>
              </w:rPr>
              <w:t>6</w:t>
            </w:r>
            <w:r>
              <w:rPr>
                <w:rStyle w:val="511"/>
                <w:rFonts w:hint="default"/>
                <w:color w:val="auto"/>
                <w:highlight w:val="none"/>
              </w:rPr>
              <w:t>个传感器；滤波：集成带通及带阻滤波，滤波西数可调；放大倍数：可调；带宽：可调；信号输出接口：</w:t>
            </w:r>
            <w:r>
              <w:rPr>
                <w:color w:val="auto"/>
                <w:kern w:val="0"/>
                <w:sz w:val="22"/>
                <w:szCs w:val="22"/>
                <w:highlight w:val="none"/>
              </w:rPr>
              <w:t>1</w:t>
            </w:r>
            <w:r>
              <w:rPr>
                <w:rStyle w:val="511"/>
                <w:rFonts w:hint="default"/>
                <w:color w:val="auto"/>
                <w:highlight w:val="none"/>
              </w:rPr>
              <w:t>个</w:t>
            </w:r>
            <w:r>
              <w:rPr>
                <w:color w:val="auto"/>
                <w:kern w:val="0"/>
                <w:sz w:val="22"/>
                <w:szCs w:val="22"/>
                <w:highlight w:val="none"/>
              </w:rPr>
              <w:t>RS232</w:t>
            </w:r>
            <w:r>
              <w:rPr>
                <w:rStyle w:val="511"/>
                <w:rFonts w:hint="default"/>
                <w:color w:val="auto"/>
                <w:highlight w:val="none"/>
              </w:rPr>
              <w:t>和</w:t>
            </w:r>
            <w:r>
              <w:rPr>
                <w:color w:val="auto"/>
                <w:kern w:val="0"/>
                <w:sz w:val="22"/>
                <w:szCs w:val="22"/>
                <w:highlight w:val="none"/>
              </w:rPr>
              <w:t>1</w:t>
            </w:r>
            <w:r>
              <w:rPr>
                <w:rStyle w:val="511"/>
                <w:rFonts w:hint="default"/>
                <w:color w:val="auto"/>
                <w:highlight w:val="none"/>
              </w:rPr>
              <w:t>个</w:t>
            </w:r>
            <w:r>
              <w:rPr>
                <w:color w:val="auto"/>
                <w:kern w:val="0"/>
                <w:sz w:val="22"/>
                <w:szCs w:val="22"/>
                <w:highlight w:val="none"/>
              </w:rPr>
              <w:t>RS485</w:t>
            </w:r>
            <w:r>
              <w:rPr>
                <w:rStyle w:val="511"/>
                <w:rFonts w:hint="default"/>
                <w:color w:val="auto"/>
                <w:highlight w:val="none"/>
              </w:rPr>
              <w:t>；处理器：高速型单片机，主频速度</w:t>
            </w:r>
            <w:r>
              <w:rPr>
                <w:color w:val="auto"/>
                <w:kern w:val="0"/>
                <w:sz w:val="22"/>
                <w:szCs w:val="22"/>
                <w:highlight w:val="none"/>
              </w:rPr>
              <w:t>200MHZ</w:t>
            </w:r>
            <w:r>
              <w:rPr>
                <w:rStyle w:val="511"/>
                <w:rFonts w:hint="default"/>
                <w:color w:val="auto"/>
                <w:highlight w:val="none"/>
              </w:rPr>
              <w:t>；采样速度：</w:t>
            </w:r>
            <w:r>
              <w:rPr>
                <w:color w:val="auto"/>
                <w:kern w:val="0"/>
                <w:sz w:val="22"/>
                <w:szCs w:val="22"/>
                <w:highlight w:val="none"/>
              </w:rPr>
              <w:t>1MHZ</w:t>
            </w:r>
            <w:r>
              <w:rPr>
                <w:rStyle w:val="511"/>
                <w:rFonts w:hint="default"/>
                <w:color w:val="auto"/>
                <w:highlight w:val="none"/>
              </w:rPr>
              <w:t>；</w:t>
            </w:r>
            <w:r>
              <w:rPr>
                <w:color w:val="auto"/>
                <w:kern w:val="0"/>
                <w:sz w:val="22"/>
                <w:szCs w:val="22"/>
                <w:highlight w:val="none"/>
              </w:rPr>
              <w:t>NPN</w:t>
            </w:r>
            <w:r>
              <w:rPr>
                <w:rStyle w:val="511"/>
                <w:rFonts w:hint="default"/>
                <w:color w:val="auto"/>
                <w:highlight w:val="none"/>
              </w:rPr>
              <w:t>输入：</w:t>
            </w:r>
            <w:r>
              <w:rPr>
                <w:color w:val="auto"/>
                <w:kern w:val="0"/>
                <w:sz w:val="22"/>
                <w:szCs w:val="22"/>
                <w:highlight w:val="none"/>
              </w:rPr>
              <w:t>2</w:t>
            </w:r>
            <w:r>
              <w:rPr>
                <w:rStyle w:val="511"/>
                <w:rFonts w:hint="default"/>
                <w:color w:val="auto"/>
                <w:highlight w:val="none"/>
              </w:rPr>
              <w:t>组；开关量输入：</w:t>
            </w:r>
            <w:r>
              <w:rPr>
                <w:color w:val="auto"/>
                <w:kern w:val="0"/>
                <w:sz w:val="22"/>
                <w:szCs w:val="22"/>
                <w:highlight w:val="none"/>
              </w:rPr>
              <w:t>2</w:t>
            </w:r>
            <w:r>
              <w:rPr>
                <w:rStyle w:val="511"/>
                <w:rFonts w:hint="default"/>
                <w:color w:val="auto"/>
                <w:highlight w:val="none"/>
              </w:rPr>
              <w:t>组；光电隔离输出：</w:t>
            </w:r>
            <w:r>
              <w:rPr>
                <w:color w:val="auto"/>
                <w:kern w:val="0"/>
                <w:sz w:val="22"/>
                <w:szCs w:val="22"/>
                <w:highlight w:val="none"/>
              </w:rPr>
              <w:t>4</w:t>
            </w:r>
            <w:r>
              <w:rPr>
                <w:rStyle w:val="511"/>
                <w:rFonts w:hint="default"/>
                <w:color w:val="auto"/>
                <w:highlight w:val="none"/>
              </w:rPr>
              <w:t>组；工作温度：</w:t>
            </w:r>
            <w:r>
              <w:rPr>
                <w:color w:val="auto"/>
                <w:kern w:val="0"/>
                <w:sz w:val="22"/>
                <w:szCs w:val="22"/>
                <w:highlight w:val="none"/>
              </w:rPr>
              <w:t>-30</w:t>
            </w:r>
            <w:r>
              <w:rPr>
                <w:rStyle w:val="511"/>
                <w:rFonts w:hint="default"/>
                <w:color w:val="auto"/>
                <w:highlight w:val="none"/>
              </w:rPr>
              <w:t>℃～</w:t>
            </w:r>
            <w:r>
              <w:rPr>
                <w:color w:val="auto"/>
                <w:kern w:val="0"/>
                <w:sz w:val="22"/>
                <w:szCs w:val="22"/>
                <w:highlight w:val="none"/>
              </w:rPr>
              <w:t>80</w:t>
            </w:r>
            <w:r>
              <w:rPr>
                <w:rStyle w:val="511"/>
                <w:rFonts w:hint="default"/>
                <w:color w:val="auto"/>
                <w:highlight w:val="none"/>
              </w:rPr>
              <w:t>℃；工作电源：多组隔离电源；防护等级：</w:t>
            </w:r>
            <w:r>
              <w:rPr>
                <w:color w:val="auto"/>
                <w:kern w:val="0"/>
                <w:sz w:val="22"/>
                <w:szCs w:val="22"/>
                <w:highlight w:val="none"/>
              </w:rPr>
              <w:t>IP65</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rStyle w:val="510"/>
                <w:rFonts w:hint="default"/>
                <w:color w:val="auto"/>
                <w:highlight w:val="none"/>
              </w:rPr>
              <w:t>台</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2</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2</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1005"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1.6</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rStyle w:val="510"/>
                <w:rFonts w:hint="default"/>
                <w:color w:val="auto"/>
                <w:highlight w:val="none"/>
              </w:rPr>
              <w:t>串口服务器</w:t>
            </w:r>
          </w:p>
        </w:tc>
        <w:tc>
          <w:tcPr>
            <w:tcW w:w="2382" w:type="pct"/>
            <w:tcBorders>
              <w:top w:val="single" w:color="000000" w:sz="4" w:space="0"/>
              <w:left w:val="single" w:color="000000" w:sz="4" w:space="0"/>
              <w:bottom w:val="single" w:color="000000" w:sz="4" w:space="0"/>
              <w:right w:val="single" w:color="000000" w:sz="4" w:space="0"/>
            </w:tcBorders>
            <w:shd w:val="clear" w:color="auto" w:fill="auto"/>
          </w:tcPr>
          <w:p>
            <w:pPr>
              <w:widowControl/>
              <w:jc w:val="left"/>
              <w:textAlignment w:val="top"/>
              <w:rPr>
                <w:color w:val="auto"/>
                <w:sz w:val="22"/>
                <w:szCs w:val="22"/>
                <w:highlight w:val="none"/>
              </w:rPr>
            </w:pPr>
            <w:r>
              <w:rPr>
                <w:rStyle w:val="511"/>
                <w:rFonts w:hint="default"/>
                <w:color w:val="auto"/>
                <w:highlight w:val="none"/>
              </w:rPr>
              <w:t>采用</w:t>
            </w:r>
            <w:r>
              <w:rPr>
                <w:color w:val="auto"/>
                <w:kern w:val="0"/>
                <w:sz w:val="22"/>
                <w:szCs w:val="22"/>
                <w:highlight w:val="none"/>
              </w:rPr>
              <w:t>32</w:t>
            </w:r>
            <w:r>
              <w:rPr>
                <w:rFonts w:hint="eastAsia" w:ascii="宋体" w:hAnsi="宋体" w:cs="宋体"/>
                <w:color w:val="auto"/>
                <w:kern w:val="0"/>
                <w:sz w:val="22"/>
                <w:szCs w:val="22"/>
                <w:highlight w:val="none"/>
              </w:rPr>
              <w:t>位</w:t>
            </w:r>
            <w:r>
              <w:rPr>
                <w:color w:val="auto"/>
                <w:kern w:val="0"/>
                <w:sz w:val="22"/>
                <w:szCs w:val="22"/>
                <w:highlight w:val="none"/>
              </w:rPr>
              <w:t>ARM</w:t>
            </w:r>
            <w:r>
              <w:rPr>
                <w:rFonts w:hint="eastAsia" w:ascii="宋体" w:hAnsi="宋体" w:cs="宋体"/>
                <w:color w:val="auto"/>
                <w:kern w:val="0"/>
                <w:sz w:val="22"/>
                <w:szCs w:val="22"/>
                <w:highlight w:val="none"/>
              </w:rPr>
              <w:t>处理器</w:t>
            </w:r>
            <w:r>
              <w:rPr>
                <w:color w:val="auto"/>
                <w:kern w:val="0"/>
                <w:sz w:val="22"/>
                <w:szCs w:val="22"/>
                <w:highlight w:val="none"/>
              </w:rPr>
              <w:t>+RTOS</w:t>
            </w:r>
            <w:r>
              <w:rPr>
                <w:rFonts w:hint="eastAsia" w:ascii="宋体" w:hAnsi="宋体" w:cs="宋体"/>
                <w:color w:val="auto"/>
                <w:kern w:val="0"/>
                <w:sz w:val="22"/>
                <w:szCs w:val="22"/>
                <w:highlight w:val="none"/>
              </w:rPr>
              <w:t>，具有更强大的实时处理能力；具有</w:t>
            </w:r>
            <w:r>
              <w:rPr>
                <w:color w:val="auto"/>
                <w:kern w:val="0"/>
                <w:sz w:val="22"/>
                <w:szCs w:val="22"/>
                <w:highlight w:val="none"/>
              </w:rPr>
              <w:t>TCP Server</w:t>
            </w:r>
            <w:r>
              <w:rPr>
                <w:rFonts w:hint="eastAsia" w:ascii="宋体" w:hAnsi="宋体" w:cs="宋体"/>
                <w:color w:val="auto"/>
                <w:kern w:val="0"/>
                <w:sz w:val="22"/>
                <w:szCs w:val="22"/>
                <w:highlight w:val="none"/>
              </w:rPr>
              <w:t>、</w:t>
            </w:r>
            <w:r>
              <w:rPr>
                <w:color w:val="auto"/>
                <w:kern w:val="0"/>
                <w:sz w:val="22"/>
                <w:szCs w:val="22"/>
                <w:highlight w:val="none"/>
              </w:rPr>
              <w:t>TCP Client</w:t>
            </w:r>
            <w:r>
              <w:rPr>
                <w:rFonts w:hint="eastAsia" w:ascii="宋体" w:hAnsi="宋体" w:cs="宋体"/>
                <w:color w:val="auto"/>
                <w:kern w:val="0"/>
                <w:sz w:val="22"/>
                <w:szCs w:val="22"/>
                <w:highlight w:val="none"/>
              </w:rPr>
              <w:t>、</w:t>
            </w:r>
            <w:r>
              <w:rPr>
                <w:color w:val="auto"/>
                <w:kern w:val="0"/>
                <w:sz w:val="22"/>
                <w:szCs w:val="22"/>
                <w:highlight w:val="none"/>
              </w:rPr>
              <w:t>UDP</w:t>
            </w:r>
            <w:r>
              <w:rPr>
                <w:rFonts w:hint="eastAsia" w:ascii="宋体" w:hAnsi="宋体" w:cs="宋体"/>
                <w:color w:val="auto"/>
                <w:kern w:val="0"/>
                <w:sz w:val="22"/>
                <w:szCs w:val="22"/>
                <w:highlight w:val="none"/>
              </w:rPr>
              <w:t>、虚拟串口、点对点连接等操作模式；用户基于网络的软件，不需要做任何修改就可以与</w:t>
            </w:r>
            <w:r>
              <w:rPr>
                <w:color w:val="auto"/>
                <w:kern w:val="0"/>
                <w:sz w:val="22"/>
                <w:szCs w:val="22"/>
                <w:highlight w:val="none"/>
              </w:rPr>
              <w:t>C2000 N380D-M</w:t>
            </w:r>
            <w:r>
              <w:rPr>
                <w:rFonts w:hint="eastAsia" w:ascii="宋体" w:hAnsi="宋体" w:cs="宋体"/>
                <w:color w:val="auto"/>
                <w:kern w:val="0"/>
                <w:sz w:val="22"/>
                <w:szCs w:val="22"/>
                <w:highlight w:val="none"/>
              </w:rPr>
              <w:t>通讯；看门狗设计，稳定性高；电源具有良好的过流过压、防反接保护功能。</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rStyle w:val="510"/>
                <w:rFonts w:hint="default"/>
                <w:color w:val="auto"/>
                <w:highlight w:val="none"/>
              </w:rPr>
              <w:t>台</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2</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2</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1440"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1.7</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高速动态称重控制器</w:t>
            </w:r>
          </w:p>
        </w:tc>
        <w:tc>
          <w:tcPr>
            <w:tcW w:w="2382" w:type="pct"/>
            <w:tcBorders>
              <w:top w:val="single" w:color="000000" w:sz="4" w:space="0"/>
              <w:left w:val="single" w:color="000000" w:sz="4" w:space="0"/>
              <w:bottom w:val="single" w:color="000000" w:sz="4" w:space="0"/>
              <w:right w:val="single" w:color="000000" w:sz="4" w:space="0"/>
            </w:tcBorders>
            <w:shd w:val="clear" w:color="auto" w:fill="auto"/>
          </w:tcPr>
          <w:p>
            <w:pPr>
              <w:widowControl/>
              <w:jc w:val="left"/>
              <w:textAlignment w:val="top"/>
              <w:rPr>
                <w:color w:val="auto"/>
                <w:sz w:val="22"/>
                <w:szCs w:val="22"/>
                <w:highlight w:val="none"/>
              </w:rPr>
            </w:pPr>
            <w:r>
              <w:rPr>
                <w:rStyle w:val="511"/>
                <w:rFonts w:hint="default"/>
                <w:color w:val="auto"/>
                <w:highlight w:val="none"/>
              </w:rPr>
              <w:t>称重控制仪表采用低功耗</w:t>
            </w:r>
            <w:r>
              <w:rPr>
                <w:color w:val="auto"/>
                <w:kern w:val="0"/>
                <w:sz w:val="22"/>
                <w:szCs w:val="22"/>
                <w:highlight w:val="none"/>
              </w:rPr>
              <w:t>ARM</w:t>
            </w:r>
            <w:r>
              <w:rPr>
                <w:rStyle w:val="511"/>
                <w:rFonts w:hint="default"/>
                <w:color w:val="auto"/>
                <w:highlight w:val="none"/>
              </w:rPr>
              <w:t>嵌入式架构，能够采集</w:t>
            </w:r>
            <w:r>
              <w:rPr>
                <w:color w:val="auto"/>
                <w:kern w:val="0"/>
                <w:sz w:val="22"/>
                <w:szCs w:val="22"/>
                <w:highlight w:val="none"/>
              </w:rPr>
              <w:t>8</w:t>
            </w:r>
            <w:r>
              <w:rPr>
                <w:rStyle w:val="511"/>
                <w:rFonts w:hint="default"/>
                <w:color w:val="auto"/>
                <w:highlight w:val="none"/>
              </w:rPr>
              <w:t>个车道处理数据、车牌摄像机数据，经过运算处理成一个完整的车辆信息、称重信息和车号，包括：轴数、轴距、轴重、总重、车速、车牌照片、车牌号码等。该称重控制器具有自诊断功能，发生故障时能够通过信息接口向外部发出故障信息；具备断网数据缓存功能；当网络发送数据失败时，自动重发数据，保持数据的唯一性和完整性；内置硬件看门狗，消除机器死机故障。</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rStyle w:val="510"/>
                <w:rFonts w:hint="default"/>
                <w:color w:val="auto"/>
                <w:highlight w:val="none"/>
              </w:rPr>
              <w:t>套</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2</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2</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975"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1.8</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rStyle w:val="510"/>
                <w:rFonts w:hint="default"/>
                <w:color w:val="auto"/>
                <w:highlight w:val="none"/>
              </w:rPr>
              <w:t>野外控制机柜</w:t>
            </w:r>
          </w:p>
        </w:tc>
        <w:tc>
          <w:tcPr>
            <w:tcW w:w="2382" w:type="pct"/>
            <w:tcBorders>
              <w:top w:val="single" w:color="000000" w:sz="4" w:space="0"/>
              <w:left w:val="single" w:color="000000" w:sz="4" w:space="0"/>
              <w:bottom w:val="single" w:color="000000" w:sz="4" w:space="0"/>
              <w:right w:val="single" w:color="000000" w:sz="4" w:space="0"/>
            </w:tcBorders>
            <w:shd w:val="clear" w:color="auto" w:fill="auto"/>
          </w:tcPr>
          <w:p>
            <w:pPr>
              <w:widowControl/>
              <w:jc w:val="left"/>
              <w:textAlignment w:val="top"/>
              <w:rPr>
                <w:color w:val="auto"/>
                <w:sz w:val="22"/>
                <w:szCs w:val="22"/>
                <w:highlight w:val="none"/>
              </w:rPr>
            </w:pPr>
            <w:r>
              <w:rPr>
                <w:rStyle w:val="511"/>
                <w:rFonts w:hint="default"/>
                <w:color w:val="auto"/>
                <w:highlight w:val="none"/>
              </w:rPr>
              <w:t>箱体采用不锈钢；内有独立仪表外壳，防护性能好，抗电磁干扰性能强；机柜内置温控器和轴流风机，调节机柜内始终处于适当的温度范围内；门锁采用防盗锁；防护等级：</w:t>
            </w:r>
            <w:r>
              <w:rPr>
                <w:color w:val="auto"/>
                <w:kern w:val="0"/>
                <w:sz w:val="22"/>
                <w:szCs w:val="22"/>
                <w:highlight w:val="none"/>
              </w:rPr>
              <w:t>IP65</w:t>
            </w:r>
            <w:r>
              <w:rPr>
                <w:rStyle w:val="511"/>
                <w:rFonts w:hint="default"/>
                <w:color w:val="auto"/>
                <w:highlight w:val="none"/>
              </w:rPr>
              <w:t>；使用寿命大于</w:t>
            </w:r>
            <w:r>
              <w:rPr>
                <w:color w:val="auto"/>
                <w:kern w:val="0"/>
                <w:sz w:val="22"/>
                <w:szCs w:val="22"/>
                <w:highlight w:val="none"/>
              </w:rPr>
              <w:t>l0</w:t>
            </w:r>
            <w:r>
              <w:rPr>
                <w:rStyle w:val="511"/>
                <w:rFonts w:hint="default"/>
                <w:color w:val="auto"/>
                <w:highlight w:val="none"/>
              </w:rPr>
              <w:t>年；相对湿度：</w:t>
            </w:r>
            <w:r>
              <w:rPr>
                <w:color w:val="auto"/>
                <w:kern w:val="0"/>
                <w:sz w:val="22"/>
                <w:szCs w:val="22"/>
                <w:highlight w:val="none"/>
              </w:rPr>
              <w:t>0</w:t>
            </w:r>
            <w:r>
              <w:rPr>
                <w:rStyle w:val="511"/>
                <w:rFonts w:hint="default"/>
                <w:color w:val="auto"/>
                <w:highlight w:val="none"/>
              </w:rPr>
              <w:t>～</w:t>
            </w:r>
            <w:r>
              <w:rPr>
                <w:color w:val="auto"/>
                <w:kern w:val="0"/>
                <w:sz w:val="22"/>
                <w:szCs w:val="22"/>
                <w:highlight w:val="none"/>
              </w:rPr>
              <w:t>95</w:t>
            </w:r>
            <w:r>
              <w:rPr>
                <w:rStyle w:val="511"/>
                <w:rFonts w:hint="default"/>
                <w:color w:val="auto"/>
                <w:highlight w:val="none"/>
              </w:rPr>
              <w:t>％</w:t>
            </w:r>
            <w:r>
              <w:rPr>
                <w:color w:val="auto"/>
                <w:kern w:val="0"/>
                <w:sz w:val="22"/>
                <w:szCs w:val="22"/>
                <w:highlight w:val="none"/>
              </w:rPr>
              <w:t>R.H</w:t>
            </w:r>
            <w:r>
              <w:rPr>
                <w:rStyle w:val="511"/>
                <w:rFonts w:hint="default"/>
                <w:color w:val="auto"/>
                <w:highlight w:val="none"/>
              </w:rPr>
              <w:t>；工作温度：</w:t>
            </w:r>
            <w:r>
              <w:rPr>
                <w:color w:val="auto"/>
                <w:kern w:val="0"/>
                <w:sz w:val="22"/>
                <w:szCs w:val="22"/>
                <w:highlight w:val="none"/>
              </w:rPr>
              <w:t>-30</w:t>
            </w:r>
            <w:r>
              <w:rPr>
                <w:rStyle w:val="511"/>
                <w:rFonts w:hint="default"/>
                <w:color w:val="auto"/>
                <w:highlight w:val="none"/>
              </w:rPr>
              <w:t>℃～</w:t>
            </w:r>
            <w:r>
              <w:rPr>
                <w:color w:val="auto"/>
                <w:kern w:val="0"/>
                <w:sz w:val="22"/>
                <w:szCs w:val="22"/>
                <w:highlight w:val="none"/>
              </w:rPr>
              <w:t>+60</w:t>
            </w:r>
            <w:r>
              <w:rPr>
                <w:rStyle w:val="511"/>
                <w:rFonts w:hint="default"/>
                <w:color w:val="auto"/>
                <w:highlight w:val="none"/>
              </w:rPr>
              <w:t>℃；</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rStyle w:val="510"/>
                <w:rFonts w:hint="default"/>
                <w:color w:val="auto"/>
                <w:highlight w:val="none"/>
              </w:rPr>
              <w:t>套</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2</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2</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39"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1.9</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rStyle w:val="510"/>
                <w:rFonts w:hint="default"/>
                <w:color w:val="auto"/>
                <w:highlight w:val="none"/>
              </w:rPr>
              <w:t>安装附件</w:t>
            </w: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color w:val="auto"/>
                <w:sz w:val="24"/>
                <w:highlight w:val="none"/>
              </w:rPr>
            </w:pP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rStyle w:val="510"/>
                <w:rFonts w:hint="default"/>
                <w:color w:val="auto"/>
                <w:highlight w:val="none"/>
              </w:rPr>
              <w:t>套</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2</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2</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39"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1.10</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rStyle w:val="510"/>
                <w:rFonts w:hint="default"/>
                <w:color w:val="auto"/>
                <w:highlight w:val="none"/>
              </w:rPr>
              <w:t>工业级交换机</w:t>
            </w: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rPr>
              <w:t>千兆</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rStyle w:val="510"/>
                <w:rFonts w:hint="default"/>
                <w:color w:val="auto"/>
                <w:highlight w:val="none"/>
              </w:rPr>
              <w:t>台</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2</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1</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1</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39"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b/>
                <w:bCs/>
                <w:color w:val="auto"/>
                <w:sz w:val="24"/>
                <w:highlight w:val="none"/>
              </w:rPr>
            </w:pPr>
            <w:r>
              <w:rPr>
                <w:b/>
                <w:bCs/>
                <w:color w:val="auto"/>
                <w:kern w:val="0"/>
                <w:sz w:val="24"/>
                <w:highlight w:val="none"/>
              </w:rPr>
              <w:t>2</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b/>
                <w:bCs/>
                <w:color w:val="auto"/>
                <w:sz w:val="24"/>
                <w:highlight w:val="none"/>
              </w:rPr>
            </w:pPr>
            <w:r>
              <w:rPr>
                <w:rFonts w:hint="eastAsia" w:ascii="宋体" w:hAnsi="宋体" w:cs="宋体"/>
                <w:b/>
                <w:bCs/>
                <w:color w:val="auto"/>
                <w:kern w:val="0"/>
                <w:sz w:val="24"/>
                <w:highlight w:val="none"/>
              </w:rPr>
              <w:t>车牌自动识别系统</w:t>
            </w: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b/>
                <w:bCs/>
                <w:color w:val="auto"/>
                <w:sz w:val="22"/>
                <w:szCs w:val="22"/>
                <w:highlight w:val="none"/>
              </w:rPr>
            </w:pP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b/>
                <w:bCs/>
                <w:color w:val="auto"/>
                <w:sz w:val="24"/>
                <w:highlight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b/>
                <w:bCs/>
                <w:color w:val="auto"/>
                <w:sz w:val="24"/>
                <w:highlight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b/>
                <w:bCs/>
                <w:color w:val="auto"/>
                <w:sz w:val="24"/>
                <w:highlight w:val="none"/>
              </w:rPr>
            </w:pP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auto"/>
                <w:sz w:val="24"/>
                <w:highlight w:val="none"/>
              </w:rPr>
            </w:pP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noWrap/>
            <w:vAlign w:val="center"/>
          </w:tcPr>
          <w:p>
            <w:pPr>
              <w:rPr>
                <w:b/>
                <w:bCs/>
                <w:color w:val="auto"/>
                <w:sz w:val="24"/>
                <w:highlight w:val="none"/>
              </w:rPr>
            </w:pPr>
          </w:p>
        </w:tc>
      </w:tr>
      <w:tr>
        <w:tblPrEx>
          <w:tblCellMar>
            <w:top w:w="0" w:type="dxa"/>
            <w:left w:w="108" w:type="dxa"/>
            <w:bottom w:w="0" w:type="dxa"/>
            <w:right w:w="108" w:type="dxa"/>
          </w:tblCellMar>
        </w:tblPrEx>
        <w:trPr>
          <w:trHeight w:val="439"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2.1</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车牌识别抓拍摄像机</w:t>
            </w: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color w:val="auto"/>
                <w:sz w:val="22"/>
                <w:szCs w:val="22"/>
                <w:highlight w:val="none"/>
              </w:rPr>
            </w:pPr>
            <w:r>
              <w:rPr>
                <w:rStyle w:val="511"/>
                <w:rFonts w:hint="default"/>
                <w:color w:val="auto"/>
                <w:highlight w:val="none"/>
              </w:rPr>
              <w:t>新增摄像机为</w:t>
            </w:r>
            <w:r>
              <w:rPr>
                <w:color w:val="auto"/>
                <w:kern w:val="0"/>
                <w:sz w:val="22"/>
                <w:szCs w:val="22"/>
                <w:highlight w:val="none"/>
              </w:rPr>
              <w:t>900</w:t>
            </w:r>
            <w:r>
              <w:rPr>
                <w:rStyle w:val="511"/>
                <w:rFonts w:hint="default"/>
                <w:color w:val="auto"/>
                <w:highlight w:val="none"/>
              </w:rPr>
              <w:t>万像素，利旧摄像机为</w:t>
            </w:r>
            <w:r>
              <w:rPr>
                <w:color w:val="auto"/>
                <w:kern w:val="0"/>
                <w:sz w:val="22"/>
                <w:szCs w:val="22"/>
                <w:highlight w:val="none"/>
              </w:rPr>
              <w:t>700</w:t>
            </w:r>
            <w:r>
              <w:rPr>
                <w:rStyle w:val="511"/>
                <w:rFonts w:hint="default"/>
                <w:color w:val="auto"/>
                <w:highlight w:val="none"/>
              </w:rPr>
              <w:t>万像素</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rStyle w:val="510"/>
                <w:rFonts w:hint="default"/>
                <w:color w:val="auto"/>
                <w:highlight w:val="none"/>
              </w:rPr>
              <w:t>套</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14</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4</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10</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690"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2.2</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补光灯</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color w:val="auto"/>
                <w:sz w:val="22"/>
                <w:szCs w:val="22"/>
                <w:highlight w:val="none"/>
              </w:rPr>
            </w:pPr>
            <w:r>
              <w:rPr>
                <w:rStyle w:val="511"/>
                <w:rFonts w:hint="default"/>
                <w:color w:val="auto"/>
                <w:highlight w:val="none"/>
              </w:rPr>
              <w:t>补光范围主光面半径</w:t>
            </w:r>
            <w:r>
              <w:rPr>
                <w:color w:val="auto"/>
                <w:kern w:val="0"/>
                <w:sz w:val="22"/>
                <w:szCs w:val="22"/>
                <w:highlight w:val="none"/>
              </w:rPr>
              <w:t>9-12</w:t>
            </w:r>
            <w:r>
              <w:rPr>
                <w:rStyle w:val="511"/>
                <w:rFonts w:hint="default"/>
                <w:color w:val="auto"/>
                <w:highlight w:val="none"/>
              </w:rPr>
              <w:t>米，距离</w:t>
            </w:r>
            <w:r>
              <w:rPr>
                <w:color w:val="auto"/>
                <w:kern w:val="0"/>
                <w:sz w:val="22"/>
                <w:szCs w:val="22"/>
                <w:highlight w:val="none"/>
              </w:rPr>
              <w:t>20</w:t>
            </w:r>
            <w:r>
              <w:rPr>
                <w:rStyle w:val="511"/>
                <w:rFonts w:hint="default"/>
                <w:color w:val="auto"/>
                <w:highlight w:val="none"/>
              </w:rPr>
              <w:t>米，工作温度</w:t>
            </w:r>
            <w:r>
              <w:rPr>
                <w:color w:val="auto"/>
                <w:kern w:val="0"/>
                <w:sz w:val="22"/>
                <w:szCs w:val="22"/>
                <w:highlight w:val="none"/>
              </w:rPr>
              <w:t>-40</w:t>
            </w:r>
            <w:r>
              <w:rPr>
                <w:rStyle w:val="511"/>
                <w:rFonts w:hint="default"/>
                <w:color w:val="auto"/>
                <w:highlight w:val="none"/>
              </w:rPr>
              <w:t>℃</w:t>
            </w:r>
            <w:r>
              <w:rPr>
                <w:color w:val="auto"/>
                <w:kern w:val="0"/>
                <w:sz w:val="22"/>
                <w:szCs w:val="22"/>
                <w:highlight w:val="none"/>
              </w:rPr>
              <w:t>~+70</w:t>
            </w:r>
            <w:r>
              <w:rPr>
                <w:rStyle w:val="511"/>
                <w:rFonts w:hint="default"/>
                <w:color w:val="auto"/>
                <w:highlight w:val="none"/>
              </w:rPr>
              <w:t>℃，平均功耗</w:t>
            </w:r>
            <w:r>
              <w:rPr>
                <w:color w:val="auto"/>
                <w:kern w:val="0"/>
                <w:sz w:val="22"/>
                <w:szCs w:val="22"/>
                <w:highlight w:val="none"/>
              </w:rPr>
              <w:t>35W</w:t>
            </w:r>
            <w:r>
              <w:rPr>
                <w:rStyle w:val="511"/>
                <w:rFonts w:hint="default"/>
                <w:color w:val="auto"/>
                <w:highlight w:val="none"/>
              </w:rPr>
              <w:t>，使用寿命＞</w:t>
            </w:r>
            <w:r>
              <w:rPr>
                <w:color w:val="auto"/>
                <w:kern w:val="0"/>
                <w:sz w:val="22"/>
                <w:szCs w:val="22"/>
                <w:highlight w:val="none"/>
              </w:rPr>
              <w:t>50000</w:t>
            </w:r>
            <w:r>
              <w:rPr>
                <w:rStyle w:val="511"/>
                <w:rFonts w:hint="default"/>
                <w:color w:val="auto"/>
                <w:highlight w:val="none"/>
              </w:rPr>
              <w:t>小时，防护等级</w:t>
            </w:r>
            <w:r>
              <w:rPr>
                <w:color w:val="auto"/>
                <w:kern w:val="0"/>
                <w:sz w:val="22"/>
                <w:szCs w:val="22"/>
                <w:highlight w:val="none"/>
              </w:rPr>
              <w:t>IP66</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rStyle w:val="510"/>
                <w:rFonts w:hint="default"/>
                <w:color w:val="auto"/>
                <w:highlight w:val="none"/>
              </w:rPr>
              <w:t>套</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4</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4</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62"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2.3</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闪光灯</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color w:val="auto"/>
                <w:sz w:val="22"/>
                <w:szCs w:val="22"/>
                <w:highlight w:val="none"/>
              </w:rPr>
            </w:pP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rStyle w:val="510"/>
                <w:rFonts w:hint="default"/>
                <w:color w:val="auto"/>
                <w:highlight w:val="none"/>
              </w:rPr>
              <w:t>套</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14</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14</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62"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2.4</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29m</w:t>
            </w:r>
            <w:r>
              <w:rPr>
                <w:rStyle w:val="510"/>
                <w:rFonts w:hint="default"/>
                <w:color w:val="auto"/>
                <w:highlight w:val="none"/>
              </w:rPr>
              <w:t>跨径设备门架</w:t>
            </w: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rPr>
              <w:t>三立柱，含基础及预埋件</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rStyle w:val="510"/>
                <w:rFonts w:hint="default"/>
                <w:color w:val="auto"/>
                <w:highlight w:val="none"/>
              </w:rPr>
              <w:t>套</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2</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2</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62"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2.5</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rStyle w:val="510"/>
                <w:rFonts w:hint="default"/>
                <w:color w:val="auto"/>
                <w:highlight w:val="none"/>
              </w:rPr>
              <w:t>通讯</w:t>
            </w: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color w:val="auto"/>
                <w:sz w:val="22"/>
                <w:szCs w:val="22"/>
                <w:highlight w:val="none"/>
              </w:rPr>
            </w:pP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rStyle w:val="510"/>
                <w:rFonts w:hint="default"/>
                <w:color w:val="auto"/>
                <w:highlight w:val="none"/>
              </w:rPr>
              <w:t>套</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14</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14</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62"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b/>
                <w:bCs/>
                <w:color w:val="auto"/>
                <w:sz w:val="24"/>
                <w:highlight w:val="none"/>
              </w:rPr>
            </w:pPr>
            <w:r>
              <w:rPr>
                <w:b/>
                <w:bCs/>
                <w:color w:val="auto"/>
                <w:kern w:val="0"/>
                <w:sz w:val="24"/>
                <w:highlight w:val="none"/>
              </w:rPr>
              <w:t>3</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 w:val="24"/>
                <w:highlight w:val="none"/>
              </w:rPr>
            </w:pPr>
            <w:r>
              <w:rPr>
                <w:rFonts w:hint="eastAsia" w:ascii="宋体" w:hAnsi="宋体" w:cs="宋体"/>
                <w:b/>
                <w:bCs/>
                <w:color w:val="auto"/>
                <w:kern w:val="0"/>
                <w:sz w:val="24"/>
                <w:highlight w:val="none"/>
              </w:rPr>
              <w:t>可变信息标志</w:t>
            </w: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b/>
                <w:bCs/>
                <w:color w:val="auto"/>
                <w:sz w:val="22"/>
                <w:szCs w:val="22"/>
                <w:highlight w:val="none"/>
              </w:rPr>
            </w:pP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auto"/>
                <w:sz w:val="24"/>
                <w:highlight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auto"/>
                <w:sz w:val="24"/>
                <w:highlight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auto"/>
                <w:sz w:val="24"/>
                <w:highlight w:val="none"/>
              </w:rPr>
            </w:pP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auto"/>
                <w:sz w:val="24"/>
                <w:highlight w:val="none"/>
              </w:rPr>
            </w:pP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noWrap/>
            <w:vAlign w:val="center"/>
          </w:tcPr>
          <w:p>
            <w:pPr>
              <w:rPr>
                <w:b/>
                <w:bCs/>
                <w:color w:val="auto"/>
                <w:sz w:val="24"/>
                <w:highlight w:val="none"/>
              </w:rPr>
            </w:pPr>
          </w:p>
        </w:tc>
      </w:tr>
      <w:tr>
        <w:tblPrEx>
          <w:tblCellMar>
            <w:top w:w="0" w:type="dxa"/>
            <w:left w:w="108" w:type="dxa"/>
            <w:bottom w:w="0" w:type="dxa"/>
            <w:right w:w="108" w:type="dxa"/>
          </w:tblCellMar>
        </w:tblPrEx>
        <w:trPr>
          <w:trHeight w:val="462"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3.1</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rStyle w:val="510"/>
                <w:rFonts w:hint="default"/>
                <w:color w:val="auto"/>
                <w:highlight w:val="none"/>
              </w:rPr>
              <w:t>屏体</w:t>
            </w: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color w:val="auto"/>
                <w:sz w:val="22"/>
                <w:szCs w:val="22"/>
                <w:highlight w:val="none"/>
              </w:rPr>
            </w:pPr>
            <w:r>
              <w:rPr>
                <w:color w:val="auto"/>
                <w:kern w:val="0"/>
                <w:sz w:val="22"/>
                <w:szCs w:val="22"/>
                <w:highlight w:val="none"/>
              </w:rPr>
              <w:t>8×1</w:t>
            </w:r>
            <w:r>
              <w:rPr>
                <w:rStyle w:val="511"/>
                <w:rFonts w:hint="default"/>
                <w:color w:val="auto"/>
                <w:highlight w:val="none"/>
              </w:rPr>
              <w:t>，双基色</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rStyle w:val="510"/>
                <w:rFonts w:hint="default"/>
                <w:color w:val="auto"/>
                <w:highlight w:val="none"/>
              </w:rPr>
              <w:t>套</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2</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2</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62"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3.2</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rStyle w:val="510"/>
                <w:rFonts w:hint="default"/>
                <w:color w:val="auto"/>
                <w:highlight w:val="none"/>
              </w:rPr>
              <w:t>屏幕控制器</w:t>
            </w: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color w:val="auto"/>
                <w:sz w:val="22"/>
                <w:szCs w:val="22"/>
                <w:highlight w:val="none"/>
              </w:rPr>
            </w:pP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rStyle w:val="510"/>
                <w:rFonts w:hint="default"/>
                <w:color w:val="auto"/>
                <w:highlight w:val="none"/>
              </w:rPr>
              <w:t>套</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2</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2</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62"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3.3</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14.25m</w:t>
            </w:r>
            <w:r>
              <w:rPr>
                <w:rStyle w:val="510"/>
                <w:rFonts w:hint="default"/>
                <w:color w:val="auto"/>
                <w:highlight w:val="none"/>
              </w:rPr>
              <w:t>跨径门架</w:t>
            </w: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rPr>
              <w:t>基础（含预埋件），快速路标志3.5m×2.8m安装于此门架，快速路标志不含在本工程内</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rStyle w:val="510"/>
                <w:rFonts w:hint="default"/>
                <w:color w:val="auto"/>
                <w:highlight w:val="none"/>
              </w:rPr>
              <w:t>套</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1</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1</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62"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3.4</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14.25m</w:t>
            </w:r>
            <w:r>
              <w:rPr>
                <w:rStyle w:val="510"/>
                <w:rFonts w:hint="default"/>
                <w:color w:val="auto"/>
                <w:highlight w:val="none"/>
              </w:rPr>
              <w:t>跨径门架</w:t>
            </w: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基础预埋于桥梁（含预埋件），拆除原有护栏混凝土部分，保留原有护栏钢筋，待背包钢筋施工后重新浇筑</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rStyle w:val="510"/>
                <w:rFonts w:hint="default"/>
                <w:color w:val="auto"/>
                <w:highlight w:val="none"/>
              </w:rPr>
              <w:t>套</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1</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1</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62"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3.5</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rStyle w:val="510"/>
                <w:rFonts w:hint="default"/>
                <w:color w:val="auto"/>
                <w:highlight w:val="none"/>
              </w:rPr>
              <w:t>通讯</w:t>
            </w: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color w:val="auto"/>
                <w:sz w:val="22"/>
                <w:szCs w:val="22"/>
                <w:highlight w:val="none"/>
              </w:rPr>
            </w:pP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rStyle w:val="510"/>
                <w:rFonts w:hint="default"/>
                <w:color w:val="auto"/>
                <w:highlight w:val="none"/>
              </w:rPr>
              <w:t>套</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2</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2</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62"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3.6</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rStyle w:val="510"/>
                <w:rFonts w:hint="default"/>
                <w:color w:val="auto"/>
                <w:highlight w:val="none"/>
              </w:rPr>
              <w:t>屏体防雷</w:t>
            </w: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auto"/>
                <w:sz w:val="22"/>
                <w:szCs w:val="22"/>
                <w:highlight w:val="none"/>
              </w:rPr>
            </w:pP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rStyle w:val="510"/>
                <w:rFonts w:hint="default"/>
                <w:color w:val="auto"/>
                <w:highlight w:val="none"/>
              </w:rPr>
              <w:t>套</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2</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2</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62"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b/>
                <w:bCs/>
                <w:color w:val="auto"/>
                <w:sz w:val="24"/>
                <w:highlight w:val="none"/>
              </w:rPr>
            </w:pPr>
            <w:r>
              <w:rPr>
                <w:rFonts w:hint="eastAsia" w:ascii="宋体" w:hAnsi="宋体" w:cs="宋体"/>
                <w:b/>
                <w:bCs/>
                <w:color w:val="auto"/>
                <w:kern w:val="0"/>
                <w:sz w:val="24"/>
                <w:highlight w:val="none"/>
              </w:rPr>
              <w:t>二</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b/>
                <w:bCs/>
                <w:color w:val="auto"/>
                <w:sz w:val="24"/>
                <w:highlight w:val="none"/>
              </w:rPr>
            </w:pPr>
            <w:r>
              <w:rPr>
                <w:rFonts w:hint="eastAsia" w:ascii="宋体" w:hAnsi="宋体" w:cs="宋体"/>
                <w:b/>
                <w:bCs/>
                <w:color w:val="auto"/>
                <w:kern w:val="0"/>
                <w:sz w:val="24"/>
                <w:highlight w:val="none"/>
              </w:rPr>
              <w:t>通信及监控系统</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b/>
                <w:bCs/>
                <w:color w:val="auto"/>
                <w:sz w:val="22"/>
                <w:szCs w:val="22"/>
                <w:highlight w:val="none"/>
              </w:rPr>
            </w:pP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b/>
                <w:bCs/>
                <w:color w:val="auto"/>
                <w:sz w:val="24"/>
                <w:highlight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b/>
                <w:bCs/>
                <w:color w:val="auto"/>
                <w:sz w:val="24"/>
                <w:highlight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b/>
                <w:bCs/>
                <w:color w:val="auto"/>
                <w:sz w:val="24"/>
                <w:highlight w:val="none"/>
              </w:rPr>
            </w:pP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auto"/>
                <w:sz w:val="24"/>
                <w:highlight w:val="none"/>
              </w:rPr>
            </w:pP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rPr>
                <w:b/>
                <w:bCs/>
                <w:color w:val="auto"/>
                <w:sz w:val="24"/>
                <w:highlight w:val="none"/>
              </w:rPr>
            </w:pPr>
          </w:p>
        </w:tc>
      </w:tr>
      <w:tr>
        <w:tblPrEx>
          <w:tblCellMar>
            <w:top w:w="0" w:type="dxa"/>
            <w:left w:w="108" w:type="dxa"/>
            <w:bottom w:w="0" w:type="dxa"/>
            <w:right w:w="108" w:type="dxa"/>
          </w:tblCellMar>
        </w:tblPrEx>
        <w:trPr>
          <w:trHeight w:val="462"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b/>
                <w:bCs/>
                <w:color w:val="auto"/>
                <w:sz w:val="24"/>
                <w:highlight w:val="none"/>
              </w:rPr>
            </w:pPr>
            <w:r>
              <w:rPr>
                <w:b/>
                <w:bCs/>
                <w:color w:val="auto"/>
                <w:kern w:val="0"/>
                <w:sz w:val="24"/>
                <w:highlight w:val="none"/>
              </w:rPr>
              <w:t>1</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b/>
                <w:bCs/>
                <w:color w:val="auto"/>
                <w:sz w:val="24"/>
                <w:highlight w:val="none"/>
              </w:rPr>
            </w:pPr>
            <w:r>
              <w:rPr>
                <w:rFonts w:hint="eastAsia" w:ascii="宋体" w:hAnsi="宋体" w:cs="宋体"/>
                <w:b/>
                <w:bCs/>
                <w:color w:val="auto"/>
                <w:kern w:val="0"/>
                <w:sz w:val="24"/>
                <w:highlight w:val="none"/>
              </w:rPr>
              <w:t>通信系统</w:t>
            </w: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color w:val="auto"/>
                <w:sz w:val="22"/>
                <w:szCs w:val="22"/>
                <w:highlight w:val="none"/>
              </w:rPr>
            </w:pP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b/>
                <w:bCs/>
                <w:color w:val="auto"/>
                <w:sz w:val="24"/>
                <w:highlight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b/>
                <w:bCs/>
                <w:color w:val="auto"/>
                <w:sz w:val="24"/>
                <w:highlight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b/>
                <w:bCs/>
                <w:color w:val="auto"/>
                <w:sz w:val="24"/>
                <w:highlight w:val="none"/>
              </w:rPr>
            </w:pP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auto"/>
                <w:sz w:val="24"/>
                <w:highlight w:val="none"/>
              </w:rPr>
            </w:pP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noWrap/>
            <w:vAlign w:val="center"/>
          </w:tcPr>
          <w:p>
            <w:pPr>
              <w:rPr>
                <w:b/>
                <w:bCs/>
                <w:color w:val="auto"/>
                <w:sz w:val="24"/>
                <w:highlight w:val="none"/>
              </w:rPr>
            </w:pPr>
          </w:p>
        </w:tc>
      </w:tr>
      <w:tr>
        <w:tblPrEx>
          <w:tblCellMar>
            <w:top w:w="0" w:type="dxa"/>
            <w:left w:w="108" w:type="dxa"/>
            <w:bottom w:w="0" w:type="dxa"/>
            <w:right w:w="108" w:type="dxa"/>
          </w:tblCellMar>
        </w:tblPrEx>
        <w:trPr>
          <w:trHeight w:val="462"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1.1</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rStyle w:val="510"/>
                <w:rFonts w:hint="default"/>
                <w:color w:val="auto"/>
                <w:highlight w:val="none"/>
              </w:rPr>
              <w:t>光终端盒</w:t>
            </w: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color w:val="auto"/>
                <w:sz w:val="22"/>
                <w:szCs w:val="22"/>
                <w:highlight w:val="none"/>
              </w:rPr>
            </w:pP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rStyle w:val="510"/>
                <w:rFonts w:hint="default"/>
                <w:color w:val="auto"/>
                <w:highlight w:val="none"/>
              </w:rPr>
              <w:t>个</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10</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10</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62"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b/>
                <w:bCs/>
                <w:color w:val="auto"/>
                <w:sz w:val="24"/>
                <w:highlight w:val="none"/>
              </w:rPr>
            </w:pPr>
            <w:r>
              <w:rPr>
                <w:b/>
                <w:bCs/>
                <w:color w:val="auto"/>
                <w:kern w:val="0"/>
                <w:sz w:val="24"/>
                <w:highlight w:val="none"/>
              </w:rPr>
              <w:t>2</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b/>
                <w:bCs/>
                <w:color w:val="auto"/>
                <w:sz w:val="24"/>
                <w:highlight w:val="none"/>
              </w:rPr>
            </w:pPr>
            <w:r>
              <w:rPr>
                <w:rFonts w:hint="eastAsia" w:ascii="宋体" w:hAnsi="宋体" w:cs="宋体"/>
                <w:b/>
                <w:bCs/>
                <w:color w:val="auto"/>
                <w:kern w:val="0"/>
                <w:sz w:val="24"/>
                <w:highlight w:val="none"/>
              </w:rPr>
              <w:t>视频监控系统</w:t>
            </w: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b/>
                <w:bCs/>
                <w:color w:val="auto"/>
                <w:sz w:val="22"/>
                <w:szCs w:val="22"/>
                <w:highlight w:val="none"/>
              </w:rPr>
            </w:pP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b/>
                <w:bCs/>
                <w:color w:val="auto"/>
                <w:sz w:val="24"/>
                <w:highlight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b/>
                <w:bCs/>
                <w:color w:val="auto"/>
                <w:sz w:val="24"/>
                <w:highlight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b/>
                <w:bCs/>
                <w:color w:val="auto"/>
                <w:sz w:val="24"/>
                <w:highlight w:val="none"/>
              </w:rPr>
            </w:pP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auto"/>
                <w:sz w:val="24"/>
                <w:highlight w:val="none"/>
              </w:rPr>
            </w:pP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noWrap/>
            <w:vAlign w:val="center"/>
          </w:tcPr>
          <w:p>
            <w:pPr>
              <w:rPr>
                <w:b/>
                <w:bCs/>
                <w:color w:val="auto"/>
                <w:sz w:val="24"/>
                <w:highlight w:val="none"/>
              </w:rPr>
            </w:pPr>
          </w:p>
        </w:tc>
      </w:tr>
      <w:tr>
        <w:tblPrEx>
          <w:tblCellMar>
            <w:top w:w="0" w:type="dxa"/>
            <w:left w:w="108" w:type="dxa"/>
            <w:bottom w:w="0" w:type="dxa"/>
            <w:right w:w="108" w:type="dxa"/>
          </w:tblCellMar>
        </w:tblPrEx>
        <w:trPr>
          <w:trHeight w:val="462"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2.1</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监控球机</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color w:val="auto"/>
                <w:sz w:val="22"/>
                <w:szCs w:val="22"/>
                <w:highlight w:val="none"/>
              </w:rPr>
            </w:pPr>
            <w:r>
              <w:rPr>
                <w:color w:val="auto"/>
                <w:kern w:val="0"/>
                <w:sz w:val="22"/>
                <w:szCs w:val="22"/>
                <w:highlight w:val="none"/>
              </w:rPr>
              <w:t>200</w:t>
            </w:r>
            <w:r>
              <w:rPr>
                <w:rStyle w:val="511"/>
                <w:rFonts w:hint="default"/>
                <w:color w:val="auto"/>
                <w:highlight w:val="none"/>
              </w:rPr>
              <w:t>万低照度球机</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rStyle w:val="510"/>
                <w:rFonts w:hint="default"/>
                <w:color w:val="auto"/>
                <w:highlight w:val="none"/>
              </w:rPr>
              <w:t>套</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4</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2</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2</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62"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2.2</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终端服务器</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color w:val="auto"/>
                <w:sz w:val="22"/>
                <w:szCs w:val="22"/>
                <w:highlight w:val="none"/>
              </w:rPr>
            </w:pPr>
            <w:r>
              <w:rPr>
                <w:rFonts w:hint="eastAsia" w:ascii="宋体" w:hAnsi="宋体" w:cs="宋体"/>
                <w:color w:val="auto"/>
                <w:kern w:val="0"/>
                <w:sz w:val="22"/>
                <w:szCs w:val="22"/>
                <w:highlight w:val="none"/>
              </w:rPr>
              <w:t>前端存储备份，时间不小于</w:t>
            </w:r>
            <w:r>
              <w:rPr>
                <w:color w:val="auto"/>
                <w:kern w:val="0"/>
                <w:sz w:val="22"/>
                <w:szCs w:val="22"/>
                <w:highlight w:val="none"/>
              </w:rPr>
              <w:t>30</w:t>
            </w:r>
            <w:r>
              <w:rPr>
                <w:rFonts w:hint="eastAsia" w:ascii="宋体" w:hAnsi="宋体" w:cs="宋体"/>
                <w:color w:val="auto"/>
                <w:kern w:val="0"/>
                <w:sz w:val="22"/>
                <w:szCs w:val="22"/>
                <w:highlight w:val="none"/>
              </w:rPr>
              <w:t>天，标配</w:t>
            </w:r>
            <w:r>
              <w:rPr>
                <w:color w:val="auto"/>
                <w:kern w:val="0"/>
                <w:sz w:val="22"/>
                <w:szCs w:val="22"/>
                <w:highlight w:val="none"/>
              </w:rPr>
              <w:t>16TB</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rStyle w:val="510"/>
                <w:rFonts w:hint="default"/>
                <w:color w:val="auto"/>
                <w:highlight w:val="none"/>
              </w:rPr>
              <w:t>台</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2</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2</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62"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b/>
                <w:bCs/>
                <w:color w:val="auto"/>
                <w:sz w:val="24"/>
                <w:highlight w:val="none"/>
              </w:rPr>
            </w:pPr>
            <w:r>
              <w:rPr>
                <w:b/>
                <w:bCs/>
                <w:color w:val="auto"/>
                <w:kern w:val="0"/>
                <w:sz w:val="24"/>
                <w:highlight w:val="none"/>
              </w:rPr>
              <w:t>3</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b/>
                <w:bCs/>
                <w:color w:val="auto"/>
                <w:sz w:val="24"/>
                <w:highlight w:val="none"/>
              </w:rPr>
            </w:pPr>
            <w:r>
              <w:rPr>
                <w:rFonts w:hint="eastAsia" w:ascii="宋体" w:hAnsi="宋体" w:cs="宋体"/>
                <w:b/>
                <w:bCs/>
                <w:color w:val="auto"/>
                <w:kern w:val="0"/>
                <w:sz w:val="24"/>
                <w:highlight w:val="none"/>
              </w:rPr>
              <w:t>线缆及其它</w:t>
            </w: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b/>
                <w:bCs/>
                <w:color w:val="auto"/>
                <w:sz w:val="22"/>
                <w:szCs w:val="22"/>
                <w:highlight w:val="none"/>
              </w:rPr>
            </w:pP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b/>
                <w:bCs/>
                <w:color w:val="auto"/>
                <w:sz w:val="24"/>
                <w:highlight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b/>
                <w:bCs/>
                <w:color w:val="auto"/>
                <w:sz w:val="24"/>
                <w:highlight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b/>
                <w:bCs/>
                <w:color w:val="auto"/>
                <w:sz w:val="24"/>
                <w:highlight w:val="none"/>
              </w:rPr>
            </w:pP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auto"/>
                <w:sz w:val="24"/>
                <w:highlight w:val="none"/>
              </w:rPr>
            </w:pP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noWrap/>
            <w:vAlign w:val="center"/>
          </w:tcPr>
          <w:p>
            <w:pPr>
              <w:rPr>
                <w:b/>
                <w:bCs/>
                <w:color w:val="auto"/>
                <w:sz w:val="24"/>
                <w:highlight w:val="none"/>
              </w:rPr>
            </w:pPr>
          </w:p>
        </w:tc>
      </w:tr>
      <w:tr>
        <w:tblPrEx>
          <w:tblCellMar>
            <w:top w:w="0" w:type="dxa"/>
            <w:left w:w="108" w:type="dxa"/>
            <w:bottom w:w="0" w:type="dxa"/>
            <w:right w:w="108" w:type="dxa"/>
          </w:tblCellMar>
        </w:tblPrEx>
        <w:trPr>
          <w:trHeight w:val="462"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3.1</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PE</w:t>
            </w:r>
            <w:r>
              <w:rPr>
                <w:rStyle w:val="510"/>
                <w:rFonts w:hint="default"/>
                <w:color w:val="auto"/>
                <w:highlight w:val="none"/>
              </w:rPr>
              <w:t>管</w:t>
            </w: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color w:val="auto"/>
                <w:sz w:val="22"/>
                <w:szCs w:val="22"/>
                <w:highlight w:val="none"/>
              </w:rPr>
            </w:pPr>
            <w:r>
              <w:rPr>
                <w:color w:val="auto"/>
                <w:kern w:val="0"/>
                <w:sz w:val="22"/>
                <w:szCs w:val="22"/>
                <w:highlight w:val="none"/>
              </w:rPr>
              <w:t>2×Φ75, 50cm</w:t>
            </w:r>
            <w:r>
              <w:rPr>
                <w:rStyle w:val="511"/>
                <w:rFonts w:hint="default"/>
                <w:color w:val="auto"/>
                <w:highlight w:val="none"/>
              </w:rPr>
              <w:t>深（路侧</w:t>
            </w:r>
            <w:r>
              <w:rPr>
                <w:color w:val="auto"/>
                <w:kern w:val="0"/>
                <w:sz w:val="22"/>
                <w:szCs w:val="22"/>
                <w:highlight w:val="none"/>
              </w:rPr>
              <w:t>/</w:t>
            </w:r>
            <w:r>
              <w:rPr>
                <w:rStyle w:val="511"/>
                <w:rFonts w:hint="default"/>
                <w:color w:val="auto"/>
                <w:highlight w:val="none"/>
              </w:rPr>
              <w:t>绿化带），道路、绿化带需原貌恢复</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m</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550</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550</w:t>
            </w:r>
          </w:p>
        </w:tc>
        <w:tc>
          <w:tcPr>
            <w:tcW w:w="475" w:type="pct"/>
            <w:gridSpan w:val="2"/>
            <w:vMerge w:val="restart"/>
            <w:tcBorders>
              <w:top w:val="single" w:color="000000" w:sz="4" w:space="0"/>
              <w:left w:val="single" w:color="000000" w:sz="4" w:space="0"/>
              <w:bottom w:val="single" w:color="000000" w:sz="4" w:space="0"/>
              <w:right w:val="single" w:color="000000" w:sz="8" w:space="0"/>
            </w:tcBorders>
            <w:shd w:val="clear" w:color="auto" w:fill="auto"/>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按图纸要求完成</w:t>
            </w:r>
          </w:p>
        </w:tc>
      </w:tr>
      <w:tr>
        <w:tblPrEx>
          <w:tblCellMar>
            <w:top w:w="0" w:type="dxa"/>
            <w:left w:w="108" w:type="dxa"/>
            <w:bottom w:w="0" w:type="dxa"/>
            <w:right w:w="108" w:type="dxa"/>
          </w:tblCellMar>
        </w:tblPrEx>
        <w:trPr>
          <w:trHeight w:val="462"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3.2</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rStyle w:val="510"/>
                <w:rFonts w:hint="default"/>
                <w:color w:val="auto"/>
                <w:highlight w:val="none"/>
              </w:rPr>
              <w:t>镀锌管</w:t>
            </w: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color w:val="auto"/>
                <w:sz w:val="22"/>
                <w:szCs w:val="22"/>
                <w:highlight w:val="none"/>
              </w:rPr>
            </w:pPr>
            <w:r>
              <w:rPr>
                <w:color w:val="auto"/>
                <w:kern w:val="0"/>
                <w:sz w:val="22"/>
                <w:szCs w:val="22"/>
                <w:highlight w:val="none"/>
              </w:rPr>
              <w:t>2×DN80</w:t>
            </w:r>
            <w:r>
              <w:rPr>
                <w:rStyle w:val="511"/>
                <w:rFonts w:hint="default"/>
                <w:color w:val="auto"/>
                <w:highlight w:val="none"/>
              </w:rPr>
              <w:t>（内套</w:t>
            </w:r>
            <w:r>
              <w:rPr>
                <w:color w:val="auto"/>
                <w:kern w:val="0"/>
                <w:sz w:val="22"/>
                <w:szCs w:val="22"/>
                <w:highlight w:val="none"/>
              </w:rPr>
              <w:t>2×Φ75pe</w:t>
            </w:r>
            <w:r>
              <w:rPr>
                <w:rStyle w:val="511"/>
                <w:rFonts w:hint="default"/>
                <w:color w:val="auto"/>
                <w:highlight w:val="none"/>
              </w:rPr>
              <w:t>）过路镀锌管顶面距离路面底基层的底面≥</w:t>
            </w:r>
            <w:r>
              <w:rPr>
                <w:color w:val="auto"/>
                <w:kern w:val="0"/>
                <w:sz w:val="22"/>
                <w:szCs w:val="22"/>
                <w:highlight w:val="none"/>
              </w:rPr>
              <w:t>100cm</w:t>
            </w:r>
            <w:r>
              <w:rPr>
                <w:rStyle w:val="511"/>
                <w:rFonts w:hint="default"/>
                <w:color w:val="auto"/>
                <w:highlight w:val="none"/>
              </w:rPr>
              <w:t>，壁厚</w:t>
            </w:r>
            <w:r>
              <w:rPr>
                <w:color w:val="auto"/>
                <w:kern w:val="0"/>
                <w:sz w:val="22"/>
                <w:szCs w:val="22"/>
                <w:highlight w:val="none"/>
              </w:rPr>
              <w:t>4mm</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m</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50</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50</w:t>
            </w:r>
          </w:p>
        </w:tc>
        <w:tc>
          <w:tcPr>
            <w:tcW w:w="475" w:type="pct"/>
            <w:gridSpan w:val="2"/>
            <w:vMerge w:val="continue"/>
            <w:tcBorders>
              <w:top w:val="single" w:color="000000" w:sz="4" w:space="0"/>
              <w:left w:val="single" w:color="000000" w:sz="4" w:space="0"/>
              <w:bottom w:val="single" w:color="000000" w:sz="4" w:space="0"/>
              <w:right w:val="single" w:color="000000" w:sz="8" w:space="0"/>
            </w:tcBorders>
            <w:shd w:val="clear" w:color="auto" w:fill="auto"/>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62"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3.3</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rStyle w:val="510"/>
                <w:rFonts w:hint="default"/>
                <w:color w:val="auto"/>
                <w:highlight w:val="none"/>
              </w:rPr>
              <w:t>手孔</w:t>
            </w: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color w:val="auto"/>
                <w:sz w:val="22"/>
                <w:szCs w:val="22"/>
                <w:highlight w:val="none"/>
              </w:rPr>
            </w:pPr>
            <w:r>
              <w:rPr>
                <w:rStyle w:val="511"/>
                <w:rFonts w:hint="default"/>
                <w:color w:val="auto"/>
                <w:highlight w:val="none"/>
              </w:rPr>
              <w:t>地下电缆线穿线管拐弯处或长度超过</w:t>
            </w:r>
            <w:r>
              <w:rPr>
                <w:color w:val="auto"/>
                <w:kern w:val="0"/>
                <w:sz w:val="22"/>
                <w:szCs w:val="22"/>
                <w:highlight w:val="none"/>
              </w:rPr>
              <w:t>50m</w:t>
            </w:r>
            <w:r>
              <w:rPr>
                <w:rStyle w:val="511"/>
                <w:rFonts w:hint="default"/>
                <w:color w:val="auto"/>
                <w:highlight w:val="none"/>
              </w:rPr>
              <w:t>时，设置手井，井盖设置交通设施专用标记</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rStyle w:val="510"/>
                <w:rFonts w:hint="default"/>
                <w:color w:val="auto"/>
                <w:highlight w:val="none"/>
              </w:rPr>
              <w:t>个</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17</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17</w:t>
            </w:r>
          </w:p>
        </w:tc>
        <w:tc>
          <w:tcPr>
            <w:tcW w:w="475" w:type="pct"/>
            <w:gridSpan w:val="2"/>
            <w:vMerge w:val="continue"/>
            <w:tcBorders>
              <w:top w:val="single" w:color="000000" w:sz="4" w:space="0"/>
              <w:left w:val="single" w:color="000000" w:sz="4" w:space="0"/>
              <w:bottom w:val="single" w:color="000000" w:sz="4" w:space="0"/>
              <w:right w:val="single" w:color="000000" w:sz="8" w:space="0"/>
            </w:tcBorders>
            <w:shd w:val="clear" w:color="auto" w:fill="auto"/>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62" w:hRule="atLeast"/>
        </w:trPr>
        <w:tc>
          <w:tcPr>
            <w:tcW w:w="309" w:type="pct"/>
            <w:vMerge w:val="restar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3.4</w:t>
            </w:r>
          </w:p>
        </w:tc>
        <w:tc>
          <w:tcPr>
            <w:tcW w:w="55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rStyle w:val="510"/>
                <w:rFonts w:hint="default"/>
                <w:color w:val="auto"/>
                <w:highlight w:val="none"/>
              </w:rPr>
              <w:t>线缆</w:t>
            </w: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color w:val="auto"/>
                <w:sz w:val="22"/>
                <w:szCs w:val="22"/>
                <w:highlight w:val="none"/>
              </w:rPr>
            </w:pPr>
            <w:r>
              <w:rPr>
                <w:color w:val="auto"/>
                <w:kern w:val="0"/>
                <w:sz w:val="22"/>
                <w:szCs w:val="22"/>
                <w:highlight w:val="none"/>
              </w:rPr>
              <w:t>RVV 3×1.5</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m</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600</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600</w:t>
            </w:r>
          </w:p>
        </w:tc>
        <w:tc>
          <w:tcPr>
            <w:tcW w:w="475" w:type="pct"/>
            <w:gridSpan w:val="2"/>
            <w:vMerge w:val="continue"/>
            <w:tcBorders>
              <w:top w:val="single" w:color="000000" w:sz="4" w:space="0"/>
              <w:left w:val="single" w:color="000000" w:sz="4" w:space="0"/>
              <w:bottom w:val="single" w:color="000000" w:sz="4" w:space="0"/>
              <w:right w:val="single" w:color="000000" w:sz="8" w:space="0"/>
            </w:tcBorders>
            <w:shd w:val="clear" w:color="auto" w:fill="auto"/>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62" w:hRule="atLeast"/>
        </w:trPr>
        <w:tc>
          <w:tcPr>
            <w:tcW w:w="309" w:type="pct"/>
            <w:vMerge w:val="continue"/>
            <w:tcBorders>
              <w:top w:val="single" w:color="000000" w:sz="4" w:space="0"/>
              <w:left w:val="single" w:color="000000" w:sz="8" w:space="0"/>
              <w:bottom w:val="single" w:color="000000" w:sz="4" w:space="0"/>
              <w:right w:val="single" w:color="000000" w:sz="4" w:space="0"/>
            </w:tcBorders>
            <w:shd w:val="clear" w:color="auto" w:fill="auto"/>
            <w:noWrap/>
            <w:vAlign w:val="center"/>
          </w:tcPr>
          <w:p>
            <w:pPr>
              <w:jc w:val="center"/>
              <w:rPr>
                <w:color w:val="auto"/>
                <w:sz w:val="24"/>
                <w:highlight w:val="none"/>
              </w:rPr>
            </w:pPr>
          </w:p>
        </w:tc>
        <w:tc>
          <w:tcPr>
            <w:tcW w:w="55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auto"/>
                <w:sz w:val="24"/>
                <w:highlight w:val="none"/>
              </w:rPr>
            </w:pP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color w:val="auto"/>
                <w:sz w:val="22"/>
                <w:szCs w:val="22"/>
                <w:highlight w:val="none"/>
              </w:rPr>
            </w:pPr>
            <w:r>
              <w:rPr>
                <w:color w:val="auto"/>
                <w:kern w:val="0"/>
                <w:sz w:val="22"/>
                <w:szCs w:val="22"/>
                <w:highlight w:val="none"/>
              </w:rPr>
              <w:t>YJV22-1KV 5×16</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m</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600</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600</w:t>
            </w:r>
          </w:p>
        </w:tc>
        <w:tc>
          <w:tcPr>
            <w:tcW w:w="475" w:type="pct"/>
            <w:gridSpan w:val="2"/>
            <w:vMerge w:val="continue"/>
            <w:tcBorders>
              <w:top w:val="single" w:color="000000" w:sz="4" w:space="0"/>
              <w:left w:val="single" w:color="000000" w:sz="4" w:space="0"/>
              <w:bottom w:val="single" w:color="000000" w:sz="4" w:space="0"/>
              <w:right w:val="single" w:color="000000" w:sz="8" w:space="0"/>
            </w:tcBorders>
            <w:shd w:val="clear" w:color="auto" w:fill="auto"/>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62" w:hRule="atLeast"/>
        </w:trPr>
        <w:tc>
          <w:tcPr>
            <w:tcW w:w="309" w:type="pct"/>
            <w:vMerge w:val="continue"/>
            <w:tcBorders>
              <w:top w:val="single" w:color="000000" w:sz="4" w:space="0"/>
              <w:left w:val="single" w:color="000000" w:sz="8" w:space="0"/>
              <w:bottom w:val="single" w:color="000000" w:sz="4" w:space="0"/>
              <w:right w:val="single" w:color="000000" w:sz="4" w:space="0"/>
            </w:tcBorders>
            <w:shd w:val="clear" w:color="auto" w:fill="auto"/>
            <w:noWrap/>
            <w:vAlign w:val="center"/>
          </w:tcPr>
          <w:p>
            <w:pPr>
              <w:jc w:val="center"/>
              <w:rPr>
                <w:color w:val="auto"/>
                <w:sz w:val="24"/>
                <w:highlight w:val="none"/>
              </w:rPr>
            </w:pPr>
          </w:p>
        </w:tc>
        <w:tc>
          <w:tcPr>
            <w:tcW w:w="55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auto"/>
                <w:sz w:val="24"/>
                <w:highlight w:val="none"/>
              </w:rPr>
            </w:pP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color w:val="auto"/>
                <w:sz w:val="22"/>
                <w:szCs w:val="22"/>
                <w:highlight w:val="none"/>
              </w:rPr>
            </w:pPr>
            <w:r>
              <w:rPr>
                <w:color w:val="auto"/>
                <w:kern w:val="0"/>
                <w:sz w:val="22"/>
                <w:szCs w:val="22"/>
                <w:highlight w:val="none"/>
              </w:rPr>
              <w:t>YJV22-1KV 5×10</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m</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600</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600</w:t>
            </w:r>
          </w:p>
        </w:tc>
        <w:tc>
          <w:tcPr>
            <w:tcW w:w="475" w:type="pct"/>
            <w:gridSpan w:val="2"/>
            <w:vMerge w:val="continue"/>
            <w:tcBorders>
              <w:top w:val="single" w:color="000000" w:sz="4" w:space="0"/>
              <w:left w:val="single" w:color="000000" w:sz="4" w:space="0"/>
              <w:bottom w:val="single" w:color="000000" w:sz="4" w:space="0"/>
              <w:right w:val="single" w:color="000000" w:sz="8" w:space="0"/>
            </w:tcBorders>
            <w:shd w:val="clear" w:color="auto" w:fill="auto"/>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62" w:hRule="atLeast"/>
        </w:trPr>
        <w:tc>
          <w:tcPr>
            <w:tcW w:w="309" w:type="pct"/>
            <w:vMerge w:val="continue"/>
            <w:tcBorders>
              <w:top w:val="single" w:color="000000" w:sz="4" w:space="0"/>
              <w:left w:val="single" w:color="000000" w:sz="8" w:space="0"/>
              <w:bottom w:val="single" w:color="000000" w:sz="4" w:space="0"/>
              <w:right w:val="single" w:color="000000" w:sz="4" w:space="0"/>
            </w:tcBorders>
            <w:shd w:val="clear" w:color="auto" w:fill="auto"/>
            <w:noWrap/>
            <w:vAlign w:val="center"/>
          </w:tcPr>
          <w:p>
            <w:pPr>
              <w:jc w:val="center"/>
              <w:rPr>
                <w:color w:val="auto"/>
                <w:sz w:val="24"/>
                <w:highlight w:val="none"/>
              </w:rPr>
            </w:pPr>
          </w:p>
        </w:tc>
        <w:tc>
          <w:tcPr>
            <w:tcW w:w="55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auto"/>
                <w:sz w:val="24"/>
                <w:highlight w:val="none"/>
              </w:rPr>
            </w:pP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color w:val="auto"/>
                <w:sz w:val="22"/>
                <w:szCs w:val="22"/>
                <w:highlight w:val="none"/>
              </w:rPr>
            </w:pPr>
            <w:r>
              <w:rPr>
                <w:rStyle w:val="511"/>
                <w:rFonts w:hint="default"/>
                <w:color w:val="auto"/>
                <w:highlight w:val="none"/>
              </w:rPr>
              <w:t>光缆</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m</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600</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600</w:t>
            </w:r>
          </w:p>
        </w:tc>
        <w:tc>
          <w:tcPr>
            <w:tcW w:w="475" w:type="pct"/>
            <w:gridSpan w:val="2"/>
            <w:vMerge w:val="continue"/>
            <w:tcBorders>
              <w:top w:val="single" w:color="000000" w:sz="4" w:space="0"/>
              <w:left w:val="single" w:color="000000" w:sz="4" w:space="0"/>
              <w:bottom w:val="single" w:color="000000" w:sz="4" w:space="0"/>
              <w:right w:val="single" w:color="000000" w:sz="8" w:space="0"/>
            </w:tcBorders>
            <w:shd w:val="clear" w:color="auto" w:fill="auto"/>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62" w:hRule="atLeast"/>
        </w:trPr>
        <w:tc>
          <w:tcPr>
            <w:tcW w:w="309" w:type="pct"/>
            <w:vMerge w:val="continue"/>
            <w:tcBorders>
              <w:top w:val="single" w:color="000000" w:sz="4" w:space="0"/>
              <w:left w:val="single" w:color="000000" w:sz="8" w:space="0"/>
              <w:bottom w:val="single" w:color="000000" w:sz="4" w:space="0"/>
              <w:right w:val="single" w:color="000000" w:sz="4" w:space="0"/>
            </w:tcBorders>
            <w:shd w:val="clear" w:color="auto" w:fill="auto"/>
            <w:noWrap/>
            <w:vAlign w:val="center"/>
          </w:tcPr>
          <w:p>
            <w:pPr>
              <w:jc w:val="center"/>
              <w:rPr>
                <w:color w:val="auto"/>
                <w:sz w:val="24"/>
                <w:highlight w:val="none"/>
              </w:rPr>
            </w:pPr>
          </w:p>
        </w:tc>
        <w:tc>
          <w:tcPr>
            <w:tcW w:w="55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auto"/>
                <w:sz w:val="24"/>
                <w:highlight w:val="none"/>
              </w:rPr>
            </w:pP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color w:val="auto"/>
                <w:sz w:val="22"/>
                <w:szCs w:val="22"/>
                <w:highlight w:val="none"/>
              </w:rPr>
            </w:pPr>
            <w:r>
              <w:rPr>
                <w:rStyle w:val="511"/>
                <w:rFonts w:hint="default"/>
                <w:color w:val="auto"/>
                <w:highlight w:val="none"/>
              </w:rPr>
              <w:t>双绞屏蔽线</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m</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600</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600</w:t>
            </w:r>
          </w:p>
        </w:tc>
        <w:tc>
          <w:tcPr>
            <w:tcW w:w="475" w:type="pct"/>
            <w:gridSpan w:val="2"/>
            <w:vMerge w:val="continue"/>
            <w:tcBorders>
              <w:top w:val="single" w:color="000000" w:sz="4" w:space="0"/>
              <w:left w:val="single" w:color="000000" w:sz="4" w:space="0"/>
              <w:bottom w:val="single" w:color="000000" w:sz="4" w:space="0"/>
              <w:right w:val="single" w:color="000000" w:sz="8" w:space="0"/>
            </w:tcBorders>
            <w:shd w:val="clear" w:color="auto" w:fill="auto"/>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62" w:hRule="atLeast"/>
        </w:trPr>
        <w:tc>
          <w:tcPr>
            <w:tcW w:w="309" w:type="pct"/>
            <w:vMerge w:val="continue"/>
            <w:tcBorders>
              <w:top w:val="single" w:color="000000" w:sz="4" w:space="0"/>
              <w:left w:val="single" w:color="000000" w:sz="8" w:space="0"/>
              <w:bottom w:val="single" w:color="000000" w:sz="4" w:space="0"/>
              <w:right w:val="single" w:color="000000" w:sz="4" w:space="0"/>
            </w:tcBorders>
            <w:shd w:val="clear" w:color="auto" w:fill="auto"/>
            <w:noWrap/>
            <w:vAlign w:val="center"/>
          </w:tcPr>
          <w:p>
            <w:pPr>
              <w:jc w:val="center"/>
              <w:rPr>
                <w:color w:val="auto"/>
                <w:sz w:val="24"/>
                <w:highlight w:val="none"/>
              </w:rPr>
            </w:pPr>
          </w:p>
        </w:tc>
        <w:tc>
          <w:tcPr>
            <w:tcW w:w="55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auto"/>
                <w:sz w:val="24"/>
                <w:highlight w:val="none"/>
              </w:rPr>
            </w:pP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color w:val="auto"/>
                <w:sz w:val="22"/>
                <w:szCs w:val="22"/>
                <w:highlight w:val="none"/>
              </w:rPr>
            </w:pPr>
            <w:r>
              <w:rPr>
                <w:color w:val="auto"/>
                <w:kern w:val="0"/>
                <w:sz w:val="22"/>
                <w:szCs w:val="22"/>
                <w:highlight w:val="none"/>
              </w:rPr>
              <w:t>UTP6</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m</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500</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500</w:t>
            </w:r>
          </w:p>
        </w:tc>
        <w:tc>
          <w:tcPr>
            <w:tcW w:w="475" w:type="pct"/>
            <w:gridSpan w:val="2"/>
            <w:vMerge w:val="continue"/>
            <w:tcBorders>
              <w:top w:val="single" w:color="000000" w:sz="4" w:space="0"/>
              <w:left w:val="single" w:color="000000" w:sz="4" w:space="0"/>
              <w:bottom w:val="single" w:color="000000" w:sz="4" w:space="0"/>
              <w:right w:val="single" w:color="000000" w:sz="8" w:space="0"/>
            </w:tcBorders>
            <w:shd w:val="clear" w:color="auto" w:fill="auto"/>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43"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b/>
                <w:bCs/>
                <w:color w:val="auto"/>
                <w:sz w:val="24"/>
                <w:highlight w:val="none"/>
              </w:rPr>
            </w:pPr>
            <w:r>
              <w:rPr>
                <w:rFonts w:hint="eastAsia" w:ascii="宋体" w:hAnsi="宋体" w:cs="宋体"/>
                <w:b/>
                <w:bCs/>
                <w:color w:val="auto"/>
                <w:kern w:val="0"/>
                <w:sz w:val="24"/>
                <w:highlight w:val="none"/>
              </w:rPr>
              <w:t>四</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4"/>
                <w:highlight w:val="none"/>
              </w:rPr>
            </w:pPr>
            <w:r>
              <w:rPr>
                <w:rFonts w:hint="eastAsia" w:ascii="宋体" w:hAnsi="宋体" w:cs="宋体"/>
                <w:b/>
                <w:bCs/>
                <w:color w:val="auto"/>
                <w:kern w:val="0"/>
                <w:sz w:val="24"/>
                <w:highlight w:val="none"/>
              </w:rPr>
              <w:t>人车管控监控系统</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color w:val="auto"/>
                <w:sz w:val="22"/>
                <w:szCs w:val="22"/>
                <w:highlight w:val="none"/>
              </w:rPr>
            </w:pP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auto"/>
                <w:sz w:val="24"/>
                <w:highlight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auto"/>
                <w:sz w:val="24"/>
                <w:highlight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auto"/>
                <w:sz w:val="24"/>
                <w:highlight w:val="none"/>
              </w:rPr>
            </w:pP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auto"/>
                <w:sz w:val="24"/>
                <w:highlight w:val="none"/>
              </w:rPr>
            </w:pP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noWrap/>
            <w:vAlign w:val="center"/>
          </w:tcPr>
          <w:p>
            <w:pPr>
              <w:jc w:val="center"/>
              <w:rPr>
                <w:color w:val="auto"/>
                <w:sz w:val="24"/>
                <w:highlight w:val="none"/>
              </w:rPr>
            </w:pPr>
          </w:p>
        </w:tc>
      </w:tr>
      <w:tr>
        <w:tblPrEx>
          <w:tblCellMar>
            <w:top w:w="0" w:type="dxa"/>
            <w:left w:w="108" w:type="dxa"/>
            <w:bottom w:w="0" w:type="dxa"/>
            <w:right w:w="108" w:type="dxa"/>
          </w:tblCellMar>
        </w:tblPrEx>
        <w:trPr>
          <w:trHeight w:val="840"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1</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900</w:t>
            </w:r>
            <w:r>
              <w:rPr>
                <w:rStyle w:val="510"/>
                <w:rFonts w:hint="default"/>
                <w:color w:val="auto"/>
                <w:highlight w:val="none"/>
              </w:rPr>
              <w:t>万环保车辆人脸卡口抓拍单元</w:t>
            </w:r>
          </w:p>
        </w:tc>
        <w:tc>
          <w:tcPr>
            <w:tcW w:w="2382" w:type="pct"/>
            <w:tcBorders>
              <w:top w:val="single" w:color="000000" w:sz="4" w:space="0"/>
              <w:left w:val="single" w:color="000000" w:sz="4" w:space="0"/>
              <w:bottom w:val="single" w:color="000000" w:sz="4" w:space="0"/>
              <w:right w:val="single" w:color="000000" w:sz="4" w:space="0"/>
            </w:tcBorders>
            <w:shd w:val="clear" w:color="auto" w:fill="auto"/>
          </w:tcPr>
          <w:p>
            <w:pPr>
              <w:widowControl/>
              <w:jc w:val="left"/>
              <w:textAlignment w:val="top"/>
              <w:rPr>
                <w:color w:val="auto"/>
                <w:sz w:val="22"/>
                <w:szCs w:val="22"/>
                <w:highlight w:val="none"/>
              </w:rPr>
            </w:pPr>
            <w:r>
              <w:rPr>
                <w:rStyle w:val="511"/>
                <w:rFonts w:hint="default"/>
                <w:color w:val="auto"/>
                <w:highlight w:val="none"/>
              </w:rPr>
              <w:t>包含摄像机、高清镜头、室外防护罩、内置补光灯、风扇、电源适配器、安装万向节等；内置两个图像传感器，可分别输出黑白及彩色图像，可对视频图像和抓拍图片进行融合输出；一个相机管</w:t>
            </w:r>
            <w:r>
              <w:rPr>
                <w:color w:val="auto"/>
                <w:kern w:val="0"/>
                <w:sz w:val="22"/>
                <w:szCs w:val="22"/>
                <w:highlight w:val="none"/>
              </w:rPr>
              <w:t>2</w:t>
            </w:r>
            <w:r>
              <w:rPr>
                <w:rStyle w:val="511"/>
                <w:rFonts w:hint="default"/>
                <w:color w:val="auto"/>
                <w:highlight w:val="none"/>
              </w:rPr>
              <w:t>车道</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Cs w:val="21"/>
                <w:highlight w:val="none"/>
              </w:rPr>
            </w:pPr>
            <w:r>
              <w:rPr>
                <w:color w:val="auto"/>
                <w:kern w:val="0"/>
                <w:szCs w:val="21"/>
                <w:highlight w:val="none"/>
              </w:rPr>
              <w:t>台</w:t>
            </w: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2</w:t>
            </w: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2</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noWrap/>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43"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2"/>
                <w:szCs w:val="22"/>
                <w:highlight w:val="none"/>
              </w:rPr>
            </w:pPr>
            <w:r>
              <w:rPr>
                <w:color w:val="auto"/>
                <w:kern w:val="0"/>
                <w:sz w:val="22"/>
                <w:szCs w:val="22"/>
                <w:highlight w:val="none"/>
              </w:rPr>
              <w:t>2</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2"/>
                <w:szCs w:val="22"/>
                <w:highlight w:val="none"/>
              </w:rPr>
            </w:pPr>
            <w:r>
              <w:rPr>
                <w:rStyle w:val="511"/>
                <w:rFonts w:hint="default"/>
                <w:color w:val="auto"/>
                <w:highlight w:val="none"/>
              </w:rPr>
              <w:t>红外白光爆闪一体灯</w:t>
            </w:r>
          </w:p>
        </w:tc>
        <w:tc>
          <w:tcPr>
            <w:tcW w:w="2382" w:type="pct"/>
            <w:tcBorders>
              <w:top w:val="single" w:color="000000" w:sz="4" w:space="0"/>
              <w:left w:val="single" w:color="000000" w:sz="4" w:space="0"/>
              <w:bottom w:val="single" w:color="000000" w:sz="4" w:space="0"/>
              <w:right w:val="single" w:color="000000" w:sz="4" w:space="0"/>
            </w:tcBorders>
            <w:shd w:val="clear" w:color="auto" w:fill="auto"/>
          </w:tcPr>
          <w:p>
            <w:pPr>
              <w:widowControl/>
              <w:jc w:val="left"/>
              <w:textAlignment w:val="top"/>
              <w:rPr>
                <w:color w:val="auto"/>
                <w:sz w:val="22"/>
                <w:szCs w:val="22"/>
                <w:highlight w:val="none"/>
              </w:rPr>
            </w:pPr>
            <w:r>
              <w:rPr>
                <w:color w:val="auto"/>
                <w:kern w:val="0"/>
                <w:sz w:val="22"/>
                <w:szCs w:val="22"/>
                <w:highlight w:val="none"/>
              </w:rPr>
              <w:t>24</w:t>
            </w:r>
            <w:r>
              <w:rPr>
                <w:rStyle w:val="511"/>
                <w:rFonts w:hint="default"/>
                <w:color w:val="auto"/>
                <w:highlight w:val="none"/>
              </w:rPr>
              <w:t>颗大功率进口</w:t>
            </w:r>
            <w:r>
              <w:rPr>
                <w:color w:val="auto"/>
                <w:kern w:val="0"/>
                <w:sz w:val="22"/>
                <w:szCs w:val="22"/>
                <w:highlight w:val="none"/>
              </w:rPr>
              <w:t>LED</w:t>
            </w:r>
            <w:r>
              <w:rPr>
                <w:rStyle w:val="511"/>
                <w:rFonts w:hint="default"/>
                <w:color w:val="auto"/>
                <w:highlight w:val="none"/>
              </w:rPr>
              <w:t>灯珠，支持</w:t>
            </w:r>
            <w:r>
              <w:rPr>
                <w:color w:val="auto"/>
                <w:kern w:val="0"/>
                <w:sz w:val="22"/>
                <w:szCs w:val="22"/>
                <w:highlight w:val="none"/>
              </w:rPr>
              <w:t>LED</w:t>
            </w:r>
            <w:r>
              <w:rPr>
                <w:rStyle w:val="511"/>
                <w:rFonts w:hint="default"/>
                <w:color w:val="auto"/>
                <w:highlight w:val="none"/>
              </w:rPr>
              <w:t>频闪，白光气体爆闪，红外气体爆闪。</w:t>
            </w:r>
            <w:r>
              <w:rPr>
                <w:color w:val="auto"/>
                <w:kern w:val="0"/>
                <w:sz w:val="22"/>
                <w:szCs w:val="22"/>
                <w:highlight w:val="none"/>
              </w:rPr>
              <w:t>1</w:t>
            </w:r>
            <w:r>
              <w:rPr>
                <w:rFonts w:hint="eastAsia" w:ascii="宋体" w:hAnsi="宋体" w:cs="宋体"/>
                <w:color w:val="auto"/>
                <w:kern w:val="0"/>
                <w:sz w:val="22"/>
                <w:szCs w:val="22"/>
                <w:highlight w:val="none"/>
              </w:rPr>
              <w:t>车道</w:t>
            </w:r>
            <w:r>
              <w:rPr>
                <w:color w:val="auto"/>
                <w:kern w:val="0"/>
                <w:sz w:val="22"/>
                <w:szCs w:val="22"/>
                <w:highlight w:val="none"/>
              </w:rPr>
              <w:t>1</w:t>
            </w:r>
            <w:r>
              <w:rPr>
                <w:rFonts w:hint="eastAsia" w:ascii="宋体" w:hAnsi="宋体" w:cs="宋体"/>
                <w:color w:val="auto"/>
                <w:kern w:val="0"/>
                <w:sz w:val="22"/>
                <w:szCs w:val="22"/>
                <w:highlight w:val="none"/>
              </w:rPr>
              <w:t>个</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2"/>
                <w:szCs w:val="22"/>
                <w:highlight w:val="none"/>
              </w:rPr>
            </w:pPr>
            <w:r>
              <w:rPr>
                <w:color w:val="auto"/>
                <w:kern w:val="0"/>
                <w:sz w:val="22"/>
                <w:szCs w:val="22"/>
                <w:highlight w:val="none"/>
              </w:rPr>
              <w:t>个</w:t>
            </w: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6</w:t>
            </w: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6</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noWrap/>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43"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2"/>
                <w:szCs w:val="22"/>
                <w:highlight w:val="none"/>
              </w:rPr>
            </w:pPr>
            <w:r>
              <w:rPr>
                <w:color w:val="auto"/>
                <w:kern w:val="0"/>
                <w:sz w:val="22"/>
                <w:szCs w:val="22"/>
                <w:highlight w:val="none"/>
              </w:rPr>
              <w:t>3</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2"/>
                <w:szCs w:val="22"/>
                <w:highlight w:val="none"/>
              </w:rPr>
            </w:pPr>
            <w:r>
              <w:rPr>
                <w:color w:val="auto"/>
                <w:kern w:val="0"/>
                <w:sz w:val="22"/>
                <w:szCs w:val="22"/>
                <w:highlight w:val="none"/>
              </w:rPr>
              <w:t>环境灯</w:t>
            </w:r>
          </w:p>
        </w:tc>
        <w:tc>
          <w:tcPr>
            <w:tcW w:w="2382" w:type="pct"/>
            <w:tcBorders>
              <w:top w:val="single" w:color="000000" w:sz="4" w:space="0"/>
              <w:left w:val="single" w:color="000000" w:sz="4" w:space="0"/>
              <w:bottom w:val="single" w:color="000000" w:sz="4" w:space="0"/>
              <w:right w:val="single" w:color="000000" w:sz="4" w:space="0"/>
            </w:tcBorders>
            <w:shd w:val="clear" w:color="auto" w:fill="auto"/>
          </w:tcPr>
          <w:p>
            <w:pPr>
              <w:widowControl/>
              <w:jc w:val="left"/>
              <w:textAlignment w:val="top"/>
              <w:rPr>
                <w:color w:val="auto"/>
                <w:sz w:val="22"/>
                <w:szCs w:val="22"/>
                <w:highlight w:val="none"/>
              </w:rPr>
            </w:pPr>
            <w:r>
              <w:rPr>
                <w:color w:val="auto"/>
                <w:kern w:val="0"/>
                <w:sz w:val="22"/>
                <w:szCs w:val="22"/>
                <w:highlight w:val="none"/>
              </w:rPr>
              <w:t xml:space="preserve"> LED</w:t>
            </w:r>
            <w:r>
              <w:rPr>
                <w:rStyle w:val="511"/>
                <w:rFonts w:hint="default"/>
                <w:color w:val="auto"/>
                <w:highlight w:val="none"/>
              </w:rPr>
              <w:t>类型：</w:t>
            </w:r>
            <w:r>
              <w:rPr>
                <w:color w:val="auto"/>
                <w:kern w:val="0"/>
                <w:sz w:val="22"/>
                <w:szCs w:val="22"/>
                <w:highlight w:val="none"/>
              </w:rPr>
              <w:t>16</w:t>
            </w:r>
            <w:r>
              <w:rPr>
                <w:rStyle w:val="511"/>
                <w:rFonts w:hint="default"/>
                <w:color w:val="auto"/>
                <w:highlight w:val="none"/>
              </w:rPr>
              <w:t>颗大功率</w:t>
            </w:r>
            <w:r>
              <w:rPr>
                <w:color w:val="auto"/>
                <w:kern w:val="0"/>
                <w:sz w:val="22"/>
                <w:szCs w:val="22"/>
                <w:highlight w:val="none"/>
              </w:rPr>
              <w:t>LED</w:t>
            </w:r>
            <w:r>
              <w:rPr>
                <w:rStyle w:val="511"/>
                <w:rFonts w:hint="default"/>
                <w:color w:val="auto"/>
                <w:highlight w:val="none"/>
              </w:rPr>
              <w:t>灯；</w:t>
            </w:r>
            <w:r>
              <w:rPr>
                <w:color w:val="auto"/>
                <w:kern w:val="0"/>
                <w:sz w:val="22"/>
                <w:szCs w:val="22"/>
                <w:highlight w:val="none"/>
              </w:rPr>
              <w:t xml:space="preserve">2) </w:t>
            </w:r>
            <w:r>
              <w:rPr>
                <w:rStyle w:val="511"/>
                <w:rFonts w:hint="default"/>
                <w:color w:val="auto"/>
                <w:highlight w:val="none"/>
              </w:rPr>
              <w:t>功能特性：三车道补光灯</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2"/>
                <w:szCs w:val="22"/>
                <w:highlight w:val="none"/>
              </w:rPr>
            </w:pPr>
            <w:r>
              <w:rPr>
                <w:color w:val="auto"/>
                <w:kern w:val="0"/>
                <w:sz w:val="22"/>
                <w:szCs w:val="22"/>
                <w:highlight w:val="none"/>
              </w:rPr>
              <w:t>个</w:t>
            </w: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2</w:t>
            </w: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2</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noWrap/>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43"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2"/>
                <w:szCs w:val="22"/>
                <w:highlight w:val="none"/>
              </w:rPr>
            </w:pPr>
            <w:r>
              <w:rPr>
                <w:color w:val="auto"/>
                <w:kern w:val="0"/>
                <w:sz w:val="22"/>
                <w:szCs w:val="22"/>
                <w:highlight w:val="none"/>
              </w:rPr>
              <w:t>4</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2"/>
                <w:szCs w:val="22"/>
                <w:highlight w:val="none"/>
              </w:rPr>
            </w:pPr>
            <w:r>
              <w:rPr>
                <w:color w:val="auto"/>
                <w:kern w:val="0"/>
                <w:sz w:val="22"/>
                <w:szCs w:val="22"/>
                <w:highlight w:val="none"/>
              </w:rPr>
              <w:t>机柜（含基础、预埋件）</w:t>
            </w:r>
          </w:p>
        </w:tc>
        <w:tc>
          <w:tcPr>
            <w:tcW w:w="2382" w:type="pct"/>
            <w:tcBorders>
              <w:top w:val="single" w:color="000000" w:sz="4" w:space="0"/>
              <w:left w:val="single" w:color="000000" w:sz="4" w:space="0"/>
              <w:bottom w:val="single" w:color="000000" w:sz="4" w:space="0"/>
              <w:right w:val="single" w:color="000000" w:sz="4" w:space="0"/>
            </w:tcBorders>
            <w:shd w:val="clear" w:color="auto" w:fill="auto"/>
          </w:tcPr>
          <w:p>
            <w:pPr>
              <w:widowControl/>
              <w:jc w:val="left"/>
              <w:textAlignment w:val="top"/>
              <w:rPr>
                <w:color w:val="auto"/>
                <w:sz w:val="22"/>
                <w:szCs w:val="22"/>
                <w:highlight w:val="none"/>
              </w:rPr>
            </w:pPr>
            <w:r>
              <w:rPr>
                <w:color w:val="auto"/>
                <w:kern w:val="0"/>
                <w:sz w:val="22"/>
                <w:szCs w:val="22"/>
                <w:highlight w:val="none"/>
              </w:rPr>
              <w:t>1</w:t>
            </w:r>
            <w:r>
              <w:rPr>
                <w:rStyle w:val="511"/>
                <w:rFonts w:hint="default"/>
                <w:color w:val="auto"/>
                <w:highlight w:val="none"/>
              </w:rPr>
              <w:t>机箱材料选用冷扎钢板</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2"/>
                <w:szCs w:val="22"/>
                <w:highlight w:val="none"/>
              </w:rPr>
            </w:pPr>
            <w:r>
              <w:rPr>
                <w:color w:val="auto"/>
                <w:kern w:val="0"/>
                <w:sz w:val="22"/>
                <w:szCs w:val="22"/>
                <w:highlight w:val="none"/>
              </w:rPr>
              <w:t>个</w:t>
            </w: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2</w:t>
            </w: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2</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noWrap/>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43"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2"/>
                <w:szCs w:val="22"/>
                <w:highlight w:val="none"/>
              </w:rPr>
            </w:pPr>
            <w:r>
              <w:rPr>
                <w:color w:val="auto"/>
                <w:kern w:val="0"/>
                <w:sz w:val="22"/>
                <w:szCs w:val="22"/>
                <w:highlight w:val="none"/>
              </w:rPr>
              <w:t>5</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2"/>
                <w:szCs w:val="22"/>
                <w:highlight w:val="none"/>
              </w:rPr>
            </w:pPr>
            <w:r>
              <w:rPr>
                <w:color w:val="auto"/>
                <w:kern w:val="0"/>
                <w:sz w:val="22"/>
                <w:szCs w:val="22"/>
                <w:highlight w:val="none"/>
              </w:rPr>
              <w:t>综合管控一体机</w:t>
            </w:r>
          </w:p>
        </w:tc>
        <w:tc>
          <w:tcPr>
            <w:tcW w:w="2382" w:type="pct"/>
            <w:tcBorders>
              <w:top w:val="single" w:color="000000" w:sz="4" w:space="0"/>
              <w:left w:val="single" w:color="000000" w:sz="4" w:space="0"/>
              <w:bottom w:val="single" w:color="000000" w:sz="4" w:space="0"/>
              <w:right w:val="single" w:color="000000" w:sz="4" w:space="0"/>
            </w:tcBorders>
            <w:shd w:val="clear" w:color="auto" w:fill="auto"/>
          </w:tcPr>
          <w:p>
            <w:pPr>
              <w:widowControl/>
              <w:jc w:val="left"/>
              <w:textAlignment w:val="top"/>
              <w:rPr>
                <w:color w:val="auto"/>
                <w:sz w:val="22"/>
                <w:szCs w:val="22"/>
                <w:highlight w:val="none"/>
              </w:rPr>
            </w:pPr>
            <w:r>
              <w:rPr>
                <w:rStyle w:val="511"/>
                <w:rFonts w:hint="default"/>
                <w:color w:val="auto"/>
                <w:highlight w:val="none"/>
              </w:rPr>
              <w:t>处理器：高性能</w:t>
            </w:r>
            <w:r>
              <w:rPr>
                <w:color w:val="auto"/>
                <w:kern w:val="0"/>
                <w:sz w:val="22"/>
                <w:szCs w:val="22"/>
                <w:highlight w:val="none"/>
              </w:rPr>
              <w:t>ARM A9</w:t>
            </w:r>
            <w:r>
              <w:rPr>
                <w:rStyle w:val="511"/>
                <w:rFonts w:hint="default"/>
                <w:color w:val="auto"/>
                <w:highlight w:val="none"/>
              </w:rPr>
              <w:t>双核数字媒体处理器</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2"/>
                <w:szCs w:val="22"/>
                <w:highlight w:val="none"/>
              </w:rPr>
            </w:pPr>
            <w:r>
              <w:rPr>
                <w:color w:val="auto"/>
                <w:kern w:val="0"/>
                <w:sz w:val="22"/>
                <w:szCs w:val="22"/>
                <w:highlight w:val="none"/>
              </w:rPr>
              <w:t>台</w:t>
            </w: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2</w:t>
            </w: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2</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noWrap/>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43"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2"/>
                <w:szCs w:val="22"/>
                <w:highlight w:val="none"/>
              </w:rPr>
            </w:pPr>
            <w:r>
              <w:rPr>
                <w:color w:val="auto"/>
                <w:kern w:val="0"/>
                <w:sz w:val="22"/>
                <w:szCs w:val="22"/>
                <w:highlight w:val="none"/>
              </w:rPr>
              <w:t>6</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rPr>
              <w:t>第三方检测</w:t>
            </w:r>
          </w:p>
        </w:tc>
        <w:tc>
          <w:tcPr>
            <w:tcW w:w="2382" w:type="pct"/>
            <w:tcBorders>
              <w:top w:val="single" w:color="000000" w:sz="4" w:space="0"/>
              <w:left w:val="single" w:color="000000" w:sz="4" w:space="0"/>
              <w:bottom w:val="single" w:color="000000" w:sz="4" w:space="0"/>
              <w:right w:val="single" w:color="000000" w:sz="4" w:space="0"/>
            </w:tcBorders>
            <w:shd w:val="clear" w:color="auto" w:fill="auto"/>
          </w:tcPr>
          <w:p>
            <w:pPr>
              <w:jc w:val="left"/>
              <w:rPr>
                <w:color w:val="auto"/>
                <w:sz w:val="22"/>
                <w:szCs w:val="22"/>
                <w:highlight w:val="none"/>
              </w:rPr>
            </w:pP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rPr>
              <w:t>项</w:t>
            </w: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2</w:t>
            </w:r>
          </w:p>
        </w:tc>
        <w:tc>
          <w:tcPr>
            <w:tcW w:w="25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2</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noWrap/>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43"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b/>
                <w:bCs/>
                <w:color w:val="auto"/>
                <w:sz w:val="22"/>
                <w:szCs w:val="22"/>
                <w:highlight w:val="none"/>
              </w:rPr>
            </w:pPr>
            <w:r>
              <w:rPr>
                <w:rFonts w:hint="eastAsia" w:ascii="宋体" w:hAnsi="宋体" w:cs="宋体"/>
                <w:b/>
                <w:bCs/>
                <w:color w:val="auto"/>
                <w:kern w:val="0"/>
                <w:sz w:val="22"/>
                <w:szCs w:val="22"/>
                <w:highlight w:val="none"/>
              </w:rPr>
              <w:t>五</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b/>
                <w:bCs/>
                <w:color w:val="auto"/>
                <w:sz w:val="22"/>
                <w:szCs w:val="22"/>
                <w:highlight w:val="none"/>
              </w:rPr>
            </w:pPr>
            <w:r>
              <w:rPr>
                <w:rFonts w:hint="eastAsia" w:ascii="宋体" w:hAnsi="宋体" w:cs="宋体"/>
                <w:b/>
                <w:bCs/>
                <w:color w:val="auto"/>
                <w:kern w:val="0"/>
                <w:sz w:val="22"/>
                <w:szCs w:val="22"/>
                <w:highlight w:val="none"/>
              </w:rPr>
              <w:t>其他</w:t>
            </w: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b/>
                <w:bCs/>
                <w:color w:val="auto"/>
                <w:sz w:val="22"/>
                <w:szCs w:val="22"/>
                <w:highlight w:val="none"/>
              </w:rPr>
            </w:pP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b/>
                <w:bCs/>
                <w:color w:val="auto"/>
                <w:sz w:val="22"/>
                <w:szCs w:val="22"/>
                <w:highlight w:val="none"/>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b/>
                <w:bCs/>
                <w:color w:val="auto"/>
                <w:sz w:val="24"/>
                <w:highlight w:val="none"/>
              </w:rPr>
            </w:pP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b/>
                <w:bCs/>
                <w:color w:val="auto"/>
                <w:sz w:val="24"/>
                <w:highlight w:val="none"/>
              </w:rPr>
            </w:pP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auto"/>
                <w:sz w:val="24"/>
                <w:highlight w:val="none"/>
              </w:rPr>
            </w:pP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noWrap/>
            <w:vAlign w:val="center"/>
          </w:tcPr>
          <w:p>
            <w:pPr>
              <w:rPr>
                <w:b/>
                <w:bCs/>
                <w:color w:val="auto"/>
                <w:sz w:val="22"/>
                <w:szCs w:val="22"/>
                <w:highlight w:val="none"/>
              </w:rPr>
            </w:pPr>
          </w:p>
        </w:tc>
      </w:tr>
      <w:tr>
        <w:tblPrEx>
          <w:tblCellMar>
            <w:top w:w="0" w:type="dxa"/>
            <w:left w:w="108" w:type="dxa"/>
            <w:bottom w:w="0" w:type="dxa"/>
            <w:right w:w="108" w:type="dxa"/>
          </w:tblCellMar>
        </w:tblPrEx>
        <w:trPr>
          <w:trHeight w:val="443"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2"/>
                <w:szCs w:val="22"/>
                <w:highlight w:val="none"/>
              </w:rPr>
            </w:pPr>
            <w:r>
              <w:rPr>
                <w:color w:val="auto"/>
                <w:kern w:val="0"/>
                <w:sz w:val="22"/>
                <w:szCs w:val="22"/>
                <w:highlight w:val="none"/>
              </w:rPr>
              <w:t>1</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2"/>
                <w:szCs w:val="22"/>
                <w:highlight w:val="none"/>
              </w:rPr>
            </w:pPr>
            <w:r>
              <w:rPr>
                <w:rStyle w:val="511"/>
                <w:rFonts w:hint="default"/>
                <w:color w:val="auto"/>
                <w:highlight w:val="none"/>
              </w:rPr>
              <w:t>□</w:t>
            </w:r>
            <w:r>
              <w:rPr>
                <w:color w:val="auto"/>
                <w:kern w:val="0"/>
                <w:sz w:val="22"/>
                <w:szCs w:val="22"/>
                <w:highlight w:val="none"/>
              </w:rPr>
              <w:t>4000×2400×3</w:t>
            </w:r>
            <w:r>
              <w:rPr>
                <w:rStyle w:val="511"/>
                <w:rFonts w:hint="default"/>
                <w:color w:val="auto"/>
                <w:highlight w:val="none"/>
              </w:rPr>
              <w:t>标志</w:t>
            </w: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color w:val="auto"/>
                <w:sz w:val="22"/>
                <w:szCs w:val="22"/>
                <w:highlight w:val="none"/>
              </w:rPr>
            </w:pPr>
            <w:r>
              <w:rPr>
                <w:rStyle w:val="511"/>
                <w:rFonts w:hint="default"/>
                <w:color w:val="auto"/>
                <w:highlight w:val="none"/>
              </w:rPr>
              <w:t>单悬</w:t>
            </w:r>
            <w:r>
              <w:rPr>
                <w:color w:val="auto"/>
                <w:kern w:val="0"/>
                <w:sz w:val="22"/>
                <w:szCs w:val="22"/>
                <w:highlight w:val="none"/>
              </w:rPr>
              <w:t>Φ273</w:t>
            </w:r>
            <w:r>
              <w:rPr>
                <w:rStyle w:val="511"/>
                <w:rFonts w:hint="default"/>
                <w:color w:val="auto"/>
                <w:highlight w:val="none"/>
              </w:rPr>
              <w:t>立柱，基础（含预埋件）</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2"/>
                <w:szCs w:val="22"/>
                <w:highlight w:val="none"/>
              </w:rPr>
            </w:pPr>
            <w:r>
              <w:rPr>
                <w:rStyle w:val="511"/>
                <w:rFonts w:hint="default"/>
                <w:color w:val="auto"/>
                <w:highlight w:val="none"/>
              </w:rPr>
              <w:t>套</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1</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1</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noWrap/>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675"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2"/>
                <w:szCs w:val="22"/>
                <w:highlight w:val="none"/>
              </w:rPr>
            </w:pPr>
            <w:r>
              <w:rPr>
                <w:color w:val="auto"/>
                <w:kern w:val="0"/>
                <w:sz w:val="22"/>
                <w:szCs w:val="22"/>
                <w:highlight w:val="none"/>
              </w:rPr>
              <w:t>2</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2"/>
                <w:szCs w:val="22"/>
                <w:highlight w:val="none"/>
              </w:rPr>
            </w:pPr>
            <w:r>
              <w:rPr>
                <w:rStyle w:val="511"/>
                <w:rFonts w:hint="default"/>
                <w:color w:val="auto"/>
                <w:highlight w:val="none"/>
              </w:rPr>
              <w:t>□</w:t>
            </w:r>
            <w:r>
              <w:rPr>
                <w:color w:val="auto"/>
                <w:kern w:val="0"/>
                <w:sz w:val="22"/>
                <w:szCs w:val="22"/>
                <w:highlight w:val="none"/>
              </w:rPr>
              <w:t>4000×2400×3</w:t>
            </w:r>
            <w:r>
              <w:rPr>
                <w:rStyle w:val="511"/>
                <w:rFonts w:hint="default"/>
                <w:color w:val="auto"/>
                <w:highlight w:val="none"/>
              </w:rPr>
              <w:t>标志</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rPr>
              <w:t>门架跨径14.25m，基础（含预埋件），快速路标志3.5m×2.8m安装于此门架，快速路标志不含在本工程内</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2"/>
                <w:szCs w:val="22"/>
                <w:highlight w:val="none"/>
              </w:rPr>
            </w:pPr>
            <w:r>
              <w:rPr>
                <w:rStyle w:val="511"/>
                <w:rFonts w:hint="default"/>
                <w:color w:val="auto"/>
                <w:highlight w:val="none"/>
              </w:rPr>
              <w:t>套</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1</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1</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noWrap/>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43"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2"/>
                <w:szCs w:val="22"/>
                <w:highlight w:val="none"/>
              </w:rPr>
            </w:pPr>
            <w:r>
              <w:rPr>
                <w:color w:val="auto"/>
                <w:kern w:val="0"/>
                <w:sz w:val="22"/>
                <w:szCs w:val="22"/>
                <w:highlight w:val="none"/>
              </w:rPr>
              <w:t>3</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2"/>
                <w:szCs w:val="22"/>
                <w:highlight w:val="none"/>
              </w:rPr>
            </w:pPr>
            <w:r>
              <w:rPr>
                <w:rStyle w:val="511"/>
                <w:rFonts w:hint="default"/>
                <w:color w:val="auto"/>
                <w:highlight w:val="none"/>
              </w:rPr>
              <w:t>标线恢复</w:t>
            </w: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rPr>
              <w:t>项目范围内标线按原貌恢复</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2"/>
                <w:szCs w:val="22"/>
                <w:highlight w:val="none"/>
              </w:rPr>
            </w:pPr>
            <w:r>
              <w:rPr>
                <w:color w:val="auto"/>
                <w:kern w:val="0"/>
                <w:sz w:val="22"/>
                <w:szCs w:val="22"/>
                <w:highlight w:val="none"/>
              </w:rPr>
              <w:t>m</w:t>
            </w:r>
            <w:r>
              <w:rPr>
                <w:rStyle w:val="512"/>
                <w:color w:val="auto"/>
                <w:highlight w:val="none"/>
              </w:rPr>
              <w:t>2</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20</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20</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noWrap/>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43"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2"/>
                <w:szCs w:val="22"/>
                <w:highlight w:val="none"/>
              </w:rPr>
            </w:pPr>
            <w:r>
              <w:rPr>
                <w:color w:val="auto"/>
                <w:kern w:val="0"/>
                <w:sz w:val="22"/>
                <w:szCs w:val="22"/>
                <w:highlight w:val="none"/>
              </w:rPr>
              <w:t>4</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2"/>
                <w:szCs w:val="22"/>
                <w:highlight w:val="none"/>
              </w:rPr>
            </w:pPr>
            <w:r>
              <w:rPr>
                <w:rStyle w:val="511"/>
                <w:rFonts w:hint="default"/>
                <w:color w:val="auto"/>
                <w:highlight w:val="none"/>
              </w:rPr>
              <w:t>室外配电箱</w:t>
            </w: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color w:val="auto"/>
                <w:sz w:val="22"/>
                <w:szCs w:val="22"/>
                <w:highlight w:val="none"/>
              </w:rPr>
            </w:pPr>
            <w:r>
              <w:rPr>
                <w:rStyle w:val="511"/>
                <w:rFonts w:hint="default"/>
                <w:color w:val="auto"/>
                <w:highlight w:val="none"/>
              </w:rPr>
              <w:t>与对应设备配套</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2"/>
                <w:szCs w:val="22"/>
                <w:highlight w:val="none"/>
              </w:rPr>
            </w:pPr>
            <w:r>
              <w:rPr>
                <w:rStyle w:val="511"/>
                <w:rFonts w:hint="default"/>
                <w:color w:val="auto"/>
                <w:highlight w:val="none"/>
              </w:rPr>
              <w:t>个</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4</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4</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noWrap/>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43"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2"/>
                <w:szCs w:val="22"/>
                <w:highlight w:val="none"/>
              </w:rPr>
            </w:pPr>
            <w:r>
              <w:rPr>
                <w:color w:val="auto"/>
                <w:kern w:val="0"/>
                <w:sz w:val="22"/>
                <w:szCs w:val="22"/>
                <w:highlight w:val="none"/>
              </w:rPr>
              <w:t>5</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2"/>
                <w:szCs w:val="22"/>
                <w:highlight w:val="none"/>
              </w:rPr>
            </w:pPr>
            <w:r>
              <w:rPr>
                <w:color w:val="auto"/>
                <w:kern w:val="0"/>
                <w:sz w:val="22"/>
                <w:szCs w:val="22"/>
                <w:highlight w:val="none"/>
              </w:rPr>
              <w:t>Gr-Am-2C</w:t>
            </w:r>
            <w:r>
              <w:rPr>
                <w:rStyle w:val="511"/>
                <w:rFonts w:hint="default"/>
                <w:color w:val="auto"/>
                <w:highlight w:val="none"/>
              </w:rPr>
              <w:t>波形护栏</w:t>
            </w: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rPr>
              <w:t>含端头D-II型4个，护栏需喷塑，含7×2=16个轮廓标</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2"/>
                <w:szCs w:val="22"/>
                <w:highlight w:val="none"/>
              </w:rPr>
            </w:pPr>
            <w:r>
              <w:rPr>
                <w:color w:val="auto"/>
                <w:kern w:val="0"/>
                <w:sz w:val="22"/>
                <w:szCs w:val="22"/>
                <w:highlight w:val="none"/>
              </w:rPr>
              <w:t>m</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64</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64</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noWrap/>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43"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2"/>
                <w:szCs w:val="22"/>
                <w:highlight w:val="none"/>
              </w:rPr>
            </w:pPr>
            <w:r>
              <w:rPr>
                <w:color w:val="auto"/>
                <w:kern w:val="0"/>
                <w:sz w:val="22"/>
                <w:szCs w:val="22"/>
                <w:highlight w:val="none"/>
              </w:rPr>
              <w:t>6</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rPr>
              <w:t>机柜保护架</w:t>
            </w: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color w:val="auto"/>
                <w:sz w:val="22"/>
                <w:szCs w:val="22"/>
                <w:highlight w:val="none"/>
              </w:rPr>
            </w:pP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rPr>
              <w:t>个</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2</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2</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noWrap/>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43"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2"/>
                <w:szCs w:val="22"/>
                <w:highlight w:val="none"/>
              </w:rPr>
            </w:pPr>
            <w:r>
              <w:rPr>
                <w:color w:val="auto"/>
                <w:kern w:val="0"/>
                <w:sz w:val="22"/>
                <w:szCs w:val="22"/>
                <w:highlight w:val="none"/>
              </w:rPr>
              <w:t>7</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2"/>
                <w:szCs w:val="22"/>
                <w:highlight w:val="none"/>
              </w:rPr>
            </w:pPr>
            <w:r>
              <w:rPr>
                <w:rStyle w:val="511"/>
                <w:rFonts w:hint="default"/>
                <w:color w:val="auto"/>
                <w:highlight w:val="none"/>
              </w:rPr>
              <w:t>利旧设备拆装</w:t>
            </w: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rPr>
              <w:t>含摄像机4台、工业级交换机1台、监控球机2台等设备移位及相应安装附件</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2"/>
                <w:szCs w:val="22"/>
                <w:highlight w:val="none"/>
              </w:rPr>
            </w:pPr>
            <w:r>
              <w:rPr>
                <w:rStyle w:val="511"/>
                <w:rFonts w:hint="default"/>
                <w:color w:val="auto"/>
                <w:highlight w:val="none"/>
              </w:rPr>
              <w:t>项</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1</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1</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noWrap/>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43"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2"/>
                <w:szCs w:val="22"/>
                <w:highlight w:val="none"/>
              </w:rPr>
            </w:pPr>
            <w:r>
              <w:rPr>
                <w:color w:val="auto"/>
                <w:kern w:val="0"/>
                <w:sz w:val="22"/>
                <w:szCs w:val="22"/>
                <w:highlight w:val="none"/>
              </w:rPr>
              <w:t>8</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2"/>
                <w:szCs w:val="22"/>
                <w:highlight w:val="none"/>
              </w:rPr>
            </w:pPr>
            <w:r>
              <w:rPr>
                <w:rStyle w:val="511"/>
                <w:rFonts w:hint="default"/>
                <w:color w:val="auto"/>
                <w:highlight w:val="none"/>
              </w:rPr>
              <w:t>系统接电</w:t>
            </w: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color w:val="auto"/>
                <w:sz w:val="22"/>
                <w:szCs w:val="22"/>
                <w:highlight w:val="none"/>
              </w:rPr>
            </w:pPr>
            <w:r>
              <w:rPr>
                <w:rStyle w:val="511"/>
                <w:rFonts w:hint="default"/>
                <w:color w:val="auto"/>
                <w:highlight w:val="none"/>
              </w:rPr>
              <w:t>需设置单独的开关、漏电保护器等设施</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2"/>
                <w:szCs w:val="22"/>
                <w:highlight w:val="none"/>
              </w:rPr>
            </w:pPr>
            <w:r>
              <w:rPr>
                <w:rStyle w:val="511"/>
                <w:rFonts w:hint="default"/>
                <w:color w:val="auto"/>
                <w:highlight w:val="none"/>
              </w:rPr>
              <w:t>项</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1</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1</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noWrap/>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43"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2"/>
                <w:szCs w:val="22"/>
                <w:highlight w:val="none"/>
              </w:rPr>
            </w:pPr>
            <w:r>
              <w:rPr>
                <w:color w:val="auto"/>
                <w:kern w:val="0"/>
                <w:sz w:val="22"/>
                <w:szCs w:val="22"/>
                <w:highlight w:val="none"/>
              </w:rPr>
              <w:t>9</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2"/>
                <w:szCs w:val="22"/>
                <w:highlight w:val="none"/>
              </w:rPr>
            </w:pPr>
            <w:r>
              <w:rPr>
                <w:rStyle w:val="511"/>
                <w:rFonts w:hint="default"/>
                <w:color w:val="auto"/>
                <w:highlight w:val="none"/>
              </w:rPr>
              <w:t>系统接地</w:t>
            </w: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color w:val="auto"/>
                <w:sz w:val="22"/>
                <w:szCs w:val="22"/>
                <w:highlight w:val="none"/>
              </w:rPr>
            </w:pPr>
            <w:r>
              <w:rPr>
                <w:rStyle w:val="511"/>
                <w:rFonts w:hint="default"/>
                <w:color w:val="auto"/>
                <w:highlight w:val="none"/>
              </w:rPr>
              <w:t>接地电阻≤</w:t>
            </w:r>
            <w:r>
              <w:rPr>
                <w:color w:val="auto"/>
                <w:kern w:val="0"/>
                <w:sz w:val="22"/>
                <w:szCs w:val="22"/>
                <w:highlight w:val="none"/>
              </w:rPr>
              <w:t>4Ω</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2"/>
                <w:szCs w:val="22"/>
                <w:highlight w:val="none"/>
              </w:rPr>
            </w:pPr>
            <w:r>
              <w:rPr>
                <w:rStyle w:val="511"/>
                <w:rFonts w:hint="default"/>
                <w:color w:val="auto"/>
                <w:highlight w:val="none"/>
              </w:rPr>
              <w:t>项</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1</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0</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1</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noWrap/>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43"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2"/>
                <w:szCs w:val="22"/>
                <w:highlight w:val="none"/>
              </w:rPr>
            </w:pPr>
            <w:r>
              <w:rPr>
                <w:color w:val="auto"/>
                <w:kern w:val="0"/>
                <w:sz w:val="22"/>
                <w:szCs w:val="22"/>
                <w:highlight w:val="none"/>
              </w:rPr>
              <w:t>10</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2"/>
                <w:szCs w:val="22"/>
                <w:highlight w:val="none"/>
              </w:rPr>
            </w:pPr>
            <w:r>
              <w:rPr>
                <w:rStyle w:val="511"/>
                <w:rFonts w:hint="default"/>
                <w:color w:val="auto"/>
                <w:highlight w:val="none"/>
              </w:rPr>
              <w:t>网络租赁</w:t>
            </w: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rPr>
              <w:t>非现系统及人车管控监控系统</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2"/>
                <w:szCs w:val="22"/>
                <w:highlight w:val="none"/>
              </w:rPr>
            </w:pPr>
            <w:r>
              <w:rPr>
                <w:rStyle w:val="511"/>
                <w:rFonts w:hint="default"/>
                <w:color w:val="auto"/>
                <w:highlight w:val="none"/>
              </w:rPr>
              <w:t>年</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3</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3</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noWrap/>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43"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2"/>
                <w:szCs w:val="22"/>
                <w:highlight w:val="none"/>
              </w:rPr>
            </w:pPr>
            <w:r>
              <w:rPr>
                <w:color w:val="auto"/>
                <w:kern w:val="0"/>
                <w:sz w:val="22"/>
                <w:szCs w:val="22"/>
                <w:highlight w:val="none"/>
              </w:rPr>
              <w:t>11</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安装调试</w:t>
            </w: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rPr>
              <w:t>对新组成的系统进行调试，满足建设单位的要求</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项</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1</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1</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noWrap/>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trHeight w:val="443"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2"/>
                <w:szCs w:val="22"/>
                <w:highlight w:val="none"/>
              </w:rPr>
            </w:pPr>
            <w:r>
              <w:rPr>
                <w:color w:val="auto"/>
                <w:kern w:val="0"/>
                <w:sz w:val="22"/>
                <w:szCs w:val="22"/>
                <w:highlight w:val="none"/>
              </w:rPr>
              <w:t>12</w:t>
            </w:r>
          </w:p>
        </w:tc>
        <w:tc>
          <w:tcPr>
            <w:tcW w:w="555"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widowControl/>
              <w:jc w:val="center"/>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rPr>
              <w:t>数据传输前置机</w:t>
            </w:r>
          </w:p>
        </w:tc>
        <w:tc>
          <w:tcPr>
            <w:tcW w:w="2382"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widowControl/>
              <w:jc w:val="left"/>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rPr>
              <w:t>接入省科技治超系统必备设备</w:t>
            </w:r>
          </w:p>
        </w:tc>
        <w:tc>
          <w:tcPr>
            <w:tcW w:w="277"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widowControl/>
              <w:jc w:val="center"/>
              <w:textAlignment w:val="center"/>
              <w:rPr>
                <w:color w:val="auto"/>
                <w:sz w:val="22"/>
                <w:szCs w:val="22"/>
                <w:highlight w:val="none"/>
              </w:rPr>
            </w:pPr>
            <w:r>
              <w:rPr>
                <w:rStyle w:val="511"/>
                <w:rFonts w:hint="default"/>
                <w:color w:val="auto"/>
                <w:highlight w:val="none"/>
              </w:rPr>
              <w:t>套</w:t>
            </w:r>
          </w:p>
        </w:tc>
        <w:tc>
          <w:tcPr>
            <w:tcW w:w="400"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widowControl/>
              <w:jc w:val="center"/>
              <w:textAlignment w:val="center"/>
              <w:rPr>
                <w:color w:val="auto"/>
                <w:sz w:val="22"/>
                <w:szCs w:val="22"/>
                <w:highlight w:val="none"/>
              </w:rPr>
            </w:pPr>
            <w:r>
              <w:rPr>
                <w:color w:val="auto"/>
                <w:kern w:val="0"/>
                <w:sz w:val="22"/>
                <w:szCs w:val="22"/>
                <w:highlight w:val="none"/>
              </w:rPr>
              <w:t>1</w:t>
            </w:r>
          </w:p>
        </w:tc>
        <w:tc>
          <w:tcPr>
            <w:tcW w:w="253"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widowControl/>
              <w:jc w:val="center"/>
              <w:textAlignment w:val="center"/>
              <w:rPr>
                <w:color w:val="auto"/>
                <w:sz w:val="24"/>
                <w:highlight w:val="none"/>
              </w:rPr>
            </w:pPr>
            <w:r>
              <w:rPr>
                <w:color w:val="auto"/>
                <w:kern w:val="0"/>
                <w:sz w:val="24"/>
                <w:highlight w:val="none"/>
              </w:rPr>
              <w:t>/</w:t>
            </w:r>
          </w:p>
        </w:tc>
        <w:tc>
          <w:tcPr>
            <w:tcW w:w="344" w:type="pct"/>
            <w:tcBorders>
              <w:top w:val="single" w:color="000000" w:sz="4" w:space="0"/>
              <w:left w:val="single" w:color="000000" w:sz="4" w:space="0"/>
              <w:bottom w:val="single" w:color="000000" w:sz="4" w:space="0"/>
              <w:right w:val="single" w:color="000000" w:sz="4" w:space="0"/>
            </w:tcBorders>
            <w:shd w:val="clear" w:color="auto" w:fill="FFFF00"/>
            <w:vAlign w:val="center"/>
          </w:tcPr>
          <w:p>
            <w:pPr>
              <w:widowControl/>
              <w:jc w:val="center"/>
              <w:textAlignment w:val="center"/>
              <w:rPr>
                <w:color w:val="auto"/>
                <w:sz w:val="24"/>
                <w:highlight w:val="none"/>
              </w:rPr>
            </w:pPr>
            <w:r>
              <w:rPr>
                <w:color w:val="auto"/>
                <w:kern w:val="0"/>
                <w:sz w:val="24"/>
                <w:highlight w:val="none"/>
              </w:rPr>
              <w:t>1</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noWrap/>
            <w:vAlign w:val="center"/>
          </w:tcPr>
          <w:p>
            <w:pPr>
              <w:jc w:val="center"/>
              <w:rPr>
                <w:color w:val="auto"/>
                <w:sz w:val="24"/>
                <w:highlight w:val="none"/>
              </w:rPr>
            </w:pPr>
          </w:p>
        </w:tc>
      </w:tr>
      <w:tr>
        <w:tblPrEx>
          <w:tblCellMar>
            <w:top w:w="0" w:type="dxa"/>
            <w:left w:w="108" w:type="dxa"/>
            <w:bottom w:w="0" w:type="dxa"/>
            <w:right w:w="108" w:type="dxa"/>
          </w:tblCellMar>
        </w:tblPrEx>
        <w:trPr>
          <w:trHeight w:val="443"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2"/>
                <w:szCs w:val="22"/>
                <w:highlight w:val="none"/>
              </w:rPr>
            </w:pPr>
            <w:r>
              <w:rPr>
                <w:color w:val="auto"/>
                <w:kern w:val="0"/>
                <w:sz w:val="22"/>
                <w:szCs w:val="22"/>
                <w:highlight w:val="none"/>
              </w:rPr>
              <w:t>13</w:t>
            </w:r>
          </w:p>
        </w:tc>
        <w:tc>
          <w:tcPr>
            <w:tcW w:w="555"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前置机维护</w:t>
            </w:r>
          </w:p>
        </w:tc>
        <w:tc>
          <w:tcPr>
            <w:tcW w:w="2382"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widowControl/>
              <w:jc w:val="left"/>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rPr>
              <w:t>第一年由供应商免费维护，维护第2-3年</w:t>
            </w:r>
          </w:p>
        </w:tc>
        <w:tc>
          <w:tcPr>
            <w:tcW w:w="277"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年</w:t>
            </w:r>
          </w:p>
        </w:tc>
        <w:tc>
          <w:tcPr>
            <w:tcW w:w="400"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widowControl/>
              <w:jc w:val="center"/>
              <w:textAlignment w:val="center"/>
              <w:rPr>
                <w:color w:val="auto"/>
                <w:sz w:val="24"/>
                <w:highlight w:val="none"/>
              </w:rPr>
            </w:pPr>
            <w:r>
              <w:rPr>
                <w:color w:val="auto"/>
                <w:kern w:val="0"/>
                <w:sz w:val="24"/>
                <w:highlight w:val="none"/>
              </w:rPr>
              <w:t>2</w:t>
            </w:r>
          </w:p>
        </w:tc>
        <w:tc>
          <w:tcPr>
            <w:tcW w:w="253" w:type="pct"/>
            <w:tcBorders>
              <w:top w:val="single" w:color="000000" w:sz="4" w:space="0"/>
              <w:left w:val="single" w:color="000000" w:sz="4" w:space="0"/>
              <w:bottom w:val="single" w:color="000000" w:sz="4" w:space="0"/>
              <w:right w:val="single" w:color="000000" w:sz="4" w:space="0"/>
            </w:tcBorders>
            <w:shd w:val="clear" w:color="auto" w:fill="FFFF00"/>
            <w:noWrap/>
            <w:vAlign w:val="center"/>
          </w:tcPr>
          <w:p>
            <w:pPr>
              <w:widowControl/>
              <w:jc w:val="center"/>
              <w:textAlignment w:val="center"/>
              <w:rPr>
                <w:color w:val="auto"/>
                <w:sz w:val="24"/>
                <w:highlight w:val="none"/>
              </w:rPr>
            </w:pPr>
            <w:r>
              <w:rPr>
                <w:color w:val="auto"/>
                <w:kern w:val="0"/>
                <w:sz w:val="24"/>
                <w:highlight w:val="none"/>
              </w:rPr>
              <w:t>/</w:t>
            </w:r>
          </w:p>
        </w:tc>
        <w:tc>
          <w:tcPr>
            <w:tcW w:w="344" w:type="pct"/>
            <w:tcBorders>
              <w:top w:val="single" w:color="000000" w:sz="4" w:space="0"/>
              <w:left w:val="single" w:color="000000" w:sz="4" w:space="0"/>
              <w:bottom w:val="single" w:color="000000" w:sz="4" w:space="0"/>
              <w:right w:val="single" w:color="000000" w:sz="4" w:space="0"/>
            </w:tcBorders>
            <w:shd w:val="clear" w:color="auto" w:fill="FFFF00"/>
            <w:vAlign w:val="center"/>
          </w:tcPr>
          <w:p>
            <w:pPr>
              <w:widowControl/>
              <w:jc w:val="center"/>
              <w:textAlignment w:val="center"/>
              <w:rPr>
                <w:color w:val="auto"/>
                <w:sz w:val="24"/>
                <w:highlight w:val="none"/>
              </w:rPr>
            </w:pPr>
            <w:r>
              <w:rPr>
                <w:color w:val="auto"/>
                <w:kern w:val="0"/>
                <w:sz w:val="24"/>
                <w:highlight w:val="none"/>
              </w:rPr>
              <w:t>2</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noWrap/>
            <w:vAlign w:val="center"/>
          </w:tcPr>
          <w:p>
            <w:pPr>
              <w:jc w:val="center"/>
              <w:rPr>
                <w:color w:val="auto"/>
                <w:sz w:val="24"/>
                <w:highlight w:val="none"/>
              </w:rPr>
            </w:pPr>
          </w:p>
        </w:tc>
      </w:tr>
      <w:tr>
        <w:tblPrEx>
          <w:tblCellMar>
            <w:top w:w="0" w:type="dxa"/>
            <w:left w:w="108" w:type="dxa"/>
            <w:bottom w:w="0" w:type="dxa"/>
            <w:right w:w="108" w:type="dxa"/>
          </w:tblCellMar>
        </w:tblPrEx>
        <w:trPr>
          <w:trHeight w:val="439"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2"/>
                <w:szCs w:val="22"/>
                <w:highlight w:val="none"/>
              </w:rPr>
            </w:pPr>
            <w:r>
              <w:rPr>
                <w:color w:val="auto"/>
                <w:kern w:val="0"/>
                <w:sz w:val="22"/>
                <w:szCs w:val="22"/>
                <w:highlight w:val="none"/>
              </w:rPr>
              <w:t>14</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检测车辆租赁</w:t>
            </w:r>
          </w:p>
        </w:tc>
        <w:tc>
          <w:tcPr>
            <w:tcW w:w="2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rPr>
              <w:t>一年两次，3年</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项</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1</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1</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noWrap/>
            <w:vAlign w:val="center"/>
          </w:tcPr>
          <w:p>
            <w:pPr>
              <w:jc w:val="center"/>
              <w:rPr>
                <w:color w:val="auto"/>
                <w:sz w:val="24"/>
                <w:highlight w:val="none"/>
              </w:rPr>
            </w:pPr>
          </w:p>
        </w:tc>
      </w:tr>
      <w:tr>
        <w:tblPrEx>
          <w:tblCellMar>
            <w:top w:w="0" w:type="dxa"/>
            <w:left w:w="108" w:type="dxa"/>
            <w:bottom w:w="0" w:type="dxa"/>
            <w:right w:w="108" w:type="dxa"/>
          </w:tblCellMar>
        </w:tblPrEx>
        <w:trPr>
          <w:trHeight w:val="443"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textAlignment w:val="center"/>
              <w:rPr>
                <w:color w:val="auto"/>
                <w:sz w:val="22"/>
                <w:szCs w:val="22"/>
                <w:highlight w:val="none"/>
              </w:rPr>
            </w:pPr>
            <w:r>
              <w:rPr>
                <w:color w:val="auto"/>
                <w:kern w:val="0"/>
                <w:sz w:val="22"/>
                <w:szCs w:val="22"/>
                <w:highlight w:val="none"/>
              </w:rPr>
              <w:t>15</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利旧设备质保期</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2"/>
                <w:szCs w:val="22"/>
                <w:highlight w:val="none"/>
              </w:rPr>
            </w:pPr>
            <w:r>
              <w:rPr>
                <w:rFonts w:hint="eastAsia" w:ascii="宋体" w:hAnsi="宋体" w:cs="宋体"/>
                <w:color w:val="auto"/>
                <w:kern w:val="0"/>
                <w:sz w:val="22"/>
                <w:szCs w:val="22"/>
                <w:highlight w:val="none"/>
              </w:rPr>
              <w:t>三年六个月，项目中所有利旧设备</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rPr>
              <w:t>项</w:t>
            </w:r>
          </w:p>
        </w:tc>
        <w:tc>
          <w:tcPr>
            <w:tcW w:w="4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1</w:t>
            </w:r>
          </w:p>
        </w:tc>
        <w:tc>
          <w:tcPr>
            <w:tcW w:w="2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auto"/>
                <w:sz w:val="24"/>
                <w:highlight w:val="none"/>
              </w:rPr>
            </w:pPr>
            <w:r>
              <w:rPr>
                <w:color w:val="auto"/>
                <w:kern w:val="0"/>
                <w:sz w:val="24"/>
                <w:highlight w:val="none"/>
              </w:rPr>
              <w:t>/</w:t>
            </w:r>
          </w:p>
        </w:tc>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sz w:val="24"/>
                <w:highlight w:val="none"/>
              </w:rPr>
            </w:pPr>
            <w:r>
              <w:rPr>
                <w:color w:val="auto"/>
                <w:kern w:val="0"/>
                <w:sz w:val="24"/>
                <w:highlight w:val="none"/>
              </w:rPr>
              <w:t>1</w:t>
            </w:r>
          </w:p>
        </w:tc>
        <w:tc>
          <w:tcPr>
            <w:tcW w:w="475" w:type="pct"/>
            <w:gridSpan w:val="2"/>
            <w:tcBorders>
              <w:top w:val="single" w:color="000000" w:sz="4" w:space="0"/>
              <w:left w:val="single" w:color="000000" w:sz="4" w:space="0"/>
              <w:bottom w:val="single" w:color="000000" w:sz="4" w:space="0"/>
              <w:right w:val="single" w:color="000000" w:sz="8" w:space="0"/>
            </w:tcBorders>
            <w:shd w:val="clear" w:color="auto" w:fill="auto"/>
            <w:noWrap/>
            <w:vAlign w:val="center"/>
          </w:tcPr>
          <w:p>
            <w:pPr>
              <w:jc w:val="center"/>
              <w:rPr>
                <w:rFonts w:ascii="宋体" w:hAnsi="宋体" w:cs="宋体"/>
                <w:color w:val="auto"/>
                <w:sz w:val="24"/>
                <w:highlight w:val="none"/>
              </w:rPr>
            </w:pPr>
          </w:p>
        </w:tc>
      </w:tr>
      <w:tr>
        <w:tblPrEx>
          <w:tblCellMar>
            <w:top w:w="0" w:type="dxa"/>
            <w:left w:w="108" w:type="dxa"/>
            <w:bottom w:w="0" w:type="dxa"/>
            <w:right w:w="108" w:type="dxa"/>
          </w:tblCellMar>
        </w:tblPrEx>
        <w:trPr>
          <w:gridAfter w:val="1"/>
          <w:wAfter w:w="3" w:type="pct"/>
          <w:trHeight w:val="443"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widowControl/>
              <w:jc w:val="center"/>
              <w:rPr>
                <w:rFonts w:ascii="宋体" w:hAnsi="宋体"/>
                <w:color w:val="auto"/>
                <w:sz w:val="20"/>
                <w:szCs w:val="20"/>
                <w:highlight w:val="none"/>
              </w:rPr>
            </w:pPr>
            <w:r>
              <w:rPr>
                <w:rFonts w:hint="eastAsia" w:ascii="宋体" w:hAnsi="宋体" w:cs="宋体"/>
                <w:b/>
                <w:color w:val="auto"/>
                <w:kern w:val="0"/>
                <w:sz w:val="20"/>
                <w:szCs w:val="20"/>
                <w:highlight w:val="none"/>
              </w:rPr>
              <w:t>六</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rPr>
                <w:rFonts w:ascii="宋体" w:hAnsi="宋体"/>
                <w:color w:val="auto"/>
                <w:sz w:val="20"/>
                <w:szCs w:val="20"/>
                <w:highlight w:val="none"/>
              </w:rPr>
            </w:pPr>
            <w:r>
              <w:rPr>
                <w:rFonts w:hint="eastAsia" w:ascii="宋体" w:hAnsi="宋体" w:cs="宋体"/>
                <w:b/>
                <w:color w:val="auto"/>
                <w:kern w:val="0"/>
                <w:sz w:val="20"/>
                <w:szCs w:val="20"/>
                <w:highlight w:val="none"/>
              </w:rPr>
              <w:t>不可利旧设备以料代工处置</w:t>
            </w:r>
          </w:p>
        </w:tc>
        <w:tc>
          <w:tcPr>
            <w:tcW w:w="2382" w:type="pct"/>
            <w:tcBorders>
              <w:top w:val="single" w:color="000000" w:sz="4" w:space="0"/>
              <w:left w:val="single" w:color="000000" w:sz="4" w:space="0"/>
              <w:bottom w:val="single" w:color="000000" w:sz="4" w:space="0"/>
              <w:right w:val="single" w:color="000000" w:sz="4" w:space="0"/>
            </w:tcBorders>
            <w:shd w:val="clear" w:color="auto" w:fill="auto"/>
          </w:tcPr>
          <w:p>
            <w:pPr>
              <w:rPr>
                <w:rFonts w:ascii="宋体" w:hAnsi="宋体"/>
                <w:color w:val="auto"/>
                <w:sz w:val="20"/>
                <w:szCs w:val="20"/>
                <w:highlight w:val="none"/>
              </w:rPr>
            </w:pP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olor w:val="auto"/>
                <w:sz w:val="20"/>
                <w:szCs w:val="20"/>
                <w:highlight w:val="none"/>
              </w:rPr>
            </w:pPr>
          </w:p>
        </w:tc>
        <w:tc>
          <w:tcPr>
            <w:tcW w:w="99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olor w:val="auto"/>
                <w:sz w:val="20"/>
                <w:szCs w:val="20"/>
                <w:highlight w:val="none"/>
              </w:rPr>
            </w:pPr>
          </w:p>
        </w:tc>
        <w:tc>
          <w:tcPr>
            <w:tcW w:w="472" w:type="pct"/>
            <w:tcBorders>
              <w:top w:val="single" w:color="000000" w:sz="4" w:space="0"/>
              <w:left w:val="single" w:color="000000" w:sz="4" w:space="0"/>
              <w:bottom w:val="single" w:color="000000" w:sz="4" w:space="0"/>
              <w:right w:val="single" w:color="000000" w:sz="8" w:space="0"/>
            </w:tcBorders>
            <w:shd w:val="clear" w:color="auto" w:fill="auto"/>
            <w:noWrap/>
            <w:vAlign w:val="center"/>
          </w:tcPr>
          <w:p>
            <w:pPr>
              <w:jc w:val="center"/>
              <w:rPr>
                <w:rFonts w:ascii="宋体" w:hAnsi="宋体"/>
                <w:color w:val="auto"/>
                <w:sz w:val="20"/>
                <w:szCs w:val="20"/>
                <w:highlight w:val="none"/>
              </w:rPr>
            </w:pPr>
          </w:p>
        </w:tc>
      </w:tr>
      <w:tr>
        <w:tblPrEx>
          <w:tblCellMar>
            <w:top w:w="0" w:type="dxa"/>
            <w:left w:w="108" w:type="dxa"/>
            <w:bottom w:w="0" w:type="dxa"/>
            <w:right w:w="108" w:type="dxa"/>
          </w:tblCellMar>
        </w:tblPrEx>
        <w:trPr>
          <w:gridAfter w:val="1"/>
          <w:wAfter w:w="3" w:type="pct"/>
          <w:trHeight w:val="443"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jc w:val="center"/>
              <w:rPr>
                <w:rFonts w:ascii="宋体" w:hAnsi="宋体"/>
                <w:color w:val="auto"/>
                <w:sz w:val="20"/>
                <w:szCs w:val="20"/>
                <w:highlight w:val="none"/>
              </w:rPr>
            </w:pPr>
            <w:r>
              <w:rPr>
                <w:rFonts w:hint="eastAsia" w:ascii="宋体" w:hAnsi="宋体"/>
                <w:color w:val="auto"/>
                <w:sz w:val="20"/>
                <w:szCs w:val="20"/>
                <w:highlight w:val="none"/>
              </w:rPr>
              <w:t>1</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507"/>
              <w:widowControl w:val="0"/>
              <w:ind w:firstLine="0"/>
              <w:jc w:val="center"/>
              <w:rPr>
                <w:rFonts w:ascii="宋体" w:hAnsi="宋体"/>
                <w:color w:val="auto"/>
                <w:kern w:val="2"/>
                <w:sz w:val="20"/>
                <w:szCs w:val="20"/>
                <w:highlight w:val="none"/>
              </w:rPr>
            </w:pPr>
            <w:r>
              <w:rPr>
                <w:rFonts w:hint="eastAsia" w:ascii="宋体" w:hAnsi="宋体"/>
                <w:color w:val="auto"/>
                <w:kern w:val="2"/>
                <w:sz w:val="20"/>
                <w:szCs w:val="20"/>
                <w:highlight w:val="none"/>
              </w:rPr>
              <w:t>称重传感器</w:t>
            </w:r>
          </w:p>
        </w:tc>
        <w:tc>
          <w:tcPr>
            <w:tcW w:w="2382" w:type="pct"/>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olor w:val="auto"/>
                <w:sz w:val="20"/>
                <w:szCs w:val="20"/>
                <w:highlight w:val="none"/>
              </w:rPr>
            </w:pPr>
            <w:r>
              <w:rPr>
                <w:rFonts w:hint="eastAsia" w:ascii="宋体" w:hAnsi="宋体"/>
                <w:color w:val="auto"/>
                <w:sz w:val="20"/>
                <w:szCs w:val="20"/>
                <w:highlight w:val="none"/>
              </w:rPr>
              <w:t>传感器横截面≤45x55平方毫米；额定载荷≥30吨；过载能力≥150%FS；防护等级IP68；工作温度-45～80℃；非线性精度误差小于±2%(传感器各点静态校准精度)；不一致性误差小于±3%(传感器不同位置点静态校准精度)；重复性误差小于±2%(传感器同位置点静态校准精度)；综合精度优于±5%(传感器总的静态校准精度)；</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82"/>
              <w:jc w:val="center"/>
              <w:rPr>
                <w:rFonts w:hAnsi="宋体"/>
                <w:color w:val="auto"/>
                <w:sz w:val="20"/>
                <w:highlight w:val="none"/>
              </w:rPr>
            </w:pPr>
            <w:r>
              <w:rPr>
                <w:rFonts w:hint="eastAsia" w:hAnsi="宋体"/>
                <w:color w:val="auto"/>
                <w:sz w:val="20"/>
                <w:highlight w:val="none"/>
              </w:rPr>
              <w:t>m</w:t>
            </w:r>
          </w:p>
        </w:tc>
        <w:tc>
          <w:tcPr>
            <w:tcW w:w="99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olor w:val="auto"/>
                <w:sz w:val="20"/>
                <w:szCs w:val="20"/>
                <w:highlight w:val="none"/>
              </w:rPr>
            </w:pPr>
            <w:r>
              <w:rPr>
                <w:rFonts w:hint="eastAsia" w:ascii="宋体" w:hAnsi="宋体"/>
                <w:color w:val="auto"/>
                <w:sz w:val="20"/>
                <w:szCs w:val="20"/>
                <w:highlight w:val="none"/>
              </w:rPr>
              <w:t>48</w:t>
            </w:r>
          </w:p>
        </w:tc>
        <w:tc>
          <w:tcPr>
            <w:tcW w:w="472" w:type="pct"/>
            <w:vMerge w:val="restart"/>
            <w:tcBorders>
              <w:top w:val="single" w:color="000000" w:sz="4" w:space="0"/>
              <w:left w:val="single" w:color="000000" w:sz="4" w:space="0"/>
              <w:right w:val="single" w:color="000000" w:sz="8" w:space="0"/>
            </w:tcBorders>
            <w:shd w:val="clear" w:color="auto" w:fill="auto"/>
            <w:noWrap/>
            <w:vAlign w:val="center"/>
          </w:tcPr>
          <w:p>
            <w:pPr>
              <w:jc w:val="center"/>
              <w:rPr>
                <w:rFonts w:ascii="宋体" w:hAnsi="宋体"/>
                <w:color w:val="auto"/>
                <w:sz w:val="20"/>
                <w:szCs w:val="20"/>
                <w:highlight w:val="none"/>
              </w:rPr>
            </w:pPr>
            <w:r>
              <w:rPr>
                <w:rFonts w:hint="eastAsia" w:ascii="宋体" w:hAnsi="宋体"/>
                <w:color w:val="auto"/>
                <w:kern w:val="0"/>
                <w:sz w:val="20"/>
                <w:szCs w:val="20"/>
                <w:highlight w:val="none"/>
              </w:rPr>
              <w:t>由中标人以料代工处置</w:t>
            </w:r>
          </w:p>
        </w:tc>
      </w:tr>
      <w:tr>
        <w:tblPrEx>
          <w:tblCellMar>
            <w:top w:w="0" w:type="dxa"/>
            <w:left w:w="108" w:type="dxa"/>
            <w:bottom w:w="0" w:type="dxa"/>
            <w:right w:w="108" w:type="dxa"/>
          </w:tblCellMar>
        </w:tblPrEx>
        <w:trPr>
          <w:gridAfter w:val="1"/>
          <w:wAfter w:w="3" w:type="pct"/>
          <w:trHeight w:val="443"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jc w:val="center"/>
              <w:rPr>
                <w:rFonts w:ascii="宋体" w:hAnsi="宋体"/>
                <w:color w:val="auto"/>
                <w:sz w:val="20"/>
                <w:szCs w:val="20"/>
                <w:highlight w:val="none"/>
              </w:rPr>
            </w:pPr>
            <w:r>
              <w:rPr>
                <w:rFonts w:hint="eastAsia" w:ascii="宋体" w:hAnsi="宋体"/>
                <w:color w:val="auto"/>
                <w:sz w:val="20"/>
                <w:szCs w:val="20"/>
                <w:highlight w:val="none"/>
              </w:rPr>
              <w:t>2</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507"/>
              <w:widowControl w:val="0"/>
              <w:ind w:firstLine="0"/>
              <w:jc w:val="center"/>
              <w:rPr>
                <w:rFonts w:ascii="宋体" w:hAnsi="宋体"/>
                <w:color w:val="auto"/>
                <w:kern w:val="2"/>
                <w:sz w:val="20"/>
                <w:szCs w:val="20"/>
                <w:highlight w:val="none"/>
              </w:rPr>
            </w:pPr>
            <w:r>
              <w:rPr>
                <w:rFonts w:hint="eastAsia" w:ascii="宋体" w:hAnsi="宋体"/>
                <w:color w:val="auto"/>
                <w:kern w:val="2"/>
                <w:sz w:val="20"/>
                <w:szCs w:val="20"/>
                <w:highlight w:val="none"/>
              </w:rPr>
              <w:t>传感器密封胶</w:t>
            </w:r>
          </w:p>
        </w:tc>
        <w:tc>
          <w:tcPr>
            <w:tcW w:w="2382" w:type="pct"/>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olor w:val="auto"/>
                <w:sz w:val="20"/>
                <w:szCs w:val="20"/>
                <w:highlight w:val="none"/>
              </w:rPr>
            </w:pPr>
            <w:r>
              <w:rPr>
                <w:rFonts w:hint="eastAsia" w:ascii="宋体" w:hAnsi="宋体"/>
                <w:color w:val="auto"/>
                <w:sz w:val="20"/>
                <w:szCs w:val="20"/>
                <w:highlight w:val="none"/>
              </w:rPr>
              <w:t>摄氏23度下，8小时内固化，抗压强度≥30MPa，抗折强度≥10MPa，粘接强度≥3MPa；符合GB50367-2006标准；</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82"/>
              <w:jc w:val="center"/>
              <w:rPr>
                <w:rFonts w:hAnsi="宋体"/>
                <w:color w:val="auto"/>
                <w:sz w:val="20"/>
                <w:highlight w:val="none"/>
              </w:rPr>
            </w:pPr>
            <w:r>
              <w:rPr>
                <w:rFonts w:hint="eastAsia" w:hAnsi="宋体"/>
                <w:color w:val="auto"/>
                <w:sz w:val="20"/>
                <w:highlight w:val="none"/>
              </w:rPr>
              <w:t>m</w:t>
            </w:r>
          </w:p>
        </w:tc>
        <w:tc>
          <w:tcPr>
            <w:tcW w:w="99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olor w:val="auto"/>
                <w:sz w:val="20"/>
                <w:szCs w:val="20"/>
                <w:highlight w:val="none"/>
              </w:rPr>
            </w:pPr>
            <w:r>
              <w:rPr>
                <w:rFonts w:hint="eastAsia" w:ascii="宋体" w:hAnsi="宋体"/>
                <w:color w:val="auto"/>
                <w:sz w:val="20"/>
                <w:szCs w:val="20"/>
                <w:highlight w:val="none"/>
              </w:rPr>
              <w:t>48</w:t>
            </w:r>
          </w:p>
        </w:tc>
        <w:tc>
          <w:tcPr>
            <w:tcW w:w="472" w:type="pct"/>
            <w:vMerge w:val="continue"/>
            <w:tcBorders>
              <w:left w:val="single" w:color="000000" w:sz="4" w:space="0"/>
              <w:right w:val="single" w:color="000000" w:sz="8" w:space="0"/>
            </w:tcBorders>
            <w:shd w:val="clear" w:color="auto" w:fill="auto"/>
            <w:noWrap/>
            <w:vAlign w:val="center"/>
          </w:tcPr>
          <w:p>
            <w:pPr>
              <w:jc w:val="center"/>
              <w:rPr>
                <w:rFonts w:ascii="宋体" w:hAnsi="宋体"/>
                <w:color w:val="auto"/>
                <w:sz w:val="20"/>
                <w:szCs w:val="20"/>
                <w:highlight w:val="none"/>
              </w:rPr>
            </w:pPr>
          </w:p>
        </w:tc>
      </w:tr>
      <w:tr>
        <w:tblPrEx>
          <w:tblCellMar>
            <w:top w:w="0" w:type="dxa"/>
            <w:left w:w="108" w:type="dxa"/>
            <w:bottom w:w="0" w:type="dxa"/>
            <w:right w:w="108" w:type="dxa"/>
          </w:tblCellMar>
        </w:tblPrEx>
        <w:trPr>
          <w:gridAfter w:val="1"/>
          <w:wAfter w:w="3" w:type="pct"/>
          <w:trHeight w:val="443"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pStyle w:val="507"/>
              <w:widowControl w:val="0"/>
              <w:ind w:firstLine="0"/>
              <w:jc w:val="center"/>
              <w:rPr>
                <w:rFonts w:ascii="宋体" w:hAnsi="宋体"/>
                <w:color w:val="auto"/>
                <w:kern w:val="2"/>
                <w:sz w:val="20"/>
                <w:szCs w:val="20"/>
                <w:highlight w:val="none"/>
              </w:rPr>
            </w:pPr>
            <w:r>
              <w:rPr>
                <w:rFonts w:hint="eastAsia" w:ascii="宋体" w:hAnsi="宋体"/>
                <w:color w:val="auto"/>
                <w:kern w:val="2"/>
                <w:sz w:val="20"/>
                <w:szCs w:val="20"/>
                <w:highlight w:val="none"/>
              </w:rPr>
              <w:t>3</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507"/>
              <w:widowControl w:val="0"/>
              <w:ind w:firstLine="0"/>
              <w:jc w:val="center"/>
              <w:rPr>
                <w:rFonts w:ascii="宋体" w:hAnsi="宋体"/>
                <w:color w:val="auto"/>
                <w:kern w:val="2"/>
                <w:sz w:val="20"/>
                <w:szCs w:val="20"/>
                <w:highlight w:val="none"/>
              </w:rPr>
            </w:pPr>
            <w:r>
              <w:rPr>
                <w:rFonts w:hint="eastAsia" w:ascii="宋体" w:hAnsi="宋体"/>
                <w:color w:val="auto"/>
                <w:kern w:val="2"/>
                <w:sz w:val="20"/>
                <w:szCs w:val="20"/>
                <w:highlight w:val="none"/>
              </w:rPr>
              <w:t>地感线圈</w:t>
            </w:r>
          </w:p>
        </w:tc>
        <w:tc>
          <w:tcPr>
            <w:tcW w:w="2382" w:type="pct"/>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olor w:val="auto"/>
                <w:sz w:val="20"/>
                <w:szCs w:val="20"/>
                <w:highlight w:val="none"/>
              </w:rPr>
            </w:pP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olor w:val="auto"/>
                <w:sz w:val="20"/>
                <w:szCs w:val="20"/>
                <w:highlight w:val="none"/>
              </w:rPr>
            </w:pPr>
            <w:r>
              <w:rPr>
                <w:rFonts w:hint="eastAsia" w:ascii="宋体" w:hAnsi="宋体"/>
                <w:color w:val="auto"/>
                <w:sz w:val="20"/>
                <w:szCs w:val="20"/>
                <w:highlight w:val="none"/>
              </w:rPr>
              <w:t>m</w:t>
            </w:r>
          </w:p>
        </w:tc>
        <w:tc>
          <w:tcPr>
            <w:tcW w:w="99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olor w:val="auto"/>
                <w:sz w:val="20"/>
                <w:szCs w:val="20"/>
                <w:highlight w:val="none"/>
              </w:rPr>
            </w:pPr>
            <w:r>
              <w:rPr>
                <w:rFonts w:hint="eastAsia" w:ascii="宋体" w:hAnsi="宋体"/>
                <w:color w:val="auto"/>
                <w:sz w:val="20"/>
                <w:szCs w:val="20"/>
                <w:highlight w:val="none"/>
              </w:rPr>
              <w:t>48</w:t>
            </w:r>
          </w:p>
        </w:tc>
        <w:tc>
          <w:tcPr>
            <w:tcW w:w="472" w:type="pct"/>
            <w:vMerge w:val="continue"/>
            <w:tcBorders>
              <w:left w:val="single" w:color="000000" w:sz="4" w:space="0"/>
              <w:right w:val="single" w:color="000000" w:sz="8" w:space="0"/>
            </w:tcBorders>
            <w:shd w:val="clear" w:color="auto" w:fill="auto"/>
            <w:noWrap/>
            <w:vAlign w:val="center"/>
          </w:tcPr>
          <w:p>
            <w:pPr>
              <w:jc w:val="center"/>
              <w:rPr>
                <w:rFonts w:ascii="宋体" w:hAnsi="宋体"/>
                <w:color w:val="auto"/>
                <w:sz w:val="20"/>
                <w:szCs w:val="20"/>
                <w:highlight w:val="none"/>
              </w:rPr>
            </w:pPr>
          </w:p>
        </w:tc>
      </w:tr>
      <w:tr>
        <w:tblPrEx>
          <w:tblCellMar>
            <w:top w:w="0" w:type="dxa"/>
            <w:left w:w="108" w:type="dxa"/>
            <w:bottom w:w="0" w:type="dxa"/>
            <w:right w:w="108" w:type="dxa"/>
          </w:tblCellMar>
        </w:tblPrEx>
        <w:trPr>
          <w:gridAfter w:val="1"/>
          <w:wAfter w:w="3" w:type="pct"/>
          <w:trHeight w:val="443"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pStyle w:val="507"/>
              <w:widowControl w:val="0"/>
              <w:ind w:firstLine="0"/>
              <w:jc w:val="center"/>
              <w:rPr>
                <w:rFonts w:ascii="宋体" w:hAnsi="宋体"/>
                <w:color w:val="auto"/>
                <w:kern w:val="2"/>
                <w:sz w:val="20"/>
                <w:szCs w:val="20"/>
                <w:highlight w:val="none"/>
              </w:rPr>
            </w:pPr>
            <w:r>
              <w:rPr>
                <w:rFonts w:hint="eastAsia" w:ascii="宋体" w:hAnsi="宋体"/>
                <w:color w:val="auto"/>
                <w:kern w:val="2"/>
                <w:sz w:val="20"/>
                <w:szCs w:val="20"/>
                <w:highlight w:val="none"/>
              </w:rPr>
              <w:t>4</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507"/>
              <w:widowControl w:val="0"/>
              <w:ind w:firstLine="0"/>
              <w:jc w:val="center"/>
              <w:rPr>
                <w:rFonts w:ascii="宋体" w:hAnsi="宋体"/>
                <w:color w:val="auto"/>
                <w:kern w:val="2"/>
                <w:sz w:val="20"/>
                <w:szCs w:val="20"/>
                <w:highlight w:val="none"/>
              </w:rPr>
            </w:pPr>
            <w:r>
              <w:rPr>
                <w:rFonts w:hint="eastAsia" w:ascii="宋体" w:hAnsi="宋体"/>
                <w:color w:val="auto"/>
                <w:kern w:val="2"/>
                <w:sz w:val="20"/>
                <w:szCs w:val="20"/>
                <w:highlight w:val="none"/>
              </w:rPr>
              <w:t>车辆检测器</w:t>
            </w:r>
          </w:p>
        </w:tc>
        <w:tc>
          <w:tcPr>
            <w:tcW w:w="2382" w:type="pct"/>
            <w:tcBorders>
              <w:top w:val="single" w:color="000000" w:sz="4" w:space="0"/>
              <w:left w:val="single" w:color="000000" w:sz="4" w:space="0"/>
              <w:bottom w:val="single" w:color="000000" w:sz="4" w:space="0"/>
              <w:right w:val="single" w:color="000000" w:sz="4" w:space="0"/>
            </w:tcBorders>
            <w:shd w:val="clear" w:color="auto" w:fill="auto"/>
          </w:tcPr>
          <w:p>
            <w:pPr>
              <w:rPr>
                <w:rFonts w:ascii="宋体" w:hAnsi="宋体"/>
                <w:color w:val="auto"/>
                <w:sz w:val="20"/>
                <w:szCs w:val="20"/>
                <w:highlight w:val="none"/>
              </w:rPr>
            </w:pPr>
            <w:r>
              <w:rPr>
                <w:rFonts w:hint="eastAsia" w:ascii="宋体" w:hAnsi="宋体"/>
                <w:color w:val="auto"/>
                <w:sz w:val="20"/>
                <w:szCs w:val="20"/>
                <w:highlight w:val="none"/>
              </w:rPr>
              <w:t>电感量自调谐范围20-1500uH,Q值≥5；灵敏度4级可调；频率范围20kHz-110kHz，4级可调；响应时间≤100ms；</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382"/>
              <w:rPr>
                <w:rFonts w:hAnsi="宋体"/>
                <w:color w:val="auto"/>
                <w:highlight w:val="none"/>
              </w:rPr>
            </w:pPr>
            <w:r>
              <w:rPr>
                <w:rFonts w:hint="eastAsia" w:ascii="宋体" w:hAnsi="宋体" w:eastAsia="宋体" w:cs="Times New Roman"/>
                <w:color w:val="auto"/>
                <w:kern w:val="2"/>
                <w:sz w:val="21"/>
                <w:szCs w:val="24"/>
                <w:highlight w:val="none"/>
                <w:lang w:val="en-US" w:eastAsia="zh-CN" w:bidi="ar-SA"/>
              </w:rPr>
              <w:t>台</w:t>
            </w:r>
          </w:p>
        </w:tc>
        <w:tc>
          <w:tcPr>
            <w:tcW w:w="99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olor w:val="auto"/>
                <w:sz w:val="20"/>
                <w:szCs w:val="20"/>
                <w:highlight w:val="none"/>
              </w:rPr>
            </w:pPr>
            <w:r>
              <w:rPr>
                <w:rFonts w:hint="eastAsia" w:ascii="宋体" w:hAnsi="宋体"/>
                <w:color w:val="auto"/>
                <w:sz w:val="20"/>
                <w:szCs w:val="20"/>
                <w:highlight w:val="none"/>
              </w:rPr>
              <w:t>2</w:t>
            </w:r>
          </w:p>
        </w:tc>
        <w:tc>
          <w:tcPr>
            <w:tcW w:w="472" w:type="pct"/>
            <w:vMerge w:val="continue"/>
            <w:tcBorders>
              <w:left w:val="single" w:color="000000" w:sz="4" w:space="0"/>
              <w:right w:val="single" w:color="000000" w:sz="8" w:space="0"/>
            </w:tcBorders>
            <w:shd w:val="clear" w:color="auto" w:fill="auto"/>
            <w:noWrap/>
            <w:vAlign w:val="center"/>
          </w:tcPr>
          <w:p>
            <w:pPr>
              <w:jc w:val="center"/>
              <w:rPr>
                <w:rFonts w:ascii="宋体" w:hAnsi="宋体"/>
                <w:color w:val="auto"/>
                <w:sz w:val="20"/>
                <w:szCs w:val="20"/>
                <w:highlight w:val="none"/>
              </w:rPr>
            </w:pPr>
          </w:p>
        </w:tc>
      </w:tr>
      <w:tr>
        <w:tblPrEx>
          <w:tblCellMar>
            <w:top w:w="0" w:type="dxa"/>
            <w:left w:w="108" w:type="dxa"/>
            <w:bottom w:w="0" w:type="dxa"/>
            <w:right w:w="108" w:type="dxa"/>
          </w:tblCellMar>
        </w:tblPrEx>
        <w:trPr>
          <w:gridAfter w:val="1"/>
          <w:wAfter w:w="3" w:type="pct"/>
          <w:trHeight w:val="443"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pStyle w:val="507"/>
              <w:widowControl w:val="0"/>
              <w:ind w:firstLine="0"/>
              <w:jc w:val="center"/>
              <w:rPr>
                <w:rFonts w:ascii="宋体" w:hAnsi="宋体"/>
                <w:color w:val="auto"/>
                <w:kern w:val="2"/>
                <w:sz w:val="20"/>
                <w:szCs w:val="20"/>
                <w:highlight w:val="none"/>
              </w:rPr>
            </w:pPr>
            <w:r>
              <w:rPr>
                <w:rFonts w:hint="eastAsia" w:ascii="宋体" w:hAnsi="宋体"/>
                <w:color w:val="auto"/>
                <w:kern w:val="2"/>
                <w:sz w:val="20"/>
                <w:szCs w:val="20"/>
                <w:highlight w:val="none"/>
              </w:rPr>
              <w:t>5</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507"/>
              <w:widowControl w:val="0"/>
              <w:ind w:firstLine="0"/>
              <w:jc w:val="center"/>
              <w:rPr>
                <w:rFonts w:ascii="宋体" w:hAnsi="宋体"/>
                <w:color w:val="auto"/>
                <w:kern w:val="2"/>
                <w:sz w:val="20"/>
                <w:szCs w:val="20"/>
                <w:highlight w:val="none"/>
              </w:rPr>
            </w:pPr>
            <w:r>
              <w:rPr>
                <w:rFonts w:hint="eastAsia" w:ascii="宋体" w:hAnsi="宋体"/>
                <w:color w:val="auto"/>
                <w:kern w:val="2"/>
                <w:sz w:val="20"/>
                <w:szCs w:val="20"/>
                <w:highlight w:val="none"/>
              </w:rPr>
              <w:t>电荷放大器</w:t>
            </w:r>
          </w:p>
        </w:tc>
        <w:tc>
          <w:tcPr>
            <w:tcW w:w="2382" w:type="pct"/>
            <w:tcBorders>
              <w:top w:val="single" w:color="000000" w:sz="4" w:space="0"/>
              <w:left w:val="single" w:color="000000" w:sz="4" w:space="0"/>
              <w:bottom w:val="single" w:color="000000" w:sz="4" w:space="0"/>
              <w:right w:val="single" w:color="000000" w:sz="4" w:space="0"/>
            </w:tcBorders>
            <w:shd w:val="clear" w:color="auto" w:fill="auto"/>
          </w:tcPr>
          <w:p>
            <w:pPr>
              <w:rPr>
                <w:rFonts w:ascii="宋体" w:hAnsi="宋体"/>
                <w:color w:val="auto"/>
                <w:sz w:val="20"/>
                <w:szCs w:val="20"/>
                <w:highlight w:val="none"/>
              </w:rPr>
            </w:pPr>
            <w:r>
              <w:rPr>
                <w:rFonts w:hint="eastAsia" w:ascii="宋体" w:hAnsi="宋体"/>
                <w:color w:val="auto"/>
                <w:sz w:val="20"/>
                <w:szCs w:val="20"/>
                <w:highlight w:val="none"/>
              </w:rPr>
              <w:t>测量范围：60,000pC；测量误差：&lt;1%；输出电压：±5V；输出电流：±2mA；输出阻抗：&lt;100Ω；输出干扰信号：&lt;3mVpp；频响范围：0.0016～10kHz；时间常数：≥1000s；电流消耗：&lt;25mA；工作温度范围：-45℃～+60℃；防护等级：IP64；</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olor w:val="auto"/>
                <w:sz w:val="20"/>
                <w:szCs w:val="20"/>
                <w:highlight w:val="none"/>
              </w:rPr>
            </w:pPr>
            <w:r>
              <w:rPr>
                <w:rFonts w:hint="eastAsia" w:ascii="宋体" w:hAnsi="宋体"/>
                <w:color w:val="auto"/>
                <w:highlight w:val="none"/>
              </w:rPr>
              <w:t>台</w:t>
            </w:r>
          </w:p>
        </w:tc>
        <w:tc>
          <w:tcPr>
            <w:tcW w:w="99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olor w:val="auto"/>
                <w:sz w:val="20"/>
                <w:szCs w:val="20"/>
                <w:highlight w:val="none"/>
              </w:rPr>
            </w:pPr>
            <w:r>
              <w:rPr>
                <w:rFonts w:hint="eastAsia" w:ascii="宋体" w:hAnsi="宋体"/>
                <w:color w:val="auto"/>
                <w:sz w:val="20"/>
                <w:szCs w:val="20"/>
                <w:highlight w:val="none"/>
              </w:rPr>
              <w:t>2</w:t>
            </w:r>
          </w:p>
        </w:tc>
        <w:tc>
          <w:tcPr>
            <w:tcW w:w="472" w:type="pct"/>
            <w:vMerge w:val="continue"/>
            <w:tcBorders>
              <w:left w:val="single" w:color="000000" w:sz="4" w:space="0"/>
              <w:right w:val="single" w:color="000000" w:sz="8" w:space="0"/>
            </w:tcBorders>
            <w:shd w:val="clear" w:color="auto" w:fill="auto"/>
            <w:noWrap/>
            <w:vAlign w:val="center"/>
          </w:tcPr>
          <w:p>
            <w:pPr>
              <w:jc w:val="center"/>
              <w:rPr>
                <w:rFonts w:ascii="宋体" w:hAnsi="宋体"/>
                <w:color w:val="auto"/>
                <w:sz w:val="20"/>
                <w:szCs w:val="20"/>
                <w:highlight w:val="none"/>
              </w:rPr>
            </w:pPr>
          </w:p>
        </w:tc>
      </w:tr>
      <w:tr>
        <w:tblPrEx>
          <w:tblCellMar>
            <w:top w:w="0" w:type="dxa"/>
            <w:left w:w="108" w:type="dxa"/>
            <w:bottom w:w="0" w:type="dxa"/>
            <w:right w:w="108" w:type="dxa"/>
          </w:tblCellMar>
        </w:tblPrEx>
        <w:trPr>
          <w:gridAfter w:val="1"/>
          <w:wAfter w:w="3" w:type="pct"/>
          <w:trHeight w:val="443"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pStyle w:val="507"/>
              <w:widowControl w:val="0"/>
              <w:ind w:firstLine="0"/>
              <w:jc w:val="center"/>
              <w:rPr>
                <w:rFonts w:ascii="宋体" w:hAnsi="宋体"/>
                <w:color w:val="auto"/>
                <w:kern w:val="2"/>
                <w:sz w:val="20"/>
                <w:szCs w:val="20"/>
                <w:highlight w:val="none"/>
              </w:rPr>
            </w:pPr>
            <w:r>
              <w:rPr>
                <w:rFonts w:hint="eastAsia" w:ascii="宋体" w:hAnsi="宋体"/>
                <w:color w:val="auto"/>
                <w:kern w:val="2"/>
                <w:sz w:val="20"/>
                <w:szCs w:val="20"/>
                <w:highlight w:val="none"/>
              </w:rPr>
              <w:t>6</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507"/>
              <w:widowControl w:val="0"/>
              <w:ind w:firstLine="0"/>
              <w:jc w:val="center"/>
              <w:rPr>
                <w:rFonts w:ascii="宋体" w:hAnsi="宋体"/>
                <w:color w:val="auto"/>
                <w:kern w:val="2"/>
                <w:sz w:val="20"/>
                <w:szCs w:val="20"/>
                <w:highlight w:val="none"/>
              </w:rPr>
            </w:pPr>
            <w:r>
              <w:rPr>
                <w:rFonts w:hint="eastAsia" w:ascii="宋体" w:hAnsi="宋体"/>
                <w:color w:val="auto"/>
                <w:kern w:val="2"/>
                <w:sz w:val="20"/>
                <w:szCs w:val="20"/>
                <w:highlight w:val="none"/>
              </w:rPr>
              <w:t>高速动态称重控制器</w:t>
            </w:r>
          </w:p>
        </w:tc>
        <w:tc>
          <w:tcPr>
            <w:tcW w:w="2382" w:type="pct"/>
            <w:tcBorders>
              <w:top w:val="single" w:color="000000" w:sz="4" w:space="0"/>
              <w:left w:val="single" w:color="000000" w:sz="4" w:space="0"/>
              <w:bottom w:val="single" w:color="000000" w:sz="4" w:space="0"/>
              <w:right w:val="single" w:color="000000" w:sz="4" w:space="0"/>
            </w:tcBorders>
            <w:shd w:val="clear" w:color="auto" w:fill="auto"/>
          </w:tcPr>
          <w:p>
            <w:pPr>
              <w:rPr>
                <w:rFonts w:ascii="宋体" w:hAnsi="宋体"/>
                <w:color w:val="auto"/>
                <w:sz w:val="20"/>
                <w:szCs w:val="20"/>
                <w:highlight w:val="none"/>
              </w:rPr>
            </w:pPr>
            <w:r>
              <w:rPr>
                <w:rFonts w:hint="eastAsia" w:ascii="宋体" w:hAnsi="宋体"/>
                <w:color w:val="auto"/>
                <w:sz w:val="20"/>
                <w:szCs w:val="20"/>
                <w:highlight w:val="none"/>
              </w:rPr>
              <w:t>液晶显示屏实时显示传感器运行情况;自动采集车辆载荷信息，经程序运算出路面承受的车轮载荷参数及车辆轴距、轴数、车速等参数；对正常通过车辆进行监测，不影响道路通行能力；平均无故障时间：MTBF≥20000h；信号传输方式：RS422/RS232/RS485多种接口实时传输；电源：AC220V±10%，50Hz±1Hz；工作温度：-45℃～+80℃；湿度：0～95%；</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olor w:val="auto"/>
                <w:sz w:val="20"/>
                <w:szCs w:val="20"/>
                <w:highlight w:val="none"/>
              </w:rPr>
            </w:pPr>
            <w:r>
              <w:rPr>
                <w:rFonts w:hint="eastAsia" w:ascii="宋体" w:hAnsi="宋体"/>
                <w:color w:val="auto"/>
                <w:sz w:val="20"/>
                <w:szCs w:val="20"/>
                <w:highlight w:val="none"/>
              </w:rPr>
              <w:t>套</w:t>
            </w:r>
          </w:p>
        </w:tc>
        <w:tc>
          <w:tcPr>
            <w:tcW w:w="99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olor w:val="auto"/>
                <w:sz w:val="20"/>
                <w:szCs w:val="20"/>
                <w:highlight w:val="none"/>
              </w:rPr>
            </w:pPr>
            <w:r>
              <w:rPr>
                <w:rFonts w:hint="eastAsia" w:ascii="宋体" w:hAnsi="宋体"/>
                <w:color w:val="auto"/>
                <w:sz w:val="20"/>
                <w:szCs w:val="20"/>
                <w:highlight w:val="none"/>
              </w:rPr>
              <w:t>1</w:t>
            </w:r>
          </w:p>
        </w:tc>
        <w:tc>
          <w:tcPr>
            <w:tcW w:w="472" w:type="pct"/>
            <w:vMerge w:val="continue"/>
            <w:tcBorders>
              <w:left w:val="single" w:color="000000" w:sz="4" w:space="0"/>
              <w:right w:val="single" w:color="000000" w:sz="8" w:space="0"/>
            </w:tcBorders>
            <w:shd w:val="clear" w:color="auto" w:fill="auto"/>
            <w:noWrap/>
            <w:vAlign w:val="center"/>
          </w:tcPr>
          <w:p>
            <w:pPr>
              <w:jc w:val="center"/>
              <w:rPr>
                <w:rFonts w:ascii="宋体" w:hAnsi="宋体"/>
                <w:color w:val="auto"/>
                <w:sz w:val="20"/>
                <w:szCs w:val="20"/>
                <w:highlight w:val="none"/>
              </w:rPr>
            </w:pPr>
          </w:p>
        </w:tc>
      </w:tr>
      <w:tr>
        <w:tblPrEx>
          <w:tblCellMar>
            <w:top w:w="0" w:type="dxa"/>
            <w:left w:w="108" w:type="dxa"/>
            <w:bottom w:w="0" w:type="dxa"/>
            <w:right w:w="108" w:type="dxa"/>
          </w:tblCellMar>
        </w:tblPrEx>
        <w:trPr>
          <w:gridAfter w:val="1"/>
          <w:wAfter w:w="3" w:type="pct"/>
          <w:trHeight w:val="443"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pStyle w:val="507"/>
              <w:widowControl w:val="0"/>
              <w:ind w:firstLine="0"/>
              <w:jc w:val="center"/>
              <w:rPr>
                <w:rFonts w:ascii="宋体" w:hAnsi="宋体"/>
                <w:color w:val="auto"/>
                <w:kern w:val="2"/>
                <w:sz w:val="20"/>
                <w:szCs w:val="20"/>
                <w:highlight w:val="none"/>
              </w:rPr>
            </w:pPr>
            <w:r>
              <w:rPr>
                <w:rFonts w:hint="eastAsia" w:ascii="宋体" w:hAnsi="宋体"/>
                <w:color w:val="auto"/>
                <w:kern w:val="2"/>
                <w:sz w:val="20"/>
                <w:szCs w:val="20"/>
                <w:highlight w:val="none"/>
              </w:rPr>
              <w:t>7</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507"/>
              <w:widowControl w:val="0"/>
              <w:ind w:firstLine="0"/>
              <w:jc w:val="center"/>
              <w:rPr>
                <w:rFonts w:ascii="宋体" w:hAnsi="宋体"/>
                <w:color w:val="auto"/>
                <w:kern w:val="2"/>
                <w:sz w:val="20"/>
                <w:szCs w:val="20"/>
                <w:highlight w:val="none"/>
              </w:rPr>
            </w:pPr>
            <w:r>
              <w:rPr>
                <w:rFonts w:hint="eastAsia" w:ascii="宋体" w:hAnsi="宋体"/>
                <w:color w:val="auto"/>
                <w:kern w:val="2"/>
                <w:sz w:val="20"/>
                <w:szCs w:val="20"/>
                <w:highlight w:val="none"/>
              </w:rPr>
              <w:t>工业级交换机</w:t>
            </w:r>
          </w:p>
        </w:tc>
        <w:tc>
          <w:tcPr>
            <w:tcW w:w="2382" w:type="pct"/>
            <w:tcBorders>
              <w:top w:val="single" w:color="000000" w:sz="4" w:space="0"/>
              <w:left w:val="single" w:color="000000" w:sz="4" w:space="0"/>
              <w:bottom w:val="single" w:color="000000" w:sz="4" w:space="0"/>
              <w:right w:val="single" w:color="000000" w:sz="4" w:space="0"/>
            </w:tcBorders>
            <w:shd w:val="clear" w:color="auto" w:fill="auto"/>
          </w:tcPr>
          <w:p>
            <w:pPr>
              <w:rPr>
                <w:rFonts w:ascii="宋体" w:hAnsi="宋体"/>
                <w:color w:val="auto"/>
                <w:sz w:val="20"/>
                <w:szCs w:val="20"/>
                <w:highlight w:val="none"/>
              </w:rPr>
            </w:pP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olor w:val="auto"/>
                <w:sz w:val="20"/>
                <w:szCs w:val="20"/>
                <w:highlight w:val="none"/>
              </w:rPr>
            </w:pPr>
            <w:r>
              <w:rPr>
                <w:rFonts w:hint="eastAsia" w:ascii="宋体" w:hAnsi="宋体"/>
                <w:color w:val="auto"/>
                <w:sz w:val="20"/>
                <w:szCs w:val="20"/>
                <w:highlight w:val="none"/>
              </w:rPr>
              <w:t>台</w:t>
            </w:r>
          </w:p>
        </w:tc>
        <w:tc>
          <w:tcPr>
            <w:tcW w:w="99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olor w:val="auto"/>
                <w:sz w:val="20"/>
                <w:szCs w:val="20"/>
                <w:highlight w:val="none"/>
              </w:rPr>
            </w:pPr>
            <w:r>
              <w:rPr>
                <w:rFonts w:hint="eastAsia" w:ascii="宋体" w:hAnsi="宋体"/>
                <w:color w:val="auto"/>
                <w:szCs w:val="21"/>
                <w:highlight w:val="none"/>
              </w:rPr>
              <w:t>2台, 利旧1台</w:t>
            </w:r>
          </w:p>
        </w:tc>
        <w:tc>
          <w:tcPr>
            <w:tcW w:w="472" w:type="pct"/>
            <w:vMerge w:val="continue"/>
            <w:tcBorders>
              <w:left w:val="single" w:color="000000" w:sz="4" w:space="0"/>
              <w:right w:val="single" w:color="000000" w:sz="8" w:space="0"/>
            </w:tcBorders>
            <w:shd w:val="clear" w:color="auto" w:fill="auto"/>
            <w:noWrap/>
            <w:vAlign w:val="center"/>
          </w:tcPr>
          <w:p>
            <w:pPr>
              <w:jc w:val="center"/>
              <w:rPr>
                <w:rFonts w:ascii="宋体" w:hAnsi="宋体"/>
                <w:color w:val="auto"/>
                <w:sz w:val="20"/>
                <w:szCs w:val="20"/>
                <w:highlight w:val="none"/>
              </w:rPr>
            </w:pPr>
          </w:p>
        </w:tc>
      </w:tr>
      <w:tr>
        <w:tblPrEx>
          <w:tblCellMar>
            <w:top w:w="0" w:type="dxa"/>
            <w:left w:w="108" w:type="dxa"/>
            <w:bottom w:w="0" w:type="dxa"/>
            <w:right w:w="108" w:type="dxa"/>
          </w:tblCellMar>
        </w:tblPrEx>
        <w:trPr>
          <w:gridAfter w:val="1"/>
          <w:wAfter w:w="3" w:type="pct"/>
          <w:trHeight w:val="443"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pStyle w:val="507"/>
              <w:widowControl w:val="0"/>
              <w:ind w:firstLine="0"/>
              <w:jc w:val="center"/>
              <w:rPr>
                <w:rFonts w:ascii="宋体" w:hAnsi="宋体"/>
                <w:color w:val="auto"/>
                <w:kern w:val="2"/>
                <w:sz w:val="20"/>
                <w:szCs w:val="20"/>
                <w:highlight w:val="none"/>
              </w:rPr>
            </w:pPr>
            <w:r>
              <w:rPr>
                <w:rFonts w:hint="eastAsia" w:ascii="宋体" w:hAnsi="宋体"/>
                <w:color w:val="auto"/>
                <w:kern w:val="2"/>
                <w:sz w:val="20"/>
                <w:szCs w:val="20"/>
                <w:highlight w:val="none"/>
              </w:rPr>
              <w:t>8</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507"/>
              <w:widowControl w:val="0"/>
              <w:ind w:firstLine="0"/>
              <w:jc w:val="center"/>
              <w:rPr>
                <w:rFonts w:ascii="宋体" w:hAnsi="宋体"/>
                <w:color w:val="auto"/>
                <w:kern w:val="2"/>
                <w:sz w:val="20"/>
                <w:szCs w:val="20"/>
                <w:highlight w:val="none"/>
              </w:rPr>
            </w:pPr>
            <w:r>
              <w:rPr>
                <w:rFonts w:hint="eastAsia" w:ascii="宋体" w:hAnsi="宋体"/>
                <w:color w:val="auto"/>
                <w:kern w:val="2"/>
                <w:sz w:val="20"/>
                <w:szCs w:val="20"/>
                <w:highlight w:val="none"/>
              </w:rPr>
              <w:t>车牌识别抓拍摄像机(700W)</w:t>
            </w:r>
          </w:p>
        </w:tc>
        <w:tc>
          <w:tcPr>
            <w:tcW w:w="2382" w:type="pct"/>
            <w:tcBorders>
              <w:top w:val="single" w:color="000000" w:sz="4" w:space="0"/>
              <w:left w:val="single" w:color="000000" w:sz="4" w:space="0"/>
              <w:bottom w:val="single" w:color="000000" w:sz="4" w:space="0"/>
              <w:right w:val="single" w:color="000000" w:sz="4" w:space="0"/>
            </w:tcBorders>
            <w:shd w:val="clear" w:color="auto" w:fill="auto"/>
          </w:tcPr>
          <w:p>
            <w:pPr>
              <w:rPr>
                <w:rFonts w:ascii="宋体" w:hAnsi="宋体"/>
                <w:color w:val="auto"/>
                <w:sz w:val="20"/>
                <w:szCs w:val="20"/>
                <w:highlight w:val="none"/>
              </w:rPr>
            </w:pP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olor w:val="auto"/>
                <w:sz w:val="20"/>
                <w:szCs w:val="20"/>
                <w:highlight w:val="none"/>
              </w:rPr>
            </w:pPr>
            <w:r>
              <w:rPr>
                <w:rFonts w:hint="eastAsia" w:ascii="宋体" w:hAnsi="宋体"/>
                <w:color w:val="auto"/>
                <w:sz w:val="20"/>
                <w:szCs w:val="20"/>
                <w:highlight w:val="none"/>
              </w:rPr>
              <w:t>套</w:t>
            </w:r>
          </w:p>
        </w:tc>
        <w:tc>
          <w:tcPr>
            <w:tcW w:w="99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olor w:val="auto"/>
                <w:sz w:val="20"/>
                <w:szCs w:val="20"/>
                <w:highlight w:val="none"/>
              </w:rPr>
            </w:pPr>
            <w:r>
              <w:rPr>
                <w:rFonts w:hint="eastAsia" w:ascii="宋体" w:hAnsi="宋体"/>
                <w:color w:val="auto"/>
                <w:sz w:val="20"/>
                <w:szCs w:val="20"/>
                <w:highlight w:val="none"/>
              </w:rPr>
              <w:t>4</w:t>
            </w:r>
          </w:p>
        </w:tc>
        <w:tc>
          <w:tcPr>
            <w:tcW w:w="472" w:type="pct"/>
            <w:vMerge w:val="restart"/>
            <w:tcBorders>
              <w:left w:val="single" w:color="000000" w:sz="4" w:space="0"/>
              <w:right w:val="single" w:color="000000" w:sz="8" w:space="0"/>
            </w:tcBorders>
            <w:shd w:val="clear" w:color="auto" w:fill="auto"/>
            <w:noWrap/>
            <w:vAlign w:val="center"/>
          </w:tcPr>
          <w:p>
            <w:pPr>
              <w:jc w:val="center"/>
              <w:rPr>
                <w:rFonts w:ascii="宋体" w:hAnsi="宋体"/>
                <w:color w:val="auto"/>
                <w:sz w:val="20"/>
                <w:szCs w:val="20"/>
                <w:highlight w:val="none"/>
              </w:rPr>
            </w:pPr>
          </w:p>
        </w:tc>
      </w:tr>
      <w:tr>
        <w:tblPrEx>
          <w:tblCellMar>
            <w:top w:w="0" w:type="dxa"/>
            <w:left w:w="108" w:type="dxa"/>
            <w:bottom w:w="0" w:type="dxa"/>
            <w:right w:w="108" w:type="dxa"/>
          </w:tblCellMar>
        </w:tblPrEx>
        <w:trPr>
          <w:gridAfter w:val="1"/>
          <w:wAfter w:w="3" w:type="pct"/>
          <w:trHeight w:val="443"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pStyle w:val="507"/>
              <w:widowControl w:val="0"/>
              <w:ind w:firstLine="0"/>
              <w:jc w:val="center"/>
              <w:rPr>
                <w:rFonts w:ascii="宋体" w:hAnsi="宋体"/>
                <w:color w:val="auto"/>
                <w:kern w:val="2"/>
                <w:sz w:val="20"/>
                <w:szCs w:val="20"/>
                <w:highlight w:val="none"/>
              </w:rPr>
            </w:pPr>
            <w:r>
              <w:rPr>
                <w:rFonts w:hint="eastAsia" w:ascii="宋体" w:hAnsi="宋体"/>
                <w:color w:val="auto"/>
                <w:kern w:val="2"/>
                <w:sz w:val="20"/>
                <w:szCs w:val="20"/>
                <w:highlight w:val="none"/>
              </w:rPr>
              <w:t>9</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507"/>
              <w:widowControl w:val="0"/>
              <w:ind w:firstLine="0"/>
              <w:jc w:val="center"/>
              <w:rPr>
                <w:rFonts w:ascii="宋体" w:hAnsi="宋体"/>
                <w:color w:val="auto"/>
                <w:kern w:val="2"/>
                <w:sz w:val="20"/>
                <w:szCs w:val="20"/>
                <w:highlight w:val="none"/>
              </w:rPr>
            </w:pPr>
            <w:r>
              <w:rPr>
                <w:rFonts w:hint="eastAsia" w:ascii="宋体" w:hAnsi="宋体"/>
                <w:color w:val="auto"/>
                <w:kern w:val="2"/>
                <w:sz w:val="20"/>
                <w:szCs w:val="20"/>
                <w:highlight w:val="none"/>
              </w:rPr>
              <w:t>补光灯</w:t>
            </w:r>
          </w:p>
        </w:tc>
        <w:tc>
          <w:tcPr>
            <w:tcW w:w="2382" w:type="pct"/>
            <w:tcBorders>
              <w:top w:val="single" w:color="000000" w:sz="4" w:space="0"/>
              <w:left w:val="single" w:color="000000" w:sz="4" w:space="0"/>
              <w:bottom w:val="single" w:color="000000" w:sz="4" w:space="0"/>
              <w:right w:val="single" w:color="000000" w:sz="4" w:space="0"/>
            </w:tcBorders>
            <w:shd w:val="clear" w:color="auto" w:fill="auto"/>
          </w:tcPr>
          <w:p>
            <w:pPr>
              <w:rPr>
                <w:rFonts w:ascii="宋体" w:hAnsi="宋体"/>
                <w:color w:val="auto"/>
                <w:sz w:val="20"/>
                <w:szCs w:val="20"/>
                <w:highlight w:val="none"/>
              </w:rPr>
            </w:pPr>
            <w:r>
              <w:rPr>
                <w:rFonts w:hint="eastAsia" w:ascii="宋体" w:hAnsi="宋体"/>
                <w:color w:val="auto"/>
                <w:sz w:val="20"/>
                <w:szCs w:val="20"/>
                <w:highlight w:val="none"/>
              </w:rPr>
              <w:t>补光范围主光面半径9-12米，距离20米，工作温度-40℃~+70℃，平均功耗35W，使用寿命＞50000小时，防护等级IP66</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olor w:val="auto"/>
                <w:sz w:val="20"/>
                <w:szCs w:val="20"/>
                <w:highlight w:val="none"/>
              </w:rPr>
            </w:pPr>
            <w:r>
              <w:rPr>
                <w:rFonts w:hint="eastAsia" w:ascii="宋体" w:hAnsi="宋体"/>
                <w:color w:val="auto"/>
                <w:sz w:val="20"/>
                <w:szCs w:val="20"/>
                <w:highlight w:val="none"/>
              </w:rPr>
              <w:t>套</w:t>
            </w:r>
          </w:p>
        </w:tc>
        <w:tc>
          <w:tcPr>
            <w:tcW w:w="99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olor w:val="auto"/>
                <w:sz w:val="20"/>
                <w:szCs w:val="20"/>
                <w:highlight w:val="none"/>
              </w:rPr>
            </w:pPr>
            <w:r>
              <w:rPr>
                <w:rFonts w:hint="eastAsia" w:ascii="宋体" w:hAnsi="宋体"/>
                <w:color w:val="auto"/>
                <w:sz w:val="20"/>
                <w:szCs w:val="20"/>
                <w:highlight w:val="none"/>
              </w:rPr>
              <w:t>6</w:t>
            </w:r>
          </w:p>
        </w:tc>
        <w:tc>
          <w:tcPr>
            <w:tcW w:w="472" w:type="pct"/>
            <w:vMerge w:val="continue"/>
            <w:tcBorders>
              <w:left w:val="single" w:color="000000" w:sz="4" w:space="0"/>
              <w:right w:val="single" w:color="000000" w:sz="8" w:space="0"/>
            </w:tcBorders>
            <w:shd w:val="clear" w:color="auto" w:fill="auto"/>
            <w:noWrap/>
            <w:vAlign w:val="center"/>
          </w:tcPr>
          <w:p>
            <w:pPr>
              <w:jc w:val="center"/>
              <w:rPr>
                <w:rFonts w:ascii="宋体" w:hAnsi="宋体"/>
                <w:color w:val="auto"/>
                <w:sz w:val="20"/>
                <w:szCs w:val="20"/>
                <w:highlight w:val="none"/>
              </w:rPr>
            </w:pPr>
          </w:p>
        </w:tc>
      </w:tr>
      <w:tr>
        <w:tblPrEx>
          <w:tblCellMar>
            <w:top w:w="0" w:type="dxa"/>
            <w:left w:w="108" w:type="dxa"/>
            <w:bottom w:w="0" w:type="dxa"/>
            <w:right w:w="108" w:type="dxa"/>
          </w:tblCellMar>
        </w:tblPrEx>
        <w:trPr>
          <w:gridAfter w:val="1"/>
          <w:wAfter w:w="3" w:type="pct"/>
          <w:trHeight w:val="443"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pStyle w:val="507"/>
              <w:widowControl w:val="0"/>
              <w:ind w:firstLine="0"/>
              <w:jc w:val="center"/>
              <w:rPr>
                <w:rFonts w:ascii="宋体" w:hAnsi="宋体"/>
                <w:color w:val="auto"/>
                <w:kern w:val="2"/>
                <w:sz w:val="20"/>
                <w:szCs w:val="20"/>
                <w:highlight w:val="none"/>
              </w:rPr>
            </w:pPr>
            <w:r>
              <w:rPr>
                <w:rFonts w:hint="eastAsia" w:ascii="宋体" w:hAnsi="宋体"/>
                <w:color w:val="auto"/>
                <w:kern w:val="2"/>
                <w:sz w:val="20"/>
                <w:szCs w:val="20"/>
                <w:highlight w:val="none"/>
              </w:rPr>
              <w:t>10</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507"/>
              <w:widowControl w:val="0"/>
              <w:ind w:firstLine="0"/>
              <w:jc w:val="center"/>
              <w:rPr>
                <w:rFonts w:ascii="宋体" w:hAnsi="宋体"/>
                <w:color w:val="auto"/>
                <w:kern w:val="2"/>
                <w:sz w:val="20"/>
                <w:szCs w:val="20"/>
                <w:highlight w:val="none"/>
              </w:rPr>
            </w:pPr>
            <w:r>
              <w:rPr>
                <w:rFonts w:hint="eastAsia" w:ascii="宋体" w:hAnsi="宋体"/>
                <w:color w:val="auto"/>
                <w:kern w:val="2"/>
                <w:sz w:val="20"/>
                <w:szCs w:val="20"/>
                <w:highlight w:val="none"/>
              </w:rPr>
              <w:t>闪光灯</w:t>
            </w:r>
          </w:p>
        </w:tc>
        <w:tc>
          <w:tcPr>
            <w:tcW w:w="2382" w:type="pct"/>
            <w:tcBorders>
              <w:top w:val="single" w:color="000000" w:sz="4" w:space="0"/>
              <w:left w:val="single" w:color="000000" w:sz="4" w:space="0"/>
              <w:bottom w:val="single" w:color="000000" w:sz="4" w:space="0"/>
              <w:right w:val="single" w:color="000000" w:sz="4" w:space="0"/>
            </w:tcBorders>
            <w:shd w:val="clear" w:color="auto" w:fill="auto"/>
          </w:tcPr>
          <w:p>
            <w:pPr>
              <w:rPr>
                <w:rFonts w:ascii="宋体" w:hAnsi="宋体"/>
                <w:color w:val="auto"/>
                <w:sz w:val="20"/>
                <w:szCs w:val="20"/>
                <w:highlight w:val="none"/>
              </w:rPr>
            </w:pP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olor w:val="auto"/>
                <w:sz w:val="20"/>
                <w:szCs w:val="20"/>
                <w:highlight w:val="none"/>
              </w:rPr>
            </w:pPr>
            <w:r>
              <w:rPr>
                <w:rFonts w:hint="eastAsia" w:ascii="宋体" w:hAnsi="宋体"/>
                <w:color w:val="auto"/>
                <w:sz w:val="20"/>
                <w:szCs w:val="20"/>
                <w:highlight w:val="none"/>
              </w:rPr>
              <w:t>套</w:t>
            </w:r>
          </w:p>
        </w:tc>
        <w:tc>
          <w:tcPr>
            <w:tcW w:w="99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olor w:val="auto"/>
                <w:sz w:val="20"/>
                <w:szCs w:val="20"/>
                <w:highlight w:val="none"/>
              </w:rPr>
            </w:pPr>
            <w:r>
              <w:rPr>
                <w:rFonts w:hint="eastAsia" w:ascii="宋体" w:hAnsi="宋体"/>
                <w:color w:val="auto"/>
                <w:sz w:val="20"/>
                <w:szCs w:val="20"/>
                <w:highlight w:val="none"/>
              </w:rPr>
              <w:t>4</w:t>
            </w:r>
          </w:p>
        </w:tc>
        <w:tc>
          <w:tcPr>
            <w:tcW w:w="472" w:type="pct"/>
            <w:vMerge w:val="continue"/>
            <w:tcBorders>
              <w:left w:val="single" w:color="000000" w:sz="4" w:space="0"/>
              <w:right w:val="single" w:color="000000" w:sz="8" w:space="0"/>
            </w:tcBorders>
            <w:shd w:val="clear" w:color="auto" w:fill="auto"/>
            <w:noWrap/>
            <w:vAlign w:val="center"/>
          </w:tcPr>
          <w:p>
            <w:pPr>
              <w:jc w:val="center"/>
              <w:rPr>
                <w:rFonts w:ascii="宋体" w:hAnsi="宋体"/>
                <w:color w:val="auto"/>
                <w:sz w:val="20"/>
                <w:szCs w:val="20"/>
                <w:highlight w:val="none"/>
              </w:rPr>
            </w:pPr>
          </w:p>
        </w:tc>
      </w:tr>
      <w:tr>
        <w:tblPrEx>
          <w:tblCellMar>
            <w:top w:w="0" w:type="dxa"/>
            <w:left w:w="108" w:type="dxa"/>
            <w:bottom w:w="0" w:type="dxa"/>
            <w:right w:w="108" w:type="dxa"/>
          </w:tblCellMar>
        </w:tblPrEx>
        <w:trPr>
          <w:gridAfter w:val="1"/>
          <w:wAfter w:w="3" w:type="pct"/>
          <w:trHeight w:val="443"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pStyle w:val="507"/>
              <w:widowControl w:val="0"/>
              <w:ind w:firstLine="0"/>
              <w:jc w:val="center"/>
              <w:rPr>
                <w:rFonts w:ascii="宋体" w:hAnsi="宋体"/>
                <w:color w:val="auto"/>
                <w:kern w:val="2"/>
                <w:sz w:val="20"/>
                <w:szCs w:val="20"/>
                <w:highlight w:val="none"/>
              </w:rPr>
            </w:pPr>
            <w:r>
              <w:rPr>
                <w:rFonts w:hint="eastAsia" w:ascii="宋体" w:hAnsi="宋体"/>
                <w:color w:val="auto"/>
                <w:kern w:val="2"/>
                <w:sz w:val="20"/>
                <w:szCs w:val="20"/>
                <w:highlight w:val="none"/>
              </w:rPr>
              <w:t>11</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507"/>
              <w:widowControl w:val="0"/>
              <w:ind w:firstLine="0"/>
              <w:jc w:val="center"/>
              <w:rPr>
                <w:rFonts w:ascii="宋体" w:hAnsi="宋体"/>
                <w:color w:val="auto"/>
                <w:kern w:val="2"/>
                <w:sz w:val="20"/>
                <w:szCs w:val="20"/>
                <w:highlight w:val="none"/>
              </w:rPr>
            </w:pPr>
            <w:r>
              <w:rPr>
                <w:rFonts w:hint="eastAsia" w:ascii="宋体" w:hAnsi="宋体"/>
                <w:color w:val="auto"/>
                <w:kern w:val="2"/>
                <w:sz w:val="20"/>
                <w:szCs w:val="20"/>
                <w:highlight w:val="none"/>
              </w:rPr>
              <w:t>监控球机</w:t>
            </w:r>
          </w:p>
        </w:tc>
        <w:tc>
          <w:tcPr>
            <w:tcW w:w="2382" w:type="pct"/>
            <w:tcBorders>
              <w:top w:val="single" w:color="000000" w:sz="4" w:space="0"/>
              <w:left w:val="single" w:color="000000" w:sz="4" w:space="0"/>
              <w:bottom w:val="single" w:color="000000" w:sz="4" w:space="0"/>
              <w:right w:val="single" w:color="000000" w:sz="4" w:space="0"/>
            </w:tcBorders>
            <w:shd w:val="clear" w:color="auto" w:fill="auto"/>
          </w:tcPr>
          <w:p>
            <w:pPr>
              <w:rPr>
                <w:rFonts w:ascii="宋体" w:hAnsi="宋体"/>
                <w:color w:val="auto"/>
                <w:sz w:val="20"/>
                <w:szCs w:val="20"/>
                <w:highlight w:val="none"/>
              </w:rPr>
            </w:pPr>
            <w:r>
              <w:rPr>
                <w:rFonts w:hint="eastAsia" w:ascii="宋体" w:hAnsi="宋体"/>
                <w:color w:val="auto"/>
                <w:sz w:val="20"/>
                <w:szCs w:val="20"/>
                <w:highlight w:val="none"/>
              </w:rPr>
              <w:t>300万像素低照度球机</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olor w:val="auto"/>
                <w:sz w:val="20"/>
                <w:szCs w:val="20"/>
                <w:highlight w:val="none"/>
              </w:rPr>
            </w:pPr>
            <w:r>
              <w:rPr>
                <w:rFonts w:hint="eastAsia" w:ascii="宋体" w:hAnsi="宋体"/>
                <w:color w:val="auto"/>
                <w:sz w:val="20"/>
                <w:szCs w:val="20"/>
                <w:highlight w:val="none"/>
              </w:rPr>
              <w:t>套</w:t>
            </w:r>
          </w:p>
        </w:tc>
        <w:tc>
          <w:tcPr>
            <w:tcW w:w="99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olor w:val="auto"/>
                <w:sz w:val="20"/>
                <w:szCs w:val="20"/>
                <w:highlight w:val="none"/>
              </w:rPr>
            </w:pPr>
            <w:r>
              <w:rPr>
                <w:rFonts w:hint="eastAsia" w:ascii="宋体" w:hAnsi="宋体"/>
                <w:color w:val="auto"/>
                <w:sz w:val="20"/>
                <w:szCs w:val="20"/>
                <w:highlight w:val="none"/>
              </w:rPr>
              <w:t>2</w:t>
            </w:r>
          </w:p>
        </w:tc>
        <w:tc>
          <w:tcPr>
            <w:tcW w:w="472" w:type="pct"/>
            <w:vMerge w:val="continue"/>
            <w:tcBorders>
              <w:left w:val="single" w:color="000000" w:sz="4" w:space="0"/>
              <w:right w:val="single" w:color="000000" w:sz="8" w:space="0"/>
            </w:tcBorders>
            <w:shd w:val="clear" w:color="auto" w:fill="auto"/>
            <w:noWrap/>
            <w:vAlign w:val="center"/>
          </w:tcPr>
          <w:p>
            <w:pPr>
              <w:jc w:val="center"/>
              <w:rPr>
                <w:rFonts w:ascii="宋体" w:hAnsi="宋体"/>
                <w:color w:val="auto"/>
                <w:sz w:val="20"/>
                <w:szCs w:val="20"/>
                <w:highlight w:val="none"/>
              </w:rPr>
            </w:pPr>
          </w:p>
        </w:tc>
      </w:tr>
      <w:tr>
        <w:tblPrEx>
          <w:tblCellMar>
            <w:top w:w="0" w:type="dxa"/>
            <w:left w:w="108" w:type="dxa"/>
            <w:bottom w:w="0" w:type="dxa"/>
            <w:right w:w="108" w:type="dxa"/>
          </w:tblCellMar>
        </w:tblPrEx>
        <w:trPr>
          <w:gridAfter w:val="1"/>
          <w:wAfter w:w="3" w:type="pct"/>
          <w:trHeight w:val="443"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pStyle w:val="507"/>
              <w:widowControl w:val="0"/>
              <w:ind w:firstLine="0"/>
              <w:jc w:val="center"/>
              <w:rPr>
                <w:rFonts w:ascii="宋体" w:hAnsi="宋体"/>
                <w:color w:val="auto"/>
                <w:kern w:val="2"/>
                <w:sz w:val="20"/>
                <w:szCs w:val="20"/>
                <w:highlight w:val="none"/>
              </w:rPr>
            </w:pPr>
            <w:r>
              <w:rPr>
                <w:rFonts w:hint="eastAsia" w:ascii="宋体" w:hAnsi="宋体"/>
                <w:color w:val="auto"/>
                <w:kern w:val="2"/>
                <w:sz w:val="20"/>
                <w:szCs w:val="20"/>
                <w:highlight w:val="none"/>
              </w:rPr>
              <w:t>12</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507"/>
              <w:widowControl w:val="0"/>
              <w:ind w:firstLine="0"/>
              <w:jc w:val="center"/>
              <w:rPr>
                <w:rFonts w:ascii="宋体" w:hAnsi="宋体"/>
                <w:color w:val="auto"/>
                <w:kern w:val="2"/>
                <w:sz w:val="20"/>
                <w:szCs w:val="20"/>
                <w:highlight w:val="none"/>
              </w:rPr>
            </w:pPr>
            <w:r>
              <w:rPr>
                <w:rFonts w:hint="eastAsia" w:ascii="宋体" w:hAnsi="宋体"/>
                <w:color w:val="auto"/>
                <w:kern w:val="2"/>
                <w:sz w:val="20"/>
                <w:szCs w:val="20"/>
                <w:highlight w:val="none"/>
              </w:rPr>
              <w:t>视频数据光端机</w:t>
            </w:r>
          </w:p>
        </w:tc>
        <w:tc>
          <w:tcPr>
            <w:tcW w:w="2382" w:type="pct"/>
            <w:tcBorders>
              <w:top w:val="single" w:color="000000" w:sz="4" w:space="0"/>
              <w:left w:val="single" w:color="000000" w:sz="4" w:space="0"/>
              <w:bottom w:val="single" w:color="000000" w:sz="4" w:space="0"/>
              <w:right w:val="single" w:color="000000" w:sz="4" w:space="0"/>
            </w:tcBorders>
            <w:shd w:val="clear" w:color="auto" w:fill="auto"/>
          </w:tcPr>
          <w:p>
            <w:pPr>
              <w:rPr>
                <w:rFonts w:ascii="宋体" w:hAnsi="宋体"/>
                <w:color w:val="auto"/>
                <w:sz w:val="20"/>
                <w:szCs w:val="20"/>
                <w:highlight w:val="none"/>
              </w:rPr>
            </w:pPr>
            <w:r>
              <w:rPr>
                <w:rFonts w:hint="eastAsia" w:ascii="宋体" w:hAnsi="宋体"/>
                <w:color w:val="auto"/>
                <w:sz w:val="20"/>
                <w:szCs w:val="20"/>
                <w:highlight w:val="none"/>
              </w:rPr>
              <w:t>1路视频，1路数据485</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olor w:val="auto"/>
                <w:sz w:val="20"/>
                <w:szCs w:val="20"/>
                <w:highlight w:val="none"/>
              </w:rPr>
            </w:pPr>
            <w:r>
              <w:rPr>
                <w:rFonts w:hint="eastAsia" w:ascii="宋体" w:hAnsi="宋体"/>
                <w:color w:val="auto"/>
                <w:sz w:val="20"/>
                <w:szCs w:val="20"/>
                <w:highlight w:val="none"/>
              </w:rPr>
              <w:t>对</w:t>
            </w:r>
          </w:p>
        </w:tc>
        <w:tc>
          <w:tcPr>
            <w:tcW w:w="99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olor w:val="auto"/>
                <w:sz w:val="20"/>
                <w:szCs w:val="20"/>
                <w:highlight w:val="none"/>
              </w:rPr>
            </w:pPr>
            <w:r>
              <w:rPr>
                <w:rFonts w:hint="eastAsia" w:ascii="宋体" w:hAnsi="宋体"/>
                <w:color w:val="auto"/>
                <w:sz w:val="20"/>
                <w:szCs w:val="20"/>
                <w:highlight w:val="none"/>
              </w:rPr>
              <w:t>2</w:t>
            </w:r>
          </w:p>
        </w:tc>
        <w:tc>
          <w:tcPr>
            <w:tcW w:w="472" w:type="pct"/>
            <w:vMerge w:val="restart"/>
            <w:tcBorders>
              <w:left w:val="single" w:color="000000" w:sz="4" w:space="0"/>
              <w:right w:val="single" w:color="000000" w:sz="8" w:space="0"/>
            </w:tcBorders>
            <w:shd w:val="clear" w:color="auto" w:fill="auto"/>
            <w:noWrap/>
            <w:vAlign w:val="center"/>
          </w:tcPr>
          <w:p>
            <w:pPr>
              <w:jc w:val="center"/>
              <w:rPr>
                <w:rFonts w:ascii="宋体" w:hAnsi="宋体"/>
                <w:color w:val="auto"/>
                <w:sz w:val="20"/>
                <w:szCs w:val="20"/>
                <w:highlight w:val="none"/>
              </w:rPr>
            </w:pPr>
          </w:p>
        </w:tc>
      </w:tr>
      <w:tr>
        <w:tblPrEx>
          <w:tblCellMar>
            <w:top w:w="0" w:type="dxa"/>
            <w:left w:w="108" w:type="dxa"/>
            <w:bottom w:w="0" w:type="dxa"/>
            <w:right w:w="108" w:type="dxa"/>
          </w:tblCellMar>
        </w:tblPrEx>
        <w:trPr>
          <w:gridAfter w:val="1"/>
          <w:wAfter w:w="3" w:type="pct"/>
          <w:trHeight w:val="443" w:hRule="atLeast"/>
        </w:trPr>
        <w:tc>
          <w:tcPr>
            <w:tcW w:w="309"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pStyle w:val="507"/>
              <w:widowControl w:val="0"/>
              <w:ind w:firstLine="0"/>
              <w:jc w:val="center"/>
              <w:rPr>
                <w:rFonts w:ascii="宋体" w:hAnsi="宋体"/>
                <w:color w:val="auto"/>
                <w:kern w:val="2"/>
                <w:sz w:val="20"/>
                <w:szCs w:val="20"/>
                <w:highlight w:val="none"/>
              </w:rPr>
            </w:pPr>
            <w:r>
              <w:rPr>
                <w:rFonts w:hint="eastAsia" w:ascii="宋体" w:hAnsi="宋体"/>
                <w:color w:val="auto"/>
                <w:kern w:val="2"/>
                <w:sz w:val="20"/>
                <w:szCs w:val="20"/>
                <w:highlight w:val="none"/>
              </w:rPr>
              <w:t>13</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507"/>
              <w:widowControl w:val="0"/>
              <w:ind w:firstLine="0"/>
              <w:jc w:val="center"/>
              <w:rPr>
                <w:rFonts w:ascii="宋体" w:hAnsi="宋体"/>
                <w:color w:val="auto"/>
                <w:kern w:val="2"/>
                <w:sz w:val="20"/>
                <w:szCs w:val="20"/>
                <w:highlight w:val="none"/>
              </w:rPr>
            </w:pPr>
            <w:r>
              <w:rPr>
                <w:rFonts w:hint="eastAsia" w:ascii="宋体" w:hAnsi="宋体"/>
                <w:color w:val="auto"/>
                <w:kern w:val="2"/>
                <w:sz w:val="20"/>
                <w:szCs w:val="20"/>
                <w:highlight w:val="none"/>
              </w:rPr>
              <w:t>16路数字硬盘录像机</w:t>
            </w:r>
          </w:p>
        </w:tc>
        <w:tc>
          <w:tcPr>
            <w:tcW w:w="2382" w:type="pct"/>
            <w:tcBorders>
              <w:top w:val="single" w:color="000000" w:sz="4" w:space="0"/>
              <w:left w:val="single" w:color="000000" w:sz="4" w:space="0"/>
              <w:bottom w:val="single" w:color="000000" w:sz="4" w:space="0"/>
              <w:right w:val="single" w:color="000000" w:sz="4" w:space="0"/>
            </w:tcBorders>
            <w:shd w:val="clear" w:color="auto" w:fill="auto"/>
          </w:tcPr>
          <w:p>
            <w:pPr>
              <w:rPr>
                <w:rFonts w:ascii="宋体" w:hAnsi="宋体"/>
                <w:color w:val="auto"/>
                <w:sz w:val="20"/>
                <w:szCs w:val="20"/>
                <w:highlight w:val="none"/>
              </w:rPr>
            </w:pPr>
            <w:r>
              <w:rPr>
                <w:rFonts w:hint="eastAsia" w:ascii="宋体" w:hAnsi="宋体"/>
                <w:color w:val="auto"/>
                <w:sz w:val="20"/>
                <w:szCs w:val="20"/>
                <w:highlight w:val="none"/>
              </w:rPr>
              <w:t>总硬盘容量≥3T，存贮时间：视频15天，图像30天</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olor w:val="auto"/>
                <w:sz w:val="20"/>
                <w:szCs w:val="20"/>
                <w:highlight w:val="none"/>
              </w:rPr>
            </w:pPr>
            <w:r>
              <w:rPr>
                <w:rFonts w:hint="eastAsia" w:ascii="宋体" w:hAnsi="宋体"/>
                <w:color w:val="auto"/>
                <w:sz w:val="20"/>
                <w:szCs w:val="20"/>
                <w:highlight w:val="none"/>
              </w:rPr>
              <w:t>台</w:t>
            </w:r>
          </w:p>
        </w:tc>
        <w:tc>
          <w:tcPr>
            <w:tcW w:w="99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olor w:val="auto"/>
                <w:sz w:val="20"/>
                <w:szCs w:val="20"/>
                <w:highlight w:val="none"/>
              </w:rPr>
            </w:pPr>
            <w:r>
              <w:rPr>
                <w:rFonts w:hint="eastAsia" w:ascii="宋体" w:hAnsi="宋体"/>
                <w:color w:val="auto"/>
                <w:sz w:val="20"/>
                <w:szCs w:val="20"/>
                <w:highlight w:val="none"/>
              </w:rPr>
              <w:t>2</w:t>
            </w:r>
          </w:p>
        </w:tc>
        <w:tc>
          <w:tcPr>
            <w:tcW w:w="472" w:type="pct"/>
            <w:vMerge w:val="continue"/>
            <w:tcBorders>
              <w:left w:val="single" w:color="000000" w:sz="4" w:space="0"/>
              <w:bottom w:val="single" w:color="000000" w:sz="4" w:space="0"/>
              <w:right w:val="single" w:color="000000" w:sz="8" w:space="0"/>
            </w:tcBorders>
            <w:shd w:val="clear" w:color="auto" w:fill="auto"/>
            <w:noWrap/>
            <w:vAlign w:val="center"/>
          </w:tcPr>
          <w:p>
            <w:pPr>
              <w:jc w:val="center"/>
              <w:rPr>
                <w:rFonts w:ascii="宋体" w:hAnsi="宋体"/>
                <w:color w:val="auto"/>
                <w:sz w:val="20"/>
                <w:szCs w:val="20"/>
                <w:highlight w:val="none"/>
              </w:rPr>
            </w:pPr>
          </w:p>
        </w:tc>
      </w:tr>
    </w:tbl>
    <w:p>
      <w:pPr>
        <w:pStyle w:val="508"/>
        <w:ind w:firstLine="0" w:firstLineChars="0"/>
        <w:rPr>
          <w:rFonts w:hint="eastAsia" w:eastAsia="宋体"/>
          <w:b/>
          <w:color w:val="auto"/>
          <w:sz w:val="24"/>
          <w:szCs w:val="24"/>
          <w:highlight w:val="none"/>
        </w:rPr>
      </w:pPr>
      <w:r>
        <w:rPr>
          <w:rFonts w:hint="eastAsia" w:eastAsia="宋体"/>
          <w:b/>
          <w:color w:val="auto"/>
          <w:sz w:val="24"/>
          <w:szCs w:val="24"/>
          <w:highlight w:val="none"/>
        </w:rPr>
        <w:t>注:</w:t>
      </w:r>
      <w:r>
        <w:rPr>
          <w:rFonts w:hint="eastAsia"/>
          <w:color w:val="auto"/>
          <w:highlight w:val="none"/>
        </w:rPr>
        <w:t xml:space="preserve"> </w:t>
      </w:r>
      <w:r>
        <w:rPr>
          <w:rFonts w:hint="eastAsia" w:eastAsia="宋体"/>
          <w:b/>
          <w:color w:val="auto"/>
          <w:sz w:val="24"/>
          <w:szCs w:val="24"/>
          <w:highlight w:val="none"/>
        </w:rPr>
        <w:t>清单仅做参考，具体施工内容以施工图为准。</w:t>
      </w:r>
    </w:p>
    <w:p>
      <w:pPr>
        <w:spacing w:line="400" w:lineRule="exact"/>
        <w:rPr>
          <w:rFonts w:ascii="宋体" w:hAnsi="宋体"/>
          <w:b/>
          <w:bCs/>
          <w:color w:val="auto"/>
          <w:szCs w:val="21"/>
          <w:highlight w:val="none"/>
        </w:rPr>
      </w:pPr>
      <w:r>
        <w:rPr>
          <w:rFonts w:hint="eastAsia" w:ascii="宋体" w:hAnsi="宋体"/>
          <w:b/>
          <w:bCs/>
          <w:color w:val="auto"/>
          <w:szCs w:val="21"/>
          <w:highlight w:val="none"/>
        </w:rPr>
        <w:t>9、总体要求</w:t>
      </w:r>
    </w:p>
    <w:p>
      <w:pPr>
        <w:pStyle w:val="507"/>
        <w:widowControl w:val="0"/>
        <w:spacing w:line="400" w:lineRule="exact"/>
        <w:ind w:firstLine="480"/>
        <w:rPr>
          <w:rFonts w:ascii="宋体" w:hAnsi="宋体"/>
          <w:color w:val="auto"/>
          <w:kern w:val="2"/>
          <w:sz w:val="24"/>
          <w:szCs w:val="24"/>
          <w:highlight w:val="none"/>
        </w:rPr>
      </w:pPr>
      <w:r>
        <w:rPr>
          <w:rFonts w:hint="eastAsia" w:ascii="宋体" w:hAnsi="宋体"/>
          <w:color w:val="auto"/>
          <w:kern w:val="2"/>
          <w:sz w:val="24"/>
          <w:szCs w:val="24"/>
          <w:highlight w:val="none"/>
        </w:rPr>
        <w:t>9.1必须提交全部基础数据字典，数据能够接入绍兴市公路管理局现有中心服务器，数据存贮格式必须按照绍兴市公路管理局的相关要求进行编码。必须保证与绍兴市公路管理局的现有设备和软件、系统无缝对接，并能符合交通管理部门信息中心的数据要求。</w:t>
      </w:r>
    </w:p>
    <w:p>
      <w:pPr>
        <w:spacing w:line="400" w:lineRule="exact"/>
        <w:ind w:firstLine="482" w:firstLineChars="200"/>
        <w:rPr>
          <w:rFonts w:ascii="宋体" w:hAnsi="宋体"/>
          <w:color w:val="auto"/>
          <w:sz w:val="24"/>
          <w:highlight w:val="none"/>
        </w:rPr>
      </w:pPr>
      <w:r>
        <w:rPr>
          <w:rFonts w:hint="eastAsia" w:ascii="宋体" w:hAnsi="宋体"/>
          <w:b/>
          <w:color w:val="auto"/>
          <w:sz w:val="24"/>
          <w:highlight w:val="none"/>
        </w:rPr>
        <w:t>9.2</w:t>
      </w:r>
      <w:r>
        <w:rPr>
          <w:rFonts w:hint="eastAsia" w:ascii="宋体" w:hAnsi="宋体"/>
          <w:color w:val="auto"/>
          <w:sz w:val="24"/>
          <w:highlight w:val="none"/>
        </w:rPr>
        <w:t>网络按照视频专网的联网方式及要求接入越城区公路管理指挥中心和市公路管理局的视频监控平台。</w:t>
      </w:r>
    </w:p>
    <w:p>
      <w:pPr>
        <w:spacing w:line="400" w:lineRule="exact"/>
        <w:rPr>
          <w:rFonts w:ascii="宋体" w:hAnsi="宋体"/>
          <w:b/>
          <w:bCs/>
          <w:color w:val="auto"/>
          <w:szCs w:val="21"/>
          <w:highlight w:val="none"/>
        </w:rPr>
      </w:pPr>
      <w:r>
        <w:rPr>
          <w:rFonts w:hint="eastAsia" w:ascii="宋体" w:hAnsi="宋体"/>
          <w:b/>
          <w:color w:val="auto"/>
          <w:sz w:val="24"/>
          <w:highlight w:val="none"/>
        </w:rPr>
        <w:t>9.3新增设备须无缝接入原有监控系统；利旧设备和新设备组建的新系统须无缝接入现有监控平台。新增人车管控监控系统须接入现有辖区交警指挥应用平台。</w:t>
      </w:r>
    </w:p>
    <w:p>
      <w:pPr>
        <w:spacing w:line="400" w:lineRule="exact"/>
        <w:rPr>
          <w:rFonts w:ascii="宋体" w:hAnsi="宋体"/>
          <w:b/>
          <w:bCs/>
          <w:color w:val="auto"/>
          <w:sz w:val="28"/>
          <w:szCs w:val="28"/>
          <w:highlight w:val="none"/>
        </w:rPr>
      </w:pPr>
      <w:r>
        <w:rPr>
          <w:rFonts w:hint="eastAsia" w:ascii="宋体" w:hAnsi="宋体"/>
          <w:b/>
          <w:bCs/>
          <w:color w:val="auto"/>
          <w:sz w:val="28"/>
          <w:szCs w:val="28"/>
          <w:highlight w:val="none"/>
        </w:rPr>
        <w:t>三、系统介绍</w:t>
      </w:r>
    </w:p>
    <w:p>
      <w:pPr>
        <w:spacing w:line="400" w:lineRule="exact"/>
        <w:ind w:firstLine="560"/>
        <w:rPr>
          <w:rFonts w:hint="eastAsia" w:ascii="宋体" w:hAnsi="宋体"/>
          <w:color w:val="auto"/>
          <w:sz w:val="24"/>
          <w:highlight w:val="none"/>
        </w:rPr>
      </w:pPr>
      <w:r>
        <w:rPr>
          <w:rFonts w:hint="eastAsia" w:ascii="宋体" w:hAnsi="宋体"/>
          <w:color w:val="auto"/>
          <w:sz w:val="24"/>
          <w:highlight w:val="none"/>
        </w:rPr>
        <w:t>治超非现场执法电子检测系统由动态汽车衡、车牌识别系统、全景监控系统、可变信息标志以及相应的信息传输设备等部分组成。</w:t>
      </w:r>
    </w:p>
    <w:p>
      <w:pPr>
        <w:spacing w:line="400" w:lineRule="exact"/>
        <w:ind w:firstLine="630"/>
        <w:rPr>
          <w:rFonts w:ascii="宋体" w:hAnsi="宋体"/>
          <w:b/>
          <w:bCs/>
          <w:color w:val="auto"/>
          <w:szCs w:val="21"/>
          <w:highlight w:val="none"/>
        </w:rPr>
      </w:pPr>
      <w:r>
        <w:rPr>
          <w:rFonts w:hint="eastAsia" w:ascii="宋体" w:hAnsi="宋体"/>
          <w:b/>
          <w:bCs/>
          <w:color w:val="auto"/>
          <w:szCs w:val="21"/>
          <w:highlight w:val="none"/>
        </w:rPr>
        <w:t>1、系统功能</w:t>
      </w:r>
    </w:p>
    <w:p>
      <w:pPr>
        <w:spacing w:line="400" w:lineRule="exact"/>
        <w:ind w:firstLine="560"/>
        <w:rPr>
          <w:rFonts w:ascii="宋体" w:hAnsi="宋体"/>
          <w:color w:val="auto"/>
          <w:sz w:val="24"/>
          <w:highlight w:val="none"/>
        </w:rPr>
      </w:pPr>
      <w:r>
        <w:rPr>
          <w:rFonts w:hint="eastAsia" w:ascii="宋体" w:hAnsi="宋体"/>
          <w:color w:val="auto"/>
          <w:sz w:val="24"/>
          <w:highlight w:val="none"/>
        </w:rPr>
        <w:t>动态汽车衡在不限制车速的情况下自动检测正常通过主线车道车辆的轴重、总重等数据，同时车牌识别系统采集车辆的图片识别其车牌数据，车辆重量数据与车牌号码及车辆图片对应存储在监控中心计算机上。如果车辆超限，可变信息标志实时显示相应的车牌数据等信息,提示驾驶员接受处理。全景监控视频通过光缆接入监控中心，用于监控路上行车状态和处置突发时间。</w:t>
      </w:r>
    </w:p>
    <w:p>
      <w:pPr>
        <w:spacing w:line="400" w:lineRule="exact"/>
        <w:ind w:firstLine="630"/>
        <w:rPr>
          <w:rFonts w:ascii="宋体" w:hAnsi="宋体"/>
          <w:b/>
          <w:bCs/>
          <w:color w:val="auto"/>
          <w:szCs w:val="21"/>
          <w:highlight w:val="none"/>
        </w:rPr>
      </w:pPr>
      <w:r>
        <w:rPr>
          <w:rFonts w:hint="eastAsia" w:ascii="宋体" w:hAnsi="宋体"/>
          <w:b/>
          <w:bCs/>
          <w:color w:val="auto"/>
          <w:szCs w:val="21"/>
          <w:highlight w:val="none"/>
        </w:rPr>
        <w:t>2、动态汽车衡场外设备构成</w:t>
      </w:r>
    </w:p>
    <w:p>
      <w:pPr>
        <w:pStyle w:val="130"/>
        <w:widowControl w:val="0"/>
        <w:numPr>
          <w:ilvl w:val="0"/>
          <w:numId w:val="8"/>
        </w:numPr>
        <w:spacing w:after="0" w:line="400" w:lineRule="exact"/>
        <w:ind w:left="981"/>
        <w:rPr>
          <w:rFonts w:hint="eastAsia" w:ascii="宋体" w:hAnsi="宋体"/>
          <w:color w:val="auto"/>
          <w:sz w:val="24"/>
          <w:szCs w:val="24"/>
          <w:highlight w:val="none"/>
        </w:rPr>
      </w:pPr>
      <w:r>
        <w:rPr>
          <w:rFonts w:hint="eastAsia" w:ascii="宋体" w:hAnsi="宋体"/>
          <w:color w:val="auto"/>
          <w:sz w:val="24"/>
          <w:szCs w:val="24"/>
          <w:highlight w:val="none"/>
        </w:rPr>
        <w:t>高速动态称重传感器</w:t>
      </w:r>
    </w:p>
    <w:p>
      <w:pPr>
        <w:pStyle w:val="130"/>
        <w:widowControl w:val="0"/>
        <w:numPr>
          <w:ilvl w:val="0"/>
          <w:numId w:val="8"/>
        </w:numPr>
        <w:spacing w:after="0" w:line="400" w:lineRule="exact"/>
        <w:ind w:left="981"/>
        <w:rPr>
          <w:rFonts w:hint="eastAsia" w:ascii="宋体" w:hAnsi="宋体"/>
          <w:color w:val="auto"/>
          <w:sz w:val="24"/>
          <w:szCs w:val="24"/>
          <w:highlight w:val="none"/>
        </w:rPr>
      </w:pPr>
      <w:r>
        <w:rPr>
          <w:rFonts w:hint="eastAsia" w:ascii="宋体" w:hAnsi="宋体"/>
          <w:color w:val="auto"/>
          <w:sz w:val="24"/>
          <w:szCs w:val="24"/>
          <w:highlight w:val="none"/>
        </w:rPr>
        <w:t>高速动态称重控制器</w:t>
      </w:r>
    </w:p>
    <w:p>
      <w:pPr>
        <w:pStyle w:val="130"/>
        <w:widowControl w:val="0"/>
        <w:numPr>
          <w:ilvl w:val="0"/>
          <w:numId w:val="8"/>
        </w:numPr>
        <w:spacing w:after="0" w:line="400" w:lineRule="exact"/>
        <w:ind w:left="981"/>
        <w:rPr>
          <w:rFonts w:hint="eastAsia" w:ascii="宋体" w:hAnsi="宋体"/>
          <w:color w:val="auto"/>
          <w:sz w:val="24"/>
          <w:szCs w:val="24"/>
          <w:highlight w:val="none"/>
        </w:rPr>
      </w:pPr>
      <w:r>
        <w:rPr>
          <w:rFonts w:hint="eastAsia" w:ascii="宋体" w:hAnsi="宋体"/>
          <w:color w:val="auto"/>
          <w:sz w:val="24"/>
          <w:szCs w:val="24"/>
          <w:highlight w:val="none"/>
        </w:rPr>
        <w:t>车辆检测器</w:t>
      </w:r>
    </w:p>
    <w:p>
      <w:pPr>
        <w:pStyle w:val="130"/>
        <w:widowControl w:val="0"/>
        <w:numPr>
          <w:ilvl w:val="0"/>
          <w:numId w:val="8"/>
        </w:numPr>
        <w:spacing w:after="0" w:line="400" w:lineRule="exact"/>
        <w:ind w:left="981"/>
        <w:rPr>
          <w:rFonts w:hint="eastAsia" w:ascii="宋体" w:hAnsi="宋体"/>
          <w:color w:val="auto"/>
          <w:sz w:val="24"/>
          <w:szCs w:val="24"/>
          <w:highlight w:val="none"/>
        </w:rPr>
      </w:pPr>
      <w:r>
        <w:rPr>
          <w:rFonts w:hint="eastAsia" w:ascii="宋体" w:hAnsi="宋体"/>
          <w:color w:val="auto"/>
          <w:sz w:val="24"/>
          <w:szCs w:val="24"/>
          <w:highlight w:val="none"/>
        </w:rPr>
        <w:t>车牌抓拍摄像机</w:t>
      </w:r>
    </w:p>
    <w:p>
      <w:pPr>
        <w:pStyle w:val="130"/>
        <w:widowControl w:val="0"/>
        <w:numPr>
          <w:ilvl w:val="0"/>
          <w:numId w:val="8"/>
        </w:numPr>
        <w:spacing w:after="0" w:line="400" w:lineRule="exact"/>
        <w:ind w:left="981"/>
        <w:rPr>
          <w:rFonts w:hint="eastAsia" w:ascii="宋体" w:hAnsi="宋体"/>
          <w:color w:val="auto"/>
          <w:sz w:val="24"/>
          <w:szCs w:val="24"/>
          <w:highlight w:val="none"/>
        </w:rPr>
      </w:pPr>
      <w:r>
        <w:rPr>
          <w:rFonts w:hint="eastAsia" w:ascii="宋体" w:hAnsi="宋体"/>
          <w:color w:val="auto"/>
          <w:sz w:val="24"/>
          <w:szCs w:val="24"/>
          <w:highlight w:val="none"/>
        </w:rPr>
        <w:t>全景监控摄像机</w:t>
      </w:r>
    </w:p>
    <w:p>
      <w:pPr>
        <w:pStyle w:val="130"/>
        <w:widowControl w:val="0"/>
        <w:numPr>
          <w:ilvl w:val="0"/>
          <w:numId w:val="8"/>
        </w:numPr>
        <w:spacing w:after="0" w:line="400" w:lineRule="exact"/>
        <w:ind w:left="981"/>
        <w:rPr>
          <w:rFonts w:hint="eastAsia" w:ascii="宋体" w:hAnsi="宋体"/>
          <w:color w:val="auto"/>
          <w:sz w:val="24"/>
          <w:szCs w:val="24"/>
          <w:highlight w:val="none"/>
        </w:rPr>
      </w:pPr>
      <w:r>
        <w:rPr>
          <w:rFonts w:hint="eastAsia" w:ascii="宋体" w:hAnsi="宋体"/>
          <w:color w:val="auto"/>
          <w:sz w:val="24"/>
          <w:szCs w:val="24"/>
          <w:highlight w:val="none"/>
        </w:rPr>
        <w:t>可变信息标志</w:t>
      </w:r>
    </w:p>
    <w:p>
      <w:pPr>
        <w:spacing w:line="400" w:lineRule="exact"/>
        <w:ind w:firstLine="630"/>
        <w:rPr>
          <w:rFonts w:ascii="宋体" w:hAnsi="宋体"/>
          <w:b/>
          <w:bCs/>
          <w:color w:val="auto"/>
          <w:szCs w:val="21"/>
          <w:highlight w:val="none"/>
        </w:rPr>
      </w:pPr>
      <w:r>
        <w:rPr>
          <w:rFonts w:hint="eastAsia" w:ascii="宋体" w:hAnsi="宋体"/>
          <w:b/>
          <w:bCs/>
          <w:color w:val="auto"/>
          <w:szCs w:val="21"/>
          <w:highlight w:val="none"/>
        </w:rPr>
        <w:t>3、动态汽车衡传输系统构成</w:t>
      </w:r>
    </w:p>
    <w:p>
      <w:pPr>
        <w:spacing w:line="400" w:lineRule="exact"/>
        <w:ind w:firstLine="560"/>
        <w:rPr>
          <w:rFonts w:hint="eastAsia" w:ascii="宋体" w:hAnsi="宋体"/>
          <w:color w:val="auto"/>
          <w:szCs w:val="21"/>
          <w:highlight w:val="none"/>
        </w:rPr>
      </w:pPr>
      <w:r>
        <w:rPr>
          <w:rFonts w:hint="eastAsia" w:ascii="宋体" w:hAnsi="宋体"/>
          <w:color w:val="auto"/>
          <w:sz w:val="24"/>
          <w:highlight w:val="none"/>
        </w:rPr>
        <w:t>高速检测视频信号由IP传输到高速动态控制仪，高速检测控制器由通信公司通讯光缆连接到监控中心计算机</w:t>
      </w:r>
      <w:r>
        <w:rPr>
          <w:rFonts w:hint="eastAsia" w:ascii="宋体" w:hAnsi="宋体"/>
          <w:color w:val="auto"/>
          <w:szCs w:val="21"/>
          <w:highlight w:val="none"/>
        </w:rPr>
        <w:t>。</w:t>
      </w:r>
    </w:p>
    <w:p>
      <w:pPr>
        <w:pStyle w:val="4"/>
        <w:numPr>
          <w:ilvl w:val="0"/>
          <w:numId w:val="0"/>
        </w:numPr>
        <w:spacing w:before="0" w:after="0" w:line="400" w:lineRule="exact"/>
        <w:rPr>
          <w:rFonts w:ascii="宋体" w:hAnsi="宋体" w:eastAsia="宋体"/>
          <w:color w:val="auto"/>
          <w:sz w:val="28"/>
          <w:szCs w:val="28"/>
          <w:highlight w:val="none"/>
        </w:rPr>
      </w:pPr>
      <w:r>
        <w:rPr>
          <w:rFonts w:hint="eastAsia" w:ascii="宋体" w:hAnsi="宋体" w:eastAsia="宋体"/>
          <w:color w:val="auto"/>
          <w:sz w:val="28"/>
          <w:szCs w:val="28"/>
          <w:highlight w:val="none"/>
        </w:rPr>
        <w:t>四、数据格式要求</w:t>
      </w:r>
    </w:p>
    <w:p>
      <w:pPr>
        <w:spacing w:line="400" w:lineRule="exact"/>
        <w:ind w:firstLine="630"/>
        <w:rPr>
          <w:rFonts w:ascii="宋体" w:hAnsi="宋体" w:cs="楷体"/>
          <w:b/>
          <w:bCs/>
          <w:color w:val="auto"/>
          <w:szCs w:val="21"/>
          <w:highlight w:val="none"/>
        </w:rPr>
      </w:pPr>
      <w:bookmarkStart w:id="256" w:name="_Toc450556197"/>
      <w:r>
        <w:rPr>
          <w:rFonts w:hint="eastAsia" w:ascii="宋体" w:hAnsi="宋体" w:cs="楷体"/>
          <w:b/>
          <w:bCs/>
          <w:color w:val="auto"/>
          <w:szCs w:val="21"/>
          <w:highlight w:val="none"/>
        </w:rPr>
        <w:t>1</w:t>
      </w:r>
      <w:bookmarkEnd w:id="256"/>
      <w:r>
        <w:rPr>
          <w:rFonts w:hint="eastAsia" w:ascii="宋体" w:hAnsi="宋体" w:cs="楷体"/>
          <w:b/>
          <w:bCs/>
          <w:color w:val="auto"/>
          <w:szCs w:val="21"/>
          <w:highlight w:val="none"/>
        </w:rPr>
        <w:t>、数据上传通讯接口规范</w:t>
      </w:r>
    </w:p>
    <w:p>
      <w:pPr>
        <w:spacing w:line="400" w:lineRule="exact"/>
        <w:ind w:firstLine="561"/>
        <w:rPr>
          <w:rFonts w:hint="eastAsia" w:ascii="宋体" w:hAnsi="宋体" w:cs="楷体"/>
          <w:color w:val="auto"/>
          <w:sz w:val="24"/>
          <w:highlight w:val="none"/>
        </w:rPr>
      </w:pPr>
      <w:bookmarkStart w:id="257" w:name="_Toc321941300"/>
      <w:bookmarkEnd w:id="257"/>
      <w:bookmarkStart w:id="258" w:name="_Toc24013"/>
      <w:bookmarkEnd w:id="258"/>
      <w:bookmarkStart w:id="259" w:name="_Toc450556199"/>
      <w:bookmarkEnd w:id="259"/>
      <w:bookmarkStart w:id="260" w:name="_Toc20453"/>
      <w:bookmarkEnd w:id="260"/>
      <w:bookmarkStart w:id="261" w:name="_Toc322021091"/>
      <w:bookmarkEnd w:id="261"/>
      <w:bookmarkStart w:id="262" w:name="_Toc427334573"/>
      <w:bookmarkEnd w:id="262"/>
      <w:bookmarkStart w:id="263" w:name="_Toc324515455"/>
      <w:bookmarkEnd w:id="263"/>
      <w:bookmarkStart w:id="264" w:name="_Toc25104"/>
      <w:r>
        <w:rPr>
          <w:rFonts w:hint="eastAsia" w:ascii="宋体" w:hAnsi="宋体" w:cs="楷体"/>
          <w:color w:val="auto"/>
          <w:sz w:val="24"/>
          <w:highlight w:val="none"/>
        </w:rPr>
        <w:t>接口均使用UTF-8编码格式，调用接口上传的信息必须经过UTF-8编码。接口返回的信息也为UTF-8编码格式。图片数据无需Base64编码。</w:t>
      </w:r>
    </w:p>
    <w:p>
      <w:pPr>
        <w:spacing w:line="400" w:lineRule="exact"/>
        <w:ind w:firstLine="561"/>
        <w:rPr>
          <w:rFonts w:ascii="宋体" w:hAnsi="宋体" w:cs="楷体"/>
          <w:color w:val="auto"/>
          <w:sz w:val="24"/>
          <w:highlight w:val="none"/>
        </w:rPr>
      </w:pPr>
      <w:r>
        <w:rPr>
          <w:rFonts w:hint="eastAsia" w:ascii="宋体" w:hAnsi="宋体" w:cs="楷体"/>
          <w:color w:val="auto"/>
          <w:sz w:val="24"/>
          <w:highlight w:val="none"/>
        </w:rPr>
        <w:t>Web service地址为：</w:t>
      </w:r>
      <w:r>
        <w:rPr>
          <w:rFonts w:hint="eastAsia" w:ascii="宋体" w:hAnsi="宋体" w:cs="楷体"/>
          <w:color w:val="auto"/>
          <w:sz w:val="24"/>
          <w:highlight w:val="none"/>
        </w:rPr>
        <w:fldChar w:fldCharType="begin"/>
      </w:r>
      <w:r>
        <w:rPr>
          <w:rFonts w:hint="eastAsia" w:ascii="宋体" w:hAnsi="宋体" w:cs="楷体"/>
          <w:color w:val="auto"/>
          <w:sz w:val="24"/>
          <w:highlight w:val="none"/>
        </w:rPr>
        <w:instrText xml:space="preserve"> HYPERLINK "http://ip:port?wsdl.其中ip" </w:instrText>
      </w:r>
      <w:r>
        <w:rPr>
          <w:rFonts w:hint="eastAsia" w:ascii="宋体" w:hAnsi="宋体" w:cs="楷体"/>
          <w:color w:val="auto"/>
          <w:sz w:val="24"/>
          <w:highlight w:val="none"/>
        </w:rPr>
        <w:fldChar w:fldCharType="separate"/>
      </w:r>
      <w:r>
        <w:rPr>
          <w:rFonts w:hint="eastAsia" w:ascii="宋体" w:hAnsi="宋体" w:cs="楷体"/>
          <w:color w:val="auto"/>
          <w:sz w:val="24"/>
          <w:highlight w:val="none"/>
        </w:rPr>
        <w:t>http://ip:port?wsdl.其中ip</w:t>
      </w:r>
      <w:r>
        <w:rPr>
          <w:rFonts w:hint="eastAsia" w:ascii="宋体" w:hAnsi="宋体" w:cs="楷体"/>
          <w:color w:val="auto"/>
          <w:sz w:val="24"/>
          <w:highlight w:val="none"/>
        </w:rPr>
        <w:fldChar w:fldCharType="end"/>
      </w:r>
      <w:r>
        <w:rPr>
          <w:rFonts w:hint="eastAsia" w:ascii="宋体" w:hAnsi="宋体" w:cs="楷体"/>
          <w:color w:val="auto"/>
          <w:sz w:val="24"/>
          <w:highlight w:val="none"/>
        </w:rPr>
        <w:t>为web service服务器的ip，port为：web service服务器的端口。在浏览器中输入此地址即可以看到wsdl描述文档</w:t>
      </w:r>
      <w:r>
        <w:rPr>
          <w:rFonts w:hint="eastAsia" w:ascii="宋体" w:hAnsi="宋体" w:cs="楷体"/>
          <w:color w:val="auto"/>
          <w:szCs w:val="21"/>
          <w:highlight w:val="none"/>
        </w:rPr>
        <w:t>。</w:t>
      </w:r>
    </w:p>
    <w:p>
      <w:pPr>
        <w:spacing w:line="400" w:lineRule="exact"/>
        <w:ind w:firstLine="630"/>
        <w:rPr>
          <w:rFonts w:ascii="宋体" w:hAnsi="宋体" w:cs="楷体"/>
          <w:b/>
          <w:bCs/>
          <w:color w:val="auto"/>
          <w:szCs w:val="21"/>
          <w:highlight w:val="none"/>
        </w:rPr>
      </w:pPr>
      <w:r>
        <w:rPr>
          <w:rFonts w:hint="eastAsia" w:ascii="宋体" w:hAnsi="宋体" w:cs="楷体"/>
          <w:b/>
          <w:bCs/>
          <w:color w:val="auto"/>
          <w:szCs w:val="21"/>
          <w:highlight w:val="none"/>
        </w:rPr>
        <w:t>2、数据上传接口</w:t>
      </w:r>
      <w:bookmarkEnd w:id="264"/>
    </w:p>
    <w:p>
      <w:pPr>
        <w:spacing w:line="400" w:lineRule="exact"/>
        <w:ind w:firstLine="561"/>
        <w:rPr>
          <w:rFonts w:hint="eastAsia" w:ascii="宋体" w:hAnsi="宋体" w:cs="楷体"/>
          <w:color w:val="auto"/>
          <w:sz w:val="24"/>
          <w:highlight w:val="none"/>
        </w:rPr>
      </w:pPr>
      <w:bookmarkStart w:id="265" w:name="_Toc450556200"/>
      <w:r>
        <w:rPr>
          <w:rFonts w:hint="eastAsia" w:ascii="宋体" w:hAnsi="宋体" w:cs="楷体"/>
          <w:color w:val="auto"/>
          <w:sz w:val="24"/>
          <w:highlight w:val="none"/>
        </w:rPr>
        <w:t>由于绍兴市公路超限检测非现场执法系统存在市、区县两级建设和应用，超限数据保存在区县，并同时上传绍兴市平台；</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接口名称</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 xml:space="preserve">string  SendVehicleWeightEx(string VehicleWeightInfo, </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struct xsd_recordInfo PlateRecData)</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参数说明</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VehicleWeightInfo：车辆称重详情xml，具体如下：</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&lt;?xml version="1.0" encoding=" UTF-8 " standalone="yes" ?&gt;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&lt;ROOT&gt;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&lt;DeviceKey&gt;设备密钥&lt;/DeviceKey&gt;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&lt;IndexCode&gt;设备编号&lt;/IndexCode&gt;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&lt;CheckID&gt;检测点号&lt;/ CheckID &gt;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&lt;PlateNo&gt;车牌号码&lt;/PlateNo&gt;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&lt;PlateColor&gt;车牌颜色&lt;/PlateColor&gt;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&lt;VehicleSpeed&gt;车辆速度&lt;/VehicleSpeed&gt;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 xml:space="preserve">&lt;LaneNo&gt;车道号&lt;/LaneNo &gt; </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&lt;IsOverWeight&gt;是否超限&lt;/IsOverWeight&gt;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&lt;AxleNum&gt;轴数&lt;/AxleNum&gt;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&lt;OverWeight&gt;超限重量&lt;/OverWeight&gt;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&lt;VehicleWeight&gt;车货重量&lt;/VehicleWeight&gt;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&lt;IsDirect&gt; 是否逆行 &lt;/IsDirect&gt;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&lt;Axleweight1&gt;轴重1&lt;/ Axleweight1&gt;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&lt;Axleweight2&gt;轴重2&lt;/ Axleweight2&gt;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&lt;Axleweight3&gt;轴重3&lt;/ Axleweight3&gt;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&lt;Axleweight4&gt;轴重4&lt;/ Axleweight4&gt;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&lt;Axleweight5&gt;轴重5&lt;/ Axleweight5&gt;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&lt;Axleweight6&gt;轴重6&lt;/ Axleweight6&gt;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&lt;Axleweight7&gt;轴重7&lt;/ Axleweight7&gt;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&lt;Axleweight8&gt;轴重8&lt;/ Axleweight8&gt;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&lt;LimitWeight&gt;限制重量&lt;/LimitWeight&gt;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&lt;VehicleLength&gt;车货总长&lt;/VehicleLength &gt;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&lt;VehicleWidth&gt;车货总宽&lt;/VehicleWidth &gt;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&lt;VehicleHeight&gt;车货总高&lt;/VehicleHeight &gt;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&lt;OverLength&gt;超长量&lt;/OverLength&gt;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&lt;OverWidth&gt;超宽量&lt;/OverWidth&gt;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&lt;OverHeight&gt;超高量&lt;/OverHeight&gt;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&lt;VehicleType&gt;车辆类型&lt;/VehicleType&gt;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&lt;CheckTime&gt;检查时间&lt;/CheckTime&gt;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&lt;HeadImageURL&gt;车头图片路径&lt;/ HeadImageURL&gt;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&lt;BodyImageURL&gt;车身图片路径&lt;/ BodyImageURL &gt;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&lt;TailImageURL&gt;车尾图片路径&lt;/TailImageURL&gt;</w:t>
      </w:r>
    </w:p>
    <w:p>
      <w:pPr>
        <w:spacing w:line="400" w:lineRule="exact"/>
        <w:ind w:firstLine="561"/>
        <w:rPr>
          <w:rFonts w:ascii="宋体" w:hAnsi="宋体" w:cs="楷体"/>
          <w:color w:val="auto"/>
          <w:sz w:val="24"/>
          <w:highlight w:val="none"/>
        </w:rPr>
      </w:pPr>
      <w:r>
        <w:rPr>
          <w:rFonts w:hint="eastAsia" w:ascii="宋体" w:hAnsi="宋体" w:cs="楷体"/>
          <w:color w:val="auto"/>
          <w:sz w:val="24"/>
          <w:highlight w:val="none"/>
        </w:rPr>
        <w:t>&lt;/ ROOT &gt;</w:t>
      </w:r>
      <w:r>
        <w:rPr>
          <w:rFonts w:hint="eastAsia" w:ascii="宋体" w:hAnsi="宋体" w:cs="楷体"/>
          <w:color w:val="auto"/>
          <w:sz w:val="24"/>
          <w:highlight w:val="none"/>
        </w:rPr>
        <w:tab/>
      </w:r>
    </w:p>
    <w:p>
      <w:pPr>
        <w:pStyle w:val="16"/>
        <w:spacing w:line="400" w:lineRule="exact"/>
        <w:ind w:firstLine="417" w:firstLineChars="198"/>
        <w:rPr>
          <w:rFonts w:ascii="宋体" w:hAnsi="宋体"/>
          <w:b/>
          <w:color w:val="auto"/>
          <w:szCs w:val="21"/>
          <w:highlight w:val="none"/>
        </w:rPr>
      </w:pPr>
      <w:r>
        <w:rPr>
          <w:rFonts w:hint="eastAsia" w:ascii="宋体" w:hAnsi="宋体"/>
          <w:b/>
          <w:color w:val="auto"/>
          <w:szCs w:val="21"/>
          <w:highlight w:val="none"/>
        </w:rPr>
        <w:t>Fields字段列表</w:t>
      </w:r>
    </w:p>
    <w:tbl>
      <w:tblPr>
        <w:tblStyle w:val="51"/>
        <w:tblW w:w="957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21"/>
        <w:gridCol w:w="1816"/>
        <w:gridCol w:w="708"/>
        <w:gridCol w:w="1276"/>
        <w:gridCol w:w="736"/>
        <w:gridCol w:w="823"/>
        <w:gridCol w:w="359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621" w:type="dxa"/>
            <w:shd w:val="clear" w:color="auto" w:fill="E0E0E0"/>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序号</w:t>
            </w:r>
          </w:p>
        </w:tc>
        <w:tc>
          <w:tcPr>
            <w:tcW w:w="1816" w:type="dxa"/>
            <w:shd w:val="clear" w:color="auto" w:fill="E0E0E0"/>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列名</w:t>
            </w:r>
          </w:p>
        </w:tc>
        <w:tc>
          <w:tcPr>
            <w:tcW w:w="708" w:type="dxa"/>
            <w:shd w:val="clear" w:color="auto" w:fill="E0E0E0"/>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大小</w:t>
            </w:r>
          </w:p>
        </w:tc>
        <w:tc>
          <w:tcPr>
            <w:tcW w:w="1276" w:type="dxa"/>
            <w:shd w:val="clear" w:color="auto" w:fill="E0E0E0"/>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名称</w:t>
            </w:r>
          </w:p>
        </w:tc>
        <w:tc>
          <w:tcPr>
            <w:tcW w:w="736" w:type="dxa"/>
            <w:shd w:val="clear" w:color="auto" w:fill="E0E0E0"/>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数据</w:t>
            </w:r>
          </w:p>
          <w:p>
            <w:pPr>
              <w:spacing w:line="360" w:lineRule="auto"/>
              <w:jc w:val="center"/>
              <w:rPr>
                <w:rFonts w:hint="eastAsia" w:ascii="宋体" w:hAnsi="宋体"/>
                <w:color w:val="auto"/>
                <w:sz w:val="24"/>
                <w:highlight w:val="none"/>
              </w:rPr>
            </w:pPr>
            <w:r>
              <w:rPr>
                <w:rFonts w:hint="eastAsia" w:ascii="宋体" w:hAnsi="宋体"/>
                <w:color w:val="auto"/>
                <w:sz w:val="24"/>
                <w:highlight w:val="none"/>
              </w:rPr>
              <w:t>类型</w:t>
            </w:r>
          </w:p>
        </w:tc>
        <w:tc>
          <w:tcPr>
            <w:tcW w:w="823" w:type="dxa"/>
            <w:shd w:val="clear" w:color="auto" w:fill="E0E0E0"/>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允许空</w:t>
            </w:r>
          </w:p>
        </w:tc>
        <w:tc>
          <w:tcPr>
            <w:tcW w:w="3597" w:type="dxa"/>
            <w:shd w:val="clear" w:color="auto" w:fill="E0E0E0"/>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621"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1</w:t>
            </w:r>
          </w:p>
        </w:tc>
        <w:tc>
          <w:tcPr>
            <w:tcW w:w="1816"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DeviceKey</w:t>
            </w:r>
          </w:p>
        </w:tc>
        <w:tc>
          <w:tcPr>
            <w:tcW w:w="708"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64</w:t>
            </w:r>
          </w:p>
        </w:tc>
        <w:tc>
          <w:tcPr>
            <w:tcW w:w="127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设备密钥</w:t>
            </w:r>
          </w:p>
        </w:tc>
        <w:tc>
          <w:tcPr>
            <w:tcW w:w="73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字符</w:t>
            </w:r>
          </w:p>
        </w:tc>
        <w:tc>
          <w:tcPr>
            <w:tcW w:w="823"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否</w:t>
            </w:r>
          </w:p>
        </w:tc>
        <w:tc>
          <w:tcPr>
            <w:tcW w:w="3597"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每个称重设备都唯一对应一个密钥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621"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2</w:t>
            </w:r>
          </w:p>
        </w:tc>
        <w:tc>
          <w:tcPr>
            <w:tcW w:w="1816"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IndexCode</w:t>
            </w:r>
          </w:p>
        </w:tc>
        <w:tc>
          <w:tcPr>
            <w:tcW w:w="708"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32</w:t>
            </w:r>
          </w:p>
        </w:tc>
        <w:tc>
          <w:tcPr>
            <w:tcW w:w="127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设备编号</w:t>
            </w:r>
          </w:p>
        </w:tc>
        <w:tc>
          <w:tcPr>
            <w:tcW w:w="73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字符</w:t>
            </w:r>
          </w:p>
        </w:tc>
        <w:tc>
          <w:tcPr>
            <w:tcW w:w="823"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否</w:t>
            </w:r>
          </w:p>
        </w:tc>
        <w:tc>
          <w:tcPr>
            <w:tcW w:w="3597"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设备编号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621"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3</w:t>
            </w:r>
          </w:p>
        </w:tc>
        <w:tc>
          <w:tcPr>
            <w:tcW w:w="1816"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CheckID</w:t>
            </w:r>
          </w:p>
        </w:tc>
        <w:tc>
          <w:tcPr>
            <w:tcW w:w="708"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32</w:t>
            </w:r>
          </w:p>
        </w:tc>
        <w:tc>
          <w:tcPr>
            <w:tcW w:w="127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检测点编号</w:t>
            </w:r>
          </w:p>
        </w:tc>
        <w:tc>
          <w:tcPr>
            <w:tcW w:w="73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字符</w:t>
            </w:r>
          </w:p>
        </w:tc>
        <w:tc>
          <w:tcPr>
            <w:tcW w:w="823"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否</w:t>
            </w:r>
          </w:p>
        </w:tc>
        <w:tc>
          <w:tcPr>
            <w:tcW w:w="3597"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检测点编号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621"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4</w:t>
            </w:r>
          </w:p>
        </w:tc>
        <w:tc>
          <w:tcPr>
            <w:tcW w:w="1816"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PlateNo</w:t>
            </w:r>
          </w:p>
        </w:tc>
        <w:tc>
          <w:tcPr>
            <w:tcW w:w="708"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15</w:t>
            </w:r>
          </w:p>
        </w:tc>
        <w:tc>
          <w:tcPr>
            <w:tcW w:w="127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车牌号码</w:t>
            </w:r>
          </w:p>
        </w:tc>
        <w:tc>
          <w:tcPr>
            <w:tcW w:w="73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字符</w:t>
            </w:r>
          </w:p>
        </w:tc>
        <w:tc>
          <w:tcPr>
            <w:tcW w:w="823"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否</w:t>
            </w:r>
          </w:p>
        </w:tc>
        <w:tc>
          <w:tcPr>
            <w:tcW w:w="3597"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不能自动识别的用“车牌”表示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621"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5</w:t>
            </w:r>
          </w:p>
        </w:tc>
        <w:tc>
          <w:tcPr>
            <w:tcW w:w="1816"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PlateColor</w:t>
            </w:r>
          </w:p>
        </w:tc>
        <w:tc>
          <w:tcPr>
            <w:tcW w:w="708"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2</w:t>
            </w:r>
          </w:p>
        </w:tc>
        <w:tc>
          <w:tcPr>
            <w:tcW w:w="127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车牌颜色</w:t>
            </w:r>
          </w:p>
        </w:tc>
        <w:tc>
          <w:tcPr>
            <w:tcW w:w="73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字符</w:t>
            </w:r>
          </w:p>
        </w:tc>
        <w:tc>
          <w:tcPr>
            <w:tcW w:w="823"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否</w:t>
            </w:r>
          </w:p>
        </w:tc>
        <w:tc>
          <w:tcPr>
            <w:tcW w:w="3597"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号牌颜色代码，白色0、黄色1、蓝色2、黑色3、其他4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621"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6</w:t>
            </w:r>
          </w:p>
        </w:tc>
        <w:tc>
          <w:tcPr>
            <w:tcW w:w="1816"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VehicleSpeed</w:t>
            </w:r>
          </w:p>
        </w:tc>
        <w:tc>
          <w:tcPr>
            <w:tcW w:w="708"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3</w:t>
            </w:r>
          </w:p>
        </w:tc>
        <w:tc>
          <w:tcPr>
            <w:tcW w:w="127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车辆速度</w:t>
            </w:r>
          </w:p>
        </w:tc>
        <w:tc>
          <w:tcPr>
            <w:tcW w:w="73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字符</w:t>
            </w:r>
          </w:p>
        </w:tc>
        <w:tc>
          <w:tcPr>
            <w:tcW w:w="823"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是</w:t>
            </w:r>
          </w:p>
        </w:tc>
        <w:tc>
          <w:tcPr>
            <w:tcW w:w="3597"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单位km/h，不足三位无需补“0”。如：“3”表示3km/h，“0”表示无测速功能。</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621"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7</w:t>
            </w:r>
          </w:p>
        </w:tc>
        <w:tc>
          <w:tcPr>
            <w:tcW w:w="181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LaneNo</w:t>
            </w:r>
          </w:p>
        </w:tc>
        <w:tc>
          <w:tcPr>
            <w:tcW w:w="708"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2</w:t>
            </w:r>
          </w:p>
        </w:tc>
        <w:tc>
          <w:tcPr>
            <w:tcW w:w="127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车道号</w:t>
            </w:r>
          </w:p>
        </w:tc>
        <w:tc>
          <w:tcPr>
            <w:tcW w:w="73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字符</w:t>
            </w:r>
          </w:p>
        </w:tc>
        <w:tc>
          <w:tcPr>
            <w:tcW w:w="823"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否</w:t>
            </w:r>
          </w:p>
        </w:tc>
        <w:tc>
          <w:tcPr>
            <w:tcW w:w="3597"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两位数XX,第一位“1” 表示上行，“2”表示下行，后一位表示实际车道号，从中往外排。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621"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8</w:t>
            </w:r>
          </w:p>
        </w:tc>
        <w:tc>
          <w:tcPr>
            <w:tcW w:w="1816"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IsDirect</w:t>
            </w:r>
          </w:p>
        </w:tc>
        <w:tc>
          <w:tcPr>
            <w:tcW w:w="708"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2</w:t>
            </w:r>
          </w:p>
        </w:tc>
        <w:tc>
          <w:tcPr>
            <w:tcW w:w="127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是否逆行</w:t>
            </w:r>
          </w:p>
        </w:tc>
        <w:tc>
          <w:tcPr>
            <w:tcW w:w="73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字符</w:t>
            </w:r>
          </w:p>
        </w:tc>
        <w:tc>
          <w:tcPr>
            <w:tcW w:w="823"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否</w:t>
            </w:r>
          </w:p>
        </w:tc>
        <w:tc>
          <w:tcPr>
            <w:tcW w:w="3597"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“1”表示逆行，“0”表示正常</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621"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9</w:t>
            </w:r>
          </w:p>
        </w:tc>
        <w:tc>
          <w:tcPr>
            <w:tcW w:w="1816"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IsOverWeight</w:t>
            </w:r>
          </w:p>
        </w:tc>
        <w:tc>
          <w:tcPr>
            <w:tcW w:w="708"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1</w:t>
            </w:r>
          </w:p>
        </w:tc>
        <w:tc>
          <w:tcPr>
            <w:tcW w:w="127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是否超限</w:t>
            </w:r>
          </w:p>
        </w:tc>
        <w:tc>
          <w:tcPr>
            <w:tcW w:w="73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字符</w:t>
            </w:r>
          </w:p>
        </w:tc>
        <w:tc>
          <w:tcPr>
            <w:tcW w:w="823"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否</w:t>
            </w:r>
          </w:p>
        </w:tc>
        <w:tc>
          <w:tcPr>
            <w:tcW w:w="3597"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“0”表示正常</w:t>
            </w:r>
          </w:p>
          <w:p>
            <w:pPr>
              <w:spacing w:line="360" w:lineRule="auto"/>
              <w:jc w:val="center"/>
              <w:rPr>
                <w:rFonts w:hint="eastAsia" w:ascii="宋体" w:hAnsi="宋体"/>
                <w:color w:val="auto"/>
                <w:sz w:val="24"/>
                <w:highlight w:val="none"/>
              </w:rPr>
            </w:pPr>
            <w:r>
              <w:rPr>
                <w:rFonts w:hint="eastAsia" w:ascii="宋体" w:hAnsi="宋体"/>
                <w:color w:val="auto"/>
                <w:sz w:val="24"/>
                <w:highlight w:val="none"/>
              </w:rPr>
              <w:t>“1”表示超限</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621"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10</w:t>
            </w:r>
          </w:p>
        </w:tc>
        <w:tc>
          <w:tcPr>
            <w:tcW w:w="1816"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AxleNum</w:t>
            </w:r>
          </w:p>
        </w:tc>
        <w:tc>
          <w:tcPr>
            <w:tcW w:w="708"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2</w:t>
            </w:r>
          </w:p>
        </w:tc>
        <w:tc>
          <w:tcPr>
            <w:tcW w:w="127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轴数</w:t>
            </w:r>
          </w:p>
        </w:tc>
        <w:tc>
          <w:tcPr>
            <w:tcW w:w="73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字符</w:t>
            </w:r>
          </w:p>
        </w:tc>
        <w:tc>
          <w:tcPr>
            <w:tcW w:w="823"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否</w:t>
            </w:r>
          </w:p>
        </w:tc>
        <w:tc>
          <w:tcPr>
            <w:tcW w:w="3597"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最小为2，不足二位无需补“0”。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621"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11</w:t>
            </w:r>
          </w:p>
        </w:tc>
        <w:tc>
          <w:tcPr>
            <w:tcW w:w="1816"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Axleweight</w:t>
            </w:r>
          </w:p>
        </w:tc>
        <w:tc>
          <w:tcPr>
            <w:tcW w:w="708"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3</w:t>
            </w:r>
          </w:p>
        </w:tc>
        <w:tc>
          <w:tcPr>
            <w:tcW w:w="127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轴重</w:t>
            </w:r>
          </w:p>
        </w:tc>
        <w:tc>
          <w:tcPr>
            <w:tcW w:w="73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字符</w:t>
            </w:r>
          </w:p>
        </w:tc>
        <w:tc>
          <w:tcPr>
            <w:tcW w:w="823"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是</w:t>
            </w:r>
          </w:p>
        </w:tc>
        <w:tc>
          <w:tcPr>
            <w:tcW w:w="3597"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单位吨，不足三位无需补“0”。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621"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12</w:t>
            </w:r>
          </w:p>
        </w:tc>
        <w:tc>
          <w:tcPr>
            <w:tcW w:w="1816"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OverWeight</w:t>
            </w:r>
          </w:p>
        </w:tc>
        <w:tc>
          <w:tcPr>
            <w:tcW w:w="708"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3</w:t>
            </w:r>
          </w:p>
        </w:tc>
        <w:tc>
          <w:tcPr>
            <w:tcW w:w="127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超限重量</w:t>
            </w:r>
          </w:p>
        </w:tc>
        <w:tc>
          <w:tcPr>
            <w:tcW w:w="73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字符</w:t>
            </w:r>
          </w:p>
        </w:tc>
        <w:tc>
          <w:tcPr>
            <w:tcW w:w="823"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否</w:t>
            </w:r>
          </w:p>
        </w:tc>
        <w:tc>
          <w:tcPr>
            <w:tcW w:w="3597"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单位吨，不足三位无需补“0”。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621"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13</w:t>
            </w:r>
          </w:p>
        </w:tc>
        <w:tc>
          <w:tcPr>
            <w:tcW w:w="1816"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VehicleWeight</w:t>
            </w:r>
          </w:p>
        </w:tc>
        <w:tc>
          <w:tcPr>
            <w:tcW w:w="708"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3</w:t>
            </w:r>
          </w:p>
        </w:tc>
        <w:tc>
          <w:tcPr>
            <w:tcW w:w="127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车货重量</w:t>
            </w:r>
          </w:p>
        </w:tc>
        <w:tc>
          <w:tcPr>
            <w:tcW w:w="73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字符</w:t>
            </w:r>
          </w:p>
        </w:tc>
        <w:tc>
          <w:tcPr>
            <w:tcW w:w="823"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否</w:t>
            </w:r>
          </w:p>
        </w:tc>
        <w:tc>
          <w:tcPr>
            <w:tcW w:w="3597"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单位吨，不足三位无需补“0”。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621"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14</w:t>
            </w:r>
          </w:p>
        </w:tc>
        <w:tc>
          <w:tcPr>
            <w:tcW w:w="1816"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LimitWeight</w:t>
            </w:r>
          </w:p>
        </w:tc>
        <w:tc>
          <w:tcPr>
            <w:tcW w:w="708"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3</w:t>
            </w:r>
          </w:p>
        </w:tc>
        <w:tc>
          <w:tcPr>
            <w:tcW w:w="127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限制重量</w:t>
            </w:r>
          </w:p>
        </w:tc>
        <w:tc>
          <w:tcPr>
            <w:tcW w:w="73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字符</w:t>
            </w:r>
          </w:p>
        </w:tc>
        <w:tc>
          <w:tcPr>
            <w:tcW w:w="823"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否</w:t>
            </w:r>
          </w:p>
        </w:tc>
        <w:tc>
          <w:tcPr>
            <w:tcW w:w="3597"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单位吨，不足三位无需补“0”。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blHeader/>
          <w:jc w:val="center"/>
        </w:trPr>
        <w:tc>
          <w:tcPr>
            <w:tcW w:w="621"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15</w:t>
            </w:r>
          </w:p>
        </w:tc>
        <w:tc>
          <w:tcPr>
            <w:tcW w:w="1816"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VehicleLength</w:t>
            </w:r>
          </w:p>
        </w:tc>
        <w:tc>
          <w:tcPr>
            <w:tcW w:w="708"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3</w:t>
            </w:r>
          </w:p>
        </w:tc>
        <w:tc>
          <w:tcPr>
            <w:tcW w:w="127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车货总长</w:t>
            </w:r>
          </w:p>
        </w:tc>
        <w:tc>
          <w:tcPr>
            <w:tcW w:w="73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字符</w:t>
            </w:r>
          </w:p>
        </w:tc>
        <w:tc>
          <w:tcPr>
            <w:tcW w:w="823"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是</w:t>
            </w:r>
          </w:p>
        </w:tc>
        <w:tc>
          <w:tcPr>
            <w:tcW w:w="3597"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单位米，不足三位无需补“0”。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621"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16</w:t>
            </w:r>
          </w:p>
        </w:tc>
        <w:tc>
          <w:tcPr>
            <w:tcW w:w="1816"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VehicleWidth</w:t>
            </w:r>
          </w:p>
        </w:tc>
        <w:tc>
          <w:tcPr>
            <w:tcW w:w="708"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3</w:t>
            </w:r>
          </w:p>
        </w:tc>
        <w:tc>
          <w:tcPr>
            <w:tcW w:w="127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车货总宽</w:t>
            </w:r>
          </w:p>
        </w:tc>
        <w:tc>
          <w:tcPr>
            <w:tcW w:w="73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字符</w:t>
            </w:r>
          </w:p>
        </w:tc>
        <w:tc>
          <w:tcPr>
            <w:tcW w:w="823"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是</w:t>
            </w:r>
          </w:p>
        </w:tc>
        <w:tc>
          <w:tcPr>
            <w:tcW w:w="3597"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单位米，不足三位无需补“0”。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621"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17</w:t>
            </w:r>
          </w:p>
        </w:tc>
        <w:tc>
          <w:tcPr>
            <w:tcW w:w="1816"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VehicleHeight</w:t>
            </w:r>
          </w:p>
        </w:tc>
        <w:tc>
          <w:tcPr>
            <w:tcW w:w="708"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3</w:t>
            </w:r>
          </w:p>
        </w:tc>
        <w:tc>
          <w:tcPr>
            <w:tcW w:w="127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车货总高</w:t>
            </w:r>
          </w:p>
        </w:tc>
        <w:tc>
          <w:tcPr>
            <w:tcW w:w="73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字符</w:t>
            </w:r>
          </w:p>
        </w:tc>
        <w:tc>
          <w:tcPr>
            <w:tcW w:w="823"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是</w:t>
            </w:r>
          </w:p>
        </w:tc>
        <w:tc>
          <w:tcPr>
            <w:tcW w:w="3597"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单位米，不足三位无需补“0”。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621"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18</w:t>
            </w:r>
          </w:p>
        </w:tc>
        <w:tc>
          <w:tcPr>
            <w:tcW w:w="1816"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OverLength</w:t>
            </w:r>
          </w:p>
        </w:tc>
        <w:tc>
          <w:tcPr>
            <w:tcW w:w="708"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3</w:t>
            </w:r>
          </w:p>
        </w:tc>
        <w:tc>
          <w:tcPr>
            <w:tcW w:w="127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超长量</w:t>
            </w:r>
          </w:p>
        </w:tc>
        <w:tc>
          <w:tcPr>
            <w:tcW w:w="73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字符</w:t>
            </w:r>
          </w:p>
        </w:tc>
        <w:tc>
          <w:tcPr>
            <w:tcW w:w="823"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是</w:t>
            </w:r>
          </w:p>
        </w:tc>
        <w:tc>
          <w:tcPr>
            <w:tcW w:w="3597"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单位米，不足三位无需补“0”。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621"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19</w:t>
            </w:r>
          </w:p>
        </w:tc>
        <w:tc>
          <w:tcPr>
            <w:tcW w:w="1816"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OverWidth</w:t>
            </w:r>
          </w:p>
        </w:tc>
        <w:tc>
          <w:tcPr>
            <w:tcW w:w="708"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3</w:t>
            </w:r>
          </w:p>
        </w:tc>
        <w:tc>
          <w:tcPr>
            <w:tcW w:w="127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超宽量</w:t>
            </w:r>
          </w:p>
        </w:tc>
        <w:tc>
          <w:tcPr>
            <w:tcW w:w="73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字符</w:t>
            </w:r>
          </w:p>
        </w:tc>
        <w:tc>
          <w:tcPr>
            <w:tcW w:w="823"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是</w:t>
            </w:r>
          </w:p>
        </w:tc>
        <w:tc>
          <w:tcPr>
            <w:tcW w:w="3597"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单位米，不足三位无需补“0”。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621"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20</w:t>
            </w:r>
          </w:p>
        </w:tc>
        <w:tc>
          <w:tcPr>
            <w:tcW w:w="1816"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OverHeight</w:t>
            </w:r>
          </w:p>
        </w:tc>
        <w:tc>
          <w:tcPr>
            <w:tcW w:w="708"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3</w:t>
            </w:r>
          </w:p>
        </w:tc>
        <w:tc>
          <w:tcPr>
            <w:tcW w:w="127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超高量</w:t>
            </w:r>
          </w:p>
        </w:tc>
        <w:tc>
          <w:tcPr>
            <w:tcW w:w="73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字符</w:t>
            </w:r>
          </w:p>
        </w:tc>
        <w:tc>
          <w:tcPr>
            <w:tcW w:w="823"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是</w:t>
            </w:r>
          </w:p>
        </w:tc>
        <w:tc>
          <w:tcPr>
            <w:tcW w:w="3597"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单位米，不足三位无需补“0”。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621"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21</w:t>
            </w:r>
          </w:p>
        </w:tc>
        <w:tc>
          <w:tcPr>
            <w:tcW w:w="1816"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VehicleType</w:t>
            </w:r>
          </w:p>
        </w:tc>
        <w:tc>
          <w:tcPr>
            <w:tcW w:w="708" w:type="dxa"/>
            <w:noWrap w:val="0"/>
            <w:vAlign w:val="center"/>
          </w:tcPr>
          <w:p>
            <w:pPr>
              <w:spacing w:line="360" w:lineRule="auto"/>
              <w:jc w:val="center"/>
              <w:rPr>
                <w:rFonts w:hint="eastAsia" w:ascii="宋体" w:hAnsi="宋体"/>
                <w:color w:val="auto"/>
                <w:sz w:val="24"/>
                <w:highlight w:val="none"/>
              </w:rPr>
            </w:pPr>
          </w:p>
        </w:tc>
        <w:tc>
          <w:tcPr>
            <w:tcW w:w="127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车辆类型</w:t>
            </w:r>
          </w:p>
        </w:tc>
        <w:tc>
          <w:tcPr>
            <w:tcW w:w="73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字符</w:t>
            </w:r>
          </w:p>
        </w:tc>
        <w:tc>
          <w:tcPr>
            <w:tcW w:w="823"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是</w:t>
            </w:r>
          </w:p>
        </w:tc>
        <w:tc>
          <w:tcPr>
            <w:tcW w:w="3597"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车辆类型</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621"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22</w:t>
            </w:r>
          </w:p>
        </w:tc>
        <w:tc>
          <w:tcPr>
            <w:tcW w:w="1816"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CheckTime</w:t>
            </w:r>
          </w:p>
        </w:tc>
        <w:tc>
          <w:tcPr>
            <w:tcW w:w="708"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17</w:t>
            </w:r>
          </w:p>
        </w:tc>
        <w:tc>
          <w:tcPr>
            <w:tcW w:w="127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检查时间</w:t>
            </w:r>
          </w:p>
        </w:tc>
        <w:tc>
          <w:tcPr>
            <w:tcW w:w="73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字符</w:t>
            </w:r>
          </w:p>
        </w:tc>
        <w:tc>
          <w:tcPr>
            <w:tcW w:w="823"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否</w:t>
            </w:r>
          </w:p>
        </w:tc>
        <w:tc>
          <w:tcPr>
            <w:tcW w:w="3597"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YYYYMMDDHHMMSSFFF 时间按24小时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621"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23</w:t>
            </w:r>
          </w:p>
        </w:tc>
        <w:tc>
          <w:tcPr>
            <w:tcW w:w="1816"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HeadImageURL</w:t>
            </w:r>
          </w:p>
        </w:tc>
        <w:tc>
          <w:tcPr>
            <w:tcW w:w="708"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200</w:t>
            </w:r>
          </w:p>
        </w:tc>
        <w:tc>
          <w:tcPr>
            <w:tcW w:w="127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车头图片路径</w:t>
            </w:r>
          </w:p>
        </w:tc>
        <w:tc>
          <w:tcPr>
            <w:tcW w:w="73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字符</w:t>
            </w:r>
          </w:p>
        </w:tc>
        <w:tc>
          <w:tcPr>
            <w:tcW w:w="823"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否</w:t>
            </w:r>
          </w:p>
        </w:tc>
        <w:tc>
          <w:tcPr>
            <w:tcW w:w="3597"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车辆图片的url，必须为http路径</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621"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24</w:t>
            </w:r>
          </w:p>
        </w:tc>
        <w:tc>
          <w:tcPr>
            <w:tcW w:w="1816"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BodyImageURL</w:t>
            </w:r>
          </w:p>
        </w:tc>
        <w:tc>
          <w:tcPr>
            <w:tcW w:w="708"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200</w:t>
            </w:r>
          </w:p>
        </w:tc>
        <w:tc>
          <w:tcPr>
            <w:tcW w:w="127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车身图片路径</w:t>
            </w:r>
          </w:p>
        </w:tc>
        <w:tc>
          <w:tcPr>
            <w:tcW w:w="73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字符</w:t>
            </w:r>
          </w:p>
        </w:tc>
        <w:tc>
          <w:tcPr>
            <w:tcW w:w="823"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否</w:t>
            </w:r>
          </w:p>
        </w:tc>
        <w:tc>
          <w:tcPr>
            <w:tcW w:w="3597"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车辆图片的url，必须为http路径</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621"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25</w:t>
            </w:r>
          </w:p>
        </w:tc>
        <w:tc>
          <w:tcPr>
            <w:tcW w:w="1816"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TailImageURL</w:t>
            </w:r>
          </w:p>
        </w:tc>
        <w:tc>
          <w:tcPr>
            <w:tcW w:w="708"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200</w:t>
            </w:r>
          </w:p>
        </w:tc>
        <w:tc>
          <w:tcPr>
            <w:tcW w:w="127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车尾图片路径</w:t>
            </w:r>
          </w:p>
        </w:tc>
        <w:tc>
          <w:tcPr>
            <w:tcW w:w="73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字符</w:t>
            </w:r>
          </w:p>
        </w:tc>
        <w:tc>
          <w:tcPr>
            <w:tcW w:w="823"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否</w:t>
            </w:r>
          </w:p>
        </w:tc>
        <w:tc>
          <w:tcPr>
            <w:tcW w:w="3597" w:type="dxa"/>
            <w:noWrap w:val="0"/>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车辆图片的url，必须为http路径</w:t>
            </w:r>
          </w:p>
        </w:tc>
      </w:tr>
    </w:tbl>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注：PlatePicData: 过车前后5秒，共10秒的录像文件数据。</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struct xsd_recordInfo</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ab/>
      </w:r>
      <w:r>
        <w:rPr>
          <w:rFonts w:hint="eastAsia" w:ascii="宋体" w:hAnsi="宋体" w:cs="楷体"/>
          <w:color w:val="auto"/>
          <w:sz w:val="24"/>
          <w:highlight w:val="none"/>
        </w:rPr>
        <w:t>unsigned char* _ptr;//录像数据缓冲区</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ab/>
      </w:r>
      <w:r>
        <w:rPr>
          <w:rFonts w:hint="eastAsia" w:ascii="宋体" w:hAnsi="宋体" w:cs="楷体"/>
          <w:color w:val="auto"/>
          <w:sz w:val="24"/>
          <w:highlight w:val="none"/>
        </w:rPr>
        <w:t>int _size;//录像数据大小，码流要求是PS封装、H264</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返回值xml字符串，格式如下：</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&lt;?xml version="1.0" encoding=" UTF-8 " standalone="yes" ?&gt;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&lt;ROOT&gt;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&lt;!—返回结果信息，0为调用成功，其它值为失败--&gt;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&lt;CODE&gt;0&lt;/CODE&gt;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&lt;!—CODE为非0时，MESSAGE 字段为失败的原因，CODE为0时为空--&gt;</w:t>
      </w:r>
    </w:p>
    <w:p>
      <w:pPr>
        <w:spacing w:line="400" w:lineRule="exact"/>
        <w:ind w:firstLine="561"/>
        <w:rPr>
          <w:rFonts w:hint="eastAsia" w:ascii="宋体" w:hAnsi="宋体" w:cs="楷体"/>
          <w:color w:val="auto"/>
          <w:sz w:val="24"/>
          <w:highlight w:val="none"/>
        </w:rPr>
      </w:pPr>
      <w:r>
        <w:rPr>
          <w:rFonts w:hint="eastAsia" w:ascii="宋体" w:hAnsi="宋体" w:cs="楷体"/>
          <w:color w:val="auto"/>
          <w:sz w:val="24"/>
          <w:highlight w:val="none"/>
        </w:rPr>
        <w:t>&lt;MESSAGE&gt;失败时获取详细的失败信息&lt;/MESSAGE&gt;</w:t>
      </w:r>
    </w:p>
    <w:p>
      <w:pPr>
        <w:spacing w:line="400" w:lineRule="exact"/>
        <w:ind w:firstLine="561"/>
        <w:rPr>
          <w:rFonts w:ascii="宋体" w:hAnsi="宋体" w:cs="楷体"/>
          <w:color w:val="auto"/>
          <w:sz w:val="24"/>
          <w:highlight w:val="none"/>
        </w:rPr>
      </w:pPr>
      <w:r>
        <w:rPr>
          <w:rFonts w:hint="eastAsia" w:ascii="宋体" w:hAnsi="宋体" w:cs="楷体"/>
          <w:color w:val="auto"/>
          <w:sz w:val="24"/>
          <w:highlight w:val="none"/>
        </w:rPr>
        <w:t>&lt;/ ROOT &gt;</w:t>
      </w:r>
    </w:p>
    <w:p>
      <w:pPr>
        <w:spacing w:line="400" w:lineRule="exact"/>
        <w:ind w:firstLine="630"/>
        <w:rPr>
          <w:rFonts w:ascii="宋体" w:hAnsi="宋体" w:cs="楷体"/>
          <w:b/>
          <w:bCs/>
          <w:color w:val="auto"/>
          <w:sz w:val="24"/>
          <w:highlight w:val="none"/>
        </w:rPr>
      </w:pPr>
      <w:r>
        <w:rPr>
          <w:rFonts w:hint="eastAsia" w:ascii="宋体" w:hAnsi="宋体" w:cs="楷体"/>
          <w:b/>
          <w:bCs/>
          <w:color w:val="auto"/>
          <w:sz w:val="24"/>
          <w:highlight w:val="none"/>
        </w:rPr>
        <w:t>3</w:t>
      </w:r>
      <w:bookmarkEnd w:id="265"/>
      <w:r>
        <w:rPr>
          <w:rFonts w:hint="eastAsia" w:ascii="宋体" w:hAnsi="宋体" w:cs="楷体"/>
          <w:b/>
          <w:bCs/>
          <w:color w:val="auto"/>
          <w:sz w:val="24"/>
          <w:highlight w:val="none"/>
        </w:rPr>
        <w:t>、设备状态信息上传接口</w:t>
      </w:r>
    </w:p>
    <w:p>
      <w:pPr>
        <w:pStyle w:val="46"/>
        <w:spacing w:before="0" w:beforeAutospacing="0" w:after="156" w:afterAutospacing="0" w:line="400" w:lineRule="exact"/>
        <w:ind w:firstLine="482"/>
        <w:rPr>
          <w:rFonts w:hint="eastAsia" w:ascii="宋体" w:hAnsi="宋体" w:eastAsia="宋体" w:cs="楷体"/>
          <w:color w:val="auto"/>
          <w:kern w:val="2"/>
          <w:sz w:val="24"/>
          <w:szCs w:val="24"/>
          <w:highlight w:val="none"/>
        </w:rPr>
      </w:pPr>
      <w:bookmarkStart w:id="266" w:name="_Toc596"/>
      <w:bookmarkEnd w:id="266"/>
      <w:bookmarkStart w:id="267" w:name="_Toc995"/>
      <w:bookmarkEnd w:id="267"/>
      <w:bookmarkStart w:id="268" w:name="_Toc427334577"/>
      <w:bookmarkEnd w:id="268"/>
      <w:bookmarkStart w:id="269" w:name="_Toc450556201"/>
      <w:r>
        <w:rPr>
          <w:rFonts w:hint="eastAsia" w:ascii="宋体" w:hAnsi="宋体" w:eastAsia="宋体" w:cs="楷体"/>
          <w:color w:val="auto"/>
          <w:kern w:val="2"/>
          <w:sz w:val="24"/>
          <w:szCs w:val="24"/>
          <w:highlight w:val="none"/>
        </w:rPr>
        <w:t>接口名称</w:t>
      </w:r>
    </w:p>
    <w:p>
      <w:pPr>
        <w:pStyle w:val="46"/>
        <w:spacing w:before="0" w:beforeAutospacing="0" w:after="156" w:afterAutospacing="0" w:line="400" w:lineRule="exact"/>
        <w:ind w:firstLine="480"/>
        <w:rPr>
          <w:rFonts w:hint="eastAsia" w:ascii="宋体" w:hAnsi="宋体" w:eastAsia="宋体" w:cs="楷体"/>
          <w:color w:val="auto"/>
          <w:kern w:val="2"/>
          <w:sz w:val="24"/>
          <w:szCs w:val="24"/>
          <w:highlight w:val="none"/>
        </w:rPr>
      </w:pPr>
      <w:r>
        <w:rPr>
          <w:rFonts w:hint="eastAsia" w:ascii="宋体" w:hAnsi="宋体" w:eastAsia="宋体" w:cs="楷体"/>
          <w:color w:val="auto"/>
          <w:kern w:val="2"/>
          <w:sz w:val="24"/>
          <w:szCs w:val="24"/>
          <w:highlight w:val="none"/>
        </w:rPr>
        <w:t>string SendDeviceState(string DeviceState)</w:t>
      </w:r>
    </w:p>
    <w:p>
      <w:pPr>
        <w:pStyle w:val="46"/>
        <w:spacing w:before="0" w:beforeAutospacing="0" w:after="156" w:afterAutospacing="0" w:line="400" w:lineRule="exact"/>
        <w:ind w:firstLine="480"/>
        <w:rPr>
          <w:rFonts w:hint="eastAsia" w:ascii="宋体" w:hAnsi="宋体" w:eastAsia="宋体" w:cs="楷体"/>
          <w:color w:val="auto"/>
          <w:kern w:val="2"/>
          <w:sz w:val="24"/>
          <w:szCs w:val="24"/>
          <w:highlight w:val="none"/>
        </w:rPr>
      </w:pPr>
      <w:r>
        <w:rPr>
          <w:rFonts w:hint="eastAsia" w:ascii="宋体" w:hAnsi="宋体" w:eastAsia="宋体" w:cs="楷体"/>
          <w:color w:val="auto"/>
          <w:kern w:val="2"/>
          <w:sz w:val="24"/>
          <w:szCs w:val="24"/>
          <w:highlight w:val="none"/>
        </w:rPr>
        <w:t>参数说明</w:t>
      </w:r>
    </w:p>
    <w:p>
      <w:pPr>
        <w:pStyle w:val="46"/>
        <w:spacing w:before="0" w:beforeAutospacing="0" w:after="156" w:afterAutospacing="0" w:line="400" w:lineRule="exact"/>
        <w:ind w:firstLine="480"/>
        <w:rPr>
          <w:rFonts w:hint="eastAsia" w:ascii="宋体" w:hAnsi="宋体" w:eastAsia="宋体" w:cs="楷体"/>
          <w:color w:val="auto"/>
          <w:kern w:val="2"/>
          <w:sz w:val="24"/>
          <w:szCs w:val="24"/>
          <w:highlight w:val="none"/>
        </w:rPr>
      </w:pPr>
      <w:r>
        <w:rPr>
          <w:rFonts w:hint="eastAsia" w:ascii="宋体" w:hAnsi="宋体" w:eastAsia="宋体" w:cs="楷体"/>
          <w:color w:val="auto"/>
          <w:kern w:val="2"/>
          <w:sz w:val="24"/>
          <w:szCs w:val="24"/>
          <w:highlight w:val="none"/>
        </w:rPr>
        <w:t>DeviceState：设备状态信息详情xml，具体如下：</w:t>
      </w:r>
    </w:p>
    <w:p>
      <w:pPr>
        <w:pStyle w:val="46"/>
        <w:spacing w:before="0" w:beforeAutospacing="0" w:after="156" w:afterAutospacing="0" w:line="400" w:lineRule="exact"/>
        <w:ind w:firstLine="480"/>
        <w:rPr>
          <w:rFonts w:hint="eastAsia" w:ascii="宋体" w:hAnsi="宋体" w:eastAsia="宋体" w:cs="楷体"/>
          <w:color w:val="auto"/>
          <w:kern w:val="2"/>
          <w:sz w:val="24"/>
          <w:szCs w:val="24"/>
          <w:highlight w:val="none"/>
        </w:rPr>
      </w:pPr>
      <w:r>
        <w:rPr>
          <w:rFonts w:hint="eastAsia" w:ascii="宋体" w:hAnsi="宋体" w:eastAsia="宋体" w:cs="楷体"/>
          <w:color w:val="auto"/>
          <w:kern w:val="2"/>
          <w:sz w:val="24"/>
          <w:szCs w:val="24"/>
          <w:highlight w:val="none"/>
        </w:rPr>
        <w:t>&lt;?xml version="1.0" encoding=" UTF-8 " standalone="yes" ?&gt;</w:t>
      </w:r>
    </w:p>
    <w:p>
      <w:pPr>
        <w:pStyle w:val="46"/>
        <w:spacing w:before="0" w:beforeAutospacing="0" w:after="156" w:afterAutospacing="0" w:line="400" w:lineRule="exact"/>
        <w:ind w:firstLine="480"/>
        <w:rPr>
          <w:rFonts w:hint="eastAsia" w:ascii="宋体" w:hAnsi="宋体" w:eastAsia="宋体" w:cs="楷体"/>
          <w:color w:val="auto"/>
          <w:kern w:val="2"/>
          <w:sz w:val="24"/>
          <w:szCs w:val="24"/>
          <w:highlight w:val="none"/>
        </w:rPr>
      </w:pPr>
      <w:r>
        <w:rPr>
          <w:rFonts w:hint="eastAsia" w:ascii="宋体" w:hAnsi="宋体" w:eastAsia="宋体" w:cs="楷体"/>
          <w:color w:val="auto"/>
          <w:kern w:val="2"/>
          <w:sz w:val="24"/>
          <w:szCs w:val="24"/>
          <w:highlight w:val="none"/>
        </w:rPr>
        <w:t>&lt;ROOT&gt;</w:t>
      </w:r>
    </w:p>
    <w:p>
      <w:pPr>
        <w:pStyle w:val="46"/>
        <w:spacing w:before="0" w:beforeAutospacing="0" w:after="156" w:afterAutospacing="0" w:line="400" w:lineRule="exact"/>
        <w:ind w:firstLine="480"/>
        <w:rPr>
          <w:rFonts w:hint="eastAsia" w:ascii="宋体" w:hAnsi="宋体" w:eastAsia="宋体" w:cs="楷体"/>
          <w:color w:val="auto"/>
          <w:kern w:val="2"/>
          <w:sz w:val="24"/>
          <w:szCs w:val="24"/>
          <w:highlight w:val="none"/>
        </w:rPr>
      </w:pPr>
      <w:r>
        <w:rPr>
          <w:rFonts w:hint="eastAsia" w:ascii="宋体" w:hAnsi="宋体" w:eastAsia="宋体" w:cs="楷体"/>
          <w:color w:val="auto"/>
          <w:kern w:val="2"/>
          <w:sz w:val="24"/>
          <w:szCs w:val="24"/>
          <w:highlight w:val="none"/>
        </w:rPr>
        <w:t>&lt;DeviceKey&gt;设备密钥&lt;/DeviceKey&gt;</w:t>
      </w:r>
    </w:p>
    <w:p>
      <w:pPr>
        <w:pStyle w:val="46"/>
        <w:spacing w:before="0" w:beforeAutospacing="0" w:after="156" w:afterAutospacing="0" w:line="400" w:lineRule="exact"/>
        <w:ind w:firstLine="480"/>
        <w:rPr>
          <w:rFonts w:hint="eastAsia" w:ascii="宋体" w:hAnsi="宋体" w:eastAsia="宋体" w:cs="楷体"/>
          <w:color w:val="auto"/>
          <w:kern w:val="2"/>
          <w:sz w:val="24"/>
          <w:szCs w:val="24"/>
          <w:highlight w:val="none"/>
        </w:rPr>
      </w:pPr>
      <w:r>
        <w:rPr>
          <w:rFonts w:hint="eastAsia" w:ascii="宋体" w:hAnsi="宋体" w:eastAsia="宋体" w:cs="楷体"/>
          <w:color w:val="auto"/>
          <w:kern w:val="2"/>
          <w:sz w:val="24"/>
          <w:szCs w:val="24"/>
          <w:highlight w:val="none"/>
        </w:rPr>
        <w:t>&lt;IndexCode&gt;设备编号&lt;/IndexCode&gt;</w:t>
      </w:r>
    </w:p>
    <w:p>
      <w:pPr>
        <w:pStyle w:val="46"/>
        <w:spacing w:before="0" w:beforeAutospacing="0" w:after="156" w:afterAutospacing="0" w:line="400" w:lineRule="exact"/>
        <w:ind w:firstLine="480"/>
        <w:rPr>
          <w:rFonts w:hint="eastAsia" w:ascii="宋体" w:hAnsi="宋体" w:eastAsia="宋体" w:cs="楷体"/>
          <w:color w:val="auto"/>
          <w:kern w:val="2"/>
          <w:sz w:val="24"/>
          <w:szCs w:val="24"/>
          <w:highlight w:val="none"/>
        </w:rPr>
      </w:pPr>
      <w:r>
        <w:rPr>
          <w:rFonts w:hint="eastAsia" w:ascii="宋体" w:hAnsi="宋体" w:eastAsia="宋体" w:cs="楷体"/>
          <w:color w:val="auto"/>
          <w:kern w:val="2"/>
          <w:sz w:val="24"/>
          <w:szCs w:val="24"/>
          <w:highlight w:val="none"/>
        </w:rPr>
        <w:t>&lt;DeviceState&gt;设备状态&lt;/DeviceState&gt;</w:t>
      </w:r>
    </w:p>
    <w:p>
      <w:pPr>
        <w:pStyle w:val="46"/>
        <w:spacing w:before="0" w:beforeAutospacing="0" w:after="156" w:afterAutospacing="0" w:line="400" w:lineRule="exact"/>
        <w:ind w:firstLine="480"/>
        <w:rPr>
          <w:rFonts w:hint="eastAsia" w:ascii="宋体" w:hAnsi="宋体" w:eastAsia="宋体" w:cs="楷体"/>
          <w:color w:val="auto"/>
          <w:kern w:val="2"/>
          <w:sz w:val="24"/>
          <w:szCs w:val="24"/>
          <w:highlight w:val="none"/>
        </w:rPr>
      </w:pPr>
      <w:r>
        <w:rPr>
          <w:rFonts w:hint="eastAsia" w:ascii="宋体" w:hAnsi="宋体" w:eastAsia="宋体" w:cs="楷体"/>
          <w:color w:val="auto"/>
          <w:kern w:val="2"/>
          <w:sz w:val="24"/>
          <w:szCs w:val="24"/>
          <w:highlight w:val="none"/>
        </w:rPr>
        <w:t>&lt;ExceptionReason&gt;设备状态&lt;/ExceptionReason&gt;</w:t>
      </w:r>
    </w:p>
    <w:p>
      <w:pPr>
        <w:pStyle w:val="46"/>
        <w:spacing w:before="0" w:beforeAutospacing="0" w:after="156" w:afterAutospacing="0" w:line="400" w:lineRule="exact"/>
        <w:ind w:firstLine="480"/>
        <w:rPr>
          <w:rFonts w:hint="eastAsia" w:ascii="宋体" w:hAnsi="宋体" w:eastAsia="宋体" w:cs="楷体"/>
          <w:color w:val="auto"/>
          <w:kern w:val="2"/>
          <w:sz w:val="24"/>
          <w:szCs w:val="24"/>
          <w:highlight w:val="none"/>
        </w:rPr>
      </w:pPr>
      <w:r>
        <w:rPr>
          <w:rFonts w:hint="eastAsia" w:ascii="宋体" w:hAnsi="宋体" w:eastAsia="宋体" w:cs="楷体"/>
          <w:color w:val="auto"/>
          <w:kern w:val="2"/>
          <w:sz w:val="24"/>
          <w:szCs w:val="24"/>
          <w:highlight w:val="none"/>
        </w:rPr>
        <w:t>&lt;CheckTime&gt;检测时间&lt;/CheckTime&gt;</w:t>
      </w:r>
    </w:p>
    <w:p>
      <w:pPr>
        <w:pStyle w:val="46"/>
        <w:spacing w:before="0" w:beforeAutospacing="0" w:after="156" w:afterAutospacing="0" w:line="400" w:lineRule="exact"/>
        <w:ind w:firstLine="480"/>
        <w:rPr>
          <w:rFonts w:hint="eastAsia" w:ascii="宋体" w:hAnsi="宋体" w:eastAsia="宋体" w:cs="楷体"/>
          <w:color w:val="auto"/>
          <w:kern w:val="2"/>
          <w:sz w:val="24"/>
          <w:szCs w:val="24"/>
          <w:highlight w:val="none"/>
        </w:rPr>
      </w:pPr>
      <w:r>
        <w:rPr>
          <w:rFonts w:hint="eastAsia" w:ascii="宋体" w:hAnsi="宋体" w:eastAsia="宋体" w:cs="楷体"/>
          <w:color w:val="auto"/>
          <w:kern w:val="2"/>
          <w:sz w:val="24"/>
          <w:szCs w:val="24"/>
          <w:highlight w:val="none"/>
        </w:rPr>
        <w:t>&lt;/ROOT&gt;</w:t>
      </w:r>
    </w:p>
    <w:p>
      <w:pPr>
        <w:pStyle w:val="46"/>
        <w:spacing w:before="0" w:beforeAutospacing="0" w:after="156" w:afterAutospacing="0" w:line="400" w:lineRule="exact"/>
        <w:ind w:firstLine="480"/>
        <w:rPr>
          <w:rFonts w:ascii="宋体" w:hAnsi="宋体" w:eastAsia="宋体" w:cs="楷体"/>
          <w:color w:val="auto"/>
          <w:kern w:val="2"/>
          <w:sz w:val="24"/>
          <w:szCs w:val="24"/>
          <w:highlight w:val="none"/>
        </w:rPr>
      </w:pPr>
      <w:r>
        <w:rPr>
          <w:rFonts w:hint="eastAsia" w:ascii="宋体" w:hAnsi="宋体" w:eastAsia="宋体" w:cs="楷体"/>
          <w:color w:val="auto"/>
          <w:kern w:val="2"/>
          <w:sz w:val="24"/>
          <w:szCs w:val="24"/>
          <w:highlight w:val="none"/>
        </w:rPr>
        <w:t>Fields字段列表:</w:t>
      </w:r>
    </w:p>
    <w:tbl>
      <w:tblPr>
        <w:tblStyle w:val="51"/>
        <w:tblW w:w="9455" w:type="dxa"/>
        <w:tblInd w:w="151"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01"/>
        <w:gridCol w:w="1991"/>
        <w:gridCol w:w="567"/>
        <w:gridCol w:w="1276"/>
        <w:gridCol w:w="702"/>
        <w:gridCol w:w="966"/>
        <w:gridCol w:w="3152"/>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trPr>
        <w:tc>
          <w:tcPr>
            <w:tcW w:w="801" w:type="dxa"/>
            <w:shd w:val="clear" w:color="auto" w:fill="E0E0E0"/>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序号</w:t>
            </w:r>
          </w:p>
        </w:tc>
        <w:tc>
          <w:tcPr>
            <w:tcW w:w="1991" w:type="dxa"/>
            <w:shd w:val="clear" w:color="auto" w:fill="E0E0E0"/>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列名</w:t>
            </w:r>
          </w:p>
        </w:tc>
        <w:tc>
          <w:tcPr>
            <w:tcW w:w="567" w:type="dxa"/>
            <w:shd w:val="clear" w:color="auto" w:fill="E0E0E0"/>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大小</w:t>
            </w:r>
          </w:p>
        </w:tc>
        <w:tc>
          <w:tcPr>
            <w:tcW w:w="1276" w:type="dxa"/>
            <w:shd w:val="clear" w:color="auto" w:fill="E0E0E0"/>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名称</w:t>
            </w:r>
          </w:p>
        </w:tc>
        <w:tc>
          <w:tcPr>
            <w:tcW w:w="702" w:type="dxa"/>
            <w:shd w:val="clear" w:color="auto" w:fill="E0E0E0"/>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数据类型</w:t>
            </w:r>
          </w:p>
        </w:tc>
        <w:tc>
          <w:tcPr>
            <w:tcW w:w="966" w:type="dxa"/>
            <w:shd w:val="clear" w:color="auto" w:fill="E0E0E0"/>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允许空</w:t>
            </w:r>
          </w:p>
        </w:tc>
        <w:tc>
          <w:tcPr>
            <w:tcW w:w="3152" w:type="dxa"/>
            <w:shd w:val="clear" w:color="auto" w:fill="E0E0E0"/>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6" w:hRule="atLeast"/>
          <w:tblHeader/>
        </w:trPr>
        <w:tc>
          <w:tcPr>
            <w:tcW w:w="801"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1</w:t>
            </w:r>
          </w:p>
        </w:tc>
        <w:tc>
          <w:tcPr>
            <w:tcW w:w="1991"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DeviceKey</w:t>
            </w:r>
          </w:p>
        </w:tc>
        <w:tc>
          <w:tcPr>
            <w:tcW w:w="567"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64</w:t>
            </w:r>
          </w:p>
        </w:tc>
        <w:tc>
          <w:tcPr>
            <w:tcW w:w="127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设备密钥</w:t>
            </w:r>
          </w:p>
        </w:tc>
        <w:tc>
          <w:tcPr>
            <w:tcW w:w="702"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字符</w:t>
            </w:r>
          </w:p>
        </w:tc>
        <w:tc>
          <w:tcPr>
            <w:tcW w:w="96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否</w:t>
            </w:r>
          </w:p>
        </w:tc>
        <w:tc>
          <w:tcPr>
            <w:tcW w:w="3152" w:type="dxa"/>
            <w:noWrap w:val="0"/>
            <w:vAlign w:val="center"/>
          </w:tcPr>
          <w:p>
            <w:pPr>
              <w:spacing w:line="360" w:lineRule="auto"/>
              <w:rPr>
                <w:rFonts w:hint="eastAsia" w:ascii="宋体" w:hAnsi="宋体"/>
                <w:color w:val="auto"/>
                <w:sz w:val="24"/>
                <w:highlight w:val="none"/>
              </w:rPr>
            </w:pPr>
            <w:r>
              <w:rPr>
                <w:rFonts w:hint="eastAsia" w:ascii="宋体" w:hAnsi="宋体"/>
                <w:color w:val="auto"/>
                <w:sz w:val="24"/>
                <w:highlight w:val="none"/>
              </w:rPr>
              <w:t>每个称重设备都唯一对应一个密钥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6" w:hRule="atLeast"/>
          <w:tblHeader/>
        </w:trPr>
        <w:tc>
          <w:tcPr>
            <w:tcW w:w="801"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2</w:t>
            </w:r>
          </w:p>
        </w:tc>
        <w:tc>
          <w:tcPr>
            <w:tcW w:w="1991"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IndexCode</w:t>
            </w:r>
          </w:p>
        </w:tc>
        <w:tc>
          <w:tcPr>
            <w:tcW w:w="567"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32</w:t>
            </w:r>
          </w:p>
        </w:tc>
        <w:tc>
          <w:tcPr>
            <w:tcW w:w="127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设备编号</w:t>
            </w:r>
          </w:p>
        </w:tc>
        <w:tc>
          <w:tcPr>
            <w:tcW w:w="702"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字符</w:t>
            </w:r>
          </w:p>
        </w:tc>
        <w:tc>
          <w:tcPr>
            <w:tcW w:w="96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否</w:t>
            </w:r>
          </w:p>
        </w:tc>
        <w:tc>
          <w:tcPr>
            <w:tcW w:w="3152" w:type="dxa"/>
            <w:noWrap w:val="0"/>
            <w:vAlign w:val="center"/>
          </w:tcPr>
          <w:p>
            <w:pPr>
              <w:spacing w:line="360" w:lineRule="auto"/>
              <w:rPr>
                <w:rFonts w:hint="eastAsia" w:ascii="宋体" w:hAnsi="宋体"/>
                <w:color w:val="auto"/>
                <w:sz w:val="24"/>
                <w:highlight w:val="none"/>
              </w:rPr>
            </w:pPr>
            <w:r>
              <w:rPr>
                <w:rFonts w:hint="eastAsia" w:ascii="宋体" w:hAnsi="宋体"/>
                <w:color w:val="auto"/>
                <w:sz w:val="24"/>
                <w:highlight w:val="none"/>
              </w:rPr>
              <w:t>设备编号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8" w:hRule="atLeast"/>
          <w:tblHeader/>
        </w:trPr>
        <w:tc>
          <w:tcPr>
            <w:tcW w:w="801"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3</w:t>
            </w:r>
          </w:p>
        </w:tc>
        <w:tc>
          <w:tcPr>
            <w:tcW w:w="1991"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DeviceState</w:t>
            </w:r>
          </w:p>
        </w:tc>
        <w:tc>
          <w:tcPr>
            <w:tcW w:w="567"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14</w:t>
            </w:r>
          </w:p>
        </w:tc>
        <w:tc>
          <w:tcPr>
            <w:tcW w:w="127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设备状态</w:t>
            </w:r>
          </w:p>
        </w:tc>
        <w:tc>
          <w:tcPr>
            <w:tcW w:w="702"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字符</w:t>
            </w:r>
          </w:p>
        </w:tc>
        <w:tc>
          <w:tcPr>
            <w:tcW w:w="96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否</w:t>
            </w:r>
          </w:p>
        </w:tc>
        <w:tc>
          <w:tcPr>
            <w:tcW w:w="3152" w:type="dxa"/>
            <w:noWrap w:val="0"/>
            <w:vAlign w:val="center"/>
          </w:tcPr>
          <w:p>
            <w:pPr>
              <w:rPr>
                <w:rFonts w:hint="eastAsia" w:ascii="宋体" w:hAnsi="宋体"/>
                <w:color w:val="auto"/>
                <w:sz w:val="24"/>
                <w:highlight w:val="none"/>
              </w:rPr>
            </w:pPr>
            <w:r>
              <w:rPr>
                <w:rFonts w:hint="eastAsia" w:ascii="宋体" w:hAnsi="宋体"/>
                <w:color w:val="auto"/>
                <w:sz w:val="24"/>
                <w:highlight w:val="none"/>
              </w:rPr>
              <w:t>0-异常 1-正常 2-未使用 3-未知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trPr>
        <w:tc>
          <w:tcPr>
            <w:tcW w:w="801"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4</w:t>
            </w:r>
          </w:p>
        </w:tc>
        <w:tc>
          <w:tcPr>
            <w:tcW w:w="1991"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ExceptionReason</w:t>
            </w:r>
          </w:p>
        </w:tc>
        <w:tc>
          <w:tcPr>
            <w:tcW w:w="567"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2</w:t>
            </w:r>
          </w:p>
        </w:tc>
        <w:tc>
          <w:tcPr>
            <w:tcW w:w="127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异常原因</w:t>
            </w:r>
          </w:p>
        </w:tc>
        <w:tc>
          <w:tcPr>
            <w:tcW w:w="702"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字符</w:t>
            </w:r>
          </w:p>
        </w:tc>
        <w:tc>
          <w:tcPr>
            <w:tcW w:w="96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否</w:t>
            </w:r>
          </w:p>
        </w:tc>
        <w:tc>
          <w:tcPr>
            <w:tcW w:w="3152" w:type="dxa"/>
            <w:noWrap w:val="0"/>
            <w:vAlign w:val="center"/>
          </w:tcPr>
          <w:p>
            <w:pPr>
              <w:spacing w:line="360" w:lineRule="auto"/>
              <w:rPr>
                <w:rFonts w:hint="eastAsia" w:ascii="宋体" w:hAnsi="宋体"/>
                <w:color w:val="auto"/>
                <w:sz w:val="24"/>
                <w:highlight w:val="none"/>
              </w:rPr>
            </w:pPr>
            <w:r>
              <w:rPr>
                <w:rFonts w:hint="eastAsia" w:ascii="宋体" w:hAnsi="宋体"/>
                <w:color w:val="auto"/>
                <w:sz w:val="24"/>
                <w:highlight w:val="none"/>
              </w:rPr>
              <w:t>异常原因描述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trPr>
        <w:tc>
          <w:tcPr>
            <w:tcW w:w="801"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5</w:t>
            </w:r>
          </w:p>
        </w:tc>
        <w:tc>
          <w:tcPr>
            <w:tcW w:w="1991"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CheckTime</w:t>
            </w:r>
          </w:p>
        </w:tc>
        <w:tc>
          <w:tcPr>
            <w:tcW w:w="567"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1</w:t>
            </w:r>
          </w:p>
        </w:tc>
        <w:tc>
          <w:tcPr>
            <w:tcW w:w="1276"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检测时间</w:t>
            </w:r>
          </w:p>
        </w:tc>
        <w:tc>
          <w:tcPr>
            <w:tcW w:w="702" w:type="dxa"/>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字符</w:t>
            </w:r>
          </w:p>
        </w:tc>
        <w:tc>
          <w:tcPr>
            <w:tcW w:w="966" w:type="dxa"/>
            <w:noWrap w:val="0"/>
            <w:vAlign w:val="center"/>
          </w:tcPr>
          <w:p>
            <w:pPr>
              <w:jc w:val="center"/>
              <w:rPr>
                <w:rFonts w:hint="eastAsia" w:ascii="宋体" w:hAnsi="宋体"/>
                <w:color w:val="auto"/>
                <w:sz w:val="24"/>
                <w:highlight w:val="none"/>
              </w:rPr>
            </w:pPr>
            <w:r>
              <w:rPr>
                <w:rFonts w:hint="eastAsia" w:ascii="宋体" w:hAnsi="宋体"/>
                <w:color w:val="auto"/>
                <w:sz w:val="24"/>
                <w:highlight w:val="none"/>
              </w:rPr>
              <w:t>否</w:t>
            </w:r>
          </w:p>
        </w:tc>
        <w:tc>
          <w:tcPr>
            <w:tcW w:w="3152" w:type="dxa"/>
            <w:noWrap w:val="0"/>
            <w:vAlign w:val="center"/>
          </w:tcPr>
          <w:p>
            <w:pPr>
              <w:autoSpaceDE w:val="0"/>
              <w:autoSpaceDN w:val="0"/>
              <w:adjustRightInd w:val="0"/>
              <w:rPr>
                <w:rFonts w:hint="eastAsia" w:ascii="宋体" w:hAnsi="宋体"/>
                <w:color w:val="auto"/>
                <w:sz w:val="24"/>
                <w:highlight w:val="none"/>
              </w:rPr>
            </w:pPr>
            <w:r>
              <w:rPr>
                <w:rFonts w:hint="eastAsia" w:ascii="宋体" w:hAnsi="宋体"/>
                <w:color w:val="auto"/>
                <w:sz w:val="24"/>
                <w:highlight w:val="none"/>
              </w:rPr>
              <w:t>YYYYMMDDHHMMSS 时间按24小时</w:t>
            </w:r>
          </w:p>
        </w:tc>
      </w:tr>
    </w:tbl>
    <w:p>
      <w:pPr>
        <w:pStyle w:val="46"/>
        <w:spacing w:before="0" w:beforeAutospacing="0" w:after="156" w:afterAutospacing="0" w:line="400" w:lineRule="exact"/>
        <w:ind w:firstLine="480"/>
        <w:rPr>
          <w:rFonts w:hint="eastAsia" w:ascii="宋体" w:hAnsi="宋体" w:eastAsia="宋体" w:cs="楷体"/>
          <w:color w:val="auto"/>
          <w:sz w:val="21"/>
          <w:szCs w:val="21"/>
          <w:highlight w:val="none"/>
        </w:rPr>
      </w:pPr>
      <w:r>
        <w:rPr>
          <w:rFonts w:hint="eastAsia" w:ascii="宋体" w:hAnsi="宋体" w:eastAsia="宋体" w:cs="楷体"/>
          <w:color w:val="auto"/>
          <w:sz w:val="21"/>
          <w:szCs w:val="21"/>
          <w:highlight w:val="none"/>
        </w:rPr>
        <w:t>返回值xml字符串，格式如下：</w:t>
      </w:r>
    </w:p>
    <w:p>
      <w:pPr>
        <w:pStyle w:val="46"/>
        <w:spacing w:before="0" w:beforeAutospacing="0" w:after="156" w:afterAutospacing="0" w:line="400" w:lineRule="exact"/>
        <w:ind w:firstLine="480"/>
        <w:rPr>
          <w:rFonts w:hint="eastAsia" w:ascii="宋体" w:hAnsi="宋体" w:eastAsia="宋体" w:cs="楷体"/>
          <w:color w:val="auto"/>
          <w:sz w:val="21"/>
          <w:szCs w:val="21"/>
          <w:highlight w:val="none"/>
        </w:rPr>
      </w:pPr>
      <w:r>
        <w:rPr>
          <w:rFonts w:hint="eastAsia" w:ascii="宋体" w:hAnsi="宋体" w:eastAsia="宋体" w:cs="楷体"/>
          <w:color w:val="auto"/>
          <w:sz w:val="21"/>
          <w:szCs w:val="21"/>
          <w:highlight w:val="none"/>
        </w:rPr>
        <w:t>&lt;?xml version="1.0" encoding=" UTF-8 " standalone="yes" ?&gt;</w:t>
      </w:r>
    </w:p>
    <w:p>
      <w:pPr>
        <w:pStyle w:val="46"/>
        <w:spacing w:before="0" w:beforeAutospacing="0" w:after="156" w:afterAutospacing="0" w:line="400" w:lineRule="exact"/>
        <w:ind w:firstLine="480"/>
        <w:rPr>
          <w:rFonts w:hint="eastAsia" w:ascii="宋体" w:hAnsi="宋体" w:eastAsia="宋体" w:cs="楷体"/>
          <w:color w:val="auto"/>
          <w:sz w:val="21"/>
          <w:szCs w:val="21"/>
          <w:highlight w:val="none"/>
        </w:rPr>
      </w:pPr>
      <w:r>
        <w:rPr>
          <w:rFonts w:hint="eastAsia" w:ascii="宋体" w:hAnsi="宋体" w:eastAsia="宋体" w:cs="楷体"/>
          <w:color w:val="auto"/>
          <w:sz w:val="21"/>
          <w:szCs w:val="21"/>
          <w:highlight w:val="none"/>
        </w:rPr>
        <w:t>&lt;ROOT&gt;</w:t>
      </w:r>
    </w:p>
    <w:p>
      <w:pPr>
        <w:pStyle w:val="46"/>
        <w:spacing w:before="0" w:beforeAutospacing="0" w:after="156" w:afterAutospacing="0" w:line="400" w:lineRule="exact"/>
        <w:ind w:firstLine="480"/>
        <w:rPr>
          <w:rFonts w:hint="eastAsia" w:ascii="宋体" w:hAnsi="宋体" w:eastAsia="宋体" w:cs="楷体"/>
          <w:color w:val="auto"/>
          <w:sz w:val="21"/>
          <w:szCs w:val="21"/>
          <w:highlight w:val="none"/>
        </w:rPr>
      </w:pPr>
      <w:r>
        <w:rPr>
          <w:rFonts w:hint="eastAsia" w:ascii="宋体" w:hAnsi="宋体" w:eastAsia="宋体" w:cs="楷体"/>
          <w:color w:val="auto"/>
          <w:sz w:val="21"/>
          <w:szCs w:val="21"/>
          <w:highlight w:val="none"/>
        </w:rPr>
        <w:t>&lt;!—返回结果信息，0为调用成功，其它值为失败--&gt;</w:t>
      </w:r>
    </w:p>
    <w:p>
      <w:pPr>
        <w:pStyle w:val="46"/>
        <w:spacing w:before="0" w:beforeAutospacing="0" w:after="156" w:afterAutospacing="0" w:line="400" w:lineRule="exact"/>
        <w:ind w:firstLine="480"/>
        <w:rPr>
          <w:rFonts w:hint="eastAsia" w:ascii="宋体" w:hAnsi="宋体" w:eastAsia="宋体" w:cs="楷体"/>
          <w:color w:val="auto"/>
          <w:sz w:val="21"/>
          <w:szCs w:val="21"/>
          <w:highlight w:val="none"/>
        </w:rPr>
      </w:pPr>
      <w:r>
        <w:rPr>
          <w:rFonts w:hint="eastAsia" w:ascii="宋体" w:hAnsi="宋体" w:eastAsia="宋体" w:cs="楷体"/>
          <w:color w:val="auto"/>
          <w:sz w:val="21"/>
          <w:szCs w:val="21"/>
          <w:highlight w:val="none"/>
        </w:rPr>
        <w:t>&lt;CODE&gt;0&lt;/CODE&gt;</w:t>
      </w:r>
    </w:p>
    <w:p>
      <w:pPr>
        <w:pStyle w:val="46"/>
        <w:spacing w:before="0" w:beforeAutospacing="0" w:after="156" w:afterAutospacing="0" w:line="400" w:lineRule="exact"/>
        <w:ind w:firstLine="480"/>
        <w:rPr>
          <w:rFonts w:hint="eastAsia" w:ascii="宋体" w:hAnsi="宋体" w:eastAsia="宋体" w:cs="楷体"/>
          <w:color w:val="auto"/>
          <w:sz w:val="21"/>
          <w:szCs w:val="21"/>
          <w:highlight w:val="none"/>
        </w:rPr>
      </w:pPr>
      <w:r>
        <w:rPr>
          <w:rFonts w:hint="eastAsia" w:ascii="宋体" w:hAnsi="宋体" w:eastAsia="宋体" w:cs="楷体"/>
          <w:color w:val="auto"/>
          <w:sz w:val="21"/>
          <w:szCs w:val="21"/>
          <w:highlight w:val="none"/>
        </w:rPr>
        <w:t>&lt;!—CODE为非0时，MESSAGE 字段为失败的原因，CODE为0时为空--&gt;</w:t>
      </w:r>
    </w:p>
    <w:p>
      <w:pPr>
        <w:pStyle w:val="46"/>
        <w:spacing w:before="0" w:beforeAutospacing="0" w:after="156" w:afterAutospacing="0" w:line="400" w:lineRule="exact"/>
        <w:ind w:firstLine="480"/>
        <w:rPr>
          <w:rFonts w:hint="eastAsia" w:ascii="宋体" w:hAnsi="宋体" w:eastAsia="宋体" w:cs="楷体"/>
          <w:color w:val="auto"/>
          <w:sz w:val="21"/>
          <w:szCs w:val="21"/>
          <w:highlight w:val="none"/>
        </w:rPr>
      </w:pPr>
      <w:r>
        <w:rPr>
          <w:rFonts w:hint="eastAsia" w:ascii="宋体" w:hAnsi="宋体" w:eastAsia="宋体" w:cs="楷体"/>
          <w:color w:val="auto"/>
          <w:sz w:val="21"/>
          <w:szCs w:val="21"/>
          <w:highlight w:val="none"/>
        </w:rPr>
        <w:t>&lt;MESSAGE&gt;失败时获取详细的失败信息&lt;/MESSAGE&gt;</w:t>
      </w:r>
    </w:p>
    <w:p>
      <w:pPr>
        <w:pStyle w:val="46"/>
        <w:spacing w:before="0" w:beforeAutospacing="0" w:after="156" w:afterAutospacing="0" w:line="400" w:lineRule="exact"/>
        <w:ind w:firstLine="480"/>
        <w:rPr>
          <w:rFonts w:hint="eastAsia" w:ascii="宋体" w:hAnsi="宋体" w:eastAsia="宋体" w:cs="楷体"/>
          <w:color w:val="auto"/>
          <w:sz w:val="21"/>
          <w:szCs w:val="21"/>
          <w:highlight w:val="none"/>
        </w:rPr>
      </w:pPr>
      <w:r>
        <w:rPr>
          <w:rFonts w:hint="eastAsia" w:ascii="宋体" w:hAnsi="宋体" w:eastAsia="宋体" w:cs="楷体"/>
          <w:color w:val="auto"/>
          <w:sz w:val="21"/>
          <w:szCs w:val="21"/>
          <w:highlight w:val="none"/>
        </w:rPr>
        <w:t>&lt;/ ROOT &gt;</w:t>
      </w:r>
    </w:p>
    <w:p>
      <w:pPr>
        <w:pStyle w:val="46"/>
        <w:spacing w:before="0" w:beforeAutospacing="0" w:after="156" w:afterAutospacing="0" w:line="400" w:lineRule="exact"/>
        <w:ind w:firstLine="480"/>
        <w:rPr>
          <w:rFonts w:ascii="宋体" w:hAnsi="宋体" w:eastAsia="宋体" w:cs="楷体"/>
          <w:color w:val="auto"/>
          <w:sz w:val="21"/>
          <w:szCs w:val="21"/>
          <w:highlight w:val="none"/>
        </w:rPr>
      </w:pPr>
      <w:r>
        <w:rPr>
          <w:rFonts w:hint="eastAsia" w:ascii="宋体" w:hAnsi="宋体" w:eastAsia="宋体" w:cs="楷体"/>
          <w:color w:val="auto"/>
          <w:sz w:val="21"/>
          <w:szCs w:val="21"/>
          <w:highlight w:val="none"/>
        </w:rPr>
        <w:t>&lt;/ ROOT &gt;</w:t>
      </w:r>
    </w:p>
    <w:p>
      <w:pPr>
        <w:spacing w:line="400" w:lineRule="exact"/>
        <w:ind w:firstLine="630"/>
        <w:rPr>
          <w:rFonts w:ascii="宋体" w:hAnsi="宋体" w:cs="楷体"/>
          <w:b/>
          <w:bCs/>
          <w:color w:val="auto"/>
          <w:szCs w:val="21"/>
          <w:highlight w:val="none"/>
        </w:rPr>
      </w:pPr>
      <w:r>
        <w:rPr>
          <w:rFonts w:hint="eastAsia" w:ascii="宋体" w:hAnsi="宋体" w:cs="楷体"/>
          <w:b/>
          <w:bCs/>
          <w:color w:val="auto"/>
          <w:szCs w:val="21"/>
          <w:highlight w:val="none"/>
        </w:rPr>
        <w:t>4</w:t>
      </w:r>
      <w:bookmarkEnd w:id="269"/>
      <w:r>
        <w:rPr>
          <w:rFonts w:hint="eastAsia" w:ascii="宋体" w:hAnsi="宋体" w:cs="楷体"/>
          <w:b/>
          <w:bCs/>
          <w:color w:val="auto"/>
          <w:szCs w:val="21"/>
          <w:highlight w:val="none"/>
        </w:rPr>
        <w:t>、校时接口</w:t>
      </w:r>
    </w:p>
    <w:p>
      <w:pPr>
        <w:pStyle w:val="46"/>
        <w:spacing w:before="0" w:beforeAutospacing="0" w:after="156" w:afterAutospacing="0" w:line="400" w:lineRule="exact"/>
        <w:ind w:firstLine="480"/>
        <w:rPr>
          <w:rFonts w:hint="eastAsia" w:ascii="宋体" w:hAnsi="宋体" w:eastAsia="宋体" w:cs="楷体"/>
          <w:color w:val="auto"/>
          <w:sz w:val="21"/>
          <w:szCs w:val="21"/>
          <w:highlight w:val="none"/>
        </w:rPr>
      </w:pPr>
      <w:r>
        <w:rPr>
          <w:rFonts w:hint="eastAsia" w:ascii="宋体" w:hAnsi="宋体" w:eastAsia="宋体" w:cs="楷体"/>
          <w:color w:val="auto"/>
          <w:sz w:val="21"/>
          <w:szCs w:val="21"/>
          <w:highlight w:val="none"/>
        </w:rPr>
        <w:t>接口名称</w:t>
      </w:r>
    </w:p>
    <w:p>
      <w:pPr>
        <w:pStyle w:val="46"/>
        <w:spacing w:before="0" w:beforeAutospacing="0" w:after="156" w:afterAutospacing="0" w:line="400" w:lineRule="exact"/>
        <w:ind w:firstLine="480"/>
        <w:rPr>
          <w:rFonts w:hint="eastAsia" w:ascii="宋体" w:hAnsi="宋体" w:eastAsia="宋体" w:cs="楷体"/>
          <w:color w:val="auto"/>
          <w:sz w:val="21"/>
          <w:szCs w:val="21"/>
          <w:highlight w:val="none"/>
        </w:rPr>
      </w:pPr>
      <w:r>
        <w:rPr>
          <w:rFonts w:hint="eastAsia" w:ascii="宋体" w:hAnsi="宋体" w:eastAsia="宋体" w:cs="楷体"/>
          <w:color w:val="auto"/>
          <w:sz w:val="21"/>
          <w:szCs w:val="21"/>
          <w:highlight w:val="none"/>
        </w:rPr>
        <w:t>string SynTime()</w:t>
      </w:r>
    </w:p>
    <w:p>
      <w:pPr>
        <w:pStyle w:val="46"/>
        <w:spacing w:before="0" w:beforeAutospacing="0" w:after="156" w:afterAutospacing="0" w:line="400" w:lineRule="exact"/>
        <w:ind w:firstLine="480"/>
        <w:rPr>
          <w:rFonts w:hint="eastAsia" w:ascii="宋体" w:hAnsi="宋体" w:eastAsia="宋体" w:cs="楷体"/>
          <w:color w:val="auto"/>
          <w:sz w:val="21"/>
          <w:szCs w:val="21"/>
          <w:highlight w:val="none"/>
        </w:rPr>
      </w:pPr>
      <w:r>
        <w:rPr>
          <w:rFonts w:hint="eastAsia" w:ascii="宋体" w:hAnsi="宋体" w:eastAsia="宋体" w:cs="楷体"/>
          <w:color w:val="auto"/>
          <w:sz w:val="21"/>
          <w:szCs w:val="21"/>
          <w:highlight w:val="none"/>
        </w:rPr>
        <w:t>参数说明</w:t>
      </w:r>
    </w:p>
    <w:p>
      <w:pPr>
        <w:pStyle w:val="46"/>
        <w:spacing w:before="0" w:beforeAutospacing="0" w:after="156" w:afterAutospacing="0" w:line="400" w:lineRule="exact"/>
        <w:ind w:firstLine="480"/>
        <w:rPr>
          <w:rFonts w:hint="eastAsia" w:ascii="宋体" w:hAnsi="宋体" w:eastAsia="宋体" w:cs="楷体"/>
          <w:color w:val="auto"/>
          <w:sz w:val="21"/>
          <w:szCs w:val="21"/>
          <w:highlight w:val="none"/>
        </w:rPr>
      </w:pPr>
      <w:r>
        <w:rPr>
          <w:rFonts w:hint="eastAsia" w:ascii="宋体" w:hAnsi="宋体" w:eastAsia="宋体" w:cs="楷体"/>
          <w:color w:val="auto"/>
          <w:sz w:val="21"/>
          <w:szCs w:val="21"/>
          <w:highlight w:val="none"/>
        </w:rPr>
        <w:t>返回值为xml字符串。格式如下：</w:t>
      </w:r>
    </w:p>
    <w:p>
      <w:pPr>
        <w:pStyle w:val="46"/>
        <w:spacing w:before="0" w:beforeAutospacing="0" w:after="156" w:afterAutospacing="0" w:line="400" w:lineRule="exact"/>
        <w:ind w:firstLine="480"/>
        <w:rPr>
          <w:rFonts w:hint="eastAsia" w:ascii="宋体" w:hAnsi="宋体" w:eastAsia="宋体" w:cs="楷体"/>
          <w:color w:val="auto"/>
          <w:sz w:val="21"/>
          <w:szCs w:val="21"/>
          <w:highlight w:val="none"/>
        </w:rPr>
      </w:pPr>
      <w:r>
        <w:rPr>
          <w:rFonts w:hint="eastAsia" w:ascii="宋体" w:hAnsi="宋体" w:eastAsia="宋体" w:cs="楷体"/>
          <w:color w:val="auto"/>
          <w:sz w:val="21"/>
          <w:szCs w:val="21"/>
          <w:highlight w:val="none"/>
        </w:rPr>
        <w:t>&lt;?xml version="1.0" encoding=" UTF-8 " standalone="yes" ?&gt;</w:t>
      </w:r>
    </w:p>
    <w:p>
      <w:pPr>
        <w:pStyle w:val="46"/>
        <w:spacing w:before="0" w:beforeAutospacing="0" w:after="156" w:afterAutospacing="0" w:line="400" w:lineRule="exact"/>
        <w:ind w:firstLine="480"/>
        <w:rPr>
          <w:rFonts w:hint="eastAsia" w:ascii="宋体" w:hAnsi="宋体" w:eastAsia="宋体" w:cs="楷体"/>
          <w:color w:val="auto"/>
          <w:sz w:val="21"/>
          <w:szCs w:val="21"/>
          <w:highlight w:val="none"/>
        </w:rPr>
      </w:pPr>
      <w:r>
        <w:rPr>
          <w:rFonts w:hint="eastAsia" w:ascii="宋体" w:hAnsi="宋体" w:eastAsia="宋体" w:cs="楷体"/>
          <w:color w:val="auto"/>
          <w:sz w:val="21"/>
          <w:szCs w:val="21"/>
          <w:highlight w:val="none"/>
        </w:rPr>
        <w:t>&lt;ROOT&gt;</w:t>
      </w:r>
    </w:p>
    <w:p>
      <w:pPr>
        <w:pStyle w:val="46"/>
        <w:spacing w:before="0" w:beforeAutospacing="0" w:after="156" w:afterAutospacing="0" w:line="400" w:lineRule="exact"/>
        <w:ind w:firstLine="480"/>
        <w:rPr>
          <w:rFonts w:hint="eastAsia" w:ascii="宋体" w:hAnsi="宋体" w:eastAsia="宋体" w:cs="楷体"/>
          <w:color w:val="auto"/>
          <w:sz w:val="21"/>
          <w:szCs w:val="21"/>
          <w:highlight w:val="none"/>
        </w:rPr>
      </w:pPr>
      <w:r>
        <w:rPr>
          <w:rFonts w:hint="eastAsia" w:ascii="宋体" w:hAnsi="宋体" w:eastAsia="宋体" w:cs="楷体"/>
          <w:color w:val="auto"/>
          <w:sz w:val="21"/>
          <w:szCs w:val="21"/>
          <w:highlight w:val="none"/>
        </w:rPr>
        <w:t>&lt;!—返回结果信息，0为调用成功，其它值为失败--&gt;</w:t>
      </w:r>
    </w:p>
    <w:p>
      <w:pPr>
        <w:pStyle w:val="46"/>
        <w:spacing w:before="0" w:beforeAutospacing="0" w:after="156" w:afterAutospacing="0" w:line="400" w:lineRule="exact"/>
        <w:ind w:firstLine="480"/>
        <w:rPr>
          <w:rFonts w:hint="eastAsia" w:ascii="宋体" w:hAnsi="宋体" w:eastAsia="宋体" w:cs="楷体"/>
          <w:color w:val="auto"/>
          <w:sz w:val="21"/>
          <w:szCs w:val="21"/>
          <w:highlight w:val="none"/>
        </w:rPr>
      </w:pPr>
      <w:r>
        <w:rPr>
          <w:rFonts w:hint="eastAsia" w:ascii="宋体" w:hAnsi="宋体" w:eastAsia="宋体" w:cs="楷体"/>
          <w:color w:val="auto"/>
          <w:sz w:val="21"/>
          <w:szCs w:val="21"/>
          <w:highlight w:val="none"/>
        </w:rPr>
        <w:t>&lt;CODE&gt;0&lt;/CODE&gt;</w:t>
      </w:r>
    </w:p>
    <w:p>
      <w:pPr>
        <w:pStyle w:val="46"/>
        <w:spacing w:before="0" w:beforeAutospacing="0" w:after="156" w:afterAutospacing="0" w:line="400" w:lineRule="exact"/>
        <w:ind w:firstLine="480"/>
        <w:rPr>
          <w:rFonts w:hint="eastAsia" w:ascii="宋体" w:hAnsi="宋体" w:eastAsia="宋体" w:cs="楷体"/>
          <w:color w:val="auto"/>
          <w:sz w:val="21"/>
          <w:szCs w:val="21"/>
          <w:highlight w:val="none"/>
        </w:rPr>
      </w:pPr>
      <w:r>
        <w:rPr>
          <w:rFonts w:hint="eastAsia" w:ascii="宋体" w:hAnsi="宋体" w:eastAsia="宋体" w:cs="楷体"/>
          <w:color w:val="auto"/>
          <w:sz w:val="21"/>
          <w:szCs w:val="21"/>
          <w:highlight w:val="none"/>
        </w:rPr>
        <w:t>&lt;!—CODE为非0时，MESSAGE 字段为失败的原因，CODE为0时为空--&gt;</w:t>
      </w:r>
    </w:p>
    <w:p>
      <w:pPr>
        <w:pStyle w:val="46"/>
        <w:spacing w:before="0" w:beforeAutospacing="0" w:after="156" w:afterAutospacing="0" w:line="400" w:lineRule="exact"/>
        <w:ind w:firstLine="480"/>
        <w:rPr>
          <w:rFonts w:hint="eastAsia" w:ascii="宋体" w:hAnsi="宋体" w:eastAsia="宋体" w:cs="楷体"/>
          <w:color w:val="auto"/>
          <w:sz w:val="21"/>
          <w:szCs w:val="21"/>
          <w:highlight w:val="none"/>
        </w:rPr>
      </w:pPr>
      <w:r>
        <w:rPr>
          <w:rFonts w:hint="eastAsia" w:ascii="宋体" w:hAnsi="宋体" w:eastAsia="宋体" w:cs="楷体"/>
          <w:color w:val="auto"/>
          <w:sz w:val="21"/>
          <w:szCs w:val="21"/>
          <w:highlight w:val="none"/>
        </w:rPr>
        <w:t>&lt;MESSAGE&gt;失败时获取详细的失败信息&lt;/MESSAGE&gt;</w:t>
      </w:r>
    </w:p>
    <w:p>
      <w:pPr>
        <w:pStyle w:val="46"/>
        <w:spacing w:before="0" w:beforeAutospacing="0" w:after="156" w:afterAutospacing="0" w:line="400" w:lineRule="exact"/>
        <w:ind w:firstLine="480"/>
        <w:rPr>
          <w:rFonts w:hint="eastAsia" w:ascii="宋体" w:hAnsi="宋体" w:eastAsia="宋体" w:cs="楷体"/>
          <w:color w:val="auto"/>
          <w:sz w:val="21"/>
          <w:szCs w:val="21"/>
          <w:highlight w:val="none"/>
        </w:rPr>
      </w:pPr>
      <w:r>
        <w:rPr>
          <w:rFonts w:hint="eastAsia" w:ascii="宋体" w:hAnsi="宋体" w:eastAsia="宋体" w:cs="楷体"/>
          <w:color w:val="auto"/>
          <w:sz w:val="21"/>
          <w:szCs w:val="21"/>
          <w:highlight w:val="none"/>
        </w:rPr>
        <w:t>&lt;!—CURRENTTIME为返回的服务器当前时间，格式为：YYYYMMDDHHMMSS，按24小时--&gt;</w:t>
      </w:r>
    </w:p>
    <w:p>
      <w:pPr>
        <w:pStyle w:val="46"/>
        <w:spacing w:before="0" w:beforeAutospacing="0" w:after="156" w:afterAutospacing="0" w:line="400" w:lineRule="exact"/>
        <w:ind w:firstLine="480"/>
        <w:rPr>
          <w:rFonts w:hint="eastAsia" w:ascii="宋体" w:hAnsi="宋体" w:eastAsia="宋体" w:cs="楷体"/>
          <w:color w:val="auto"/>
          <w:sz w:val="21"/>
          <w:szCs w:val="21"/>
          <w:highlight w:val="none"/>
        </w:rPr>
      </w:pPr>
      <w:r>
        <w:rPr>
          <w:rFonts w:hint="eastAsia" w:ascii="宋体" w:hAnsi="宋体" w:eastAsia="宋体" w:cs="楷体"/>
          <w:color w:val="auto"/>
          <w:sz w:val="21"/>
          <w:szCs w:val="21"/>
          <w:highlight w:val="none"/>
        </w:rPr>
        <w:t>&lt;CURRENTTIME&gt;实时时间&lt;/CURRENTTIME&gt;</w:t>
      </w:r>
    </w:p>
    <w:p>
      <w:pPr>
        <w:pStyle w:val="46"/>
        <w:spacing w:before="0" w:beforeAutospacing="0" w:after="156" w:afterAutospacing="0" w:line="400" w:lineRule="exact"/>
        <w:ind w:firstLine="480"/>
        <w:rPr>
          <w:rFonts w:hint="eastAsia" w:ascii="宋体" w:hAnsi="宋体" w:eastAsia="宋体" w:cs="楷体"/>
          <w:color w:val="auto"/>
          <w:sz w:val="21"/>
          <w:szCs w:val="21"/>
          <w:highlight w:val="none"/>
        </w:rPr>
      </w:pPr>
      <w:r>
        <w:rPr>
          <w:rFonts w:hint="eastAsia" w:ascii="宋体" w:hAnsi="宋体" w:eastAsia="宋体" w:cs="楷体"/>
          <w:color w:val="auto"/>
          <w:sz w:val="21"/>
          <w:szCs w:val="21"/>
          <w:highlight w:val="none"/>
        </w:rPr>
        <w:t>&lt;/ ROOT &gt;</w:t>
      </w:r>
    </w:p>
    <w:p>
      <w:pPr>
        <w:spacing w:line="400" w:lineRule="exact"/>
        <w:rPr>
          <w:rFonts w:ascii="宋体" w:hAnsi="宋体"/>
          <w:b/>
          <w:bCs/>
          <w:color w:val="auto"/>
          <w:szCs w:val="21"/>
          <w:highlight w:val="none"/>
        </w:rPr>
      </w:pPr>
      <w:r>
        <w:rPr>
          <w:rFonts w:hint="eastAsia" w:ascii="宋体" w:hAnsi="宋体"/>
          <w:b/>
          <w:bCs/>
          <w:color w:val="auto"/>
          <w:szCs w:val="21"/>
          <w:highlight w:val="none"/>
        </w:rPr>
        <w:t>七 外场设备技术要求：</w:t>
      </w:r>
    </w:p>
    <w:p>
      <w:pPr>
        <w:spacing w:line="400" w:lineRule="exact"/>
        <w:ind w:firstLine="630"/>
        <w:rPr>
          <w:rFonts w:ascii="宋体" w:hAnsi="宋体"/>
          <w:b/>
          <w:bCs/>
          <w:color w:val="auto"/>
          <w:szCs w:val="21"/>
          <w:highlight w:val="none"/>
        </w:rPr>
      </w:pPr>
      <w:r>
        <w:rPr>
          <w:rFonts w:hint="eastAsia" w:ascii="宋体" w:hAnsi="宋体"/>
          <w:b/>
          <w:bCs/>
          <w:color w:val="auto"/>
          <w:szCs w:val="21"/>
          <w:highlight w:val="none"/>
        </w:rPr>
        <w:t>1、动态汽车衡总体要求</w:t>
      </w:r>
    </w:p>
    <w:p>
      <w:pPr>
        <w:pStyle w:val="130"/>
        <w:widowControl w:val="0"/>
        <w:numPr>
          <w:ilvl w:val="0"/>
          <w:numId w:val="9"/>
        </w:numPr>
        <w:spacing w:after="0" w:line="400" w:lineRule="exact"/>
        <w:ind w:left="0" w:firstLine="567"/>
        <w:rPr>
          <w:rFonts w:hint="eastAsia" w:ascii="宋体" w:hAnsi="宋体"/>
          <w:color w:val="auto"/>
          <w:sz w:val="24"/>
          <w:szCs w:val="24"/>
          <w:highlight w:val="none"/>
        </w:rPr>
      </w:pPr>
      <w:r>
        <w:rPr>
          <w:rFonts w:hint="eastAsia" w:ascii="宋体" w:hAnsi="宋体"/>
          <w:color w:val="auto"/>
          <w:sz w:val="24"/>
          <w:szCs w:val="24"/>
          <w:highlight w:val="none"/>
        </w:rPr>
        <w:t>传感器要求</w:t>
      </w:r>
    </w:p>
    <w:p>
      <w:pPr>
        <w:pStyle w:val="130"/>
        <w:widowControl w:val="0"/>
        <w:numPr>
          <w:ilvl w:val="0"/>
          <w:numId w:val="8"/>
        </w:numPr>
        <w:spacing w:after="0" w:line="400" w:lineRule="exact"/>
        <w:rPr>
          <w:rFonts w:hint="eastAsia" w:ascii="宋体" w:hAnsi="宋体"/>
          <w:color w:val="auto"/>
          <w:sz w:val="24"/>
          <w:szCs w:val="24"/>
          <w:highlight w:val="none"/>
        </w:rPr>
      </w:pPr>
      <w:r>
        <w:rPr>
          <w:rFonts w:hint="eastAsia" w:ascii="宋体" w:hAnsi="宋体"/>
          <w:color w:val="auto"/>
          <w:sz w:val="24"/>
          <w:szCs w:val="24"/>
          <w:highlight w:val="none"/>
        </w:rPr>
        <w:t>石英传感器</w:t>
      </w:r>
    </w:p>
    <w:p>
      <w:pPr>
        <w:pStyle w:val="130"/>
        <w:spacing w:after="0" w:line="400" w:lineRule="exact"/>
        <w:ind w:left="980"/>
        <w:rPr>
          <w:rFonts w:hint="eastAsia" w:ascii="宋体" w:hAnsi="宋体"/>
          <w:color w:val="auto"/>
          <w:sz w:val="24"/>
          <w:szCs w:val="24"/>
          <w:highlight w:val="none"/>
        </w:rPr>
      </w:pPr>
      <w:r>
        <w:rPr>
          <w:rFonts w:hint="eastAsia" w:ascii="宋体" w:hAnsi="宋体"/>
          <w:color w:val="auto"/>
          <w:sz w:val="24"/>
          <w:szCs w:val="24"/>
          <w:highlight w:val="none"/>
        </w:rPr>
        <w:t>速度范围：1～≤120Km/h；荷载能力（单轴）：≥30t</w:t>
      </w:r>
    </w:p>
    <w:p>
      <w:pPr>
        <w:pStyle w:val="130"/>
        <w:spacing w:after="0" w:line="400" w:lineRule="exact"/>
        <w:ind w:left="560" w:firstLine="360" w:firstLineChars="150"/>
        <w:rPr>
          <w:rFonts w:hint="eastAsia" w:ascii="宋体" w:hAnsi="宋体"/>
          <w:color w:val="auto"/>
          <w:sz w:val="24"/>
          <w:szCs w:val="24"/>
          <w:highlight w:val="none"/>
        </w:rPr>
      </w:pPr>
      <w:r>
        <w:rPr>
          <w:rFonts w:hint="eastAsia" w:ascii="宋体" w:hAnsi="宋体"/>
          <w:color w:val="auto"/>
          <w:sz w:val="24"/>
          <w:szCs w:val="24"/>
          <w:highlight w:val="none"/>
        </w:rPr>
        <w:t>速度检测精度：符合JJG 907-2006 动态5级标准</w:t>
      </w:r>
    </w:p>
    <w:p>
      <w:pPr>
        <w:pStyle w:val="130"/>
        <w:spacing w:after="0" w:line="400" w:lineRule="exact"/>
        <w:ind w:left="560" w:firstLine="360" w:firstLineChars="150"/>
        <w:rPr>
          <w:rFonts w:hint="eastAsia" w:ascii="宋体" w:hAnsi="宋体"/>
          <w:color w:val="auto"/>
          <w:sz w:val="24"/>
          <w:szCs w:val="24"/>
          <w:highlight w:val="none"/>
        </w:rPr>
      </w:pPr>
      <w:r>
        <w:rPr>
          <w:rFonts w:hint="eastAsia" w:ascii="宋体" w:hAnsi="宋体"/>
          <w:color w:val="auto"/>
          <w:sz w:val="24"/>
          <w:szCs w:val="24"/>
          <w:highlight w:val="none"/>
        </w:rPr>
        <w:t>总重误差范围： 检定误差 ≤±2.5%，使用误差≤±5%</w:t>
      </w:r>
    </w:p>
    <w:p>
      <w:pPr>
        <w:pStyle w:val="130"/>
        <w:widowControl w:val="0"/>
        <w:numPr>
          <w:ilvl w:val="0"/>
          <w:numId w:val="8"/>
        </w:numPr>
        <w:spacing w:after="0" w:line="400" w:lineRule="exact"/>
        <w:rPr>
          <w:rFonts w:hint="eastAsia" w:ascii="宋体" w:hAnsi="宋体"/>
          <w:color w:val="auto"/>
          <w:sz w:val="24"/>
          <w:szCs w:val="24"/>
          <w:highlight w:val="none"/>
        </w:rPr>
      </w:pPr>
      <w:r>
        <w:rPr>
          <w:rFonts w:hint="eastAsia" w:ascii="宋体" w:hAnsi="宋体"/>
          <w:color w:val="auto"/>
          <w:sz w:val="24"/>
          <w:szCs w:val="24"/>
          <w:highlight w:val="none"/>
        </w:rPr>
        <w:t>置信度：≥95％</w:t>
      </w:r>
    </w:p>
    <w:p>
      <w:pPr>
        <w:pStyle w:val="130"/>
        <w:widowControl w:val="0"/>
        <w:numPr>
          <w:ilvl w:val="0"/>
          <w:numId w:val="8"/>
        </w:numPr>
        <w:spacing w:after="0" w:line="400" w:lineRule="exact"/>
        <w:rPr>
          <w:rFonts w:hint="eastAsia" w:ascii="宋体" w:hAnsi="宋体"/>
          <w:color w:val="auto"/>
          <w:sz w:val="24"/>
          <w:szCs w:val="24"/>
          <w:highlight w:val="none"/>
        </w:rPr>
      </w:pPr>
      <w:r>
        <w:rPr>
          <w:rFonts w:hint="eastAsia" w:ascii="宋体" w:hAnsi="宋体"/>
          <w:color w:val="auto"/>
          <w:sz w:val="24"/>
          <w:szCs w:val="24"/>
          <w:highlight w:val="none"/>
        </w:rPr>
        <w:t>过载能力（单轴）：≥150％</w:t>
      </w:r>
    </w:p>
    <w:p>
      <w:pPr>
        <w:pStyle w:val="130"/>
        <w:widowControl w:val="0"/>
        <w:numPr>
          <w:ilvl w:val="0"/>
          <w:numId w:val="8"/>
        </w:numPr>
        <w:spacing w:after="0" w:line="400" w:lineRule="exact"/>
        <w:rPr>
          <w:rFonts w:hint="eastAsia" w:ascii="宋体" w:hAnsi="宋体"/>
          <w:color w:val="auto"/>
          <w:sz w:val="24"/>
          <w:szCs w:val="24"/>
          <w:highlight w:val="none"/>
        </w:rPr>
      </w:pPr>
      <w:r>
        <w:rPr>
          <w:rFonts w:hint="eastAsia" w:ascii="宋体" w:hAnsi="宋体"/>
          <w:color w:val="auto"/>
          <w:sz w:val="24"/>
          <w:szCs w:val="24"/>
          <w:highlight w:val="none"/>
        </w:rPr>
        <w:t>速度误差：≤±3%</w:t>
      </w:r>
    </w:p>
    <w:p>
      <w:pPr>
        <w:pStyle w:val="130"/>
        <w:widowControl w:val="0"/>
        <w:numPr>
          <w:ilvl w:val="0"/>
          <w:numId w:val="8"/>
        </w:numPr>
        <w:spacing w:after="0" w:line="400" w:lineRule="exact"/>
        <w:rPr>
          <w:rFonts w:hint="eastAsia" w:ascii="宋体" w:hAnsi="宋体"/>
          <w:color w:val="auto"/>
          <w:sz w:val="24"/>
          <w:szCs w:val="24"/>
          <w:highlight w:val="none"/>
        </w:rPr>
      </w:pPr>
      <w:r>
        <w:rPr>
          <w:rFonts w:hint="eastAsia" w:ascii="宋体" w:hAnsi="宋体"/>
          <w:color w:val="auto"/>
          <w:sz w:val="24"/>
          <w:szCs w:val="24"/>
          <w:highlight w:val="none"/>
        </w:rPr>
        <w:t>轴距误差：≤±150mm</w:t>
      </w:r>
    </w:p>
    <w:p>
      <w:pPr>
        <w:pStyle w:val="130"/>
        <w:widowControl w:val="0"/>
        <w:numPr>
          <w:ilvl w:val="0"/>
          <w:numId w:val="8"/>
        </w:numPr>
        <w:spacing w:after="0" w:line="400" w:lineRule="exact"/>
        <w:rPr>
          <w:rFonts w:hint="eastAsia" w:ascii="宋体" w:hAnsi="宋体"/>
          <w:color w:val="auto"/>
          <w:sz w:val="24"/>
          <w:szCs w:val="24"/>
          <w:highlight w:val="none"/>
        </w:rPr>
      </w:pPr>
      <w:r>
        <w:rPr>
          <w:rFonts w:hint="eastAsia" w:ascii="宋体" w:hAnsi="宋体"/>
          <w:color w:val="auto"/>
          <w:sz w:val="24"/>
          <w:szCs w:val="24"/>
          <w:highlight w:val="none"/>
        </w:rPr>
        <w:t>流量检测精度：≥99％</w:t>
      </w:r>
    </w:p>
    <w:p>
      <w:pPr>
        <w:pStyle w:val="130"/>
        <w:widowControl w:val="0"/>
        <w:numPr>
          <w:ilvl w:val="0"/>
          <w:numId w:val="8"/>
        </w:numPr>
        <w:spacing w:after="0" w:line="400" w:lineRule="exact"/>
        <w:rPr>
          <w:rFonts w:hint="eastAsia" w:ascii="宋体" w:hAnsi="宋体"/>
          <w:color w:val="auto"/>
          <w:sz w:val="24"/>
          <w:szCs w:val="24"/>
          <w:highlight w:val="none"/>
        </w:rPr>
      </w:pPr>
      <w:r>
        <w:rPr>
          <w:rFonts w:hint="eastAsia" w:ascii="宋体" w:hAnsi="宋体"/>
          <w:color w:val="auto"/>
          <w:sz w:val="24"/>
          <w:szCs w:val="24"/>
          <w:highlight w:val="none"/>
        </w:rPr>
        <w:t>输出信息：日期和时间、车速、车轴数量、轴重、轴组重、总重、超载量、总轴距、车型、车长、车道号和行驶方向、数据记录序号、违例类型代码、车辆加速度等。</w:t>
      </w:r>
    </w:p>
    <w:p>
      <w:pPr>
        <w:pStyle w:val="130"/>
        <w:widowControl w:val="0"/>
        <w:numPr>
          <w:ilvl w:val="0"/>
          <w:numId w:val="8"/>
        </w:numPr>
        <w:spacing w:after="0" w:line="400" w:lineRule="exact"/>
        <w:rPr>
          <w:rFonts w:hint="eastAsia" w:ascii="宋体" w:hAnsi="宋体"/>
          <w:color w:val="auto"/>
          <w:sz w:val="24"/>
          <w:szCs w:val="24"/>
          <w:highlight w:val="none"/>
        </w:rPr>
      </w:pPr>
      <w:r>
        <w:rPr>
          <w:rFonts w:hint="eastAsia" w:ascii="宋体" w:hAnsi="宋体"/>
          <w:color w:val="auto"/>
          <w:sz w:val="24"/>
          <w:szCs w:val="24"/>
          <w:highlight w:val="none"/>
        </w:rPr>
        <w:t>供电方式：AC220V±10%，50Hz±3Hz</w:t>
      </w:r>
    </w:p>
    <w:p>
      <w:pPr>
        <w:pStyle w:val="130"/>
        <w:widowControl w:val="0"/>
        <w:numPr>
          <w:ilvl w:val="0"/>
          <w:numId w:val="8"/>
        </w:numPr>
        <w:spacing w:after="0" w:line="400" w:lineRule="exact"/>
        <w:rPr>
          <w:rFonts w:hint="eastAsia" w:ascii="宋体" w:hAnsi="宋体"/>
          <w:color w:val="auto"/>
          <w:sz w:val="24"/>
          <w:szCs w:val="24"/>
          <w:highlight w:val="none"/>
        </w:rPr>
      </w:pPr>
      <w:r>
        <w:rPr>
          <w:rFonts w:hint="eastAsia" w:ascii="宋体" w:hAnsi="宋体"/>
          <w:color w:val="auto"/>
          <w:sz w:val="24"/>
          <w:szCs w:val="24"/>
          <w:highlight w:val="none"/>
        </w:rPr>
        <w:t>设备防护等级：称重设备为IP68；控制设备：IP65</w:t>
      </w:r>
    </w:p>
    <w:p>
      <w:pPr>
        <w:pStyle w:val="130"/>
        <w:widowControl w:val="0"/>
        <w:numPr>
          <w:ilvl w:val="0"/>
          <w:numId w:val="8"/>
        </w:numPr>
        <w:spacing w:after="0" w:line="400" w:lineRule="exact"/>
        <w:rPr>
          <w:rFonts w:hint="eastAsia" w:ascii="宋体" w:hAnsi="宋体"/>
          <w:color w:val="auto"/>
          <w:sz w:val="24"/>
          <w:szCs w:val="24"/>
          <w:highlight w:val="none"/>
        </w:rPr>
      </w:pPr>
      <w:r>
        <w:rPr>
          <w:rFonts w:hint="eastAsia" w:ascii="宋体" w:hAnsi="宋体"/>
          <w:color w:val="auto"/>
          <w:sz w:val="24"/>
          <w:szCs w:val="24"/>
          <w:highlight w:val="none"/>
        </w:rPr>
        <w:t>防雷保护：防雷接地电阻≤4Ω；保护接地电阻≤4Ω</w:t>
      </w:r>
    </w:p>
    <w:p>
      <w:pPr>
        <w:pStyle w:val="130"/>
        <w:widowControl w:val="0"/>
        <w:numPr>
          <w:ilvl w:val="0"/>
          <w:numId w:val="8"/>
        </w:numPr>
        <w:spacing w:after="0" w:line="400" w:lineRule="exact"/>
        <w:rPr>
          <w:rFonts w:hint="eastAsia" w:ascii="宋体" w:hAnsi="宋体"/>
          <w:color w:val="auto"/>
          <w:sz w:val="24"/>
          <w:szCs w:val="24"/>
          <w:highlight w:val="none"/>
        </w:rPr>
      </w:pPr>
      <w:r>
        <w:rPr>
          <w:rFonts w:hint="eastAsia" w:ascii="宋体" w:hAnsi="宋体"/>
          <w:color w:val="auto"/>
          <w:sz w:val="24"/>
          <w:szCs w:val="24"/>
          <w:highlight w:val="none"/>
        </w:rPr>
        <w:t>工作温度：-45℃～80℃</w:t>
      </w:r>
    </w:p>
    <w:p>
      <w:pPr>
        <w:pStyle w:val="130"/>
        <w:widowControl w:val="0"/>
        <w:numPr>
          <w:ilvl w:val="0"/>
          <w:numId w:val="8"/>
        </w:numPr>
        <w:spacing w:after="0" w:line="400" w:lineRule="exact"/>
        <w:rPr>
          <w:rFonts w:ascii="宋体" w:hAnsi="宋体"/>
          <w:color w:val="auto"/>
          <w:sz w:val="21"/>
          <w:szCs w:val="21"/>
          <w:highlight w:val="none"/>
        </w:rPr>
      </w:pPr>
      <w:r>
        <w:rPr>
          <w:rFonts w:hint="eastAsia" w:ascii="宋体" w:hAnsi="宋体"/>
          <w:color w:val="auto"/>
          <w:sz w:val="24"/>
          <w:szCs w:val="24"/>
          <w:highlight w:val="none"/>
        </w:rPr>
        <w:t>湿度：0～95%RH(无结露)</w:t>
      </w:r>
    </w:p>
    <w:p>
      <w:pPr>
        <w:spacing w:line="400" w:lineRule="exact"/>
        <w:ind w:firstLine="630"/>
        <w:rPr>
          <w:rFonts w:ascii="宋体" w:hAnsi="宋体"/>
          <w:b/>
          <w:bCs/>
          <w:color w:val="auto"/>
          <w:szCs w:val="21"/>
          <w:highlight w:val="none"/>
        </w:rPr>
      </w:pPr>
      <w:r>
        <w:rPr>
          <w:rFonts w:hint="eastAsia" w:ascii="宋体" w:hAnsi="宋体"/>
          <w:b/>
          <w:bCs/>
          <w:color w:val="auto"/>
          <w:szCs w:val="21"/>
          <w:highlight w:val="none"/>
        </w:rPr>
        <w:t>2、软件要求</w:t>
      </w:r>
    </w:p>
    <w:p>
      <w:pPr>
        <w:pStyle w:val="130"/>
        <w:widowControl w:val="0"/>
        <w:numPr>
          <w:ilvl w:val="0"/>
          <w:numId w:val="8"/>
        </w:numPr>
        <w:spacing w:after="0" w:line="400" w:lineRule="exact"/>
        <w:ind w:left="981"/>
        <w:rPr>
          <w:rFonts w:hint="eastAsia" w:ascii="宋体" w:hAnsi="宋体"/>
          <w:color w:val="auto"/>
          <w:sz w:val="24"/>
          <w:szCs w:val="24"/>
          <w:highlight w:val="none"/>
        </w:rPr>
      </w:pPr>
      <w:r>
        <w:rPr>
          <w:rFonts w:hint="eastAsia" w:ascii="宋体" w:hAnsi="宋体"/>
          <w:color w:val="auto"/>
          <w:sz w:val="24"/>
          <w:szCs w:val="24"/>
          <w:highlight w:val="none"/>
        </w:rPr>
        <w:t>不停车检测通行车辆的轴（组）重、总重、超载量、轴型、车速、车牌号、车辆图片、长宽高等数据</w:t>
      </w:r>
    </w:p>
    <w:p>
      <w:pPr>
        <w:pStyle w:val="130"/>
        <w:widowControl w:val="0"/>
        <w:numPr>
          <w:ilvl w:val="0"/>
          <w:numId w:val="8"/>
        </w:numPr>
        <w:spacing w:after="0" w:line="400" w:lineRule="exact"/>
        <w:ind w:left="981"/>
        <w:rPr>
          <w:rFonts w:hint="eastAsia" w:ascii="宋体" w:hAnsi="宋体"/>
          <w:color w:val="auto"/>
          <w:sz w:val="24"/>
          <w:szCs w:val="24"/>
          <w:highlight w:val="none"/>
        </w:rPr>
      </w:pPr>
      <w:r>
        <w:rPr>
          <w:rFonts w:hint="eastAsia" w:ascii="宋体" w:hAnsi="宋体"/>
          <w:color w:val="auto"/>
          <w:sz w:val="24"/>
          <w:szCs w:val="24"/>
          <w:highlight w:val="none"/>
        </w:rPr>
        <w:t>可根据七部委标准自动识别超重车辆</w:t>
      </w:r>
    </w:p>
    <w:p>
      <w:pPr>
        <w:pStyle w:val="130"/>
        <w:widowControl w:val="0"/>
        <w:numPr>
          <w:ilvl w:val="0"/>
          <w:numId w:val="8"/>
        </w:numPr>
        <w:spacing w:after="0" w:line="400" w:lineRule="exact"/>
        <w:ind w:left="981"/>
        <w:rPr>
          <w:rFonts w:hint="eastAsia" w:ascii="宋体" w:hAnsi="宋体"/>
          <w:color w:val="auto"/>
          <w:sz w:val="24"/>
          <w:szCs w:val="24"/>
          <w:highlight w:val="none"/>
        </w:rPr>
      </w:pPr>
      <w:r>
        <w:rPr>
          <w:rFonts w:hint="eastAsia" w:ascii="宋体" w:hAnsi="宋体"/>
          <w:color w:val="auto"/>
          <w:sz w:val="24"/>
          <w:szCs w:val="24"/>
          <w:highlight w:val="none"/>
        </w:rPr>
        <w:t>自动引导超重车辆接受检查处理</w:t>
      </w:r>
    </w:p>
    <w:p>
      <w:pPr>
        <w:pStyle w:val="130"/>
        <w:widowControl w:val="0"/>
        <w:numPr>
          <w:ilvl w:val="0"/>
          <w:numId w:val="8"/>
        </w:numPr>
        <w:spacing w:after="0" w:line="400" w:lineRule="exact"/>
        <w:ind w:left="981"/>
        <w:rPr>
          <w:rFonts w:hint="eastAsia" w:ascii="宋体" w:hAnsi="宋体"/>
          <w:color w:val="auto"/>
          <w:sz w:val="24"/>
          <w:szCs w:val="24"/>
          <w:highlight w:val="none"/>
        </w:rPr>
      </w:pPr>
      <w:r>
        <w:rPr>
          <w:rFonts w:hint="eastAsia" w:ascii="宋体" w:hAnsi="宋体"/>
          <w:color w:val="auto"/>
          <w:sz w:val="24"/>
          <w:szCs w:val="24"/>
          <w:highlight w:val="none"/>
        </w:rPr>
        <w:t>自动识别超限车辆车牌号码、抓拍车辆图片，车牌识别数据与高速称重数据对应</w:t>
      </w:r>
    </w:p>
    <w:p>
      <w:pPr>
        <w:pStyle w:val="130"/>
        <w:widowControl w:val="0"/>
        <w:numPr>
          <w:ilvl w:val="0"/>
          <w:numId w:val="8"/>
        </w:numPr>
        <w:spacing w:after="0" w:line="400" w:lineRule="exact"/>
        <w:ind w:left="981"/>
        <w:rPr>
          <w:rFonts w:hint="eastAsia" w:ascii="宋体" w:hAnsi="宋体"/>
          <w:color w:val="auto"/>
          <w:sz w:val="24"/>
          <w:szCs w:val="24"/>
          <w:highlight w:val="none"/>
        </w:rPr>
      </w:pPr>
      <w:r>
        <w:rPr>
          <w:rFonts w:hint="eastAsia" w:ascii="宋体" w:hAnsi="宋体"/>
          <w:color w:val="auto"/>
          <w:sz w:val="24"/>
          <w:szCs w:val="24"/>
          <w:highlight w:val="none"/>
        </w:rPr>
        <w:t>系统连续24小时不间断运行</w:t>
      </w:r>
    </w:p>
    <w:p>
      <w:pPr>
        <w:pStyle w:val="130"/>
        <w:widowControl w:val="0"/>
        <w:numPr>
          <w:ilvl w:val="0"/>
          <w:numId w:val="8"/>
        </w:numPr>
        <w:spacing w:after="0" w:line="400" w:lineRule="exact"/>
        <w:ind w:left="981"/>
        <w:rPr>
          <w:rFonts w:hint="eastAsia" w:ascii="宋体" w:hAnsi="宋体"/>
          <w:color w:val="auto"/>
          <w:sz w:val="24"/>
          <w:szCs w:val="24"/>
          <w:highlight w:val="none"/>
        </w:rPr>
      </w:pPr>
      <w:r>
        <w:rPr>
          <w:rFonts w:hint="eastAsia" w:ascii="宋体" w:hAnsi="宋体"/>
          <w:color w:val="auto"/>
          <w:sz w:val="24"/>
          <w:szCs w:val="24"/>
          <w:highlight w:val="none"/>
        </w:rPr>
        <w:t>多种数据报表，可按车牌、时间、吨位等统计检测数据</w:t>
      </w:r>
    </w:p>
    <w:p>
      <w:pPr>
        <w:pStyle w:val="130"/>
        <w:widowControl w:val="0"/>
        <w:numPr>
          <w:ilvl w:val="0"/>
          <w:numId w:val="8"/>
        </w:numPr>
        <w:spacing w:after="0" w:line="400" w:lineRule="exact"/>
        <w:ind w:left="981"/>
        <w:rPr>
          <w:rFonts w:hint="eastAsia" w:ascii="宋体" w:hAnsi="宋体"/>
          <w:color w:val="auto"/>
          <w:sz w:val="24"/>
          <w:szCs w:val="24"/>
          <w:highlight w:val="none"/>
        </w:rPr>
      </w:pPr>
      <w:r>
        <w:rPr>
          <w:rFonts w:hint="eastAsia" w:ascii="宋体" w:hAnsi="宋体"/>
          <w:color w:val="auto"/>
          <w:sz w:val="24"/>
          <w:szCs w:val="24"/>
          <w:highlight w:val="none"/>
        </w:rPr>
        <w:t>输出检测信息：轴重、轴组重、总重、超载量、车速、车型分类、车轴数量、车长、车道号、行驶方向、检测日期及时间、数据记录序号、总轴距、车辆加速度、车道交通流量、车辆长宽高等并可根据用户要求设置</w:t>
      </w:r>
    </w:p>
    <w:p>
      <w:pPr>
        <w:pStyle w:val="130"/>
        <w:widowControl w:val="0"/>
        <w:numPr>
          <w:ilvl w:val="0"/>
          <w:numId w:val="8"/>
        </w:numPr>
        <w:spacing w:after="0" w:line="400" w:lineRule="exact"/>
        <w:ind w:left="981"/>
        <w:rPr>
          <w:rFonts w:hint="eastAsia" w:ascii="宋体" w:hAnsi="宋体"/>
          <w:color w:val="auto"/>
          <w:sz w:val="24"/>
          <w:szCs w:val="24"/>
          <w:highlight w:val="none"/>
        </w:rPr>
      </w:pPr>
      <w:r>
        <w:rPr>
          <w:rFonts w:hint="eastAsia" w:ascii="宋体" w:hAnsi="宋体"/>
          <w:color w:val="auto"/>
          <w:sz w:val="24"/>
          <w:szCs w:val="24"/>
          <w:highlight w:val="none"/>
        </w:rPr>
        <w:t>能够识别符合“GA36-92”（92式牌照） 和“GA36.1-2001”（02式新牌照）标准的民用车牌照和军车（包括04式新军车牌照）、</w:t>
      </w:r>
      <w:r>
        <w:rPr>
          <w:rFonts w:hint="eastAsia" w:ascii="宋体" w:hAnsi="宋体"/>
          <w:b/>
          <w:color w:val="auto"/>
          <w:sz w:val="24"/>
          <w:szCs w:val="24"/>
          <w:highlight w:val="none"/>
        </w:rPr>
        <w:t>新能源车</w:t>
      </w:r>
      <w:r>
        <w:rPr>
          <w:rFonts w:hint="eastAsia" w:ascii="宋体" w:hAnsi="宋体"/>
          <w:color w:val="auto"/>
          <w:sz w:val="24"/>
          <w:szCs w:val="24"/>
          <w:highlight w:val="none"/>
        </w:rPr>
        <w:t>、警车等特殊牌照的汉字、字母、数字、颜色等信息</w:t>
      </w:r>
    </w:p>
    <w:p>
      <w:pPr>
        <w:pStyle w:val="130"/>
        <w:widowControl w:val="0"/>
        <w:numPr>
          <w:ilvl w:val="0"/>
          <w:numId w:val="8"/>
        </w:numPr>
        <w:spacing w:after="0" w:line="400" w:lineRule="exact"/>
        <w:ind w:left="981"/>
        <w:rPr>
          <w:rFonts w:hint="eastAsia" w:ascii="宋体" w:hAnsi="宋体"/>
          <w:color w:val="auto"/>
          <w:sz w:val="24"/>
          <w:szCs w:val="24"/>
          <w:highlight w:val="none"/>
        </w:rPr>
      </w:pPr>
      <w:r>
        <w:rPr>
          <w:rFonts w:hint="eastAsia" w:ascii="宋体" w:hAnsi="宋体"/>
          <w:color w:val="auto"/>
          <w:sz w:val="24"/>
          <w:szCs w:val="24"/>
          <w:highlight w:val="none"/>
        </w:rPr>
        <w:t>自定义条件数据查询功能</w:t>
      </w:r>
    </w:p>
    <w:p>
      <w:pPr>
        <w:pStyle w:val="130"/>
        <w:widowControl w:val="0"/>
        <w:numPr>
          <w:ilvl w:val="0"/>
          <w:numId w:val="8"/>
        </w:numPr>
        <w:spacing w:after="0" w:line="400" w:lineRule="exact"/>
        <w:ind w:left="981"/>
        <w:rPr>
          <w:rFonts w:hint="eastAsia" w:ascii="宋体" w:hAnsi="宋体"/>
          <w:b/>
          <w:color w:val="auto"/>
          <w:sz w:val="24"/>
          <w:szCs w:val="24"/>
          <w:highlight w:val="none"/>
        </w:rPr>
      </w:pPr>
      <w:r>
        <w:rPr>
          <w:rFonts w:hint="eastAsia" w:ascii="宋体" w:hAnsi="宋体"/>
          <w:b/>
          <w:color w:val="auto"/>
          <w:sz w:val="24"/>
          <w:szCs w:val="24"/>
          <w:highlight w:val="none"/>
        </w:rPr>
        <w:t>预留上传数据接口，可将检测数据上传到监控中心</w:t>
      </w:r>
    </w:p>
    <w:p>
      <w:pPr>
        <w:pStyle w:val="130"/>
        <w:widowControl w:val="0"/>
        <w:numPr>
          <w:ilvl w:val="0"/>
          <w:numId w:val="8"/>
        </w:numPr>
        <w:spacing w:after="0" w:line="400" w:lineRule="exact"/>
        <w:ind w:left="981"/>
        <w:rPr>
          <w:rFonts w:ascii="宋体" w:hAnsi="宋体"/>
          <w:b/>
          <w:color w:val="auto"/>
          <w:sz w:val="21"/>
          <w:szCs w:val="21"/>
          <w:highlight w:val="none"/>
        </w:rPr>
      </w:pPr>
      <w:r>
        <w:rPr>
          <w:rFonts w:hint="eastAsia" w:ascii="宋体" w:hAnsi="宋体"/>
          <w:b/>
          <w:color w:val="auto"/>
          <w:sz w:val="24"/>
          <w:szCs w:val="24"/>
          <w:highlight w:val="none"/>
        </w:rPr>
        <w:t>预留治超信息网络化接口，方便全省治超信息网络化计划的实施。</w:t>
      </w:r>
    </w:p>
    <w:p>
      <w:pPr>
        <w:spacing w:line="400" w:lineRule="exact"/>
        <w:ind w:firstLine="630"/>
        <w:rPr>
          <w:rFonts w:ascii="宋体" w:hAnsi="宋体"/>
          <w:b/>
          <w:bCs/>
          <w:color w:val="auto"/>
          <w:szCs w:val="21"/>
          <w:highlight w:val="none"/>
        </w:rPr>
      </w:pPr>
      <w:r>
        <w:rPr>
          <w:rFonts w:hint="eastAsia" w:ascii="宋体" w:hAnsi="宋体"/>
          <w:b/>
          <w:bCs/>
          <w:color w:val="auto"/>
          <w:szCs w:val="21"/>
          <w:highlight w:val="none"/>
        </w:rPr>
        <w:t>3、设备技术要求</w:t>
      </w:r>
    </w:p>
    <w:p>
      <w:pPr>
        <w:spacing w:line="400" w:lineRule="exact"/>
        <w:ind w:firstLine="630"/>
        <w:rPr>
          <w:rFonts w:ascii="宋体" w:hAnsi="宋体"/>
          <w:b/>
          <w:bCs/>
          <w:color w:val="auto"/>
          <w:sz w:val="24"/>
          <w:highlight w:val="none"/>
        </w:rPr>
      </w:pPr>
      <w:r>
        <w:rPr>
          <w:rFonts w:hint="eastAsia" w:ascii="宋体" w:hAnsi="宋体"/>
          <w:b/>
          <w:bCs/>
          <w:color w:val="auto"/>
          <w:sz w:val="24"/>
          <w:highlight w:val="none"/>
        </w:rPr>
        <w:t>总体要求</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设备应采用模块式的硬件结构。</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设备应留有扩充接口，如增加外场设备等。</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相同设备的线路板可以互换。</w:t>
      </w:r>
    </w:p>
    <w:p>
      <w:pPr>
        <w:numPr>
          <w:ilvl w:val="0"/>
          <w:numId w:val="10"/>
        </w:numPr>
        <w:spacing w:line="400" w:lineRule="exact"/>
        <w:rPr>
          <w:rFonts w:hint="eastAsia" w:ascii="宋体" w:hAnsi="宋体"/>
          <w:color w:val="auto"/>
          <w:sz w:val="24"/>
          <w:highlight w:val="none"/>
        </w:rPr>
      </w:pPr>
      <w:bookmarkStart w:id="270" w:name="_Toc303185591"/>
      <w:bookmarkStart w:id="271" w:name="_Toc408516957"/>
      <w:bookmarkStart w:id="272" w:name="_Toc418502115"/>
      <w:r>
        <w:rPr>
          <w:rFonts w:hint="eastAsia" w:ascii="宋体" w:hAnsi="宋体"/>
          <w:color w:val="auto"/>
          <w:sz w:val="24"/>
          <w:highlight w:val="none"/>
        </w:rPr>
        <w:t>时间校准功能</w:t>
      </w:r>
      <w:bookmarkEnd w:id="270"/>
      <w:bookmarkEnd w:id="271"/>
      <w:bookmarkEnd w:id="272"/>
      <w:r>
        <w:rPr>
          <w:rFonts w:hint="eastAsia" w:ascii="宋体" w:hAnsi="宋体"/>
          <w:color w:val="auto"/>
          <w:sz w:val="24"/>
          <w:highlight w:val="none"/>
        </w:rPr>
        <w:t>：24h内计时误差不超过1.0s，确保所有前端设备点位每日至少与控制中心系统时钟同步一次。</w:t>
      </w:r>
    </w:p>
    <w:p>
      <w:pPr>
        <w:pStyle w:val="507"/>
        <w:numPr>
          <w:ilvl w:val="0"/>
          <w:numId w:val="10"/>
        </w:numPr>
        <w:spacing w:line="400" w:lineRule="exact"/>
        <w:ind w:firstLine="480"/>
        <w:rPr>
          <w:rFonts w:hint="eastAsia" w:ascii="宋体" w:hAnsi="宋体"/>
          <w:color w:val="auto"/>
          <w:kern w:val="2"/>
          <w:sz w:val="24"/>
          <w:szCs w:val="24"/>
          <w:highlight w:val="none"/>
        </w:rPr>
      </w:pPr>
      <w:r>
        <w:rPr>
          <w:rFonts w:hint="eastAsia" w:ascii="宋体" w:hAnsi="宋体"/>
          <w:color w:val="auto"/>
          <w:kern w:val="2"/>
          <w:sz w:val="24"/>
          <w:szCs w:val="24"/>
          <w:highlight w:val="none"/>
        </w:rPr>
        <w:t>可在后台同步显示各设备运行状态，当其中某个设备发生故障时，系统可自动报警。</w:t>
      </w:r>
    </w:p>
    <w:p>
      <w:pPr>
        <w:spacing w:line="400" w:lineRule="exact"/>
        <w:ind w:firstLine="630"/>
        <w:rPr>
          <w:rFonts w:ascii="宋体" w:hAnsi="宋体"/>
          <w:b/>
          <w:bCs/>
          <w:color w:val="auto"/>
          <w:sz w:val="24"/>
          <w:highlight w:val="none"/>
        </w:rPr>
      </w:pPr>
      <w:r>
        <w:rPr>
          <w:rFonts w:hint="eastAsia" w:ascii="宋体" w:hAnsi="宋体"/>
          <w:b/>
          <w:bCs/>
          <w:color w:val="auto"/>
          <w:sz w:val="24"/>
          <w:highlight w:val="none"/>
        </w:rPr>
        <w:t>主要设备技术要求：</w:t>
      </w:r>
    </w:p>
    <w:p>
      <w:pPr>
        <w:spacing w:line="400" w:lineRule="exact"/>
        <w:ind w:firstLine="630"/>
        <w:rPr>
          <w:rFonts w:hint="eastAsia" w:ascii="宋体" w:hAnsi="宋体"/>
          <w:b/>
          <w:bCs/>
          <w:color w:val="auto"/>
          <w:sz w:val="24"/>
          <w:highlight w:val="none"/>
        </w:rPr>
      </w:pPr>
      <w:r>
        <w:rPr>
          <w:rFonts w:hint="eastAsia" w:ascii="宋体" w:hAnsi="宋体"/>
          <w:b/>
          <w:bCs/>
          <w:color w:val="auto"/>
          <w:sz w:val="24"/>
          <w:highlight w:val="none"/>
        </w:rPr>
        <w:t>3.1双石英传感器动态汽车衡</w:t>
      </w:r>
    </w:p>
    <w:p>
      <w:pPr>
        <w:spacing w:line="400" w:lineRule="exact"/>
        <w:ind w:firstLine="630"/>
        <w:rPr>
          <w:rFonts w:hint="eastAsia" w:ascii="宋体" w:hAnsi="宋体"/>
          <w:b/>
          <w:bCs/>
          <w:color w:val="auto"/>
          <w:sz w:val="24"/>
          <w:highlight w:val="none"/>
        </w:rPr>
      </w:pPr>
      <w:r>
        <w:rPr>
          <w:rFonts w:hint="eastAsia" w:ascii="宋体" w:hAnsi="宋体"/>
          <w:b/>
          <w:bCs/>
          <w:color w:val="auto"/>
          <w:sz w:val="24"/>
          <w:highlight w:val="none"/>
        </w:rPr>
        <w:t>1）石英称重传感器</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传感器类型：石英压电传感器</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传感器长度：1.5m/1.75m/2m</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速度范围：1～≤120Km/h；</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传感器横截面：≤45×55mm</w:t>
      </w:r>
      <w:r>
        <w:rPr>
          <w:rFonts w:hint="eastAsia" w:ascii="宋体" w:hAnsi="宋体"/>
          <w:color w:val="auto"/>
          <w:sz w:val="24"/>
          <w:highlight w:val="none"/>
          <w:vertAlign w:val="superscript"/>
        </w:rPr>
        <w:t>2</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传感器灵敏度：-1.62（±10%）pC/N</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绝缘电阻：＞10</w:t>
      </w:r>
      <w:r>
        <w:rPr>
          <w:rFonts w:hint="eastAsia" w:ascii="宋体" w:hAnsi="宋体"/>
          <w:color w:val="auto"/>
          <w:sz w:val="24"/>
          <w:highlight w:val="none"/>
          <w:vertAlign w:val="superscript"/>
        </w:rPr>
        <w:t>10</w:t>
      </w:r>
      <w:r>
        <w:rPr>
          <w:rFonts w:hint="eastAsia" w:ascii="宋体" w:hAnsi="宋体"/>
          <w:color w:val="auto"/>
          <w:sz w:val="24"/>
          <w:highlight w:val="none"/>
        </w:rPr>
        <w:t>Ω</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传感器测点间误差：≤±3%</w:t>
      </w:r>
    </w:p>
    <w:p>
      <w:pPr>
        <w:pStyle w:val="130"/>
        <w:widowControl w:val="0"/>
        <w:numPr>
          <w:ilvl w:val="0"/>
          <w:numId w:val="10"/>
        </w:numPr>
        <w:spacing w:after="0" w:line="400" w:lineRule="exact"/>
        <w:rPr>
          <w:rFonts w:hint="eastAsia" w:ascii="宋体" w:hAnsi="宋体"/>
          <w:color w:val="auto"/>
          <w:sz w:val="24"/>
          <w:szCs w:val="24"/>
          <w:highlight w:val="none"/>
        </w:rPr>
      </w:pPr>
      <w:r>
        <w:rPr>
          <w:rFonts w:hint="eastAsia" w:ascii="宋体" w:hAnsi="宋体"/>
          <w:color w:val="auto"/>
          <w:sz w:val="24"/>
          <w:szCs w:val="24"/>
          <w:highlight w:val="none"/>
        </w:rPr>
        <w:t>总重误差范围： 检定误差 ≤±2.5%，使用误差≤±5%</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置信度：≥95％</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荷载能力（单轴）：≥30t</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过载能力（单轴）：≥150％</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速度误差：≤±3%</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轴距误差：≤±150mm</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流量检测精度：≥99％</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工作温度：-45～80℃</w:t>
      </w:r>
    </w:p>
    <w:p>
      <w:pPr>
        <w:numPr>
          <w:ilvl w:val="0"/>
          <w:numId w:val="10"/>
        </w:numPr>
        <w:spacing w:line="400" w:lineRule="exact"/>
        <w:rPr>
          <w:rFonts w:hint="eastAsia" w:ascii="宋体" w:hAnsi="宋体"/>
          <w:b/>
          <w:bCs/>
          <w:color w:val="auto"/>
          <w:sz w:val="24"/>
          <w:highlight w:val="none"/>
        </w:rPr>
      </w:pPr>
      <w:r>
        <w:rPr>
          <w:rFonts w:hint="eastAsia" w:ascii="宋体" w:hAnsi="宋体"/>
          <w:color w:val="auto"/>
          <w:sz w:val="24"/>
          <w:highlight w:val="none"/>
        </w:rPr>
        <w:t>防护等级：IP68</w:t>
      </w:r>
    </w:p>
    <w:p>
      <w:pPr>
        <w:numPr>
          <w:ilvl w:val="0"/>
          <w:numId w:val="10"/>
        </w:numPr>
        <w:spacing w:line="400" w:lineRule="exact"/>
        <w:rPr>
          <w:rFonts w:hint="eastAsia" w:ascii="宋体" w:hAnsi="宋体"/>
          <w:b/>
          <w:bCs/>
          <w:color w:val="auto"/>
          <w:sz w:val="24"/>
          <w:highlight w:val="none"/>
        </w:rPr>
      </w:pPr>
      <w:r>
        <w:rPr>
          <w:rFonts w:hint="eastAsia" w:ascii="宋体" w:hAnsi="宋体"/>
          <w:color w:val="auto"/>
          <w:sz w:val="24"/>
          <w:highlight w:val="none"/>
        </w:rPr>
        <w:t>须具有专业EMC认证证书</w:t>
      </w:r>
    </w:p>
    <w:p>
      <w:pPr>
        <w:spacing w:line="400" w:lineRule="exact"/>
        <w:ind w:left="900"/>
        <w:rPr>
          <w:rFonts w:hint="eastAsia" w:ascii="宋体" w:hAnsi="宋体"/>
          <w:b/>
          <w:bCs/>
          <w:color w:val="auto"/>
          <w:sz w:val="24"/>
          <w:highlight w:val="none"/>
        </w:rPr>
      </w:pPr>
      <w:r>
        <w:rPr>
          <w:rFonts w:hint="eastAsia" w:ascii="宋体" w:hAnsi="宋体"/>
          <w:b/>
          <w:bCs/>
          <w:color w:val="auto"/>
          <w:sz w:val="24"/>
          <w:highlight w:val="none"/>
        </w:rPr>
        <w:t>2）双线圈高速检测器（含线圈）</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整体结构采用分布式、模块化设计，可维护性和可靠性高；频率波动&lt;2×10-5Hz；单通道/四通道320μs，测量误差&lt;2×10-5Hz；采用高速通道顺序扫描技术，每通道4种振荡频率选择开关；双254级灵敏度调节范围；二维车型分类，通过车辆底盘长度和底盘高度进行分类；正行和逆行检测；双向数据检测，同时检测正行和逆行的车长、车速等数据；双通道协议输出，同时提供两个RS232/RS485串行接口，分别输出统计数据和实时数据；独立配置数字IO输出，每个检测卡对应每个检测线圈提供相应开关量输出，开关量输出结构用光电耦合进行隔离；每通道4种数字量输出方式，通过型、存在型、扩展型、延迟型，后三种存在时间可在1-65535秒之间任意设定；三重防雷(半导体、隔离变压器、光隔离)。</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技术要求：</w:t>
      </w:r>
    </w:p>
    <w:tbl>
      <w:tblPr>
        <w:tblStyle w:val="51"/>
        <w:tblW w:w="52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790"/>
        <w:gridCol w:w="2866"/>
        <w:gridCol w:w="42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5" w:hRule="atLeast"/>
          <w:tblHeader/>
          <w:jc w:val="center"/>
        </w:trPr>
        <w:tc>
          <w:tcPr>
            <w:tcW w:w="1009" w:type="pct"/>
            <w:noWrap w:val="0"/>
            <w:tcMar>
              <w:left w:w="108" w:type="dxa"/>
              <w:right w:w="108" w:type="dxa"/>
            </w:tcMar>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灵敏度</w:t>
            </w:r>
          </w:p>
        </w:tc>
        <w:tc>
          <w:tcPr>
            <w:tcW w:w="3991" w:type="pct"/>
            <w:gridSpan w:val="2"/>
            <w:noWrap w:val="0"/>
            <w:tcMar>
              <w:left w:w="108" w:type="dxa"/>
              <w:right w:w="108" w:type="dxa"/>
            </w:tcMar>
            <w:vAlign w:val="top"/>
          </w:tcPr>
          <w:p>
            <w:pPr>
              <w:spacing w:line="360" w:lineRule="auto"/>
              <w:ind w:firstLine="360"/>
              <w:jc w:val="center"/>
              <w:rPr>
                <w:rFonts w:hint="eastAsia" w:ascii="宋体" w:hAnsi="宋体"/>
                <w:color w:val="auto"/>
                <w:sz w:val="24"/>
                <w:highlight w:val="none"/>
              </w:rPr>
            </w:pPr>
            <w:r>
              <w:rPr>
                <w:rFonts w:hint="eastAsia" w:ascii="宋体" w:hAnsi="宋体"/>
                <w:color w:val="auto"/>
                <w:sz w:val="24"/>
                <w:highlight w:val="none"/>
              </w:rPr>
              <w:t xml:space="preserve">双灵敏度 1～255无级可调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96" w:hRule="atLeast"/>
          <w:tblHeader/>
          <w:jc w:val="center"/>
        </w:trPr>
        <w:tc>
          <w:tcPr>
            <w:tcW w:w="1009" w:type="pct"/>
            <w:noWrap w:val="0"/>
            <w:tcMar>
              <w:left w:w="108" w:type="dxa"/>
              <w:right w:w="108" w:type="dxa"/>
            </w:tcMar>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 xml:space="preserve">数字开关量输出 </w:t>
            </w:r>
          </w:p>
        </w:tc>
        <w:tc>
          <w:tcPr>
            <w:tcW w:w="3991" w:type="pct"/>
            <w:gridSpan w:val="2"/>
            <w:noWrap w:val="0"/>
            <w:tcMar>
              <w:left w:w="108" w:type="dxa"/>
              <w:right w:w="108" w:type="dxa"/>
            </w:tcMar>
            <w:vAlign w:val="top"/>
          </w:tcPr>
          <w:p>
            <w:pPr>
              <w:spacing w:line="360" w:lineRule="auto"/>
              <w:rPr>
                <w:rFonts w:hint="eastAsia" w:ascii="宋体" w:hAnsi="宋体"/>
                <w:color w:val="auto"/>
                <w:sz w:val="24"/>
                <w:highlight w:val="none"/>
              </w:rPr>
            </w:pPr>
            <w:r>
              <w:rPr>
                <w:rFonts w:hint="eastAsia" w:ascii="宋体" w:hAnsi="宋体"/>
                <w:color w:val="auto"/>
                <w:sz w:val="24"/>
                <w:highlight w:val="none"/>
              </w:rPr>
              <w:t xml:space="preserve">支持通过、存在、延迟、扩展4种模式；存在、延迟、扩展时间1~65535秒可选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jc w:val="center"/>
        </w:trPr>
        <w:tc>
          <w:tcPr>
            <w:tcW w:w="1009" w:type="pct"/>
            <w:vMerge w:val="restart"/>
            <w:noWrap w:val="0"/>
            <w:tcMar>
              <w:left w:w="108" w:type="dxa"/>
              <w:right w:w="108" w:type="dxa"/>
            </w:tcMar>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 xml:space="preserve">实时交通数据 </w:t>
            </w:r>
          </w:p>
        </w:tc>
        <w:tc>
          <w:tcPr>
            <w:tcW w:w="1616" w:type="pct"/>
            <w:noWrap w:val="0"/>
            <w:tcMar>
              <w:left w:w="108" w:type="dxa"/>
              <w:right w:w="108" w:type="dxa"/>
            </w:tcMar>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数据传输延迟</w:t>
            </w:r>
          </w:p>
        </w:tc>
        <w:tc>
          <w:tcPr>
            <w:tcW w:w="2375" w:type="pct"/>
            <w:noWrap w:val="0"/>
            <w:tcMar>
              <w:left w:w="108" w:type="dxa"/>
              <w:right w:w="108" w:type="dxa"/>
            </w:tcMar>
            <w:vAlign w:val="top"/>
          </w:tcPr>
          <w:p>
            <w:pPr>
              <w:spacing w:line="360" w:lineRule="auto"/>
              <w:ind w:firstLine="360"/>
              <w:jc w:val="center"/>
              <w:rPr>
                <w:rFonts w:hint="eastAsia" w:ascii="宋体" w:hAnsi="宋体"/>
                <w:color w:val="auto"/>
                <w:sz w:val="24"/>
                <w:highlight w:val="none"/>
              </w:rPr>
            </w:pPr>
            <w:r>
              <w:rPr>
                <w:rFonts w:hint="eastAsia" w:ascii="宋体" w:hAnsi="宋体"/>
                <w:color w:val="auto"/>
                <w:sz w:val="24"/>
                <w:highlight w:val="none"/>
              </w:rPr>
              <w:t xml:space="preserve">&lt;3ms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9" w:hRule="atLeast"/>
          <w:tblHeader/>
          <w:jc w:val="center"/>
        </w:trPr>
        <w:tc>
          <w:tcPr>
            <w:tcW w:w="1009" w:type="pct"/>
            <w:vMerge w:val="continue"/>
            <w:noWrap w:val="0"/>
            <w:tcMar>
              <w:left w:w="108" w:type="dxa"/>
              <w:right w:w="108" w:type="dxa"/>
            </w:tcMar>
            <w:vAlign w:val="center"/>
          </w:tcPr>
          <w:p>
            <w:pPr>
              <w:spacing w:line="360" w:lineRule="auto"/>
              <w:jc w:val="center"/>
              <w:rPr>
                <w:rFonts w:hint="eastAsia" w:ascii="宋体" w:hAnsi="宋体"/>
                <w:color w:val="auto"/>
                <w:sz w:val="24"/>
                <w:highlight w:val="none"/>
              </w:rPr>
            </w:pPr>
          </w:p>
        </w:tc>
        <w:tc>
          <w:tcPr>
            <w:tcW w:w="1616" w:type="pct"/>
            <w:noWrap w:val="0"/>
            <w:tcMar>
              <w:left w:w="108" w:type="dxa"/>
              <w:right w:w="108" w:type="dxa"/>
            </w:tcMar>
            <w:vAlign w:val="top"/>
          </w:tcPr>
          <w:p>
            <w:pPr>
              <w:widowControl/>
              <w:spacing w:before="58" w:after="58" w:line="360" w:lineRule="auto"/>
              <w:jc w:val="center"/>
              <w:rPr>
                <w:rFonts w:hint="eastAsia" w:ascii="宋体" w:hAnsi="宋体"/>
                <w:color w:val="auto"/>
                <w:sz w:val="24"/>
                <w:highlight w:val="none"/>
              </w:rPr>
            </w:pPr>
            <w:r>
              <w:rPr>
                <w:rFonts w:hint="eastAsia" w:ascii="宋体" w:hAnsi="宋体"/>
                <w:color w:val="auto"/>
                <w:sz w:val="24"/>
                <w:highlight w:val="none"/>
              </w:rPr>
              <w:t>速度测量精度</w:t>
            </w:r>
          </w:p>
        </w:tc>
        <w:tc>
          <w:tcPr>
            <w:tcW w:w="2375" w:type="pct"/>
            <w:noWrap w:val="0"/>
            <w:tcMar>
              <w:left w:w="108" w:type="dxa"/>
              <w:right w:w="108" w:type="dxa"/>
            </w:tcMar>
            <w:vAlign w:val="top"/>
          </w:tcPr>
          <w:p>
            <w:pPr>
              <w:widowControl/>
              <w:spacing w:before="58" w:after="58" w:line="360" w:lineRule="auto"/>
              <w:ind w:firstLine="360"/>
              <w:jc w:val="center"/>
              <w:rPr>
                <w:rFonts w:hint="eastAsia" w:ascii="宋体" w:hAnsi="宋体"/>
                <w:color w:val="auto"/>
                <w:sz w:val="24"/>
                <w:highlight w:val="none"/>
              </w:rPr>
            </w:pPr>
            <w:r>
              <w:rPr>
                <w:rFonts w:hint="eastAsia" w:ascii="宋体" w:hAnsi="宋体"/>
                <w:color w:val="auto"/>
                <w:sz w:val="24"/>
                <w:highlight w:val="none"/>
              </w:rPr>
              <w:t xml:space="preserve">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jc w:val="center"/>
        </w:trPr>
        <w:tc>
          <w:tcPr>
            <w:tcW w:w="1009" w:type="pct"/>
            <w:vMerge w:val="continue"/>
            <w:noWrap w:val="0"/>
            <w:tcMar>
              <w:left w:w="108" w:type="dxa"/>
              <w:right w:w="108" w:type="dxa"/>
            </w:tcMar>
            <w:vAlign w:val="center"/>
          </w:tcPr>
          <w:p>
            <w:pPr>
              <w:spacing w:line="360" w:lineRule="auto"/>
              <w:jc w:val="center"/>
              <w:rPr>
                <w:rFonts w:hint="eastAsia" w:ascii="宋体" w:hAnsi="宋体"/>
                <w:color w:val="auto"/>
                <w:sz w:val="24"/>
                <w:highlight w:val="none"/>
              </w:rPr>
            </w:pPr>
          </w:p>
        </w:tc>
        <w:tc>
          <w:tcPr>
            <w:tcW w:w="1616" w:type="pct"/>
            <w:noWrap w:val="0"/>
            <w:tcMar>
              <w:left w:w="108" w:type="dxa"/>
              <w:right w:w="108" w:type="dxa"/>
            </w:tcMar>
            <w:vAlign w:val="top"/>
          </w:tcPr>
          <w:p>
            <w:pPr>
              <w:widowControl/>
              <w:spacing w:before="58" w:after="58" w:line="360" w:lineRule="auto"/>
              <w:jc w:val="center"/>
              <w:rPr>
                <w:rFonts w:hint="eastAsia" w:ascii="宋体" w:hAnsi="宋体"/>
                <w:color w:val="auto"/>
                <w:sz w:val="24"/>
                <w:highlight w:val="none"/>
              </w:rPr>
            </w:pPr>
            <w:r>
              <w:rPr>
                <w:rFonts w:hint="eastAsia" w:ascii="宋体" w:hAnsi="宋体"/>
                <w:color w:val="auto"/>
                <w:sz w:val="24"/>
                <w:highlight w:val="none"/>
              </w:rPr>
              <w:t>车辆长度</w:t>
            </w:r>
          </w:p>
        </w:tc>
        <w:tc>
          <w:tcPr>
            <w:tcW w:w="2375" w:type="pct"/>
            <w:noWrap w:val="0"/>
            <w:tcMar>
              <w:left w:w="108" w:type="dxa"/>
              <w:right w:w="108" w:type="dxa"/>
            </w:tcMar>
            <w:vAlign w:val="top"/>
          </w:tcPr>
          <w:p>
            <w:pPr>
              <w:widowControl/>
              <w:spacing w:before="58" w:after="58" w:line="360" w:lineRule="auto"/>
              <w:ind w:firstLine="360"/>
              <w:jc w:val="center"/>
              <w:rPr>
                <w:rFonts w:hint="eastAsia" w:ascii="宋体" w:hAnsi="宋体"/>
                <w:color w:val="auto"/>
                <w:sz w:val="24"/>
                <w:highlight w:val="none"/>
              </w:rPr>
            </w:pPr>
            <w:r>
              <w:rPr>
                <w:rFonts w:hint="eastAsia" w:ascii="宋体" w:hAnsi="宋体"/>
                <w:color w:val="auto"/>
                <w:sz w:val="24"/>
                <w:highlight w:val="none"/>
              </w:rPr>
              <w:t xml:space="preserve">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jc w:val="center"/>
        </w:trPr>
        <w:tc>
          <w:tcPr>
            <w:tcW w:w="1009" w:type="pct"/>
            <w:vMerge w:val="restart"/>
            <w:noWrap w:val="0"/>
            <w:tcMar>
              <w:left w:w="108" w:type="dxa"/>
              <w:right w:w="108" w:type="dxa"/>
            </w:tcMar>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 xml:space="preserve">统计交通数据 </w:t>
            </w:r>
          </w:p>
        </w:tc>
        <w:tc>
          <w:tcPr>
            <w:tcW w:w="1616" w:type="pct"/>
            <w:noWrap w:val="0"/>
            <w:tcMar>
              <w:left w:w="108" w:type="dxa"/>
              <w:right w:w="108" w:type="dxa"/>
            </w:tcMar>
            <w:vAlign w:val="top"/>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 xml:space="preserve">正反向车流量（辆） </w:t>
            </w:r>
          </w:p>
        </w:tc>
        <w:tc>
          <w:tcPr>
            <w:tcW w:w="2375" w:type="pct"/>
            <w:noWrap w:val="0"/>
            <w:tcMar>
              <w:left w:w="108" w:type="dxa"/>
              <w:right w:w="108" w:type="dxa"/>
            </w:tcMar>
            <w:vAlign w:val="top"/>
          </w:tcPr>
          <w:p>
            <w:pPr>
              <w:spacing w:line="360" w:lineRule="auto"/>
              <w:ind w:firstLine="360"/>
              <w:jc w:val="center"/>
              <w:rPr>
                <w:rFonts w:hint="eastAsia" w:ascii="宋体" w:hAnsi="宋体"/>
                <w:color w:val="auto"/>
                <w:sz w:val="24"/>
                <w:highlight w:val="none"/>
              </w:rPr>
            </w:pPr>
            <w:r>
              <w:rPr>
                <w:rFonts w:hint="eastAsia" w:ascii="宋体" w:hAnsi="宋体"/>
                <w:color w:val="auto"/>
                <w:sz w:val="24"/>
                <w:highlight w:val="none"/>
              </w:rPr>
              <w:t xml:space="preserve">1～65535，精度优于99%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1" w:hRule="atLeast"/>
          <w:tblHeader/>
          <w:jc w:val="center"/>
        </w:trPr>
        <w:tc>
          <w:tcPr>
            <w:tcW w:w="1009" w:type="pct"/>
            <w:vMerge w:val="continue"/>
            <w:noWrap w:val="0"/>
            <w:tcMar>
              <w:left w:w="108" w:type="dxa"/>
              <w:right w:w="108" w:type="dxa"/>
            </w:tcMar>
            <w:vAlign w:val="center"/>
          </w:tcPr>
          <w:p>
            <w:pPr>
              <w:spacing w:line="360" w:lineRule="auto"/>
              <w:jc w:val="center"/>
              <w:rPr>
                <w:rFonts w:hint="eastAsia" w:ascii="宋体" w:hAnsi="宋体"/>
                <w:color w:val="auto"/>
                <w:sz w:val="24"/>
                <w:highlight w:val="none"/>
              </w:rPr>
            </w:pPr>
          </w:p>
        </w:tc>
        <w:tc>
          <w:tcPr>
            <w:tcW w:w="1616" w:type="pct"/>
            <w:noWrap w:val="0"/>
            <w:tcMar>
              <w:left w:w="108" w:type="dxa"/>
              <w:right w:w="108" w:type="dxa"/>
            </w:tcMar>
            <w:vAlign w:val="top"/>
          </w:tcPr>
          <w:p>
            <w:pPr>
              <w:widowControl/>
              <w:spacing w:before="58" w:after="58" w:line="360" w:lineRule="auto"/>
              <w:jc w:val="center"/>
              <w:rPr>
                <w:rFonts w:hint="eastAsia" w:ascii="宋体" w:hAnsi="宋体"/>
                <w:color w:val="auto"/>
                <w:sz w:val="24"/>
                <w:highlight w:val="none"/>
              </w:rPr>
            </w:pPr>
            <w:r>
              <w:rPr>
                <w:rFonts w:hint="eastAsia" w:ascii="宋体" w:hAnsi="宋体"/>
                <w:color w:val="auto"/>
                <w:sz w:val="24"/>
                <w:highlight w:val="none"/>
              </w:rPr>
              <w:t xml:space="preserve">平均车速（公里/小时） </w:t>
            </w:r>
          </w:p>
        </w:tc>
        <w:tc>
          <w:tcPr>
            <w:tcW w:w="2375" w:type="pct"/>
            <w:noWrap w:val="0"/>
            <w:tcMar>
              <w:left w:w="108" w:type="dxa"/>
              <w:right w:w="108" w:type="dxa"/>
            </w:tcMar>
            <w:vAlign w:val="top"/>
          </w:tcPr>
          <w:p>
            <w:pPr>
              <w:widowControl/>
              <w:spacing w:before="58" w:after="58" w:line="360" w:lineRule="auto"/>
              <w:ind w:firstLine="360"/>
              <w:jc w:val="center"/>
              <w:rPr>
                <w:rFonts w:hint="eastAsia" w:ascii="宋体" w:hAnsi="宋体"/>
                <w:color w:val="auto"/>
                <w:sz w:val="24"/>
                <w:highlight w:val="none"/>
              </w:rPr>
            </w:pPr>
            <w:r>
              <w:rPr>
                <w:rFonts w:hint="eastAsia" w:ascii="宋体" w:hAnsi="宋体"/>
                <w:color w:val="auto"/>
                <w:sz w:val="24"/>
                <w:highlight w:val="none"/>
              </w:rPr>
              <w:t xml:space="preserve">0～255，精度优于98%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jc w:val="center"/>
        </w:trPr>
        <w:tc>
          <w:tcPr>
            <w:tcW w:w="1009" w:type="pct"/>
            <w:vMerge w:val="continue"/>
            <w:noWrap w:val="0"/>
            <w:tcMar>
              <w:left w:w="108" w:type="dxa"/>
              <w:right w:w="108" w:type="dxa"/>
            </w:tcMar>
            <w:vAlign w:val="center"/>
          </w:tcPr>
          <w:p>
            <w:pPr>
              <w:spacing w:line="360" w:lineRule="auto"/>
              <w:jc w:val="center"/>
              <w:rPr>
                <w:rFonts w:hint="eastAsia" w:ascii="宋体" w:hAnsi="宋体"/>
                <w:color w:val="auto"/>
                <w:sz w:val="24"/>
                <w:highlight w:val="none"/>
              </w:rPr>
            </w:pPr>
          </w:p>
        </w:tc>
        <w:tc>
          <w:tcPr>
            <w:tcW w:w="1616" w:type="pct"/>
            <w:noWrap w:val="0"/>
            <w:tcMar>
              <w:left w:w="108" w:type="dxa"/>
              <w:right w:w="108" w:type="dxa"/>
            </w:tcMar>
            <w:vAlign w:val="top"/>
          </w:tcPr>
          <w:p>
            <w:pPr>
              <w:widowControl/>
              <w:spacing w:before="58" w:after="58" w:line="360" w:lineRule="auto"/>
              <w:jc w:val="center"/>
              <w:rPr>
                <w:rFonts w:hint="eastAsia" w:ascii="宋体" w:hAnsi="宋体"/>
                <w:color w:val="auto"/>
                <w:sz w:val="24"/>
                <w:highlight w:val="none"/>
              </w:rPr>
            </w:pPr>
            <w:r>
              <w:rPr>
                <w:rFonts w:hint="eastAsia" w:ascii="宋体" w:hAnsi="宋体"/>
                <w:color w:val="auto"/>
                <w:sz w:val="24"/>
                <w:highlight w:val="none"/>
              </w:rPr>
              <w:t xml:space="preserve">平均车长（米） </w:t>
            </w:r>
          </w:p>
        </w:tc>
        <w:tc>
          <w:tcPr>
            <w:tcW w:w="2375" w:type="pct"/>
            <w:noWrap w:val="0"/>
            <w:tcMar>
              <w:left w:w="108" w:type="dxa"/>
              <w:right w:w="108" w:type="dxa"/>
            </w:tcMar>
            <w:vAlign w:val="top"/>
          </w:tcPr>
          <w:p>
            <w:pPr>
              <w:widowControl/>
              <w:spacing w:before="58" w:after="58" w:line="360" w:lineRule="auto"/>
              <w:ind w:firstLine="360"/>
              <w:jc w:val="center"/>
              <w:rPr>
                <w:rFonts w:hint="eastAsia" w:ascii="宋体" w:hAnsi="宋体"/>
                <w:color w:val="auto"/>
                <w:sz w:val="24"/>
                <w:highlight w:val="none"/>
              </w:rPr>
            </w:pPr>
            <w:r>
              <w:rPr>
                <w:rFonts w:hint="eastAsia" w:ascii="宋体" w:hAnsi="宋体"/>
                <w:color w:val="auto"/>
                <w:sz w:val="24"/>
                <w:highlight w:val="none"/>
              </w:rPr>
              <w:t xml:space="preserve">1～25.5，精度优于95%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jc w:val="center"/>
        </w:trPr>
        <w:tc>
          <w:tcPr>
            <w:tcW w:w="1009" w:type="pct"/>
            <w:vMerge w:val="continue"/>
            <w:noWrap w:val="0"/>
            <w:tcMar>
              <w:left w:w="108" w:type="dxa"/>
              <w:right w:w="108" w:type="dxa"/>
            </w:tcMar>
            <w:vAlign w:val="center"/>
          </w:tcPr>
          <w:p>
            <w:pPr>
              <w:spacing w:line="360" w:lineRule="auto"/>
              <w:jc w:val="center"/>
              <w:rPr>
                <w:rFonts w:hint="eastAsia" w:ascii="宋体" w:hAnsi="宋体"/>
                <w:color w:val="auto"/>
                <w:sz w:val="24"/>
                <w:highlight w:val="none"/>
              </w:rPr>
            </w:pPr>
          </w:p>
        </w:tc>
        <w:tc>
          <w:tcPr>
            <w:tcW w:w="1616" w:type="pct"/>
            <w:noWrap w:val="0"/>
            <w:tcMar>
              <w:left w:w="108" w:type="dxa"/>
              <w:right w:w="108" w:type="dxa"/>
            </w:tcMar>
            <w:vAlign w:val="top"/>
          </w:tcPr>
          <w:p>
            <w:pPr>
              <w:widowControl/>
              <w:spacing w:before="58" w:after="58" w:line="360" w:lineRule="auto"/>
              <w:jc w:val="center"/>
              <w:rPr>
                <w:rFonts w:hint="eastAsia" w:ascii="宋体" w:hAnsi="宋体"/>
                <w:color w:val="auto"/>
                <w:sz w:val="24"/>
                <w:highlight w:val="none"/>
              </w:rPr>
            </w:pPr>
            <w:r>
              <w:rPr>
                <w:rFonts w:hint="eastAsia" w:ascii="宋体" w:hAnsi="宋体"/>
                <w:color w:val="auto"/>
                <w:sz w:val="24"/>
                <w:highlight w:val="none"/>
              </w:rPr>
              <w:t xml:space="preserve">平均车间距（米） </w:t>
            </w:r>
          </w:p>
        </w:tc>
        <w:tc>
          <w:tcPr>
            <w:tcW w:w="2375" w:type="pct"/>
            <w:noWrap w:val="0"/>
            <w:tcMar>
              <w:left w:w="108" w:type="dxa"/>
              <w:right w:w="108" w:type="dxa"/>
            </w:tcMar>
            <w:vAlign w:val="top"/>
          </w:tcPr>
          <w:p>
            <w:pPr>
              <w:widowControl/>
              <w:spacing w:before="58" w:after="58" w:line="360" w:lineRule="auto"/>
              <w:ind w:firstLine="360"/>
              <w:jc w:val="center"/>
              <w:rPr>
                <w:rFonts w:hint="eastAsia" w:ascii="宋体" w:hAnsi="宋体"/>
                <w:color w:val="auto"/>
                <w:sz w:val="24"/>
                <w:highlight w:val="none"/>
              </w:rPr>
            </w:pPr>
            <w:r>
              <w:rPr>
                <w:rFonts w:hint="eastAsia" w:ascii="宋体" w:hAnsi="宋体"/>
                <w:color w:val="auto"/>
                <w:sz w:val="24"/>
                <w:highlight w:val="none"/>
              </w:rPr>
              <w:t xml:space="preserve">1～255，精度优于99%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jc w:val="center"/>
        </w:trPr>
        <w:tc>
          <w:tcPr>
            <w:tcW w:w="1009" w:type="pct"/>
            <w:vMerge w:val="continue"/>
            <w:noWrap w:val="0"/>
            <w:tcMar>
              <w:left w:w="108" w:type="dxa"/>
              <w:right w:w="108" w:type="dxa"/>
            </w:tcMar>
            <w:vAlign w:val="center"/>
          </w:tcPr>
          <w:p>
            <w:pPr>
              <w:spacing w:line="360" w:lineRule="auto"/>
              <w:jc w:val="center"/>
              <w:rPr>
                <w:rFonts w:hint="eastAsia" w:ascii="宋体" w:hAnsi="宋体"/>
                <w:color w:val="auto"/>
                <w:sz w:val="24"/>
                <w:highlight w:val="none"/>
              </w:rPr>
            </w:pPr>
          </w:p>
        </w:tc>
        <w:tc>
          <w:tcPr>
            <w:tcW w:w="1616" w:type="pct"/>
            <w:noWrap w:val="0"/>
            <w:tcMar>
              <w:left w:w="108" w:type="dxa"/>
              <w:right w:w="108" w:type="dxa"/>
            </w:tcMar>
            <w:vAlign w:val="top"/>
          </w:tcPr>
          <w:p>
            <w:pPr>
              <w:widowControl/>
              <w:spacing w:before="58" w:after="58" w:line="360" w:lineRule="auto"/>
              <w:jc w:val="center"/>
              <w:rPr>
                <w:rFonts w:hint="eastAsia" w:ascii="宋体" w:hAnsi="宋体"/>
                <w:color w:val="auto"/>
                <w:sz w:val="24"/>
                <w:highlight w:val="none"/>
              </w:rPr>
            </w:pPr>
            <w:r>
              <w:rPr>
                <w:rFonts w:hint="eastAsia" w:ascii="宋体" w:hAnsi="宋体"/>
                <w:color w:val="auto"/>
                <w:sz w:val="24"/>
                <w:highlight w:val="none"/>
              </w:rPr>
              <w:t xml:space="preserve">平均密度（辆/公里） </w:t>
            </w:r>
          </w:p>
        </w:tc>
        <w:tc>
          <w:tcPr>
            <w:tcW w:w="2375" w:type="pct"/>
            <w:noWrap w:val="0"/>
            <w:tcMar>
              <w:left w:w="108" w:type="dxa"/>
              <w:right w:w="108" w:type="dxa"/>
            </w:tcMar>
            <w:vAlign w:val="top"/>
          </w:tcPr>
          <w:p>
            <w:pPr>
              <w:widowControl/>
              <w:spacing w:before="58" w:after="58" w:line="360" w:lineRule="auto"/>
              <w:ind w:firstLine="360"/>
              <w:jc w:val="center"/>
              <w:rPr>
                <w:rFonts w:hint="eastAsia" w:ascii="宋体" w:hAnsi="宋体"/>
                <w:color w:val="auto"/>
                <w:sz w:val="24"/>
                <w:highlight w:val="none"/>
              </w:rPr>
            </w:pPr>
            <w:r>
              <w:rPr>
                <w:rFonts w:hint="eastAsia" w:ascii="宋体" w:hAnsi="宋体"/>
                <w:color w:val="auto"/>
                <w:sz w:val="24"/>
                <w:highlight w:val="none"/>
              </w:rPr>
              <w:t xml:space="preserve">1～255，精度优于99%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jc w:val="center"/>
        </w:trPr>
        <w:tc>
          <w:tcPr>
            <w:tcW w:w="1009" w:type="pct"/>
            <w:vMerge w:val="continue"/>
            <w:noWrap w:val="0"/>
            <w:tcMar>
              <w:left w:w="108" w:type="dxa"/>
              <w:right w:w="108" w:type="dxa"/>
            </w:tcMar>
            <w:vAlign w:val="center"/>
          </w:tcPr>
          <w:p>
            <w:pPr>
              <w:spacing w:line="360" w:lineRule="auto"/>
              <w:jc w:val="center"/>
              <w:rPr>
                <w:rFonts w:hint="eastAsia" w:ascii="宋体" w:hAnsi="宋体"/>
                <w:color w:val="auto"/>
                <w:sz w:val="24"/>
                <w:highlight w:val="none"/>
              </w:rPr>
            </w:pPr>
          </w:p>
        </w:tc>
        <w:tc>
          <w:tcPr>
            <w:tcW w:w="1616" w:type="pct"/>
            <w:noWrap w:val="0"/>
            <w:tcMar>
              <w:left w:w="108" w:type="dxa"/>
              <w:right w:w="108" w:type="dxa"/>
            </w:tcMar>
            <w:vAlign w:val="top"/>
          </w:tcPr>
          <w:p>
            <w:pPr>
              <w:widowControl/>
              <w:spacing w:before="58" w:after="58" w:line="360" w:lineRule="auto"/>
              <w:jc w:val="center"/>
              <w:rPr>
                <w:rFonts w:hint="eastAsia" w:ascii="宋体" w:hAnsi="宋体"/>
                <w:color w:val="auto"/>
                <w:sz w:val="24"/>
                <w:highlight w:val="none"/>
              </w:rPr>
            </w:pPr>
            <w:r>
              <w:rPr>
                <w:rFonts w:hint="eastAsia" w:ascii="宋体" w:hAnsi="宋体"/>
                <w:color w:val="auto"/>
                <w:sz w:val="24"/>
                <w:highlight w:val="none"/>
              </w:rPr>
              <w:t xml:space="preserve">占有率（%） </w:t>
            </w:r>
          </w:p>
        </w:tc>
        <w:tc>
          <w:tcPr>
            <w:tcW w:w="2375" w:type="pct"/>
            <w:noWrap w:val="0"/>
            <w:tcMar>
              <w:left w:w="108" w:type="dxa"/>
              <w:right w:w="108" w:type="dxa"/>
            </w:tcMar>
            <w:vAlign w:val="top"/>
          </w:tcPr>
          <w:p>
            <w:pPr>
              <w:widowControl/>
              <w:spacing w:before="58" w:after="58" w:line="360" w:lineRule="auto"/>
              <w:ind w:firstLine="360"/>
              <w:jc w:val="center"/>
              <w:rPr>
                <w:rFonts w:hint="eastAsia" w:ascii="宋体" w:hAnsi="宋体"/>
                <w:color w:val="auto"/>
                <w:sz w:val="24"/>
                <w:highlight w:val="none"/>
              </w:rPr>
            </w:pPr>
            <w:r>
              <w:rPr>
                <w:rFonts w:hint="eastAsia" w:ascii="宋体" w:hAnsi="宋体"/>
                <w:color w:val="auto"/>
                <w:sz w:val="24"/>
                <w:highlight w:val="none"/>
              </w:rPr>
              <w:t xml:space="preserve">1～100，精度优于99%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3" w:hRule="atLeast"/>
          <w:tblHeader/>
          <w:jc w:val="center"/>
        </w:trPr>
        <w:tc>
          <w:tcPr>
            <w:tcW w:w="1009" w:type="pct"/>
            <w:noWrap w:val="0"/>
            <w:tcMar>
              <w:left w:w="108" w:type="dxa"/>
              <w:right w:w="108" w:type="dxa"/>
            </w:tcMar>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 xml:space="preserve">分类统计 </w:t>
            </w:r>
          </w:p>
        </w:tc>
        <w:tc>
          <w:tcPr>
            <w:tcW w:w="3991" w:type="pct"/>
            <w:gridSpan w:val="2"/>
            <w:noWrap w:val="0"/>
            <w:tcMar>
              <w:left w:w="108" w:type="dxa"/>
              <w:right w:w="108" w:type="dxa"/>
            </w:tcMar>
            <w:vAlign w:val="top"/>
          </w:tcPr>
          <w:p>
            <w:pPr>
              <w:spacing w:line="360" w:lineRule="auto"/>
              <w:ind w:firstLine="360"/>
              <w:jc w:val="center"/>
              <w:rPr>
                <w:rFonts w:hint="eastAsia" w:ascii="宋体" w:hAnsi="宋体"/>
                <w:color w:val="auto"/>
                <w:sz w:val="24"/>
                <w:highlight w:val="none"/>
              </w:rPr>
            </w:pPr>
            <w:r>
              <w:rPr>
                <w:rFonts w:hint="eastAsia" w:ascii="宋体" w:hAnsi="宋体"/>
                <w:color w:val="auto"/>
                <w:sz w:val="24"/>
                <w:highlight w:val="none"/>
              </w:rPr>
              <w:t xml:space="preserve">车速、车长各5类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jc w:val="center"/>
        </w:trPr>
        <w:tc>
          <w:tcPr>
            <w:tcW w:w="1009" w:type="pct"/>
            <w:noWrap w:val="0"/>
            <w:tcMar>
              <w:left w:w="108" w:type="dxa"/>
              <w:right w:w="108" w:type="dxa"/>
            </w:tcMar>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 xml:space="preserve">实时时钟 </w:t>
            </w:r>
          </w:p>
        </w:tc>
        <w:tc>
          <w:tcPr>
            <w:tcW w:w="3991" w:type="pct"/>
            <w:gridSpan w:val="2"/>
            <w:noWrap w:val="0"/>
            <w:tcMar>
              <w:left w:w="108" w:type="dxa"/>
              <w:right w:w="108" w:type="dxa"/>
            </w:tcMar>
            <w:vAlign w:val="top"/>
          </w:tcPr>
          <w:p>
            <w:pPr>
              <w:spacing w:line="360" w:lineRule="auto"/>
              <w:ind w:firstLine="360"/>
              <w:jc w:val="center"/>
              <w:rPr>
                <w:rFonts w:hint="eastAsia" w:ascii="宋体" w:hAnsi="宋体"/>
                <w:color w:val="auto"/>
                <w:sz w:val="24"/>
                <w:highlight w:val="none"/>
              </w:rPr>
            </w:pPr>
            <w:r>
              <w:rPr>
                <w:rFonts w:hint="eastAsia" w:ascii="宋体" w:hAnsi="宋体"/>
                <w:color w:val="auto"/>
                <w:sz w:val="24"/>
                <w:highlight w:val="none"/>
              </w:rPr>
              <w:t xml:space="preserve">精度：1毫秒；最大断电时间：60天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jc w:val="center"/>
        </w:trPr>
        <w:tc>
          <w:tcPr>
            <w:tcW w:w="1009" w:type="pct"/>
            <w:noWrap w:val="0"/>
            <w:tcMar>
              <w:left w:w="108" w:type="dxa"/>
              <w:right w:w="108" w:type="dxa"/>
            </w:tcMar>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 xml:space="preserve">数据输出接口 </w:t>
            </w:r>
          </w:p>
        </w:tc>
        <w:tc>
          <w:tcPr>
            <w:tcW w:w="3991" w:type="pct"/>
            <w:gridSpan w:val="2"/>
            <w:noWrap w:val="0"/>
            <w:tcMar>
              <w:left w:w="108" w:type="dxa"/>
              <w:right w:w="108" w:type="dxa"/>
            </w:tcMar>
            <w:vAlign w:val="top"/>
          </w:tcPr>
          <w:p>
            <w:pPr>
              <w:spacing w:line="360" w:lineRule="auto"/>
              <w:ind w:firstLine="360"/>
              <w:jc w:val="center"/>
              <w:rPr>
                <w:rFonts w:hint="eastAsia" w:ascii="宋体" w:hAnsi="宋体"/>
                <w:color w:val="auto"/>
                <w:sz w:val="24"/>
                <w:highlight w:val="none"/>
              </w:rPr>
            </w:pPr>
            <w:r>
              <w:rPr>
                <w:rFonts w:hint="eastAsia" w:ascii="宋体" w:hAnsi="宋体"/>
                <w:color w:val="auto"/>
                <w:sz w:val="24"/>
                <w:highlight w:val="none"/>
              </w:rPr>
              <w:t xml:space="preserve">可选RS232、RS485、以太网标准接口多种组合方式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jc w:val="center"/>
        </w:trPr>
        <w:tc>
          <w:tcPr>
            <w:tcW w:w="1009" w:type="pct"/>
            <w:noWrap w:val="0"/>
            <w:tcMar>
              <w:left w:w="108" w:type="dxa"/>
              <w:right w:w="108" w:type="dxa"/>
            </w:tcMar>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 xml:space="preserve">电源输入 </w:t>
            </w:r>
          </w:p>
        </w:tc>
        <w:tc>
          <w:tcPr>
            <w:tcW w:w="1616" w:type="pct"/>
            <w:noWrap w:val="0"/>
            <w:tcMar>
              <w:left w:w="108" w:type="dxa"/>
              <w:right w:w="108" w:type="dxa"/>
            </w:tcMar>
            <w:vAlign w:val="top"/>
          </w:tcPr>
          <w:p>
            <w:pPr>
              <w:spacing w:line="360" w:lineRule="auto"/>
              <w:rPr>
                <w:rFonts w:hint="eastAsia" w:ascii="宋体" w:hAnsi="宋体"/>
                <w:color w:val="auto"/>
                <w:sz w:val="24"/>
                <w:highlight w:val="none"/>
              </w:rPr>
            </w:pPr>
            <w:r>
              <w:rPr>
                <w:rFonts w:hint="eastAsia" w:ascii="宋体" w:hAnsi="宋体"/>
                <w:color w:val="auto"/>
                <w:sz w:val="24"/>
                <w:highlight w:val="none"/>
              </w:rPr>
              <w:t xml:space="preserve">12VD(CLTD-202AME） </w:t>
            </w:r>
          </w:p>
        </w:tc>
        <w:tc>
          <w:tcPr>
            <w:tcW w:w="2375" w:type="pct"/>
            <w:noWrap w:val="0"/>
            <w:tcMar>
              <w:left w:w="108" w:type="dxa"/>
              <w:right w:w="108" w:type="dxa"/>
            </w:tcMar>
            <w:vAlign w:val="top"/>
          </w:tcPr>
          <w:p>
            <w:pPr>
              <w:spacing w:line="360" w:lineRule="auto"/>
              <w:ind w:firstLine="360"/>
              <w:jc w:val="center"/>
              <w:rPr>
                <w:rFonts w:hint="eastAsia" w:ascii="宋体" w:hAnsi="宋体"/>
                <w:color w:val="auto"/>
                <w:sz w:val="24"/>
                <w:highlight w:val="none"/>
              </w:rPr>
            </w:pPr>
            <w:r>
              <w:rPr>
                <w:rFonts w:hint="eastAsia" w:ascii="宋体" w:hAnsi="宋体"/>
                <w:color w:val="auto"/>
                <w:sz w:val="24"/>
                <w:highlight w:val="none"/>
              </w:rPr>
              <w:t xml:space="preserve">100VAC～280VAC（其他型号）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3" w:hRule="atLeast"/>
          <w:tblHeader/>
          <w:jc w:val="center"/>
        </w:trPr>
        <w:tc>
          <w:tcPr>
            <w:tcW w:w="1009" w:type="pct"/>
            <w:noWrap w:val="0"/>
            <w:tcMar>
              <w:left w:w="108" w:type="dxa"/>
              <w:right w:w="108" w:type="dxa"/>
            </w:tcMar>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 xml:space="preserve">工作温度/湿度 </w:t>
            </w:r>
          </w:p>
        </w:tc>
        <w:tc>
          <w:tcPr>
            <w:tcW w:w="3991" w:type="pct"/>
            <w:gridSpan w:val="2"/>
            <w:noWrap w:val="0"/>
            <w:tcMar>
              <w:left w:w="108" w:type="dxa"/>
              <w:right w:w="108" w:type="dxa"/>
            </w:tcMar>
            <w:vAlign w:val="top"/>
          </w:tcPr>
          <w:p>
            <w:pPr>
              <w:spacing w:line="360" w:lineRule="auto"/>
              <w:ind w:firstLine="360"/>
              <w:jc w:val="center"/>
              <w:rPr>
                <w:rFonts w:hint="eastAsia" w:ascii="宋体" w:hAnsi="宋体"/>
                <w:color w:val="auto"/>
                <w:sz w:val="24"/>
                <w:highlight w:val="none"/>
              </w:rPr>
            </w:pPr>
            <w:r>
              <w:rPr>
                <w:rFonts w:hint="eastAsia" w:ascii="宋体" w:hAnsi="宋体"/>
                <w:color w:val="auto"/>
                <w:sz w:val="24"/>
                <w:highlight w:val="none"/>
              </w:rPr>
              <w:t xml:space="preserve">-40°C～+85°C/20%～95％ Rh，无冷凝 </w:t>
            </w:r>
          </w:p>
        </w:tc>
      </w:tr>
    </w:tbl>
    <w:p>
      <w:pPr>
        <w:spacing w:line="400" w:lineRule="exact"/>
        <w:ind w:firstLine="630"/>
        <w:rPr>
          <w:rFonts w:hint="eastAsia" w:ascii="宋体" w:hAnsi="宋体"/>
          <w:b/>
          <w:bCs/>
          <w:color w:val="auto"/>
          <w:sz w:val="24"/>
          <w:highlight w:val="none"/>
        </w:rPr>
      </w:pPr>
      <w:r>
        <w:rPr>
          <w:rFonts w:hint="eastAsia" w:ascii="宋体" w:hAnsi="宋体"/>
          <w:b/>
          <w:bCs/>
          <w:color w:val="auto"/>
          <w:sz w:val="24"/>
          <w:highlight w:val="none"/>
        </w:rPr>
        <w:t>3）联动控制器</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MCU：高速单片机200MHZ</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通讯接口：1个RS232/1个RS485</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输出：4个光电隔离开关量输出</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协议：兼容多家车检器通讯协议</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电源：DC12V 500mA</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工作温度：-30℃-80℃</w:t>
      </w:r>
    </w:p>
    <w:p>
      <w:pPr>
        <w:spacing w:line="400" w:lineRule="exact"/>
        <w:ind w:firstLine="630"/>
        <w:rPr>
          <w:rFonts w:hint="eastAsia" w:ascii="宋体" w:hAnsi="宋体"/>
          <w:b/>
          <w:bCs/>
          <w:color w:val="auto"/>
          <w:sz w:val="24"/>
          <w:highlight w:val="none"/>
        </w:rPr>
      </w:pPr>
      <w:r>
        <w:rPr>
          <w:rFonts w:hint="eastAsia" w:ascii="宋体" w:hAnsi="宋体"/>
          <w:b/>
          <w:bCs/>
          <w:color w:val="auto"/>
          <w:sz w:val="24"/>
          <w:highlight w:val="none"/>
        </w:rPr>
        <w:t>4）串口服务器</w:t>
      </w:r>
    </w:p>
    <w:p>
      <w:pPr>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采用32位ARM处理器+RTOS，具有更强大的实时处理能力；具有TCP Server、TCP Client、UDP、虚拟串口、点对点连接等操作模式；用户基于网络的软件，不需要做任何修改就可以与C2000 N380D-M通讯；看门狗设计，稳定性高；电源具有良好的过流过压、防反接保护功能。</w:t>
      </w:r>
    </w:p>
    <w:p>
      <w:pPr>
        <w:spacing w:line="400" w:lineRule="exact"/>
        <w:ind w:left="900"/>
        <w:rPr>
          <w:rFonts w:hint="eastAsia" w:ascii="宋体" w:hAnsi="宋体"/>
          <w:color w:val="auto"/>
          <w:sz w:val="24"/>
          <w:highlight w:val="none"/>
        </w:rPr>
      </w:pPr>
      <w:r>
        <w:rPr>
          <w:rFonts w:hint="eastAsia" w:ascii="宋体" w:hAnsi="宋体"/>
          <w:color w:val="auto"/>
          <w:sz w:val="24"/>
          <w:highlight w:val="none"/>
        </w:rPr>
        <w:t>技术要求：</w:t>
      </w:r>
    </w:p>
    <w:tbl>
      <w:tblPr>
        <w:tblStyle w:val="5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075"/>
        <w:gridCol w:w="62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0" w:hRule="atLeast"/>
          <w:jc w:val="center"/>
        </w:trPr>
        <w:tc>
          <w:tcPr>
            <w:tcW w:w="1248" w:type="pct"/>
            <w:noWrap w:val="0"/>
            <w:vAlign w:val="center"/>
          </w:tcPr>
          <w:p>
            <w:pPr>
              <w:spacing w:line="360" w:lineRule="auto"/>
              <w:ind w:firstLine="360"/>
              <w:jc w:val="center"/>
              <w:rPr>
                <w:rFonts w:hint="eastAsia" w:ascii="宋体" w:hAnsi="宋体"/>
                <w:color w:val="auto"/>
                <w:sz w:val="24"/>
                <w:highlight w:val="none"/>
              </w:rPr>
            </w:pPr>
            <w:r>
              <w:rPr>
                <w:rFonts w:hint="eastAsia" w:ascii="宋体" w:hAnsi="宋体"/>
                <w:color w:val="auto"/>
                <w:sz w:val="24"/>
                <w:highlight w:val="none"/>
              </w:rPr>
              <w:t>MCU</w:t>
            </w:r>
          </w:p>
        </w:tc>
        <w:tc>
          <w:tcPr>
            <w:tcW w:w="3752" w:type="pct"/>
            <w:noWrap w:val="0"/>
            <w:vAlign w:val="center"/>
          </w:tcPr>
          <w:p>
            <w:pPr>
              <w:spacing w:line="360" w:lineRule="auto"/>
              <w:ind w:firstLine="480" w:firstLineChars="200"/>
              <w:jc w:val="center"/>
              <w:rPr>
                <w:rFonts w:hint="eastAsia" w:ascii="宋体" w:hAnsi="宋体"/>
                <w:color w:val="auto"/>
                <w:sz w:val="24"/>
                <w:highlight w:val="none"/>
              </w:rPr>
            </w:pPr>
            <w:r>
              <w:rPr>
                <w:rFonts w:hint="eastAsia" w:ascii="宋体" w:hAnsi="宋体"/>
                <w:color w:val="auto"/>
                <w:sz w:val="24"/>
                <w:highlight w:val="none"/>
              </w:rPr>
              <w:t>32-bit ARM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1248" w:type="pct"/>
            <w:noWrap w:val="0"/>
            <w:vAlign w:val="center"/>
          </w:tcPr>
          <w:p>
            <w:pPr>
              <w:spacing w:line="360" w:lineRule="auto"/>
              <w:ind w:firstLine="360"/>
              <w:jc w:val="center"/>
              <w:rPr>
                <w:rFonts w:hint="eastAsia" w:ascii="宋体" w:hAnsi="宋体"/>
                <w:color w:val="auto"/>
                <w:sz w:val="24"/>
                <w:highlight w:val="none"/>
              </w:rPr>
            </w:pPr>
            <w:r>
              <w:rPr>
                <w:rFonts w:hint="eastAsia" w:ascii="宋体" w:hAnsi="宋体"/>
                <w:color w:val="auto"/>
                <w:sz w:val="24"/>
                <w:highlight w:val="none"/>
              </w:rPr>
              <w:t>内存</w:t>
            </w:r>
          </w:p>
        </w:tc>
        <w:tc>
          <w:tcPr>
            <w:tcW w:w="3752" w:type="pct"/>
            <w:noWrap w:val="0"/>
            <w:vAlign w:val="center"/>
          </w:tcPr>
          <w:p>
            <w:pPr>
              <w:spacing w:line="360" w:lineRule="auto"/>
              <w:ind w:firstLine="480" w:firstLineChars="200"/>
              <w:jc w:val="center"/>
              <w:rPr>
                <w:rFonts w:hint="eastAsia" w:ascii="宋体" w:hAnsi="宋体"/>
                <w:color w:val="auto"/>
                <w:sz w:val="24"/>
                <w:highlight w:val="none"/>
              </w:rPr>
            </w:pPr>
            <w:r>
              <w:rPr>
                <w:rFonts w:hint="eastAsia" w:ascii="宋体" w:hAnsi="宋体"/>
                <w:color w:val="auto"/>
                <w:sz w:val="24"/>
                <w:highlight w:val="none"/>
              </w:rPr>
              <w:t>32 DDR / 32 Flash ROM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5" w:hRule="atLeast"/>
          <w:jc w:val="center"/>
        </w:trPr>
        <w:tc>
          <w:tcPr>
            <w:tcW w:w="1248" w:type="pct"/>
            <w:noWrap w:val="0"/>
            <w:vAlign w:val="center"/>
          </w:tcPr>
          <w:p>
            <w:pPr>
              <w:spacing w:line="360" w:lineRule="auto"/>
              <w:ind w:firstLine="360"/>
              <w:jc w:val="center"/>
              <w:rPr>
                <w:rFonts w:hint="eastAsia" w:ascii="宋体" w:hAnsi="宋体"/>
                <w:color w:val="auto"/>
                <w:sz w:val="24"/>
                <w:highlight w:val="none"/>
              </w:rPr>
            </w:pPr>
            <w:r>
              <w:rPr>
                <w:rFonts w:hint="eastAsia" w:ascii="宋体" w:hAnsi="宋体"/>
                <w:color w:val="auto"/>
                <w:sz w:val="24"/>
                <w:highlight w:val="none"/>
              </w:rPr>
              <w:t>通讯速率</w:t>
            </w:r>
          </w:p>
        </w:tc>
        <w:tc>
          <w:tcPr>
            <w:tcW w:w="3752" w:type="pct"/>
            <w:noWrap w:val="0"/>
            <w:vAlign w:val="center"/>
          </w:tcPr>
          <w:p>
            <w:pPr>
              <w:spacing w:line="360" w:lineRule="auto"/>
              <w:ind w:firstLine="480" w:firstLineChars="200"/>
              <w:jc w:val="center"/>
              <w:rPr>
                <w:rFonts w:hint="eastAsia" w:ascii="宋体" w:hAnsi="宋体"/>
                <w:color w:val="auto"/>
                <w:sz w:val="24"/>
                <w:highlight w:val="none"/>
              </w:rPr>
            </w:pPr>
            <w:r>
              <w:rPr>
                <w:rFonts w:hint="eastAsia" w:ascii="宋体" w:hAnsi="宋体"/>
                <w:color w:val="auto"/>
                <w:sz w:val="24"/>
                <w:highlight w:val="none"/>
              </w:rPr>
              <w:t>300bps至115200bps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5" w:hRule="atLeast"/>
          <w:jc w:val="center"/>
        </w:trPr>
        <w:tc>
          <w:tcPr>
            <w:tcW w:w="1248" w:type="pct"/>
            <w:noWrap w:val="0"/>
            <w:vAlign w:val="center"/>
          </w:tcPr>
          <w:p>
            <w:pPr>
              <w:spacing w:line="360" w:lineRule="auto"/>
              <w:ind w:firstLine="360"/>
              <w:jc w:val="center"/>
              <w:rPr>
                <w:rFonts w:hint="eastAsia" w:ascii="宋体" w:hAnsi="宋体"/>
                <w:color w:val="auto"/>
                <w:sz w:val="24"/>
                <w:highlight w:val="none"/>
              </w:rPr>
            </w:pPr>
            <w:r>
              <w:rPr>
                <w:rFonts w:hint="eastAsia" w:ascii="宋体" w:hAnsi="宋体"/>
                <w:color w:val="auto"/>
                <w:sz w:val="24"/>
                <w:highlight w:val="none"/>
              </w:rPr>
              <w:t>通讯接口</w:t>
            </w:r>
          </w:p>
        </w:tc>
        <w:tc>
          <w:tcPr>
            <w:tcW w:w="3752" w:type="pct"/>
            <w:noWrap w:val="0"/>
            <w:vAlign w:val="center"/>
          </w:tcPr>
          <w:p>
            <w:pPr>
              <w:spacing w:line="360" w:lineRule="auto"/>
              <w:ind w:firstLine="480" w:firstLineChars="200"/>
              <w:jc w:val="center"/>
              <w:rPr>
                <w:rFonts w:hint="eastAsia" w:ascii="宋体" w:hAnsi="宋体"/>
                <w:color w:val="auto"/>
                <w:sz w:val="24"/>
                <w:highlight w:val="none"/>
              </w:rPr>
            </w:pPr>
            <w:r>
              <w:rPr>
                <w:rFonts w:hint="eastAsia" w:ascii="宋体" w:hAnsi="宋体"/>
                <w:color w:val="auto"/>
                <w:sz w:val="24"/>
                <w:highlight w:val="none"/>
              </w:rPr>
              <w:t>8个RS232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5" w:hRule="atLeast"/>
          <w:jc w:val="center"/>
        </w:trPr>
        <w:tc>
          <w:tcPr>
            <w:tcW w:w="1248" w:type="pct"/>
            <w:noWrap w:val="0"/>
            <w:vAlign w:val="center"/>
          </w:tcPr>
          <w:p>
            <w:pPr>
              <w:spacing w:line="360" w:lineRule="auto"/>
              <w:ind w:firstLine="360"/>
              <w:jc w:val="center"/>
              <w:rPr>
                <w:rFonts w:hint="eastAsia" w:ascii="宋体" w:hAnsi="宋体"/>
                <w:color w:val="auto"/>
                <w:sz w:val="24"/>
                <w:highlight w:val="none"/>
              </w:rPr>
            </w:pPr>
            <w:r>
              <w:rPr>
                <w:rFonts w:hint="eastAsia" w:ascii="宋体" w:hAnsi="宋体"/>
                <w:color w:val="auto"/>
                <w:sz w:val="24"/>
                <w:highlight w:val="none"/>
              </w:rPr>
              <w:t>网络接口</w:t>
            </w:r>
          </w:p>
        </w:tc>
        <w:tc>
          <w:tcPr>
            <w:tcW w:w="3752" w:type="pct"/>
            <w:noWrap w:val="0"/>
            <w:vAlign w:val="center"/>
          </w:tcPr>
          <w:p>
            <w:pPr>
              <w:spacing w:line="360" w:lineRule="auto"/>
              <w:ind w:firstLine="480" w:firstLineChars="200"/>
              <w:jc w:val="center"/>
              <w:rPr>
                <w:rFonts w:hint="eastAsia" w:ascii="宋体" w:hAnsi="宋体"/>
                <w:color w:val="auto"/>
                <w:sz w:val="24"/>
                <w:highlight w:val="none"/>
              </w:rPr>
            </w:pPr>
            <w:r>
              <w:rPr>
                <w:rFonts w:hint="eastAsia" w:ascii="宋体" w:hAnsi="宋体"/>
                <w:color w:val="auto"/>
                <w:sz w:val="24"/>
                <w:highlight w:val="none"/>
              </w:rPr>
              <w:t>1个LAN: 100M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5" w:hRule="atLeast"/>
          <w:jc w:val="center"/>
        </w:trPr>
        <w:tc>
          <w:tcPr>
            <w:tcW w:w="1248" w:type="pct"/>
            <w:noWrap w:val="0"/>
            <w:vAlign w:val="center"/>
          </w:tcPr>
          <w:p>
            <w:pPr>
              <w:spacing w:line="360" w:lineRule="auto"/>
              <w:ind w:firstLine="360"/>
              <w:jc w:val="center"/>
              <w:rPr>
                <w:rFonts w:hint="eastAsia" w:ascii="宋体" w:hAnsi="宋体"/>
                <w:color w:val="auto"/>
                <w:sz w:val="24"/>
                <w:highlight w:val="none"/>
              </w:rPr>
            </w:pPr>
            <w:r>
              <w:rPr>
                <w:rFonts w:hint="eastAsia" w:ascii="宋体" w:hAnsi="宋体"/>
                <w:color w:val="auto"/>
                <w:sz w:val="24"/>
                <w:highlight w:val="none"/>
              </w:rPr>
              <w:t>工作温度</w:t>
            </w:r>
          </w:p>
        </w:tc>
        <w:tc>
          <w:tcPr>
            <w:tcW w:w="3752" w:type="pct"/>
            <w:noWrap w:val="0"/>
            <w:vAlign w:val="center"/>
          </w:tcPr>
          <w:p>
            <w:pPr>
              <w:spacing w:line="360" w:lineRule="auto"/>
              <w:ind w:firstLine="480" w:firstLineChars="200"/>
              <w:jc w:val="center"/>
              <w:rPr>
                <w:rFonts w:hint="eastAsia" w:ascii="宋体" w:hAnsi="宋体"/>
                <w:color w:val="auto"/>
                <w:sz w:val="24"/>
                <w:highlight w:val="none"/>
              </w:rPr>
            </w:pPr>
            <w:r>
              <w:rPr>
                <w:rFonts w:hint="eastAsia" w:ascii="宋体" w:hAnsi="宋体"/>
                <w:color w:val="auto"/>
                <w:sz w:val="24"/>
                <w:highlight w:val="none"/>
              </w:rPr>
              <w:t>-25℃~85℃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jc w:val="center"/>
        </w:trPr>
        <w:tc>
          <w:tcPr>
            <w:tcW w:w="1248" w:type="pct"/>
            <w:noWrap w:val="0"/>
            <w:vAlign w:val="center"/>
          </w:tcPr>
          <w:p>
            <w:pPr>
              <w:spacing w:line="360" w:lineRule="auto"/>
              <w:ind w:firstLine="360"/>
              <w:jc w:val="center"/>
              <w:rPr>
                <w:rFonts w:hint="eastAsia" w:ascii="宋体" w:hAnsi="宋体"/>
                <w:color w:val="auto"/>
                <w:sz w:val="24"/>
                <w:highlight w:val="none"/>
              </w:rPr>
            </w:pPr>
            <w:r>
              <w:rPr>
                <w:rFonts w:hint="eastAsia" w:ascii="宋体" w:hAnsi="宋体"/>
                <w:color w:val="auto"/>
                <w:sz w:val="24"/>
                <w:highlight w:val="none"/>
              </w:rPr>
              <w:t>电源</w:t>
            </w:r>
          </w:p>
        </w:tc>
        <w:tc>
          <w:tcPr>
            <w:tcW w:w="3752" w:type="pct"/>
            <w:noWrap w:val="0"/>
            <w:vAlign w:val="center"/>
          </w:tcPr>
          <w:p>
            <w:pPr>
              <w:spacing w:line="360" w:lineRule="auto"/>
              <w:ind w:firstLine="480" w:firstLineChars="200"/>
              <w:jc w:val="center"/>
              <w:rPr>
                <w:rFonts w:hint="eastAsia" w:ascii="宋体" w:hAnsi="宋体"/>
                <w:color w:val="auto"/>
                <w:sz w:val="24"/>
                <w:highlight w:val="none"/>
              </w:rPr>
            </w:pPr>
            <w:r>
              <w:rPr>
                <w:rFonts w:hint="eastAsia" w:ascii="宋体" w:hAnsi="宋体"/>
                <w:color w:val="auto"/>
                <w:sz w:val="24"/>
                <w:highlight w:val="none"/>
              </w:rPr>
              <w:t>DC9-24VDC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jc w:val="center"/>
        </w:trPr>
        <w:tc>
          <w:tcPr>
            <w:tcW w:w="1248" w:type="pct"/>
            <w:noWrap w:val="0"/>
            <w:vAlign w:val="center"/>
          </w:tcPr>
          <w:p>
            <w:pPr>
              <w:spacing w:line="360" w:lineRule="auto"/>
              <w:ind w:firstLine="360"/>
              <w:jc w:val="center"/>
              <w:rPr>
                <w:rFonts w:hint="eastAsia" w:ascii="宋体" w:hAnsi="宋体"/>
                <w:color w:val="auto"/>
                <w:sz w:val="24"/>
                <w:highlight w:val="none"/>
              </w:rPr>
            </w:pPr>
            <w:r>
              <w:rPr>
                <w:rFonts w:hint="eastAsia" w:ascii="宋体" w:hAnsi="宋体"/>
                <w:color w:val="auto"/>
                <w:sz w:val="24"/>
                <w:highlight w:val="none"/>
              </w:rPr>
              <w:t>电源</w:t>
            </w:r>
          </w:p>
        </w:tc>
        <w:tc>
          <w:tcPr>
            <w:tcW w:w="3751" w:type="pct"/>
            <w:noWrap w:val="0"/>
            <w:vAlign w:val="center"/>
          </w:tcPr>
          <w:p>
            <w:pPr>
              <w:spacing w:line="360" w:lineRule="auto"/>
              <w:ind w:firstLine="480" w:firstLineChars="200"/>
              <w:jc w:val="center"/>
              <w:rPr>
                <w:rFonts w:hint="eastAsia" w:ascii="宋体" w:hAnsi="宋体"/>
                <w:color w:val="auto"/>
                <w:sz w:val="24"/>
                <w:highlight w:val="none"/>
              </w:rPr>
            </w:pPr>
            <w:r>
              <w:rPr>
                <w:rFonts w:hint="eastAsia" w:ascii="宋体" w:hAnsi="宋体"/>
                <w:color w:val="auto"/>
                <w:sz w:val="24"/>
                <w:highlight w:val="none"/>
              </w:rPr>
              <w:t>DC9-24VDC</w:t>
            </w:r>
          </w:p>
        </w:tc>
      </w:tr>
    </w:tbl>
    <w:p>
      <w:pPr>
        <w:spacing w:line="400" w:lineRule="exact"/>
        <w:ind w:firstLine="630"/>
        <w:rPr>
          <w:rFonts w:hint="eastAsia" w:ascii="宋体" w:hAnsi="宋体"/>
          <w:b/>
          <w:bCs/>
          <w:color w:val="auto"/>
          <w:sz w:val="24"/>
          <w:highlight w:val="none"/>
        </w:rPr>
      </w:pPr>
      <w:r>
        <w:rPr>
          <w:rFonts w:hint="eastAsia" w:ascii="宋体" w:hAnsi="宋体"/>
          <w:b/>
          <w:bCs/>
          <w:color w:val="auto"/>
          <w:sz w:val="24"/>
          <w:highlight w:val="none"/>
        </w:rPr>
        <w:t>5）电荷放大器</w:t>
      </w:r>
    </w:p>
    <w:p>
      <w:pPr>
        <w:spacing w:line="400" w:lineRule="exact"/>
        <w:ind w:firstLine="630"/>
        <w:rPr>
          <w:rFonts w:hint="eastAsia" w:ascii="宋体" w:hAnsi="宋体"/>
          <w:color w:val="auto"/>
          <w:sz w:val="24"/>
          <w:highlight w:val="none"/>
        </w:rPr>
      </w:pPr>
      <w:r>
        <w:rPr>
          <w:rFonts w:hint="eastAsia" w:ascii="宋体" w:hAnsi="宋体"/>
          <w:color w:val="auto"/>
          <w:sz w:val="24"/>
          <w:highlight w:val="none"/>
        </w:rPr>
        <w:t>最大1M 信号采样率；集成数据调理电路、带通滤波、车道数据采集和轮重计算功能，具有集成度高，抗干扰能力强、工作温度范围宽、运行稳定可靠等特点，坚固耐用，多个处理器可堆叠使用，方便系统扩展。</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通道数：6路，单车道可接入6个传感器</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滤波：集成带通及带阻滤波，滤波西数可调</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放大倍数：可调</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带宽：可调</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信号输出接口：1个RS232和1个RS485</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处理器：高速型单片机，主频速度200MHZ</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采样速度：1MHZ，须具有专业EMC认证证书</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NPN输入：2组</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开关量输入：2组</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光电隔离输出：4组</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工作温度：-30℃～80℃</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工作电源：多组隔离电源</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防护等级：IP65</w:t>
      </w:r>
    </w:p>
    <w:p>
      <w:pPr>
        <w:spacing w:line="400" w:lineRule="exact"/>
        <w:ind w:firstLine="630"/>
        <w:rPr>
          <w:rFonts w:hint="eastAsia" w:ascii="宋体" w:hAnsi="宋体"/>
          <w:b/>
          <w:bCs/>
          <w:color w:val="auto"/>
          <w:sz w:val="24"/>
          <w:highlight w:val="none"/>
        </w:rPr>
      </w:pPr>
      <w:r>
        <w:rPr>
          <w:rFonts w:hint="eastAsia" w:ascii="宋体" w:hAnsi="宋体"/>
          <w:b/>
          <w:bCs/>
          <w:color w:val="auto"/>
          <w:sz w:val="24"/>
          <w:highlight w:val="none"/>
        </w:rPr>
        <w:t>6）高速动态称重控制器</w:t>
      </w:r>
    </w:p>
    <w:p>
      <w:pPr>
        <w:spacing w:line="400" w:lineRule="exact"/>
        <w:ind w:firstLine="630"/>
        <w:rPr>
          <w:rFonts w:hint="eastAsia" w:ascii="宋体" w:hAnsi="宋体"/>
          <w:color w:val="auto"/>
          <w:sz w:val="24"/>
          <w:highlight w:val="none"/>
        </w:rPr>
      </w:pPr>
      <w:r>
        <w:rPr>
          <w:rFonts w:hint="eastAsia" w:ascii="宋体" w:hAnsi="宋体"/>
          <w:color w:val="auto"/>
          <w:sz w:val="24"/>
          <w:highlight w:val="none"/>
        </w:rPr>
        <w:t>称重控制仪表采用低功耗ARM嵌入式架构，能够采集8个车道处理数据、车牌摄像机数据，经过运算处理成一个完整的车辆信息、称重信息和车号，包括：轴数、轴距、轴重、总重、车速、车牌照片、车牌号码等。</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该称重控制器具有自诊断功能，发生故障时能够通过信息接口向外部发出故障信息；</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具备断网数据缓存功能；当网络发送数据失败时，自动重发数据，保持数据的唯一性和完整性；</w:t>
      </w:r>
    </w:p>
    <w:p>
      <w:pPr>
        <w:numPr>
          <w:ilvl w:val="0"/>
          <w:numId w:val="10"/>
        </w:numPr>
        <w:spacing w:line="400" w:lineRule="exact"/>
        <w:rPr>
          <w:rFonts w:ascii="宋体" w:hAnsi="宋体"/>
          <w:color w:val="auto"/>
          <w:sz w:val="24"/>
          <w:highlight w:val="none"/>
        </w:rPr>
      </w:pPr>
      <w:r>
        <w:rPr>
          <w:rFonts w:hint="eastAsia" w:ascii="宋体" w:hAnsi="宋体"/>
          <w:color w:val="auto"/>
          <w:sz w:val="24"/>
          <w:highlight w:val="none"/>
        </w:rPr>
        <w:t>内置硬件看门狗，消除机器死机故障。</w:t>
      </w:r>
    </w:p>
    <w:p>
      <w:pPr>
        <w:spacing w:line="400" w:lineRule="exact"/>
        <w:ind w:firstLine="630"/>
        <w:rPr>
          <w:rFonts w:ascii="宋体" w:hAnsi="宋体"/>
          <w:b/>
          <w:bCs/>
          <w:color w:val="auto"/>
          <w:szCs w:val="21"/>
          <w:highlight w:val="none"/>
        </w:rPr>
      </w:pPr>
      <w:r>
        <w:rPr>
          <w:rFonts w:hint="eastAsia" w:ascii="宋体" w:hAnsi="宋体"/>
          <w:b/>
          <w:bCs/>
          <w:color w:val="auto"/>
          <w:szCs w:val="21"/>
          <w:highlight w:val="none"/>
        </w:rPr>
        <w:t>3.2 其他技术要求：</w:t>
      </w:r>
    </w:p>
    <w:p>
      <w:pPr>
        <w:spacing w:line="400" w:lineRule="exact"/>
        <w:ind w:firstLine="630"/>
        <w:rPr>
          <w:rFonts w:hint="eastAsia" w:ascii="宋体" w:hAnsi="宋体"/>
          <w:b/>
          <w:bCs/>
          <w:color w:val="auto"/>
          <w:sz w:val="24"/>
          <w:highlight w:val="none"/>
        </w:rPr>
      </w:pPr>
      <w:r>
        <w:rPr>
          <w:rFonts w:hint="eastAsia" w:ascii="宋体" w:hAnsi="宋体"/>
          <w:b/>
          <w:bCs/>
          <w:color w:val="auto"/>
          <w:sz w:val="24"/>
          <w:highlight w:val="none"/>
        </w:rPr>
        <w:t>1）高速检测系统软件</w:t>
      </w:r>
    </w:p>
    <w:p>
      <w:pPr>
        <w:numPr>
          <w:ilvl w:val="0"/>
          <w:numId w:val="10"/>
        </w:numPr>
        <w:spacing w:line="400" w:lineRule="exact"/>
        <w:ind w:left="902"/>
        <w:rPr>
          <w:rFonts w:hint="eastAsia" w:ascii="宋体" w:hAnsi="宋体"/>
          <w:color w:val="auto"/>
          <w:sz w:val="24"/>
          <w:highlight w:val="none"/>
        </w:rPr>
      </w:pPr>
      <w:r>
        <w:rPr>
          <w:rFonts w:hint="eastAsia" w:ascii="宋体" w:hAnsi="宋体"/>
          <w:color w:val="auto"/>
          <w:sz w:val="24"/>
          <w:highlight w:val="none"/>
        </w:rPr>
        <w:t>实时给出通过传感器车辆的轴载荷、轴类型、轴距、轴数、车重、车长、车速、加速度、车型、车牌号码等详细信息，并予以保存；</w:t>
      </w:r>
    </w:p>
    <w:p>
      <w:pPr>
        <w:numPr>
          <w:ilvl w:val="0"/>
          <w:numId w:val="10"/>
        </w:numPr>
        <w:spacing w:line="400" w:lineRule="exact"/>
        <w:ind w:left="902"/>
        <w:rPr>
          <w:rFonts w:hint="eastAsia" w:ascii="宋体" w:hAnsi="宋体"/>
          <w:color w:val="auto"/>
          <w:sz w:val="24"/>
          <w:highlight w:val="none"/>
        </w:rPr>
      </w:pPr>
      <w:r>
        <w:rPr>
          <w:rFonts w:hint="eastAsia" w:ascii="宋体" w:hAnsi="宋体"/>
          <w:color w:val="auto"/>
          <w:sz w:val="24"/>
          <w:highlight w:val="none"/>
        </w:rPr>
        <w:t>根据设定的限制参数可迅速判断出车辆超限信息，对过滤出的“超限”信息在软件显示界面上给出警告标志；</w:t>
      </w:r>
    </w:p>
    <w:p>
      <w:pPr>
        <w:numPr>
          <w:ilvl w:val="0"/>
          <w:numId w:val="10"/>
        </w:numPr>
        <w:spacing w:line="400" w:lineRule="exact"/>
        <w:ind w:left="902"/>
        <w:rPr>
          <w:rFonts w:hint="eastAsia" w:ascii="宋体" w:hAnsi="宋体"/>
          <w:color w:val="auto"/>
          <w:sz w:val="24"/>
          <w:highlight w:val="none"/>
        </w:rPr>
      </w:pPr>
      <w:r>
        <w:rPr>
          <w:rFonts w:hint="eastAsia" w:ascii="宋体" w:hAnsi="宋体"/>
          <w:color w:val="auto"/>
          <w:sz w:val="24"/>
          <w:highlight w:val="none"/>
        </w:rPr>
        <w:t>通过可变信息标志对超限车辆予以引导；</w:t>
      </w:r>
    </w:p>
    <w:p>
      <w:pPr>
        <w:numPr>
          <w:ilvl w:val="0"/>
          <w:numId w:val="10"/>
        </w:numPr>
        <w:spacing w:line="400" w:lineRule="exact"/>
        <w:ind w:left="902"/>
        <w:rPr>
          <w:rFonts w:hint="eastAsia" w:ascii="宋体" w:hAnsi="宋体"/>
          <w:color w:val="auto"/>
          <w:sz w:val="24"/>
          <w:highlight w:val="none"/>
        </w:rPr>
      </w:pPr>
      <w:r>
        <w:rPr>
          <w:rFonts w:hint="eastAsia" w:ascii="宋体" w:hAnsi="宋体"/>
          <w:color w:val="auto"/>
          <w:sz w:val="24"/>
          <w:highlight w:val="none"/>
        </w:rPr>
        <w:t>支持对车辆信息的历史查询和统计，以及对系统参数的动态配置；</w:t>
      </w:r>
    </w:p>
    <w:p>
      <w:pPr>
        <w:numPr>
          <w:ilvl w:val="0"/>
          <w:numId w:val="10"/>
        </w:numPr>
        <w:spacing w:line="400" w:lineRule="exact"/>
        <w:ind w:left="902"/>
        <w:rPr>
          <w:rFonts w:hint="eastAsia" w:ascii="宋体" w:hAnsi="宋体"/>
          <w:color w:val="auto"/>
          <w:sz w:val="24"/>
          <w:highlight w:val="none"/>
        </w:rPr>
      </w:pPr>
      <w:r>
        <w:rPr>
          <w:rFonts w:hint="eastAsia" w:ascii="宋体" w:hAnsi="宋体"/>
          <w:color w:val="auto"/>
          <w:sz w:val="24"/>
          <w:highlight w:val="none"/>
        </w:rPr>
        <w:t>可与治超站和管理中心管理计算机进行网络通信；</w:t>
      </w:r>
    </w:p>
    <w:p>
      <w:pPr>
        <w:numPr>
          <w:ilvl w:val="0"/>
          <w:numId w:val="10"/>
        </w:numPr>
        <w:spacing w:line="400" w:lineRule="exact"/>
        <w:ind w:left="902"/>
        <w:rPr>
          <w:rFonts w:hint="eastAsia" w:ascii="宋体" w:hAnsi="宋体"/>
          <w:color w:val="auto"/>
          <w:sz w:val="24"/>
          <w:highlight w:val="none"/>
        </w:rPr>
      </w:pPr>
      <w:r>
        <w:rPr>
          <w:rFonts w:hint="eastAsia" w:ascii="宋体" w:hAnsi="宋体"/>
          <w:color w:val="auto"/>
          <w:sz w:val="24"/>
          <w:highlight w:val="none"/>
        </w:rPr>
        <w:t>可以支持除unix，mac外的其他系统。</w:t>
      </w:r>
    </w:p>
    <w:p>
      <w:pPr>
        <w:spacing w:line="400" w:lineRule="exact"/>
        <w:ind w:firstLine="630"/>
        <w:rPr>
          <w:rFonts w:hint="eastAsia" w:ascii="宋体" w:hAnsi="宋体"/>
          <w:b/>
          <w:bCs/>
          <w:color w:val="auto"/>
          <w:sz w:val="24"/>
          <w:highlight w:val="none"/>
        </w:rPr>
      </w:pPr>
      <w:r>
        <w:rPr>
          <w:rFonts w:hint="eastAsia" w:ascii="宋体" w:hAnsi="宋体"/>
          <w:b/>
          <w:bCs/>
          <w:color w:val="auto"/>
          <w:sz w:val="24"/>
          <w:highlight w:val="none"/>
        </w:rPr>
        <w:t>2）车牌识别抓拍摄像机</w:t>
      </w:r>
    </w:p>
    <w:p>
      <w:pPr>
        <w:spacing w:line="400" w:lineRule="exact"/>
        <w:rPr>
          <w:rFonts w:hint="eastAsia" w:ascii="宋体" w:hAnsi="宋体"/>
          <w:b/>
          <w:color w:val="auto"/>
          <w:sz w:val="24"/>
          <w:highlight w:val="none"/>
        </w:rPr>
      </w:pPr>
      <w:r>
        <w:rPr>
          <w:rFonts w:hint="eastAsia" w:ascii="宋体" w:hAnsi="宋体"/>
          <w:b/>
          <w:color w:val="auto"/>
          <w:sz w:val="24"/>
          <w:highlight w:val="none"/>
        </w:rPr>
        <w:t>系统功能</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视频流逐帧识别。提取出视频中所存在的车牌号码信息、颜色信息，并同时提供相应的包含车辆的单帧或多帧图片、车牌小图、车牌二值化图等信息</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可提供车辆附加信息输出，如实时车牌大小以及位置信息</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可接入外部硬件和软件触发信号，如接入车辆检测器的触发</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可对外输出硬件触发信号，如同步其它后级设备</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通过动态特征检测技术，实现无牌车的检测与抓拍</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提供10/100M自适应以太网接口，用于结果传输和命令控制</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提供RS232串行接口，用于简单结果传输和命令控制</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提供CDMA/GPRS无线传输接口</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提供识别结果的输出时间定制功能</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提供特殊车牌过滤或告警设置功能</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提供实时视频传送功能</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提供雷达测速接口，用于超速治理</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提供全景抓拍功能</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提供用户远程升级功能</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提供设备自恢复功能</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提供对前端LED频闪光源的全功能控制，以适应不同的应用环境</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提供一整套软件开发包（SDK）以及相关使用说明文档，如动态链接库（DLL）、ActiveX控件（OCX）</w:t>
      </w:r>
    </w:p>
    <w:p>
      <w:pPr>
        <w:spacing w:line="400" w:lineRule="exact"/>
        <w:rPr>
          <w:rFonts w:hint="eastAsia" w:ascii="宋体" w:hAnsi="宋体"/>
          <w:b/>
          <w:color w:val="auto"/>
          <w:sz w:val="24"/>
          <w:highlight w:val="none"/>
        </w:rPr>
      </w:pPr>
      <w:r>
        <w:rPr>
          <w:rFonts w:hint="eastAsia" w:ascii="宋体" w:hAnsi="宋体"/>
          <w:b/>
          <w:color w:val="auto"/>
          <w:sz w:val="24"/>
          <w:highlight w:val="none"/>
        </w:rPr>
        <w:t>系统技术指标</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识别符合“GA36-92”（92式牌照）和“GA36.1-2001”（02式牌照）标准的民用车牌照和04式新军车牌照与07式新武警车牌照的汉字、字母、数字、颜色等信息</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支持标准双层牌识别</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全天候连续工作，适应白天、黑夜、雨雪天气环境</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触发方式类型：视频触发、硬件触发、软件触发</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CPU性能：一秒钟处理25帧全图图像的车牌识别</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单车牌识别时间：＜ 0.4秒</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整体识别率：白天＞95%，夜间＞85%</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车牌定位率&gt;99%；车牌字符识别率≥99%</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车辆检测率：＞ 99%，彩色图像，可以实现JPEG格式，不小于16位</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允许车辆行驶速度：0 ~ 200km/h</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支持双路模拟视频输入，提供全景抓拍功能</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支持测速雷达接入，如：俄罗斯火花雷达、美国S3雷达、猫头鹰OWL手持雷达等</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通信接口：RS232串口、10/100M自适应以太网口</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输出信息：车辆大图、车牌小图、二值化图、车牌号码和车牌颜色</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机箱防护等级：IP66</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支持平台：除Mac、Unix以外的其它系统</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工作环境温度：-20℃～+85℃（处理单元）</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工作湿度：≤95%</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系统功耗：＜30W</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 xml:space="preserve">供电方式： AC 220V/50Hz ±10% </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识别器尺寸：236mm×139mm×36mm</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平均无故障时间：MTBF≥30000小时</w:t>
      </w:r>
    </w:p>
    <w:p>
      <w:pPr>
        <w:spacing w:line="400" w:lineRule="exact"/>
        <w:rPr>
          <w:rFonts w:hint="eastAsia" w:ascii="宋体" w:hAnsi="宋体"/>
          <w:b/>
          <w:color w:val="auto"/>
          <w:sz w:val="24"/>
          <w:highlight w:val="none"/>
        </w:rPr>
      </w:pPr>
      <w:r>
        <w:rPr>
          <w:rFonts w:hint="eastAsia" w:ascii="宋体" w:hAnsi="宋体"/>
          <w:b/>
          <w:color w:val="auto"/>
          <w:sz w:val="24"/>
          <w:highlight w:val="none"/>
        </w:rPr>
        <w:t>摄像机技术指标</w:t>
      </w:r>
    </w:p>
    <w:p>
      <w:pPr>
        <w:spacing w:line="400" w:lineRule="exact"/>
        <w:ind w:firstLine="472" w:firstLineChars="196"/>
        <w:rPr>
          <w:rFonts w:hint="eastAsia" w:ascii="宋体" w:hAnsi="宋体"/>
          <w:b/>
          <w:color w:val="auto"/>
          <w:sz w:val="24"/>
          <w:highlight w:val="none"/>
        </w:rPr>
      </w:pPr>
      <w:r>
        <w:rPr>
          <w:rFonts w:hint="eastAsia" w:ascii="宋体" w:hAnsi="宋体"/>
          <w:b/>
          <w:color w:val="auto"/>
          <w:sz w:val="24"/>
          <w:highlight w:val="none"/>
        </w:rPr>
        <w:t>车头、尾及侧后抓拍摄像机</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像素：900W</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单幅图像分辨率4096×2160（不含OSD叠加），字符叠加最大可支持4096×2800（含OSD叠加）</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帧率：25fps</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 xml:space="preserve">感光器件：4/3" GMOS </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镜头：25mm镜头（可调）</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照度：彩色:0.005Lux</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视频压缩标准：H.265/H.264/MJPEG</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图像输出格式：JPEG</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输出：电平量信号</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通讯接口：2个RJ45 100M/1000M自适应网口，3个RS485接口，1个RS232接口</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外部接口：4路外部触发输入，6路(5V TTL电平量)输出，可作为闪光灯同步输出控制，SYNC信号灯电源同步输入</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存储支持：最大支持128G TF卡</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自动光圈镜头：支持</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工作电压：220VAC±20%；频率：50HZ±2%；</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功耗：＜20W</w:t>
      </w:r>
    </w:p>
    <w:p>
      <w:pPr>
        <w:numPr>
          <w:ilvl w:val="0"/>
          <w:numId w:val="10"/>
        </w:numPr>
        <w:spacing w:line="400" w:lineRule="exact"/>
        <w:rPr>
          <w:rFonts w:hint="eastAsia" w:ascii="宋体" w:hAnsi="宋体"/>
          <w:b/>
          <w:bCs/>
          <w:color w:val="auto"/>
          <w:sz w:val="24"/>
          <w:highlight w:val="none"/>
        </w:rPr>
      </w:pPr>
      <w:r>
        <w:rPr>
          <w:rFonts w:hint="eastAsia" w:ascii="宋体" w:hAnsi="宋体"/>
          <w:color w:val="auto"/>
          <w:sz w:val="24"/>
          <w:highlight w:val="none"/>
        </w:rPr>
        <w:t>支持智能识别功能：内置视频识别功能，支持车牌识别、视频触发、车身颜色识别、车型识别，通行车辆信息捕获和违章检测功能；</w:t>
      </w:r>
    </w:p>
    <w:p>
      <w:pPr>
        <w:widowControl/>
        <w:numPr>
          <w:ilvl w:val="0"/>
          <w:numId w:val="10"/>
        </w:numPr>
        <w:spacing w:line="400" w:lineRule="exact"/>
        <w:jc w:val="left"/>
        <w:rPr>
          <w:rFonts w:hint="eastAsia" w:ascii="宋体" w:hAnsi="宋体"/>
          <w:color w:val="auto"/>
          <w:sz w:val="24"/>
          <w:highlight w:val="none"/>
        </w:rPr>
      </w:pPr>
      <w:r>
        <w:rPr>
          <w:rFonts w:hint="eastAsia" w:ascii="宋体" w:hAnsi="宋体"/>
          <w:color w:val="auto"/>
          <w:sz w:val="24"/>
          <w:highlight w:val="none"/>
        </w:rPr>
        <w:t>摄像机立柱顶端应设置避雷针，避雷针长度应保证摄像机位于保护范围内，并不妨碍摄像机的日常转动和监视。摄像机避雷针和立柱为一体化结构，摄像机接地与避雷针接地系统采用联合接地，其接地电阻不大于1欧姆。</w:t>
      </w:r>
    </w:p>
    <w:p>
      <w:pPr>
        <w:spacing w:line="400" w:lineRule="exact"/>
        <w:ind w:firstLine="630"/>
        <w:rPr>
          <w:rFonts w:hint="eastAsia" w:ascii="宋体" w:hAnsi="宋体"/>
          <w:b/>
          <w:bCs/>
          <w:color w:val="auto"/>
          <w:sz w:val="24"/>
          <w:highlight w:val="none"/>
        </w:rPr>
      </w:pPr>
      <w:r>
        <w:rPr>
          <w:rFonts w:hint="eastAsia" w:ascii="宋体" w:hAnsi="宋体"/>
          <w:b/>
          <w:bCs/>
          <w:color w:val="auto"/>
          <w:sz w:val="24"/>
          <w:highlight w:val="none"/>
        </w:rPr>
        <w:t>3）可变信息标志</w:t>
      </w:r>
    </w:p>
    <w:p>
      <w:pPr>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可变信息标志由支撑结构、显示屏、控制器和箱体等组成。可变信息标志由控制箱内的微处理器操作，微处理器与动态汽车衡计算机相连，接收系统计算机指令的远程控制，并反馈各种信息如确认信息、故障信息、警告信息等。</w:t>
      </w:r>
    </w:p>
    <w:p>
      <w:pPr>
        <w:spacing w:line="400" w:lineRule="exact"/>
        <w:ind w:firstLine="482" w:firstLineChars="200"/>
        <w:rPr>
          <w:rFonts w:hint="eastAsia" w:ascii="宋体" w:hAnsi="宋体"/>
          <w:b/>
          <w:color w:val="auto"/>
          <w:sz w:val="24"/>
          <w:highlight w:val="none"/>
        </w:rPr>
      </w:pPr>
      <w:r>
        <w:rPr>
          <w:rFonts w:hint="eastAsia" w:ascii="宋体" w:hAnsi="宋体"/>
          <w:b/>
          <w:color w:val="auto"/>
          <w:sz w:val="24"/>
          <w:highlight w:val="none"/>
        </w:rPr>
        <w:t>数据上传要求：</w:t>
      </w:r>
    </w:p>
    <w:p>
      <w:pPr>
        <w:spacing w:line="400" w:lineRule="exact"/>
        <w:ind w:firstLine="482" w:firstLineChars="200"/>
        <w:rPr>
          <w:rFonts w:hint="eastAsia" w:ascii="宋体" w:hAnsi="宋体"/>
          <w:b/>
          <w:bCs/>
          <w:color w:val="auto"/>
          <w:sz w:val="24"/>
          <w:highlight w:val="none"/>
        </w:rPr>
      </w:pPr>
      <w:r>
        <w:rPr>
          <w:rFonts w:hint="eastAsia" w:ascii="宋体" w:hAnsi="宋体"/>
          <w:b/>
          <w:bCs/>
          <w:color w:val="auto"/>
          <w:sz w:val="24"/>
          <w:highlight w:val="none"/>
        </w:rPr>
        <w:t>CMS与上位机或便携机交互过程中数据的发送方式和格式须满足绍兴市的统一通讯协议要求。协议要求采用网络通讯的方式，采用TCP/IP协议进行通讯。</w:t>
      </w:r>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协议支持终端做服务端（Server）和客户端（Client）两种模式，默认为服务端模式，可切换终端模式。</w:t>
      </w:r>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做服务端（Server）时：控制卡创建监听，上位机主动发起连接，连接端口：默认是5000；</w:t>
      </w:r>
    </w:p>
    <w:p>
      <w:pPr>
        <w:pStyle w:val="19"/>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做客户端（Client）时：控制卡根据配置的服务器地址信息主动连接服务器。</w:t>
      </w:r>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通信超时时间：10s（即10s内请求未收到回复，则认为超时），客户在使用过程中可根据现场环境对时间值调整。</w:t>
      </w:r>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安全：该协议支持如下安全机制，默认安全机制为关闭状态，可以通过0x70指令协议进行设置：</w:t>
      </w:r>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数据与加密机制：默认不加密，加密方式采用DES加密；</w:t>
      </w:r>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文件完备性检查：默认不开启，开启后采用MD5校验；</w:t>
      </w:r>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DES加密和MD5校验算法详见《交通协议标准版V3.2.0》附录。</w:t>
      </w:r>
    </w:p>
    <w:p>
      <w:pPr>
        <w:spacing w:line="400" w:lineRule="exact"/>
        <w:ind w:firstLine="482" w:firstLineChars="200"/>
        <w:rPr>
          <w:rFonts w:hint="eastAsia" w:ascii="宋体" w:hAnsi="宋体"/>
          <w:b/>
          <w:bCs/>
          <w:color w:val="auto"/>
          <w:sz w:val="24"/>
          <w:highlight w:val="none"/>
        </w:rPr>
      </w:pPr>
      <w:r>
        <w:rPr>
          <w:rFonts w:hint="eastAsia" w:ascii="宋体" w:hAnsi="宋体"/>
          <w:b/>
          <w:bCs/>
          <w:color w:val="auto"/>
          <w:sz w:val="24"/>
          <w:highlight w:val="none"/>
        </w:rPr>
        <w:t>编码要求：</w:t>
      </w:r>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协议中涉及到多字节表示整数的部分，无特别说明，均采用低位前，高位后的编码方式；涉及到字符串部分，无特别说明，均采用UTF8编码方式。</w:t>
      </w:r>
    </w:p>
    <w:p>
      <w:pPr>
        <w:adjustRightInd w:val="0"/>
        <w:spacing w:line="400" w:lineRule="exact"/>
        <w:rPr>
          <w:rFonts w:hint="eastAsia" w:ascii="宋体" w:hAnsi="宋体"/>
          <w:bCs/>
          <w:color w:val="auto"/>
          <w:sz w:val="24"/>
          <w:highlight w:val="none"/>
        </w:rPr>
      </w:pPr>
      <w:r>
        <w:rPr>
          <w:rFonts w:hint="eastAsia" w:ascii="宋体" w:hAnsi="宋体"/>
          <w:bCs/>
          <w:color w:val="auto"/>
          <w:sz w:val="24"/>
          <w:highlight w:val="none"/>
        </w:rPr>
        <w:t>显示参数控制</w:t>
      </w:r>
    </w:p>
    <w:p>
      <w:pPr>
        <w:adjustRightInd w:val="0"/>
        <w:spacing w:line="400" w:lineRule="exact"/>
        <w:ind w:firstLine="472" w:firstLineChars="196"/>
        <w:rPr>
          <w:rFonts w:hint="eastAsia" w:ascii="宋体" w:hAnsi="宋体"/>
          <w:b/>
          <w:bCs/>
          <w:color w:val="auto"/>
          <w:sz w:val="24"/>
          <w:highlight w:val="none"/>
        </w:rPr>
      </w:pPr>
      <w:r>
        <w:rPr>
          <w:rFonts w:hint="eastAsia" w:ascii="宋体" w:hAnsi="宋体"/>
          <w:b/>
          <w:bCs/>
          <w:color w:val="auto"/>
          <w:sz w:val="24"/>
          <w:highlight w:val="none"/>
        </w:rPr>
        <w:t>数据显示要求：</w:t>
      </w:r>
    </w:p>
    <w:p>
      <w:pPr>
        <w:adjustRightInd w:val="0"/>
        <w:spacing w:line="400" w:lineRule="exact"/>
        <w:ind w:firstLine="482" w:firstLineChars="200"/>
        <w:rPr>
          <w:rFonts w:hint="eastAsia" w:ascii="宋体" w:hAnsi="宋体"/>
          <w:b/>
          <w:bCs/>
          <w:color w:val="auto"/>
          <w:sz w:val="24"/>
          <w:highlight w:val="none"/>
        </w:rPr>
      </w:pPr>
      <w:r>
        <w:rPr>
          <w:rFonts w:hint="eastAsia" w:ascii="宋体" w:hAnsi="宋体"/>
          <w:b/>
          <w:bCs/>
          <w:color w:val="auto"/>
          <w:sz w:val="24"/>
          <w:highlight w:val="none"/>
        </w:rPr>
        <w:t>可变信息标志显示内容在后台平台内实时可见；</w:t>
      </w:r>
    </w:p>
    <w:p>
      <w:pPr>
        <w:adjustRightInd w:val="0"/>
        <w:spacing w:line="400" w:lineRule="exact"/>
        <w:ind w:firstLine="482" w:firstLineChars="200"/>
        <w:rPr>
          <w:rFonts w:hint="eastAsia" w:ascii="宋体" w:hAnsi="宋体"/>
          <w:b/>
          <w:bCs/>
          <w:color w:val="auto"/>
          <w:sz w:val="24"/>
          <w:highlight w:val="none"/>
        </w:rPr>
      </w:pPr>
      <w:r>
        <w:rPr>
          <w:rFonts w:hint="eastAsia" w:ascii="宋体" w:hAnsi="宋体"/>
          <w:b/>
          <w:bCs/>
          <w:color w:val="auto"/>
          <w:sz w:val="24"/>
          <w:highlight w:val="none"/>
        </w:rPr>
        <w:t>可变信息标志需支持可接收控制箱内的微处理器操作，并支持接收后台平台的操作指令。</w:t>
      </w:r>
    </w:p>
    <w:p>
      <w:pPr>
        <w:spacing w:line="400" w:lineRule="exact"/>
        <w:rPr>
          <w:rFonts w:hint="eastAsia" w:ascii="宋体" w:hAnsi="宋体"/>
          <w:b/>
          <w:color w:val="auto"/>
          <w:sz w:val="24"/>
          <w:highlight w:val="none"/>
        </w:rPr>
      </w:pPr>
      <w:r>
        <w:rPr>
          <w:rFonts w:hint="eastAsia" w:ascii="宋体" w:hAnsi="宋体"/>
          <w:b/>
          <w:color w:val="auto"/>
          <w:sz w:val="24"/>
          <w:highlight w:val="none"/>
        </w:rPr>
        <w:t>性能指标</w:t>
      </w:r>
    </w:p>
    <w:p>
      <w:pPr>
        <w:spacing w:line="400" w:lineRule="exact"/>
        <w:rPr>
          <w:rFonts w:hint="eastAsia" w:ascii="宋体" w:hAnsi="宋体"/>
          <w:bCs/>
          <w:color w:val="auto"/>
          <w:sz w:val="24"/>
          <w:highlight w:val="none"/>
        </w:rPr>
      </w:pPr>
      <w:r>
        <w:rPr>
          <w:rFonts w:hint="eastAsia" w:ascii="宋体" w:hAnsi="宋体"/>
          <w:bCs/>
          <w:color w:val="auto"/>
          <w:sz w:val="24"/>
          <w:highlight w:val="none"/>
        </w:rPr>
        <w:t>（1）防雷性能</w:t>
      </w:r>
    </w:p>
    <w:p>
      <w:pPr>
        <w:numPr>
          <w:ilvl w:val="1"/>
          <w:numId w:val="11"/>
        </w:numPr>
        <w:tabs>
          <w:tab w:val="left" w:pos="105"/>
          <w:tab w:val="clear" w:pos="1260"/>
        </w:tabs>
        <w:spacing w:line="400" w:lineRule="exact"/>
        <w:ind w:left="0" w:firstLine="525"/>
        <w:rPr>
          <w:rFonts w:hint="eastAsia" w:ascii="宋体" w:hAnsi="宋体"/>
          <w:bCs/>
          <w:color w:val="auto"/>
          <w:sz w:val="24"/>
          <w:highlight w:val="none"/>
        </w:rPr>
      </w:pPr>
      <w:r>
        <w:rPr>
          <w:rFonts w:hint="eastAsia" w:ascii="宋体" w:hAnsi="宋体"/>
          <w:bCs/>
          <w:color w:val="auto"/>
          <w:sz w:val="24"/>
          <w:highlight w:val="none"/>
        </w:rPr>
        <w:t>全金属结构，本身应具有良好的接地性能。外箱对于直接雷击具有良好的保护箱内设备安全作用。在控制箱里要安装电源防雷器，以对感应雷电进行防护。整个可变信息标志的金属外壳可作为避雷网，防直击雷的措施是把大型可变信息标志的钢构件与基础的主筋连接。主筋直接引入大地，即可作为防雷接地极。</w:t>
      </w:r>
    </w:p>
    <w:p>
      <w:pPr>
        <w:numPr>
          <w:ilvl w:val="1"/>
          <w:numId w:val="11"/>
        </w:numPr>
        <w:tabs>
          <w:tab w:val="left" w:pos="105"/>
          <w:tab w:val="left" w:pos="315"/>
          <w:tab w:val="clear" w:pos="1260"/>
        </w:tabs>
        <w:spacing w:line="400" w:lineRule="exact"/>
        <w:ind w:left="105" w:firstLine="525"/>
        <w:rPr>
          <w:rFonts w:hint="eastAsia" w:ascii="宋体" w:hAnsi="宋体"/>
          <w:bCs/>
          <w:color w:val="auto"/>
          <w:sz w:val="24"/>
          <w:highlight w:val="none"/>
        </w:rPr>
      </w:pPr>
      <w:r>
        <w:rPr>
          <w:rFonts w:hint="eastAsia" w:ascii="宋体" w:hAnsi="宋体"/>
          <w:bCs/>
          <w:color w:val="auto"/>
          <w:sz w:val="24"/>
          <w:highlight w:val="none"/>
        </w:rPr>
        <w:t>大型可变信息标志供电接口采取V25B/4防雷器、通信接口采取RJ45-TELE/4-F防雷器和过电压保护措施，接地电阻≤4Ω，接地端子与机箱的接触电阻≥0.01Ω，采用的元器件符合相关标准要求。采用专用避雷设备对供电线路及信号线路进行保护后，可以防止感应雷击对显示屏电子设备的影响及破坏，当雷击发生的瞬间，避雷设备能快速对地放电，将强大的电流引入大地，从而保障LED显示屏体及其附属设备万无一失。</w:t>
      </w:r>
    </w:p>
    <w:p>
      <w:pPr>
        <w:numPr>
          <w:ilvl w:val="1"/>
          <w:numId w:val="11"/>
        </w:numPr>
        <w:tabs>
          <w:tab w:val="left" w:pos="105"/>
          <w:tab w:val="left" w:pos="315"/>
          <w:tab w:val="clear" w:pos="1260"/>
        </w:tabs>
        <w:spacing w:line="400" w:lineRule="exact"/>
        <w:ind w:left="105" w:firstLine="420"/>
        <w:rPr>
          <w:rFonts w:hint="eastAsia" w:ascii="宋体" w:hAnsi="宋体"/>
          <w:bCs/>
          <w:color w:val="auto"/>
          <w:sz w:val="24"/>
          <w:highlight w:val="none"/>
        </w:rPr>
      </w:pPr>
      <w:r>
        <w:rPr>
          <w:rFonts w:hint="eastAsia" w:ascii="宋体" w:hAnsi="宋体"/>
          <w:bCs/>
          <w:color w:val="auto"/>
          <w:sz w:val="24"/>
          <w:highlight w:val="none"/>
        </w:rPr>
        <w:t>机箱内配备防雷电装置，每一根引入线均与相应的防雷电保护装置相连，以防雷击及浪涌电压。</w:t>
      </w:r>
    </w:p>
    <w:p>
      <w:pPr>
        <w:numPr>
          <w:ilvl w:val="1"/>
          <w:numId w:val="11"/>
        </w:numPr>
        <w:tabs>
          <w:tab w:val="left" w:pos="105"/>
          <w:tab w:val="left" w:pos="315"/>
          <w:tab w:val="clear" w:pos="1260"/>
        </w:tabs>
        <w:spacing w:line="400" w:lineRule="exact"/>
        <w:ind w:left="0" w:firstLine="525"/>
        <w:rPr>
          <w:rFonts w:hint="eastAsia" w:ascii="宋体" w:hAnsi="宋体"/>
          <w:bCs/>
          <w:color w:val="auto"/>
          <w:sz w:val="24"/>
          <w:highlight w:val="none"/>
        </w:rPr>
      </w:pPr>
      <w:r>
        <w:rPr>
          <w:rFonts w:hint="eastAsia" w:ascii="宋体" w:hAnsi="宋体"/>
          <w:bCs/>
          <w:color w:val="auto"/>
          <w:sz w:val="24"/>
          <w:highlight w:val="none"/>
        </w:rPr>
        <w:t>为防止感应雷对通讯线路的影响，本系统在线路中加入了压敏电阻保护电路。当通讯线路电压过高时，压敏电阻能够自动对地放电，保护通讯线路不受感应雷的影响。</w:t>
      </w:r>
    </w:p>
    <w:p>
      <w:pPr>
        <w:numPr>
          <w:ilvl w:val="1"/>
          <w:numId w:val="11"/>
        </w:numPr>
        <w:tabs>
          <w:tab w:val="left" w:pos="0"/>
          <w:tab w:val="left" w:pos="105"/>
          <w:tab w:val="clear" w:pos="1260"/>
        </w:tabs>
        <w:spacing w:line="400" w:lineRule="exact"/>
        <w:ind w:left="0" w:firstLine="525"/>
        <w:rPr>
          <w:rFonts w:hint="eastAsia" w:ascii="宋体" w:hAnsi="宋体"/>
          <w:bCs/>
          <w:color w:val="auto"/>
          <w:sz w:val="24"/>
          <w:highlight w:val="none"/>
        </w:rPr>
      </w:pPr>
      <w:r>
        <w:rPr>
          <w:rFonts w:hint="eastAsia" w:ascii="宋体" w:hAnsi="宋体"/>
          <w:bCs/>
          <w:color w:val="auto"/>
          <w:sz w:val="24"/>
          <w:highlight w:val="none"/>
        </w:rPr>
        <w:t>机箱与其它金属构件接地良好。</w:t>
      </w:r>
    </w:p>
    <w:p>
      <w:pPr>
        <w:tabs>
          <w:tab w:val="left" w:pos="105"/>
        </w:tabs>
        <w:spacing w:line="400" w:lineRule="exact"/>
        <w:ind w:firstLine="525"/>
        <w:rPr>
          <w:rFonts w:hint="eastAsia" w:ascii="宋体" w:hAnsi="宋体"/>
          <w:bCs/>
          <w:color w:val="auto"/>
          <w:sz w:val="24"/>
          <w:highlight w:val="none"/>
        </w:rPr>
      </w:pPr>
      <w:r>
        <w:rPr>
          <w:rFonts w:hint="eastAsia" w:ascii="宋体" w:hAnsi="宋体"/>
          <w:bCs/>
          <w:color w:val="auto"/>
          <w:sz w:val="24"/>
          <w:highlight w:val="none"/>
        </w:rPr>
        <w:t>（2）防雨水渗漏性能</w:t>
      </w:r>
    </w:p>
    <w:p>
      <w:pPr>
        <w:tabs>
          <w:tab w:val="left" w:pos="105"/>
        </w:tabs>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为保护显示屏的正常运行，应注意采取防渗漏措施，使可变信息标志达到IP65防护标准。像素管本身应具有良好的防潮防渗漏性能。采用“O”型密封圈加强防漏。对后盖的开闭口均采用“O”型圈加以密封，在箱体内沿还应备有泄水槽将渗入的水引排出去。</w:t>
      </w:r>
    </w:p>
    <w:p>
      <w:pPr>
        <w:tabs>
          <w:tab w:val="left" w:pos="105"/>
        </w:tabs>
        <w:spacing w:line="400" w:lineRule="exact"/>
        <w:ind w:firstLine="525"/>
        <w:rPr>
          <w:rFonts w:hint="eastAsia" w:ascii="宋体" w:hAnsi="宋体"/>
          <w:bCs/>
          <w:color w:val="auto"/>
          <w:sz w:val="24"/>
          <w:highlight w:val="none"/>
        </w:rPr>
      </w:pPr>
      <w:r>
        <w:rPr>
          <w:rFonts w:hint="eastAsia" w:ascii="宋体" w:hAnsi="宋体"/>
          <w:bCs/>
          <w:color w:val="auto"/>
          <w:sz w:val="24"/>
          <w:highlight w:val="none"/>
        </w:rPr>
        <w:t>（3）防腐蚀性能</w:t>
      </w:r>
    </w:p>
    <w:p>
      <w:pPr>
        <w:numPr>
          <w:ilvl w:val="0"/>
          <w:numId w:val="12"/>
        </w:numPr>
        <w:tabs>
          <w:tab w:val="left" w:pos="840"/>
          <w:tab w:val="clear" w:pos="945"/>
        </w:tabs>
        <w:spacing w:line="400" w:lineRule="exact"/>
        <w:ind w:left="0" w:firstLine="525"/>
        <w:rPr>
          <w:rFonts w:hint="eastAsia" w:ascii="宋体" w:hAnsi="宋体"/>
          <w:bCs/>
          <w:color w:val="auto"/>
          <w:sz w:val="24"/>
          <w:highlight w:val="none"/>
        </w:rPr>
      </w:pPr>
      <w:r>
        <w:rPr>
          <w:rFonts w:hint="eastAsia" w:ascii="宋体" w:hAnsi="宋体"/>
          <w:bCs/>
          <w:color w:val="auto"/>
          <w:sz w:val="24"/>
          <w:highlight w:val="none"/>
        </w:rPr>
        <w:t>所有的支撑构件、框架、紧固件均具有表面防腐涂料，施工现场形成的焊缝亦覆盖有防腐涂料，并满足相关的质量评定标准。像素管本身采用硅胶密封，具有良好的防潮防渗漏性能。在与机箱连接采用“O”型密封圈加强防漏。</w:t>
      </w:r>
    </w:p>
    <w:p>
      <w:pPr>
        <w:numPr>
          <w:ilvl w:val="0"/>
          <w:numId w:val="12"/>
        </w:numPr>
        <w:tabs>
          <w:tab w:val="left" w:pos="840"/>
          <w:tab w:val="clear" w:pos="945"/>
        </w:tabs>
        <w:spacing w:line="400" w:lineRule="exact"/>
        <w:ind w:left="0" w:firstLine="525"/>
        <w:rPr>
          <w:rFonts w:hint="eastAsia" w:ascii="宋体" w:hAnsi="宋体"/>
          <w:bCs/>
          <w:color w:val="auto"/>
          <w:sz w:val="24"/>
          <w:highlight w:val="none"/>
        </w:rPr>
      </w:pPr>
      <w:r>
        <w:rPr>
          <w:rFonts w:hint="eastAsia" w:ascii="宋体" w:hAnsi="宋体"/>
          <w:bCs/>
          <w:color w:val="auto"/>
          <w:sz w:val="24"/>
          <w:highlight w:val="none"/>
        </w:rPr>
        <w:t>机箱在设计中，对防漏作认真安排，对后盖的开闭口均采用橡胶海绵条加以密封。机箱采用双层防水后盖，两层后盖间底部开有溢水孔，确保机箱内部不进水。内机箱防护等级达到IP66。</w:t>
      </w:r>
    </w:p>
    <w:p>
      <w:pPr>
        <w:widowControl/>
        <w:numPr>
          <w:ilvl w:val="0"/>
          <w:numId w:val="13"/>
        </w:numPr>
        <w:tabs>
          <w:tab w:val="left" w:pos="105"/>
          <w:tab w:val="clear" w:pos="420"/>
        </w:tabs>
        <w:spacing w:line="400" w:lineRule="exact"/>
        <w:ind w:left="0" w:firstLine="525"/>
        <w:rPr>
          <w:rFonts w:hint="eastAsia" w:ascii="宋体" w:hAnsi="宋体"/>
          <w:bCs/>
          <w:color w:val="auto"/>
          <w:sz w:val="24"/>
          <w:highlight w:val="none"/>
        </w:rPr>
      </w:pPr>
      <w:r>
        <w:rPr>
          <w:rFonts w:hint="eastAsia" w:ascii="宋体" w:hAnsi="宋体"/>
          <w:bCs/>
          <w:color w:val="auto"/>
          <w:sz w:val="24"/>
          <w:highlight w:val="none"/>
        </w:rPr>
        <w:t>在机箱的左右均有一个大孔供通信电缆线引入、引出之用，在设计中对大孔的对接都有引导口沿，在口沿伸入处再加上法兰圈加以密封，防止漏水进入线路系统。</w:t>
      </w:r>
    </w:p>
    <w:p>
      <w:pPr>
        <w:spacing w:line="400" w:lineRule="exact"/>
        <w:ind w:firstLine="120" w:firstLineChars="50"/>
        <w:rPr>
          <w:rFonts w:hint="eastAsia" w:ascii="宋体" w:hAnsi="宋体"/>
          <w:bCs/>
          <w:color w:val="auto"/>
          <w:sz w:val="24"/>
          <w:highlight w:val="none"/>
        </w:rPr>
      </w:pPr>
      <w:r>
        <w:rPr>
          <w:rFonts w:hint="eastAsia" w:ascii="宋体" w:hAnsi="宋体"/>
          <w:bCs/>
          <w:color w:val="auto"/>
          <w:sz w:val="24"/>
          <w:highlight w:val="none"/>
        </w:rPr>
        <w:t>（4）显示屏安装</w:t>
      </w:r>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可变信息标志采用单柱式、悬臂式或门架式支撑，联网接口、用电等接入最近的路灯配电箱。</w:t>
      </w:r>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显示屏安装要求参照国标《道路交通标志和标线》（GB5768-2009）。</w:t>
      </w:r>
    </w:p>
    <w:p>
      <w:pPr>
        <w:spacing w:line="400" w:lineRule="exact"/>
        <w:rPr>
          <w:rFonts w:hint="eastAsia" w:ascii="宋体" w:hAnsi="宋体"/>
          <w:b/>
          <w:color w:val="auto"/>
          <w:sz w:val="24"/>
          <w:highlight w:val="none"/>
        </w:rPr>
      </w:pPr>
      <w:bookmarkStart w:id="273" w:name="_Toc97958057"/>
      <w:r>
        <w:rPr>
          <w:rFonts w:hint="eastAsia" w:ascii="宋体" w:hAnsi="宋体"/>
          <w:b/>
          <w:color w:val="auto"/>
          <w:sz w:val="24"/>
          <w:highlight w:val="none"/>
        </w:rPr>
        <w:t>系统</w:t>
      </w:r>
      <w:bookmarkEnd w:id="273"/>
      <w:r>
        <w:rPr>
          <w:rFonts w:hint="eastAsia" w:ascii="宋体" w:hAnsi="宋体"/>
          <w:b/>
          <w:color w:val="auto"/>
          <w:sz w:val="24"/>
          <w:highlight w:val="none"/>
        </w:rPr>
        <w:t>功能</w:t>
      </w:r>
    </w:p>
    <w:p>
      <w:pPr>
        <w:adjustRightInd w:val="0"/>
        <w:spacing w:line="400" w:lineRule="exact"/>
        <w:rPr>
          <w:rFonts w:hint="eastAsia" w:ascii="宋体" w:hAnsi="宋体"/>
          <w:bCs/>
          <w:color w:val="auto"/>
          <w:sz w:val="24"/>
          <w:highlight w:val="none"/>
        </w:rPr>
      </w:pPr>
      <w:r>
        <w:rPr>
          <w:rFonts w:hint="eastAsia" w:ascii="宋体" w:hAnsi="宋体"/>
          <w:bCs/>
          <w:color w:val="auto"/>
          <w:sz w:val="24"/>
          <w:highlight w:val="none"/>
        </w:rPr>
        <w:t>观看距离</w:t>
      </w:r>
    </w:p>
    <w:p>
      <w:pPr>
        <w:adjustRightInd w:val="0"/>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观察者在晴天、太阳光正射显示面的条件下，在规定的观认角度内能正确认读显示内容的最大距离（静态视认距离）≥250m。当车辆以120km/h的速度行驶时，在晴天、太阳光正射显示面的条件下，观察者能够正确认读显示内容的最大距离（动态观认距离）≥200m。大型卡车司机及小汽车司机均能容易辨认。</w:t>
      </w:r>
    </w:p>
    <w:p>
      <w:pPr>
        <w:adjustRightInd w:val="0"/>
        <w:spacing w:line="400" w:lineRule="exact"/>
        <w:rPr>
          <w:rFonts w:hint="eastAsia" w:ascii="宋体" w:hAnsi="宋体"/>
          <w:bCs/>
          <w:color w:val="auto"/>
          <w:sz w:val="24"/>
          <w:highlight w:val="none"/>
        </w:rPr>
      </w:pPr>
      <w:r>
        <w:rPr>
          <w:rFonts w:hint="eastAsia" w:ascii="宋体" w:hAnsi="宋体"/>
          <w:bCs/>
          <w:color w:val="auto"/>
          <w:sz w:val="24"/>
          <w:highlight w:val="none"/>
        </w:rPr>
        <w:t>播放方式</w:t>
      </w:r>
    </w:p>
    <w:p>
      <w:pPr>
        <w:adjustRightInd w:val="0"/>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具有本地存储与实时控制两种显示功能。支持多页轮流显示和单页立即显示两种显示方式。可按节目单列表播出：一些相同或不同的信息可组成一个节目单，并循环显示。不同的节目单还可组成节目单列表。每个节目单播出的时间在列表中可预设，节目单列表也是循环显示的。节目单列表保存在控制器中的FLASH中，并可通过控制计算机随时更改，或上载至中心计算机中，并具有掉电保护功能。</w:t>
      </w:r>
    </w:p>
    <w:p>
      <w:pPr>
        <w:adjustRightInd w:val="0"/>
        <w:spacing w:line="400" w:lineRule="exact"/>
        <w:rPr>
          <w:rFonts w:hint="eastAsia" w:ascii="宋体" w:hAnsi="宋体"/>
          <w:bCs/>
          <w:color w:val="auto"/>
          <w:sz w:val="24"/>
          <w:highlight w:val="none"/>
        </w:rPr>
      </w:pPr>
      <w:r>
        <w:rPr>
          <w:rFonts w:hint="eastAsia" w:ascii="宋体" w:hAnsi="宋体"/>
          <w:bCs/>
          <w:color w:val="auto"/>
          <w:sz w:val="24"/>
          <w:highlight w:val="none"/>
        </w:rPr>
        <w:t>控制方式</w:t>
      </w:r>
    </w:p>
    <w:p>
      <w:pPr>
        <w:adjustRightInd w:val="0"/>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电脑可同步控制，电脑显示效果实时显示在LED显示屏上；可结合信息发布系统实现异步控制；采用光纤通信。</w:t>
      </w:r>
    </w:p>
    <w:p>
      <w:pPr>
        <w:adjustRightInd w:val="0"/>
        <w:spacing w:line="400" w:lineRule="exact"/>
        <w:rPr>
          <w:rFonts w:hint="eastAsia" w:ascii="宋体" w:hAnsi="宋体"/>
          <w:bCs/>
          <w:color w:val="auto"/>
          <w:sz w:val="24"/>
          <w:highlight w:val="none"/>
        </w:rPr>
      </w:pPr>
      <w:r>
        <w:rPr>
          <w:rFonts w:hint="eastAsia" w:ascii="宋体" w:hAnsi="宋体"/>
          <w:bCs/>
          <w:color w:val="auto"/>
          <w:sz w:val="24"/>
          <w:highlight w:val="none"/>
        </w:rPr>
        <w:t>亮度调节</w:t>
      </w:r>
    </w:p>
    <w:p>
      <w:pPr>
        <w:adjustRightInd w:val="0"/>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显示屏具有手动或自动的调光功能：在自动模式时，可根据外界环境光线的变化自动调整整屏的亮度，以保证环境较亮时显示屏亮度足够亮而环境较暗时在要求的可视距离内使显示屏不至于成为一团亮光（也即眩光现象）。亮度调整支持PWM和电流增益两种调节方式，调节级数高达256级。</w:t>
      </w:r>
    </w:p>
    <w:p>
      <w:pPr>
        <w:adjustRightInd w:val="0"/>
        <w:spacing w:line="400" w:lineRule="exact"/>
        <w:rPr>
          <w:rFonts w:hint="eastAsia" w:ascii="宋体" w:hAnsi="宋体"/>
          <w:bCs/>
          <w:color w:val="auto"/>
          <w:sz w:val="24"/>
          <w:highlight w:val="none"/>
        </w:rPr>
      </w:pPr>
      <w:r>
        <w:rPr>
          <w:rFonts w:hint="eastAsia" w:ascii="宋体" w:hAnsi="宋体"/>
          <w:bCs/>
          <w:color w:val="auto"/>
          <w:sz w:val="24"/>
          <w:highlight w:val="none"/>
        </w:rPr>
        <w:t>错误侦测</w:t>
      </w:r>
    </w:p>
    <w:p>
      <w:pPr>
        <w:adjustRightInd w:val="0"/>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显示屏具有讯息中开短路错误侦测功能，以监视屏体灯管故障，并可将故障和报警信息传送到监控中心或设定邮箱中。</w:t>
      </w:r>
    </w:p>
    <w:p>
      <w:pPr>
        <w:adjustRightInd w:val="0"/>
        <w:spacing w:line="400" w:lineRule="exact"/>
        <w:rPr>
          <w:rFonts w:hint="eastAsia" w:ascii="宋体" w:hAnsi="宋体"/>
          <w:bCs/>
          <w:color w:val="auto"/>
          <w:sz w:val="24"/>
          <w:highlight w:val="none"/>
        </w:rPr>
      </w:pPr>
      <w:r>
        <w:rPr>
          <w:rFonts w:hint="eastAsia" w:ascii="宋体" w:hAnsi="宋体"/>
          <w:bCs/>
          <w:color w:val="auto"/>
          <w:sz w:val="24"/>
          <w:highlight w:val="none"/>
        </w:rPr>
        <w:t>故障预警</w:t>
      </w:r>
    </w:p>
    <w:p>
      <w:pPr>
        <w:adjustRightInd w:val="0"/>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显示屏具有屏体运行状态侦测功能，控制端软件可对设备的每个像素管、电源子系统、通信子系统、箱体温度、箱体后备门开关状态等实时监控,一旦以上参数超过预先设定阈值时(电源故障、像素管失效率达到10%和箱体温度过高时，自动关机），显示屏会自动将警告信息以短信的方式发送到管理员的手机上，从而达到一种预警效果。</w:t>
      </w:r>
    </w:p>
    <w:p>
      <w:pPr>
        <w:adjustRightInd w:val="0"/>
        <w:spacing w:line="400" w:lineRule="exact"/>
        <w:rPr>
          <w:rFonts w:hint="eastAsia" w:ascii="宋体" w:hAnsi="宋体"/>
          <w:bCs/>
          <w:color w:val="auto"/>
          <w:sz w:val="24"/>
          <w:highlight w:val="none"/>
        </w:rPr>
      </w:pPr>
      <w:r>
        <w:rPr>
          <w:rFonts w:hint="eastAsia" w:ascii="宋体" w:hAnsi="宋体"/>
          <w:bCs/>
          <w:color w:val="auto"/>
          <w:sz w:val="24"/>
          <w:highlight w:val="none"/>
        </w:rPr>
        <w:t>存储显示</w:t>
      </w:r>
    </w:p>
    <w:p>
      <w:pPr>
        <w:adjustRightInd w:val="0"/>
        <w:spacing w:line="400" w:lineRule="exact"/>
        <w:rPr>
          <w:rFonts w:hint="eastAsia" w:ascii="宋体" w:hAnsi="宋体"/>
          <w:bCs/>
          <w:color w:val="auto"/>
          <w:sz w:val="24"/>
          <w:highlight w:val="none"/>
        </w:rPr>
      </w:pPr>
      <w:r>
        <w:rPr>
          <w:rFonts w:hint="eastAsia" w:ascii="宋体" w:hAnsi="宋体"/>
          <w:bCs/>
          <w:color w:val="auto"/>
          <w:sz w:val="24"/>
          <w:highlight w:val="none"/>
        </w:rPr>
        <w:t>自动修复</w:t>
      </w:r>
    </w:p>
    <w:p>
      <w:pPr>
        <w:adjustRightInd w:val="0"/>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显示屏具有信号和电源的双备份系统，当其中一路信号或电源发生故障时，另一路信号或电源马上增补上去，前后切换时间小于0.5S，很大程度上提高了屏体的稳定性。</w:t>
      </w:r>
    </w:p>
    <w:p>
      <w:pPr>
        <w:adjustRightInd w:val="0"/>
        <w:spacing w:line="400" w:lineRule="exact"/>
        <w:rPr>
          <w:rFonts w:hint="eastAsia" w:ascii="宋体" w:hAnsi="宋体"/>
          <w:bCs/>
          <w:color w:val="auto"/>
          <w:sz w:val="24"/>
          <w:highlight w:val="none"/>
        </w:rPr>
      </w:pPr>
      <w:r>
        <w:rPr>
          <w:rFonts w:hint="eastAsia" w:ascii="宋体" w:hAnsi="宋体"/>
          <w:bCs/>
          <w:color w:val="auto"/>
          <w:sz w:val="24"/>
          <w:highlight w:val="none"/>
        </w:rPr>
        <w:t>控制中心功能</w:t>
      </w:r>
    </w:p>
    <w:p>
      <w:pPr>
        <w:adjustRightInd w:val="0"/>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管理系统内所有用户，对用户名称、登录口令、控制权限等信息进行管理。管理系统的所有日志纪录，保存系统中所有计算机上有关软件的登录/退出记录、室外显示屏显示内容的发布记录等信息。能查询、转存、打印日志纪录。保证只有通过系统管理模块授权的用户才能修改显示内容和相关参数。</w:t>
      </w:r>
    </w:p>
    <w:p>
      <w:pPr>
        <w:adjustRightInd w:val="0"/>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系统时钟同步功能，为所有控制计算机和室外显示屏提供基准时钟，以供时钟较正。</w:t>
      </w:r>
    </w:p>
    <w:p>
      <w:pPr>
        <w:adjustRightInd w:val="0"/>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软件   </w:t>
      </w:r>
    </w:p>
    <w:p>
      <w:pPr>
        <w:adjustRightInd w:val="0"/>
        <w:spacing w:line="400" w:lineRule="exact"/>
        <w:ind w:firstLine="530" w:firstLineChars="221"/>
        <w:rPr>
          <w:rFonts w:hint="eastAsia" w:ascii="宋体" w:hAnsi="宋体"/>
          <w:bCs/>
          <w:color w:val="auto"/>
          <w:sz w:val="24"/>
          <w:highlight w:val="none"/>
        </w:rPr>
      </w:pPr>
      <w:r>
        <w:rPr>
          <w:rFonts w:hint="eastAsia" w:ascii="宋体" w:hAnsi="宋体"/>
          <w:bCs/>
          <w:color w:val="auto"/>
          <w:sz w:val="24"/>
          <w:highlight w:val="none"/>
        </w:rPr>
        <w:t>软件提供全中文用户界面，界面友好，操作方便。错误操作能够恢复，且不能引起系统死机和崩溃。</w:t>
      </w:r>
    </w:p>
    <w:p>
      <w:pPr>
        <w:spacing w:line="400" w:lineRule="exact"/>
        <w:rPr>
          <w:rFonts w:hint="eastAsia" w:ascii="宋体" w:hAnsi="宋体"/>
          <w:b/>
          <w:color w:val="auto"/>
          <w:sz w:val="24"/>
          <w:highlight w:val="none"/>
        </w:rPr>
      </w:pPr>
      <w:r>
        <w:rPr>
          <w:rFonts w:hint="eastAsia" w:ascii="宋体" w:hAnsi="宋体"/>
          <w:b/>
          <w:color w:val="auto"/>
          <w:sz w:val="24"/>
          <w:highlight w:val="none"/>
        </w:rPr>
        <w:t>集中控制</w:t>
      </w:r>
    </w:p>
    <w:p>
      <w:pPr>
        <w:adjustRightInd w:val="0"/>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自动诱导功能由指挥中心实现，能根据其他系统提供的实时交通数据和有关信息自动产生诱导信息，经人工确认后发往室外显示屏显示。</w:t>
      </w:r>
    </w:p>
    <w:p>
      <w:pPr>
        <w:adjustRightInd w:val="0"/>
        <w:spacing w:line="400" w:lineRule="exact"/>
        <w:rPr>
          <w:rFonts w:hint="eastAsia" w:ascii="宋体" w:hAnsi="宋体"/>
          <w:bCs/>
          <w:color w:val="auto"/>
          <w:sz w:val="24"/>
          <w:highlight w:val="none"/>
        </w:rPr>
      </w:pPr>
      <w:r>
        <w:rPr>
          <w:rFonts w:hint="eastAsia" w:ascii="宋体" w:hAnsi="宋体"/>
          <w:bCs/>
          <w:color w:val="auto"/>
          <w:sz w:val="24"/>
          <w:highlight w:val="none"/>
        </w:rPr>
        <w:t>显示参数控制</w:t>
      </w:r>
    </w:p>
    <w:p>
      <w:pPr>
        <w:adjustRightInd w:val="0"/>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诱导参数可进行设置。能提供用于自动诱导的诱导信息编辑、修改、管理功能。诱导信息编辑能使用系统支持的所有字型的文字和图形符号。实时编辑的信息可随时发送至交通诱导屏显示。</w:t>
      </w:r>
    </w:p>
    <w:p>
      <w:pPr>
        <w:adjustRightInd w:val="0"/>
        <w:spacing w:line="400" w:lineRule="exact"/>
        <w:rPr>
          <w:rFonts w:hint="eastAsia" w:ascii="宋体" w:hAnsi="宋体"/>
          <w:bCs/>
          <w:color w:val="auto"/>
          <w:sz w:val="24"/>
          <w:highlight w:val="none"/>
        </w:rPr>
      </w:pPr>
      <w:r>
        <w:rPr>
          <w:rFonts w:hint="eastAsia" w:ascii="宋体" w:hAnsi="宋体"/>
          <w:bCs/>
          <w:color w:val="auto"/>
          <w:sz w:val="24"/>
          <w:highlight w:val="none"/>
        </w:rPr>
        <w:t>配电管理</w:t>
      </w:r>
    </w:p>
    <w:p>
      <w:pPr>
        <w:adjustRightInd w:val="0"/>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中心可远程控制显示屏电源的开关，可远程控制显示屏显示的开关（智能上电控制系统）。在电源故障、无显示内容是，显示屏为全黑，无任何亮点。</w:t>
      </w:r>
    </w:p>
    <w:p>
      <w:pPr>
        <w:spacing w:line="400" w:lineRule="exact"/>
        <w:rPr>
          <w:rFonts w:hint="eastAsia" w:ascii="宋体" w:hAnsi="宋体"/>
          <w:b/>
          <w:color w:val="auto"/>
          <w:sz w:val="24"/>
          <w:highlight w:val="none"/>
        </w:rPr>
      </w:pPr>
    </w:p>
    <w:p>
      <w:pPr>
        <w:spacing w:line="400" w:lineRule="exact"/>
        <w:rPr>
          <w:rFonts w:hint="eastAsia" w:ascii="宋体" w:hAnsi="宋体"/>
          <w:b/>
          <w:color w:val="auto"/>
          <w:sz w:val="24"/>
          <w:highlight w:val="none"/>
        </w:rPr>
      </w:pPr>
      <w:r>
        <w:rPr>
          <w:rFonts w:hint="eastAsia" w:ascii="宋体" w:hAnsi="宋体"/>
          <w:b/>
          <w:color w:val="auto"/>
          <w:sz w:val="24"/>
          <w:highlight w:val="none"/>
        </w:rPr>
        <w:t>环境适应性能</w:t>
      </w:r>
    </w:p>
    <w:p>
      <w:pPr>
        <w:adjustRightInd w:val="0"/>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由于自然环境、气候的特点，显示屏经过防潮、防腐处理，保证其有足够的寿命和较强的稳定性。</w:t>
      </w:r>
    </w:p>
    <w:p>
      <w:pPr>
        <w:adjustRightInd w:val="0"/>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显示屏运行中要保持稳定，其中一个关键的因素就是对温度的调节和循环散热系统。我公司针对尤其是高温环境的显示屏进行强对流内外动态循环散热系统，使系统的稳定性大大提高。</w:t>
      </w:r>
    </w:p>
    <w:p>
      <w:pPr>
        <w:adjustRightInd w:val="0"/>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由于户外显示屏环境亮度多变因素，在不同时段对于显示屏观赏效果影响非常大。显示屏应能够根据环境光线的不同进行手动/自动调节显示屏的亮度，以保证在任何环境光线下显示屏都能达到最佳的视觉效果和节能效果</w:t>
      </w:r>
    </w:p>
    <w:p>
      <w:pPr>
        <w:adjustRightInd w:val="0"/>
        <w:spacing w:line="400" w:lineRule="exact"/>
        <w:outlineLvl w:val="2"/>
        <w:rPr>
          <w:rFonts w:hint="eastAsia" w:ascii="宋体" w:hAnsi="宋体"/>
          <w:bCs/>
          <w:color w:val="auto"/>
          <w:sz w:val="24"/>
          <w:highlight w:val="none"/>
        </w:rPr>
      </w:pPr>
      <w:r>
        <w:rPr>
          <w:rFonts w:hint="eastAsia" w:ascii="宋体" w:hAnsi="宋体"/>
          <w:bCs/>
          <w:color w:val="auto"/>
          <w:sz w:val="24"/>
          <w:highlight w:val="none"/>
        </w:rPr>
        <w:t>耐低温性能</w:t>
      </w:r>
    </w:p>
    <w:p>
      <w:pPr>
        <w:adjustRightInd w:val="0"/>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在-40</w:t>
      </w:r>
      <w:r>
        <w:rPr>
          <w:rFonts w:hint="eastAsia" w:ascii="宋体" w:hAnsi="宋体" w:cs="宋体"/>
          <w:bCs/>
          <w:color w:val="auto"/>
          <w:sz w:val="24"/>
          <w:highlight w:val="none"/>
        </w:rPr>
        <w:t>℃</w:t>
      </w:r>
      <w:r>
        <w:rPr>
          <w:rFonts w:hint="eastAsia" w:ascii="宋体" w:hAnsi="宋体"/>
          <w:bCs/>
          <w:color w:val="auto"/>
          <w:sz w:val="24"/>
          <w:highlight w:val="none"/>
        </w:rPr>
        <w:t>条件下，按GB/T 23828-2009的方法试验8h，诱导标志能正常启动并工作。</w:t>
      </w:r>
    </w:p>
    <w:p>
      <w:pPr>
        <w:adjustRightInd w:val="0"/>
        <w:spacing w:line="400" w:lineRule="exact"/>
        <w:ind w:firstLine="480" w:firstLineChars="200"/>
        <w:outlineLvl w:val="2"/>
        <w:rPr>
          <w:rFonts w:hint="eastAsia" w:ascii="宋体" w:hAnsi="宋体"/>
          <w:bCs/>
          <w:color w:val="auto"/>
          <w:sz w:val="24"/>
          <w:highlight w:val="none"/>
        </w:rPr>
      </w:pPr>
      <w:r>
        <w:rPr>
          <w:rFonts w:hint="eastAsia" w:ascii="宋体" w:hAnsi="宋体"/>
          <w:bCs/>
          <w:color w:val="auto"/>
          <w:sz w:val="24"/>
          <w:highlight w:val="none"/>
        </w:rPr>
        <w:t>耐高温性能</w:t>
      </w:r>
    </w:p>
    <w:p>
      <w:pPr>
        <w:adjustRightInd w:val="0"/>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在55</w:t>
      </w:r>
      <w:r>
        <w:rPr>
          <w:rFonts w:hint="eastAsia" w:ascii="宋体" w:hAnsi="宋体" w:cs="宋体"/>
          <w:bCs/>
          <w:color w:val="auto"/>
          <w:sz w:val="24"/>
          <w:highlight w:val="none"/>
        </w:rPr>
        <w:t>℃</w:t>
      </w:r>
      <w:r>
        <w:rPr>
          <w:rFonts w:hint="eastAsia" w:ascii="宋体" w:hAnsi="宋体"/>
          <w:bCs/>
          <w:color w:val="auto"/>
          <w:sz w:val="24"/>
          <w:highlight w:val="none"/>
        </w:rPr>
        <w:t>条件下，按GB/T 23828-2009的方法试验8h，诱导标志能正常启动并工作。</w:t>
      </w:r>
    </w:p>
    <w:p>
      <w:pPr>
        <w:pStyle w:val="509"/>
        <w:widowControl w:val="0"/>
        <w:tabs>
          <w:tab w:val="clear" w:pos="360"/>
        </w:tabs>
        <w:adjustRightInd w:val="0"/>
        <w:spacing w:line="400" w:lineRule="exact"/>
        <w:ind w:left="0" w:firstLine="0"/>
        <w:outlineLvl w:val="2"/>
        <w:rPr>
          <w:rFonts w:hint="eastAsia" w:ascii="宋体" w:hAnsi="宋体" w:eastAsia="宋体"/>
          <w:bCs/>
          <w:color w:val="auto"/>
          <w:kern w:val="2"/>
          <w:sz w:val="24"/>
          <w:szCs w:val="24"/>
          <w:highlight w:val="none"/>
        </w:rPr>
      </w:pPr>
      <w:r>
        <w:rPr>
          <w:rFonts w:hint="eastAsia" w:ascii="宋体" w:hAnsi="宋体" w:eastAsia="宋体"/>
          <w:bCs/>
          <w:color w:val="auto"/>
          <w:kern w:val="2"/>
          <w:sz w:val="24"/>
          <w:szCs w:val="24"/>
          <w:highlight w:val="none"/>
        </w:rPr>
        <w:t>耐湿热性能</w:t>
      </w:r>
    </w:p>
    <w:p>
      <w:pPr>
        <w:pStyle w:val="509"/>
        <w:widowControl w:val="0"/>
        <w:tabs>
          <w:tab w:val="left" w:pos="0"/>
          <w:tab w:val="clear" w:pos="360"/>
          <w:tab w:val="clear" w:pos="1265"/>
        </w:tabs>
        <w:adjustRightInd w:val="0"/>
        <w:spacing w:line="400" w:lineRule="exact"/>
        <w:ind w:left="0" w:firstLine="480" w:firstLineChars="200"/>
        <w:rPr>
          <w:rFonts w:hint="eastAsia" w:ascii="宋体" w:hAnsi="宋体" w:eastAsia="宋体"/>
          <w:bCs/>
          <w:color w:val="auto"/>
          <w:kern w:val="2"/>
          <w:sz w:val="24"/>
          <w:szCs w:val="24"/>
          <w:highlight w:val="none"/>
        </w:rPr>
      </w:pPr>
      <w:r>
        <w:rPr>
          <w:rFonts w:hint="eastAsia" w:ascii="宋体" w:hAnsi="宋体" w:eastAsia="宋体"/>
          <w:bCs/>
          <w:color w:val="auto"/>
          <w:kern w:val="2"/>
          <w:sz w:val="24"/>
          <w:szCs w:val="24"/>
          <w:highlight w:val="none"/>
        </w:rPr>
        <w:t>在温度55</w:t>
      </w:r>
      <w:r>
        <w:rPr>
          <w:rFonts w:hint="eastAsia" w:ascii="宋体" w:hAnsi="宋体" w:eastAsia="宋体" w:cs="宋体"/>
          <w:bCs/>
          <w:color w:val="auto"/>
          <w:kern w:val="2"/>
          <w:sz w:val="24"/>
          <w:szCs w:val="24"/>
          <w:highlight w:val="none"/>
        </w:rPr>
        <w:t>℃</w:t>
      </w:r>
      <w:r>
        <w:rPr>
          <w:rFonts w:hint="eastAsia" w:ascii="宋体" w:hAnsi="宋体" w:eastAsia="宋体"/>
          <w:bCs/>
          <w:color w:val="auto"/>
          <w:kern w:val="2"/>
          <w:sz w:val="24"/>
          <w:szCs w:val="24"/>
          <w:highlight w:val="none"/>
        </w:rPr>
        <w:t>，相对湿度（98±2）%条件下，按GB/T 238</w:t>
      </w:r>
      <w:r>
        <w:rPr>
          <w:rFonts w:hint="eastAsia" w:ascii="宋体" w:hAnsi="宋体" w:eastAsia="宋体"/>
          <w:bCs/>
          <w:color w:val="auto"/>
          <w:sz w:val="24"/>
          <w:szCs w:val="24"/>
          <w:highlight w:val="none"/>
        </w:rPr>
        <w:t>28-2009</w:t>
      </w:r>
      <w:r>
        <w:rPr>
          <w:rFonts w:hint="eastAsia" w:ascii="宋体" w:hAnsi="宋体" w:eastAsia="宋体"/>
          <w:bCs/>
          <w:color w:val="auto"/>
          <w:kern w:val="2"/>
          <w:sz w:val="24"/>
          <w:szCs w:val="24"/>
          <w:highlight w:val="none"/>
        </w:rPr>
        <w:t>的方法试验48h，产品能正常启动并工作。</w:t>
      </w:r>
    </w:p>
    <w:p>
      <w:pPr>
        <w:spacing w:line="400" w:lineRule="exact"/>
        <w:rPr>
          <w:rFonts w:hint="eastAsia" w:ascii="宋体" w:hAnsi="宋体"/>
          <w:b/>
          <w:color w:val="auto"/>
          <w:sz w:val="24"/>
          <w:highlight w:val="none"/>
        </w:rPr>
      </w:pPr>
      <w:r>
        <w:rPr>
          <w:rFonts w:hint="eastAsia" w:ascii="宋体" w:hAnsi="宋体"/>
          <w:b/>
          <w:color w:val="auto"/>
          <w:sz w:val="24"/>
          <w:highlight w:val="none"/>
        </w:rPr>
        <w:t>耐机械振动性能</w:t>
      </w:r>
    </w:p>
    <w:p>
      <w:pPr>
        <w:pStyle w:val="509"/>
        <w:widowControl w:val="0"/>
        <w:tabs>
          <w:tab w:val="left" w:pos="840"/>
          <w:tab w:val="clear" w:pos="360"/>
          <w:tab w:val="clear" w:pos="1265"/>
        </w:tabs>
        <w:adjustRightInd w:val="0"/>
        <w:spacing w:line="400" w:lineRule="exact"/>
        <w:ind w:left="0" w:firstLine="420" w:firstLineChars="175"/>
        <w:rPr>
          <w:rFonts w:hint="eastAsia" w:ascii="宋体" w:hAnsi="宋体" w:eastAsia="宋体"/>
          <w:bCs/>
          <w:color w:val="auto"/>
          <w:kern w:val="2"/>
          <w:sz w:val="24"/>
          <w:szCs w:val="24"/>
          <w:highlight w:val="none"/>
        </w:rPr>
      </w:pPr>
      <w:r>
        <w:rPr>
          <w:rFonts w:hint="eastAsia" w:ascii="宋体" w:hAnsi="宋体" w:eastAsia="宋体"/>
          <w:bCs/>
          <w:color w:val="auto"/>
          <w:kern w:val="2"/>
          <w:sz w:val="24"/>
          <w:szCs w:val="24"/>
          <w:highlight w:val="none"/>
        </w:rPr>
        <w:t>可变信息标志通电工作时，在振动频率1Hz～150Hz的范围内按交通诱导行业标准6.10.6的方法进行扫频试验，试验后功能正常，结构不受影响，零部件无松动。</w:t>
      </w:r>
    </w:p>
    <w:p>
      <w:pPr>
        <w:pStyle w:val="509"/>
        <w:widowControl w:val="0"/>
        <w:tabs>
          <w:tab w:val="clear" w:pos="360"/>
        </w:tabs>
        <w:adjustRightInd w:val="0"/>
        <w:spacing w:line="400" w:lineRule="exact"/>
        <w:ind w:left="480" w:hanging="480" w:hangingChars="200"/>
        <w:outlineLvl w:val="2"/>
        <w:rPr>
          <w:rFonts w:hint="eastAsia" w:ascii="宋体" w:hAnsi="宋体" w:eastAsia="宋体"/>
          <w:bCs/>
          <w:color w:val="auto"/>
          <w:kern w:val="2"/>
          <w:sz w:val="24"/>
          <w:szCs w:val="24"/>
          <w:highlight w:val="none"/>
        </w:rPr>
      </w:pPr>
      <w:r>
        <w:rPr>
          <w:rFonts w:hint="eastAsia" w:ascii="宋体" w:hAnsi="宋体" w:eastAsia="宋体"/>
          <w:bCs/>
          <w:color w:val="auto"/>
          <w:kern w:val="2"/>
          <w:sz w:val="24"/>
          <w:szCs w:val="24"/>
          <w:highlight w:val="none"/>
        </w:rPr>
        <w:t>耐盐雾腐蚀性能</w:t>
      </w:r>
    </w:p>
    <w:p>
      <w:pPr>
        <w:pStyle w:val="509"/>
        <w:widowControl w:val="0"/>
        <w:tabs>
          <w:tab w:val="left" w:pos="105"/>
          <w:tab w:val="clear" w:pos="360"/>
          <w:tab w:val="clear" w:pos="1680"/>
        </w:tabs>
        <w:adjustRightInd w:val="0"/>
        <w:spacing w:line="400" w:lineRule="exact"/>
        <w:ind w:left="0" w:firstLine="420" w:firstLineChars="175"/>
        <w:rPr>
          <w:rFonts w:hint="eastAsia" w:ascii="宋体" w:hAnsi="宋体" w:eastAsia="宋体"/>
          <w:bCs/>
          <w:color w:val="auto"/>
          <w:kern w:val="2"/>
          <w:sz w:val="24"/>
          <w:szCs w:val="24"/>
          <w:highlight w:val="none"/>
        </w:rPr>
      </w:pPr>
      <w:r>
        <w:rPr>
          <w:rFonts w:hint="eastAsia" w:ascii="宋体" w:hAnsi="宋体" w:eastAsia="宋体"/>
          <w:bCs/>
          <w:color w:val="auto"/>
          <w:kern w:val="2"/>
          <w:sz w:val="24"/>
          <w:szCs w:val="24"/>
          <w:highlight w:val="none"/>
        </w:rPr>
        <w:t>产品的印刷电路板、外壳防腐层和像素及其支撑底板（其它部件由供需双方协定）按GB/T 23828-2009的方法，经过168h的试验后，无明显锈蚀现象，金属构件应无红色锈点，印刷电路板经过24h自然晾干后功能正常。</w:t>
      </w:r>
    </w:p>
    <w:p>
      <w:pPr>
        <w:spacing w:line="400" w:lineRule="exact"/>
        <w:rPr>
          <w:rFonts w:hint="eastAsia" w:ascii="宋体" w:hAnsi="宋体"/>
          <w:b/>
          <w:color w:val="auto"/>
          <w:sz w:val="24"/>
          <w:highlight w:val="none"/>
        </w:rPr>
      </w:pPr>
      <w:r>
        <w:rPr>
          <w:rFonts w:hint="eastAsia" w:ascii="宋体" w:hAnsi="宋体"/>
          <w:b/>
          <w:color w:val="auto"/>
          <w:sz w:val="24"/>
          <w:highlight w:val="none"/>
        </w:rPr>
        <w:t>抗风性能</w:t>
      </w:r>
    </w:p>
    <w:p>
      <w:pPr>
        <w:pStyle w:val="509"/>
        <w:tabs>
          <w:tab w:val="left" w:pos="315"/>
          <w:tab w:val="clear" w:pos="360"/>
          <w:tab w:val="clear" w:pos="1680"/>
        </w:tabs>
        <w:adjustRightInd w:val="0"/>
        <w:spacing w:line="400" w:lineRule="exact"/>
        <w:ind w:left="0" w:firstLine="420" w:firstLineChars="175"/>
        <w:rPr>
          <w:rFonts w:hint="eastAsia" w:ascii="宋体" w:hAnsi="宋体" w:eastAsia="宋体"/>
          <w:bCs/>
          <w:color w:val="auto"/>
          <w:kern w:val="2"/>
          <w:sz w:val="24"/>
          <w:szCs w:val="24"/>
          <w:highlight w:val="none"/>
        </w:rPr>
      </w:pPr>
      <w:r>
        <w:rPr>
          <w:rFonts w:hint="eastAsia" w:ascii="宋体" w:hAnsi="宋体" w:eastAsia="宋体"/>
          <w:bCs/>
          <w:color w:val="auto"/>
          <w:kern w:val="2"/>
          <w:sz w:val="24"/>
          <w:szCs w:val="24"/>
          <w:highlight w:val="none"/>
        </w:rPr>
        <w:t>屏体结构应稳定，承受由40m/s的风速产生的风压后，不影响屏的使用性能，由此产生的几何变形量不大于2mm。</w:t>
      </w:r>
    </w:p>
    <w:p>
      <w:pPr>
        <w:spacing w:line="400" w:lineRule="exact"/>
        <w:rPr>
          <w:rFonts w:hint="eastAsia" w:ascii="宋体" w:hAnsi="宋体"/>
          <w:b/>
          <w:color w:val="auto"/>
          <w:sz w:val="24"/>
          <w:highlight w:val="none"/>
        </w:rPr>
      </w:pPr>
      <w:r>
        <w:rPr>
          <w:rFonts w:hint="eastAsia" w:ascii="宋体" w:hAnsi="宋体"/>
          <w:b/>
          <w:color w:val="auto"/>
          <w:sz w:val="24"/>
          <w:highlight w:val="none"/>
        </w:rPr>
        <w:t>耐候性能</w:t>
      </w:r>
    </w:p>
    <w:p>
      <w:pPr>
        <w:adjustRightInd w:val="0"/>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产品的外壳防腐层、像素及其支撑底板（其它部件由供需双方协定）按本标准6.10.9经过两年自然曝晒试验或经过人工加速老化试验累积能量达到3.5x106kJ/m2后，诱导标志外观应无明显褪色、粉化、龟裂、溶解、锈蚀等老化现象，应能承受一定的冲击力，按GB/T 23828-2009规定试验时，被冲击面不破裂。</w:t>
      </w:r>
    </w:p>
    <w:p>
      <w:pPr>
        <w:spacing w:line="400" w:lineRule="exact"/>
        <w:rPr>
          <w:rFonts w:hint="eastAsia" w:ascii="宋体" w:hAnsi="宋体"/>
          <w:b/>
          <w:color w:val="auto"/>
          <w:sz w:val="24"/>
          <w:highlight w:val="none"/>
        </w:rPr>
      </w:pPr>
      <w:r>
        <w:rPr>
          <w:rFonts w:hint="eastAsia" w:ascii="宋体" w:hAnsi="宋体"/>
          <w:b/>
          <w:color w:val="auto"/>
          <w:sz w:val="24"/>
          <w:highlight w:val="none"/>
        </w:rPr>
        <w:t>双基色屏技术指标</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每个像素管组内含若干个红、绿LED管，按照单位面积发光亮度不得小于7000cd/m</w:t>
      </w:r>
      <w:r>
        <w:rPr>
          <w:rFonts w:hint="eastAsia" w:ascii="宋体" w:hAnsi="宋体"/>
          <w:color w:val="auto"/>
          <w:sz w:val="24"/>
          <w:highlight w:val="none"/>
          <w:vertAlign w:val="superscript"/>
        </w:rPr>
        <w:t>2</w:t>
      </w:r>
      <w:r>
        <w:rPr>
          <w:rFonts w:hint="eastAsia" w:ascii="宋体" w:hAnsi="宋体"/>
          <w:color w:val="auto"/>
          <w:sz w:val="24"/>
          <w:highlight w:val="none"/>
        </w:rPr>
        <w:t>配置</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像素管点距10mm</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控制器采用嵌入式系统，至少1个RJ45网络，1个RS232/485串口</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异步工作模式，存储容量不小于4G</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灰度等级4—65536色，可参数设置</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最高时钟输出25Mhz</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支持多种格式的内容显示：</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支持BMP、EMF、WMF、JPG、JPEG、DIB等图片格式的编辑和浏览</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支持文本（*.txt）的编辑和浏览</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情报板的单位重量（含与横梁的连接部件）不得高于80kg/m</w:t>
      </w:r>
      <w:r>
        <w:rPr>
          <w:rFonts w:hint="eastAsia" w:ascii="宋体" w:hAnsi="宋体"/>
          <w:color w:val="auto"/>
          <w:sz w:val="24"/>
          <w:highlight w:val="none"/>
          <w:vertAlign w:val="superscript"/>
        </w:rPr>
        <w:t>2</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所有设备和部件均应能够在室外条件下全天24小时连续运行，湿度要求：l0%---95%RH;工作13、环境温度要求：－40℃---70℃；大气压力要求：86 ---106KPa</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对发光二极管（LED）的要求：红色LED管采用HP管；绿色LED管采用日亚管；LED管的半强度角不小于30度； LED管的平均无故障时问MTBF≥50000h</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对基本显示单元的要求：可变信息标志使用LED模块作为显示屏的基本显示单元，方便安装和维修；基本显示单元由LED像素管封装而成；LED模块为超高亮度、防水、防尘、防腐蚀、防干扰、防震动，野外型组件，要求装卸方便、可靠性高；模块发光亮度应达到单位面积发光亮度不小于7000cd/m2的要求</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显示屏必须配备防雷装置，每一根引入线均需采取相应的防雷电保护措施。设备须具备良好的抗干扰和雷电浪涌防护</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抗风能力≥40m/s</w:t>
      </w:r>
    </w:p>
    <w:p>
      <w:pPr>
        <w:pStyle w:val="178"/>
        <w:snapToGrid/>
        <w:spacing w:afterLines="0" w:line="400" w:lineRule="exact"/>
        <w:ind w:firstLine="422" w:firstLineChars="175"/>
        <w:rPr>
          <w:rFonts w:hint="eastAsia" w:ascii="宋体" w:hAnsi="宋体"/>
          <w:b/>
          <w:bCs/>
          <w:color w:val="auto"/>
          <w:szCs w:val="24"/>
          <w:highlight w:val="none"/>
        </w:rPr>
      </w:pPr>
      <w:r>
        <w:rPr>
          <w:rFonts w:hint="eastAsia" w:ascii="宋体" w:hAnsi="宋体"/>
          <w:b/>
          <w:bCs/>
          <w:color w:val="auto"/>
          <w:szCs w:val="24"/>
          <w:highlight w:val="none"/>
        </w:rPr>
        <w:t>4） 全景监控球机（200万低照度球机）</w:t>
      </w:r>
    </w:p>
    <w:p>
      <w:pPr>
        <w:spacing w:line="400" w:lineRule="exact"/>
        <w:rPr>
          <w:rFonts w:hint="eastAsia" w:ascii="宋体" w:hAnsi="宋体"/>
          <w:b/>
          <w:color w:val="auto"/>
          <w:sz w:val="24"/>
          <w:highlight w:val="none"/>
        </w:rPr>
      </w:pPr>
      <w:r>
        <w:rPr>
          <w:rFonts w:hint="eastAsia" w:ascii="宋体" w:hAnsi="宋体"/>
          <w:b/>
          <w:color w:val="auto"/>
          <w:sz w:val="24"/>
          <w:highlight w:val="none"/>
        </w:rPr>
        <w:t>红外功能：</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采用高效红外阵列，低功耗，照射距离达400m</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红外灯与倍率距离匹配算法，根据倍率及距离调节红外灯亮度和角度，使图像达到理想的状态</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支持双路视频融合，球机内置两个图像传感器，分别输出黑白及彩色图像，球机可对视频图像进行融合输出</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支持Smart IR防红外过曝技术</w:t>
      </w:r>
    </w:p>
    <w:p>
      <w:pPr>
        <w:spacing w:line="400" w:lineRule="exact"/>
        <w:rPr>
          <w:rFonts w:hint="eastAsia" w:ascii="宋体" w:hAnsi="宋体"/>
          <w:b/>
          <w:color w:val="auto"/>
          <w:sz w:val="24"/>
          <w:highlight w:val="none"/>
        </w:rPr>
      </w:pPr>
      <w:r>
        <w:rPr>
          <w:rFonts w:hint="eastAsia" w:ascii="宋体" w:hAnsi="宋体"/>
          <w:b/>
          <w:bCs/>
          <w:color w:val="auto"/>
          <w:sz w:val="24"/>
          <w:highlight w:val="none"/>
        </w:rPr>
        <w:t>系统功能：</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采用高性能传感器，图像清晰，最大分辨率可达1920×1080</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精密电机驱动，反应灵敏，运转平稳，精度偏差少于0.1度，在任何速度下图像无抖动</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支持标准的API开发接口，支持现有设备的SDK、ONVIF、CGI、PSIA和GB/T28181协议接入</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支持三维智能定位功能，配合DVR/客户端软件/IE可实现点击跟踪和放大</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支持系统双备份功能，确保数据断电不丢失</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支持断电状态记忆功能，上电后自动回到断电前的云台和镜头状态</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支持防雷、防浪涌、防突波，达到IP66防护等级</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支持定时任务功能，多种定时任务模式可选</w:t>
      </w:r>
    </w:p>
    <w:p>
      <w:pPr>
        <w:spacing w:line="400" w:lineRule="exact"/>
        <w:rPr>
          <w:rFonts w:hint="eastAsia" w:ascii="宋体" w:hAnsi="宋体"/>
          <w:b/>
          <w:color w:val="auto"/>
          <w:sz w:val="24"/>
          <w:highlight w:val="none"/>
        </w:rPr>
      </w:pPr>
      <w:r>
        <w:rPr>
          <w:rFonts w:hint="eastAsia" w:ascii="宋体" w:hAnsi="宋体"/>
          <w:b/>
          <w:bCs/>
          <w:color w:val="auto"/>
          <w:sz w:val="24"/>
          <w:highlight w:val="none"/>
        </w:rPr>
        <w:t>机芯功能：</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25倍光学变倍，16倍数字变倍</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支持自动光圈、自动聚焦、自动白平衡、背光补偿、宽动态、透雾、强光抑制、3D数字降噪</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支持超低照度：0.0003 Lux(ACG ON、彩色),0.0001 Lux (ACG ON黑白),0 Lux with IR</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支持多边形隐私遮蔽，多区域可设，多颜色、马赛克可选</w:t>
      </w:r>
    </w:p>
    <w:p>
      <w:pPr>
        <w:spacing w:line="400" w:lineRule="exact"/>
        <w:rPr>
          <w:rFonts w:hint="eastAsia" w:ascii="宋体" w:hAnsi="宋体"/>
          <w:b/>
          <w:color w:val="auto"/>
          <w:sz w:val="24"/>
          <w:highlight w:val="none"/>
        </w:rPr>
      </w:pPr>
      <w:r>
        <w:rPr>
          <w:rFonts w:hint="eastAsia" w:ascii="宋体" w:hAnsi="宋体"/>
          <w:b/>
          <w:bCs/>
          <w:color w:val="auto"/>
          <w:sz w:val="24"/>
          <w:highlight w:val="none"/>
        </w:rPr>
        <w:t>网络功能：</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支持以太网控制，同时支持模拟输出</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可通过IE浏览器和客户端软件观看图像并实现控制</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支持256G 的SD卡存储</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支持三级用户权限管理，支持授权的用户和密码，支持HTTPS加密和IEEE 802.1x网络访问控制、IP地址过滤</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支持三码流技术、ROI感兴趣区域增强编码</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支持H.265/H.264/MJPEG/MPEG4视频压缩算法，支持多级别视频质量配置，H.264编码复杂度Baseline/Main/High Profile，支持实时视频输出分辨率为2048×1536、HDTV1080p(符合SMPTE274M标准)、960p和HDTV720p(符合SMPTE296M标准)</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支持多种网络协议，IPv4/IPv6，HTTP，HTTPS，802.1x， Qos，FTP，SMTP，UPnP，SNMP，DNS，DDNS，NTP，RTSP，RTP，TCP，UDP， IGMP，ICMP，DHCP，PPPoE</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支持1路音频输入和1路音频输出</w:t>
      </w:r>
    </w:p>
    <w:p>
      <w:pPr>
        <w:spacing w:line="400" w:lineRule="exact"/>
        <w:rPr>
          <w:rFonts w:hint="eastAsia" w:ascii="宋体" w:hAnsi="宋体"/>
          <w:bCs/>
          <w:color w:val="auto"/>
          <w:sz w:val="24"/>
          <w:highlight w:val="none"/>
        </w:rPr>
      </w:pPr>
      <w:r>
        <w:rPr>
          <w:rFonts w:hint="eastAsia" w:ascii="宋体" w:hAnsi="宋体"/>
          <w:b/>
          <w:color w:val="auto"/>
          <w:sz w:val="24"/>
          <w:highlight w:val="none"/>
        </w:rPr>
        <w:t>云台功能：</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水平方向360°连续旋转，垂直方向-35°-90°,无监视盲区</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水平键控速度为0.1°-800°/s,垂直键控速度为0.1°-300°/s</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支持1000个预置位,并具有预置点视频冻结功能</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支持64条巡航扫描,每条可添加32个预置点</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支持比例变倍、守望功能</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支持报警功能，内置7路报警输入和2路报警输出，支持报警联动功能</w:t>
      </w:r>
    </w:p>
    <w:p>
      <w:pPr>
        <w:pStyle w:val="178"/>
        <w:snapToGrid/>
        <w:spacing w:afterLines="0" w:line="400" w:lineRule="exact"/>
        <w:ind w:firstLine="422" w:firstLineChars="175"/>
        <w:rPr>
          <w:rFonts w:hint="eastAsia" w:ascii="宋体" w:hAnsi="宋体"/>
          <w:b/>
          <w:bCs/>
          <w:color w:val="auto"/>
          <w:szCs w:val="24"/>
          <w:highlight w:val="none"/>
        </w:rPr>
      </w:pPr>
      <w:r>
        <w:rPr>
          <w:rFonts w:hint="eastAsia" w:ascii="宋体" w:hAnsi="宋体"/>
          <w:b/>
          <w:bCs/>
          <w:color w:val="auto"/>
          <w:szCs w:val="24"/>
          <w:highlight w:val="none"/>
        </w:rPr>
        <w:t>5）终端服务器</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本地存贮时间：≥30天</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高性能ARM Cortex A9数字媒体处理器；</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支持HEVC(H.265)编码；</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带有LCD显示屏；</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支持12路IPC接入；</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双网卡，内置16个100M以太网接口及2个1000M网络接口、1个1000M独立SFP光纤接口；</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支持2路HD-TVI输入；</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支持VGA输出、HDMI输出、CVBS输出；</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4个RS485、2个RS232、2个USB2.0、4路报警输入\报警输出、1个eSATA接口；</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电源:DC12V；</w:t>
      </w:r>
    </w:p>
    <w:p>
      <w:pPr>
        <w:spacing w:line="400" w:lineRule="exact"/>
        <w:ind w:firstLine="630"/>
        <w:rPr>
          <w:rFonts w:hint="eastAsia" w:ascii="宋体" w:hAnsi="宋体"/>
          <w:b/>
          <w:bCs/>
          <w:color w:val="auto"/>
          <w:sz w:val="24"/>
          <w:highlight w:val="none"/>
        </w:rPr>
      </w:pPr>
      <w:r>
        <w:rPr>
          <w:rFonts w:hint="eastAsia" w:ascii="宋体" w:hAnsi="宋体"/>
          <w:b/>
          <w:bCs/>
          <w:color w:val="auto"/>
          <w:sz w:val="24"/>
          <w:highlight w:val="none"/>
        </w:rPr>
        <w:t>6）工业级交换机</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24口千兆工业级交换机</w:t>
      </w:r>
    </w:p>
    <w:p>
      <w:pPr>
        <w:spacing w:line="400" w:lineRule="exact"/>
        <w:rPr>
          <w:rFonts w:hint="eastAsia" w:ascii="宋体" w:hAnsi="宋体"/>
          <w:b/>
          <w:color w:val="auto"/>
          <w:sz w:val="24"/>
          <w:highlight w:val="none"/>
        </w:rPr>
      </w:pPr>
      <w:r>
        <w:rPr>
          <w:rFonts w:hint="eastAsia" w:ascii="宋体" w:hAnsi="宋体"/>
          <w:b/>
          <w:color w:val="auto"/>
          <w:sz w:val="24"/>
          <w:highlight w:val="none"/>
        </w:rPr>
        <w:t>主要特性：</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VLAN组网模式：支持4KVLAN</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支持Access端口</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支持Trunk端口</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支持Hybrid端口</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支持管理VLAN</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支持VoiceVLAN</w:t>
      </w:r>
    </w:p>
    <w:p>
      <w:pPr>
        <w:spacing w:line="400" w:lineRule="exact"/>
        <w:ind w:firstLine="118" w:firstLineChars="49"/>
        <w:rPr>
          <w:rFonts w:hint="eastAsia" w:ascii="宋体" w:hAnsi="宋体"/>
          <w:b/>
          <w:color w:val="auto"/>
          <w:sz w:val="24"/>
          <w:highlight w:val="none"/>
        </w:rPr>
      </w:pPr>
      <w:r>
        <w:rPr>
          <w:rFonts w:hint="eastAsia" w:ascii="宋体" w:hAnsi="宋体"/>
          <w:b/>
          <w:color w:val="auto"/>
          <w:sz w:val="24"/>
          <w:highlight w:val="none"/>
        </w:rPr>
        <w:t>端口管理</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基于端口速率的风暴抑制</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端口流量达到风暴抑制门限时发送告警</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支持IGMP</w:t>
      </w:r>
      <w:r>
        <w:rPr>
          <w:rFonts w:hint="eastAsia" w:ascii="宋体" w:hAnsi="宋体" w:cs="宋体"/>
          <w:color w:val="auto"/>
          <w:sz w:val="24"/>
          <w:highlight w:val="none"/>
        </w:rPr>
        <w:t> </w:t>
      </w:r>
      <w:r>
        <w:rPr>
          <w:rFonts w:hint="eastAsia" w:ascii="宋体" w:hAnsi="宋体"/>
          <w:color w:val="auto"/>
          <w:sz w:val="24"/>
          <w:highlight w:val="none"/>
        </w:rPr>
        <w:t>Snooping</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支持用户快速离开机制</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支持IPv4、IPv6静态路由</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支持基于端口的双向流量镜像</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镜像端口支持Trunk</w:t>
      </w:r>
    </w:p>
    <w:p>
      <w:pPr>
        <w:spacing w:line="400" w:lineRule="exact"/>
        <w:ind w:firstLine="118" w:firstLineChars="49"/>
        <w:rPr>
          <w:rFonts w:hint="eastAsia" w:ascii="宋体" w:hAnsi="宋体"/>
          <w:b/>
          <w:color w:val="auto"/>
          <w:sz w:val="24"/>
          <w:highlight w:val="none"/>
        </w:rPr>
      </w:pPr>
      <w:r>
        <w:rPr>
          <w:rFonts w:hint="eastAsia" w:ascii="宋体" w:hAnsi="宋体"/>
          <w:b/>
          <w:color w:val="auto"/>
          <w:sz w:val="24"/>
          <w:highlight w:val="none"/>
        </w:rPr>
        <w:t>安全控制：</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支持硬件ACL</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支持基于端口的MAC过滤</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支持MAC认证</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支持基于端口的802.1X认证</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支持RADIUS认证</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支持Portal认证</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支持端口隔离</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支持端口风暴抑制</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支持系统自防御，防止广播流、ARP、ICMP、TCP、蠕虫病毒、DOS等攻击CPU</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支持DHCP</w:t>
      </w:r>
      <w:r>
        <w:rPr>
          <w:rFonts w:hint="eastAsia" w:ascii="宋体" w:hAnsi="宋体" w:cs="宋体"/>
          <w:color w:val="auto"/>
          <w:sz w:val="24"/>
          <w:highlight w:val="none"/>
        </w:rPr>
        <w:t> </w:t>
      </w:r>
      <w:r>
        <w:rPr>
          <w:rFonts w:hint="eastAsia" w:ascii="宋体" w:hAnsi="宋体"/>
          <w:color w:val="auto"/>
          <w:sz w:val="24"/>
          <w:highlight w:val="none"/>
        </w:rPr>
        <w:t>Snooping</w:t>
      </w:r>
    </w:p>
    <w:p>
      <w:pPr>
        <w:spacing w:line="400" w:lineRule="exact"/>
        <w:rPr>
          <w:rFonts w:hint="eastAsia" w:ascii="宋体" w:hAnsi="宋体"/>
          <w:b/>
          <w:color w:val="auto"/>
          <w:sz w:val="24"/>
          <w:highlight w:val="none"/>
        </w:rPr>
      </w:pPr>
      <w:r>
        <w:rPr>
          <w:rFonts w:hint="eastAsia" w:ascii="宋体" w:hAnsi="宋体"/>
          <w:b/>
          <w:color w:val="auto"/>
          <w:sz w:val="24"/>
          <w:highlight w:val="none"/>
        </w:rPr>
        <w:t xml:space="preserve"> 运维维护：</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支持SNMP</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支持WEB网管（支持HTTPS）</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支持DHCP-client</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支持用户口令保护</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支持一键还原</w:t>
      </w:r>
    </w:p>
    <w:p>
      <w:pPr>
        <w:spacing w:line="400" w:lineRule="exact"/>
        <w:ind w:firstLine="630"/>
        <w:rPr>
          <w:rFonts w:hint="eastAsia" w:ascii="宋体" w:hAnsi="宋体"/>
          <w:b/>
          <w:bCs/>
          <w:color w:val="auto"/>
          <w:sz w:val="24"/>
          <w:highlight w:val="none"/>
        </w:rPr>
      </w:pPr>
      <w:r>
        <w:rPr>
          <w:rFonts w:hint="eastAsia" w:ascii="宋体" w:hAnsi="宋体"/>
          <w:b/>
          <w:bCs/>
          <w:color w:val="auto"/>
          <w:sz w:val="24"/>
          <w:highlight w:val="none"/>
        </w:rPr>
        <w:t>7）外场设备机箱</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所有箱体外壳选用2mm厚的不锈钢板制造，箱门配锁并有编号标示，箱体备有适当的敲落孔，以便连接电缆或电缆管</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每根电缆与外壳的连接处，应有电缆防水密封装置</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机箱防护等级不低于IP65</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所有箱体应设有可靠接地装置</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内有独立仪表外壳，防护性能好，抗电磁干扰性能强；</w:t>
      </w:r>
    </w:p>
    <w:p>
      <w:pPr>
        <w:numPr>
          <w:ilvl w:val="0"/>
          <w:numId w:val="10"/>
        </w:numPr>
        <w:spacing w:line="400" w:lineRule="exact"/>
        <w:rPr>
          <w:rFonts w:hint="eastAsia" w:ascii="宋体" w:hAnsi="宋体"/>
          <w:b/>
          <w:color w:val="auto"/>
          <w:sz w:val="24"/>
          <w:highlight w:val="none"/>
        </w:rPr>
      </w:pPr>
      <w:r>
        <w:rPr>
          <w:rFonts w:hint="eastAsia" w:ascii="宋体" w:hAnsi="宋体"/>
          <w:b/>
          <w:color w:val="auto"/>
          <w:sz w:val="24"/>
          <w:highlight w:val="none"/>
        </w:rPr>
        <w:t>机柜内置温控器和轴流风机，调节机柜内始终处于适当的温度范围内；</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门锁采用防盗锁；</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使用寿命大于l0年；</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相对湿度：0～95％R.H；</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工作温度：-30℃～+80℃；</w:t>
      </w:r>
    </w:p>
    <w:p>
      <w:pPr>
        <w:spacing w:line="400" w:lineRule="exact"/>
        <w:ind w:firstLine="630"/>
        <w:rPr>
          <w:rFonts w:hint="eastAsia" w:ascii="宋体" w:hAnsi="宋体"/>
          <w:b/>
          <w:bCs/>
          <w:color w:val="auto"/>
          <w:sz w:val="24"/>
          <w:highlight w:val="none"/>
        </w:rPr>
      </w:pPr>
      <w:r>
        <w:rPr>
          <w:rFonts w:hint="eastAsia" w:ascii="宋体" w:hAnsi="宋体"/>
          <w:b/>
          <w:bCs/>
          <w:color w:val="auto"/>
          <w:sz w:val="24"/>
          <w:highlight w:val="none"/>
        </w:rPr>
        <w:t>8） 900万环保车辆人脸卡口抓拍单元</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环保车辆人脸卡口抓拍单元</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包含摄像机、高清镜头、室外防护罩、内置补光灯、风扇、电源适配器、安装万向节等</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内置两个图像传感器，可分别输出黑白及彩色图像，可对视频图像和抓拍图片进行融合输出</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像素：900W</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分辨率：4096(H)×2160(V)</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帧率：≤25fps</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感光器件：1英寸全局曝光CMOS（*2）</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镜头：专用镜头</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视频压缩标准：H.265/H.264/MJPEG</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图像输出格式：JPEG</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通讯接口：4个RS-485接口,1个RS-232接口；2个RJ45 10M/100M/1000M自适应以太网口</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触发输出：7路（光耦隔离2500VAC/5V TTL电平量），作为补光灯同步输出控制；一路继电器输出口</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存储支持：支持64G TF卡，支持海康云存储协议</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终端接入：支持终端服务器接入</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工作电压：100VAC～240VAC；频率：48Hz～52Hz</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功耗：＜20W</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重量：5.2±0.5kg</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智能功能，目标检测：支持机动车、非机动车、行人抓拍；违章检测：超速、压线、逆行、禁止大货车等违法行为；车辆特征检测：车牌识别、车型识别、车身颜色识别(环境光有要求)、违章检测、车辆品牌等特征检测</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14) 存储：支持TF卡口（≤64G），支持接入现有的平台；</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15）终端接入：支持接入终端服务器；</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16）防雷：具有网络信号防雷功能；</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17）电源： 电压100VAC～240VAC；频率：48Hz～52Hz；</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18）功耗 ＜20W；</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19）工作环境温度：-30～+60℃ ；</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20）工作环境湿度：5%~95%@40℃ ，无凝结；</w:t>
      </w:r>
    </w:p>
    <w:p>
      <w:pPr>
        <w:numPr>
          <w:ilvl w:val="0"/>
          <w:numId w:val="10"/>
        </w:numPr>
        <w:spacing w:line="400" w:lineRule="exact"/>
        <w:rPr>
          <w:rFonts w:hint="eastAsia" w:ascii="宋体" w:hAnsi="宋体"/>
          <w:b/>
          <w:bCs/>
          <w:color w:val="auto"/>
          <w:sz w:val="24"/>
          <w:highlight w:val="none"/>
        </w:rPr>
      </w:pPr>
      <w:r>
        <w:rPr>
          <w:rFonts w:hint="eastAsia" w:ascii="宋体" w:hAnsi="宋体"/>
          <w:color w:val="auto"/>
          <w:sz w:val="24"/>
          <w:highlight w:val="none"/>
        </w:rPr>
        <w:t>21）防护等级： IP65；</w:t>
      </w:r>
    </w:p>
    <w:p>
      <w:pPr>
        <w:spacing w:line="400" w:lineRule="exact"/>
        <w:ind w:left="900"/>
        <w:rPr>
          <w:rFonts w:hint="eastAsia" w:ascii="宋体" w:hAnsi="宋体"/>
          <w:b/>
          <w:bCs/>
          <w:color w:val="auto"/>
          <w:sz w:val="24"/>
          <w:highlight w:val="none"/>
        </w:rPr>
      </w:pPr>
      <w:r>
        <w:rPr>
          <w:rFonts w:hint="eastAsia" w:ascii="宋体" w:hAnsi="宋体"/>
          <w:b/>
          <w:bCs/>
          <w:color w:val="auto"/>
          <w:sz w:val="24"/>
          <w:highlight w:val="none"/>
        </w:rPr>
        <w:t>9） 人车管控系统(红外白光爆闪一体灯)</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24颗大功率进口LED灯珠，支持LED频闪，白光气体爆闪，红外气体爆闪。LED频闪支持PWM跟随触发，具有频率及占空比保护功能，发光角度10°；气体爆闪具有防误触发功能，提高产品寿命。可覆盖1个车道</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采用24颗原装进口高亮度LED芯片，寿命长，稳定性好，发光效率高</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采用步进电机功能，实现红外滤片的切换</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气体光源回电时间小于67ms，支持超速连拍</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气体补光控制具有峰值抑制功能</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具有电压值、电流值、故障等状态监测功能</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支持LED灯频闪、白光气体爆闪，红外气体爆闪</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支持相机误触发保护功能，触发信号输入异常时自动保护、且自动恢复</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结构采用IP65设计，增加透气孔，保持内外压强均衡，可靠防水、防尘</w:t>
      </w:r>
    </w:p>
    <w:p>
      <w:pPr>
        <w:spacing w:line="400" w:lineRule="exact"/>
        <w:ind w:left="900"/>
        <w:rPr>
          <w:rFonts w:hint="eastAsia" w:ascii="宋体" w:hAnsi="宋体"/>
          <w:b/>
          <w:bCs/>
          <w:color w:val="auto"/>
          <w:sz w:val="24"/>
          <w:highlight w:val="none"/>
        </w:rPr>
      </w:pPr>
      <w:r>
        <w:rPr>
          <w:rFonts w:hint="eastAsia" w:ascii="宋体" w:hAnsi="宋体"/>
          <w:b/>
          <w:bCs/>
          <w:color w:val="auto"/>
          <w:sz w:val="24"/>
          <w:highlight w:val="none"/>
        </w:rPr>
        <w:t>10) 人车管控系统(环境灯)</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1) LED类型：16颗大功率LED灯；</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2) 功能特性：三车道补光灯，自带光敏控制，在低照度下自动开启，低照度阀值可设，支持自闪、跟随、自动频闪（外部摄像机触发）模式；</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3) 色温：5000K~7000K；</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4) 最佳补光距离：16m～25m；</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5) 触发方式：支持5V电平量触发；</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6) 最大功率：36W；</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7) 频率：0-250HZ可调，支持通过调整占空比1%~39%进行亮度调节，支持频率及占空比保护功能；</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8) 其它特性：可通过RS485对补光灯升级程序；支持通过RS485远程控制补光灯的亮度、开启/关闭；支持通过同步输出端口级联；</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9) 电源电压：在AC80V~264V范围内变化时，设备能正常工作；</w:t>
      </w:r>
    </w:p>
    <w:p>
      <w:pPr>
        <w:numPr>
          <w:ilvl w:val="0"/>
          <w:numId w:val="10"/>
        </w:numPr>
        <w:spacing w:line="400" w:lineRule="exact"/>
        <w:rPr>
          <w:rFonts w:hint="eastAsia" w:ascii="宋体" w:hAnsi="宋体"/>
          <w:b/>
          <w:bCs/>
          <w:color w:val="auto"/>
          <w:sz w:val="24"/>
          <w:highlight w:val="none"/>
        </w:rPr>
      </w:pPr>
      <w:r>
        <w:rPr>
          <w:rFonts w:hint="eastAsia" w:ascii="宋体" w:hAnsi="宋体"/>
          <w:color w:val="auto"/>
          <w:sz w:val="24"/>
          <w:highlight w:val="none"/>
        </w:rPr>
        <w:t>10) 工作环境温度：-40℃~85℃；11) 防护等级：IP66；</w:t>
      </w:r>
    </w:p>
    <w:p>
      <w:pPr>
        <w:spacing w:line="400" w:lineRule="exact"/>
        <w:ind w:left="900"/>
        <w:rPr>
          <w:rFonts w:hint="eastAsia" w:ascii="宋体" w:hAnsi="宋体"/>
          <w:b/>
          <w:bCs/>
          <w:color w:val="auto"/>
          <w:sz w:val="24"/>
          <w:highlight w:val="none"/>
        </w:rPr>
      </w:pPr>
      <w:r>
        <w:rPr>
          <w:rFonts w:hint="eastAsia" w:ascii="宋体" w:hAnsi="宋体"/>
          <w:b/>
          <w:bCs/>
          <w:color w:val="auto"/>
          <w:sz w:val="24"/>
          <w:highlight w:val="none"/>
        </w:rPr>
        <w:t>11) 人车管控系统(综合管控一体机)</w:t>
      </w:r>
    </w:p>
    <w:p>
      <w:pPr>
        <w:numPr>
          <w:ilvl w:val="0"/>
          <w:numId w:val="10"/>
        </w:numPr>
        <w:spacing w:line="400" w:lineRule="exact"/>
        <w:rPr>
          <w:rFonts w:hint="eastAsia" w:ascii="宋体" w:hAnsi="宋体"/>
          <w:b/>
          <w:bCs/>
          <w:color w:val="auto"/>
          <w:sz w:val="24"/>
          <w:highlight w:val="none"/>
        </w:rPr>
      </w:pPr>
      <w:r>
        <w:rPr>
          <w:rFonts w:hint="eastAsia" w:ascii="宋体" w:hAnsi="宋体"/>
          <w:color w:val="auto"/>
          <w:sz w:val="24"/>
          <w:highlight w:val="none"/>
        </w:rPr>
        <w:t>1) 处理器：高性能ARM A9双核数字媒体处理器；</w:t>
      </w:r>
    </w:p>
    <w:p>
      <w:pPr>
        <w:numPr>
          <w:ilvl w:val="0"/>
          <w:numId w:val="10"/>
        </w:numPr>
        <w:spacing w:line="400" w:lineRule="exact"/>
        <w:rPr>
          <w:rFonts w:hint="eastAsia" w:ascii="宋体" w:hAnsi="宋体"/>
          <w:b/>
          <w:bCs/>
          <w:color w:val="auto"/>
          <w:sz w:val="24"/>
          <w:highlight w:val="none"/>
        </w:rPr>
      </w:pPr>
      <w:r>
        <w:rPr>
          <w:rFonts w:hint="eastAsia" w:ascii="宋体" w:hAnsi="宋体"/>
          <w:color w:val="auto"/>
          <w:sz w:val="24"/>
          <w:highlight w:val="none"/>
        </w:rPr>
        <w:t>2）操作系统：嵌入式Linux操作系统；</w:t>
      </w:r>
    </w:p>
    <w:p>
      <w:pPr>
        <w:numPr>
          <w:ilvl w:val="0"/>
          <w:numId w:val="10"/>
        </w:numPr>
        <w:spacing w:line="400" w:lineRule="exact"/>
        <w:rPr>
          <w:rFonts w:hint="eastAsia" w:ascii="宋体" w:hAnsi="宋体"/>
          <w:b/>
          <w:bCs/>
          <w:color w:val="auto"/>
          <w:sz w:val="24"/>
          <w:highlight w:val="none"/>
        </w:rPr>
      </w:pPr>
      <w:r>
        <w:rPr>
          <w:rFonts w:hint="eastAsia" w:ascii="宋体" w:hAnsi="宋体"/>
          <w:color w:val="auto"/>
          <w:sz w:val="24"/>
          <w:highlight w:val="none"/>
        </w:rPr>
        <w:t>3）网络接口：具有4个SFP光纤接口、4个指示灯，其中4个SFP光线接口与主控板的16个千兆网口处于同一网段；</w:t>
      </w:r>
    </w:p>
    <w:p>
      <w:pPr>
        <w:numPr>
          <w:ilvl w:val="0"/>
          <w:numId w:val="10"/>
        </w:numPr>
        <w:spacing w:line="400" w:lineRule="exact"/>
        <w:rPr>
          <w:rFonts w:hint="eastAsia" w:ascii="宋体" w:hAnsi="宋体"/>
          <w:b/>
          <w:bCs/>
          <w:color w:val="auto"/>
          <w:sz w:val="24"/>
          <w:highlight w:val="none"/>
        </w:rPr>
      </w:pPr>
      <w:r>
        <w:rPr>
          <w:rFonts w:hint="eastAsia" w:ascii="宋体" w:hAnsi="宋体"/>
          <w:color w:val="auto"/>
          <w:sz w:val="24"/>
          <w:highlight w:val="none"/>
        </w:rPr>
        <w:t>4）内置显示屏功能：设备带有显示屏用于显示日期、时间、环境温度、四块硬盘的工作状态、四路强电的输出状态；</w:t>
      </w:r>
    </w:p>
    <w:p>
      <w:pPr>
        <w:numPr>
          <w:ilvl w:val="0"/>
          <w:numId w:val="10"/>
        </w:numPr>
        <w:spacing w:line="400" w:lineRule="exact"/>
        <w:rPr>
          <w:rFonts w:hint="eastAsia" w:ascii="宋体" w:hAnsi="宋体"/>
          <w:b/>
          <w:bCs/>
          <w:color w:val="auto"/>
          <w:sz w:val="24"/>
          <w:highlight w:val="none"/>
        </w:rPr>
      </w:pPr>
      <w:r>
        <w:rPr>
          <w:rFonts w:hint="eastAsia" w:ascii="宋体" w:hAnsi="宋体"/>
          <w:color w:val="auto"/>
          <w:sz w:val="24"/>
          <w:highlight w:val="none"/>
        </w:rPr>
        <w:t>5）数字视频接入：可添加16路IP摄像机（单路码率10M）进行录像与图片的实时预览和存储，并可将IP摄像机的视频图像通过网络传输至客户端；</w:t>
      </w:r>
    </w:p>
    <w:p>
      <w:pPr>
        <w:numPr>
          <w:ilvl w:val="0"/>
          <w:numId w:val="10"/>
        </w:numPr>
        <w:spacing w:line="400" w:lineRule="exact"/>
        <w:rPr>
          <w:rFonts w:hint="eastAsia" w:ascii="宋体" w:hAnsi="宋体"/>
          <w:b/>
          <w:bCs/>
          <w:color w:val="auto"/>
          <w:sz w:val="24"/>
          <w:highlight w:val="none"/>
        </w:rPr>
      </w:pPr>
      <w:r>
        <w:rPr>
          <w:rFonts w:hint="eastAsia" w:ascii="宋体" w:hAnsi="宋体"/>
          <w:color w:val="auto"/>
          <w:sz w:val="24"/>
          <w:highlight w:val="none"/>
        </w:rPr>
        <w:t>6）违章片段录像：可对车辆违章片段进行录像，并记录车辆违章的全过程，录像时长不低于5秒，能够进行违章片段的回放；</w:t>
      </w:r>
    </w:p>
    <w:p>
      <w:pPr>
        <w:numPr>
          <w:ilvl w:val="0"/>
          <w:numId w:val="10"/>
        </w:numPr>
        <w:spacing w:line="400" w:lineRule="exact"/>
        <w:rPr>
          <w:rFonts w:hint="eastAsia" w:ascii="宋体" w:hAnsi="宋体"/>
          <w:b/>
          <w:bCs/>
          <w:color w:val="auto"/>
          <w:sz w:val="24"/>
          <w:highlight w:val="none"/>
        </w:rPr>
      </w:pPr>
      <w:r>
        <w:rPr>
          <w:rFonts w:hint="eastAsia" w:ascii="宋体" w:hAnsi="宋体"/>
          <w:color w:val="auto"/>
          <w:sz w:val="24"/>
          <w:highlight w:val="none"/>
        </w:rPr>
        <w:t>7）流量采集功能：支持采集与存储车流量信息，并能够按照时间、通道、车道等条件查询，支持柱状图、点状图、表格形式展示；</w:t>
      </w:r>
    </w:p>
    <w:p>
      <w:pPr>
        <w:numPr>
          <w:ilvl w:val="0"/>
          <w:numId w:val="10"/>
        </w:numPr>
        <w:spacing w:line="400" w:lineRule="exact"/>
        <w:rPr>
          <w:rFonts w:hint="eastAsia" w:ascii="宋体" w:hAnsi="宋体"/>
          <w:b/>
          <w:bCs/>
          <w:color w:val="auto"/>
          <w:sz w:val="24"/>
          <w:highlight w:val="none"/>
        </w:rPr>
      </w:pPr>
      <w:r>
        <w:rPr>
          <w:rFonts w:hint="eastAsia" w:ascii="宋体" w:hAnsi="宋体"/>
          <w:color w:val="auto"/>
          <w:sz w:val="24"/>
          <w:highlight w:val="none"/>
        </w:rPr>
        <w:t>8）硬盘存储：支持4个3.5"/2.5"SATA硬盘，最大支持24TB前端数据存储；</w:t>
      </w:r>
    </w:p>
    <w:p>
      <w:pPr>
        <w:numPr>
          <w:ilvl w:val="0"/>
          <w:numId w:val="10"/>
        </w:numPr>
        <w:spacing w:line="400" w:lineRule="exact"/>
        <w:rPr>
          <w:rFonts w:hint="eastAsia" w:ascii="宋体" w:hAnsi="宋体"/>
          <w:b/>
          <w:bCs/>
          <w:color w:val="auto"/>
          <w:sz w:val="24"/>
          <w:highlight w:val="none"/>
        </w:rPr>
      </w:pPr>
      <w:r>
        <w:rPr>
          <w:rFonts w:hint="eastAsia" w:ascii="宋体" w:hAnsi="宋体"/>
          <w:color w:val="auto"/>
          <w:sz w:val="24"/>
          <w:highlight w:val="none"/>
        </w:rPr>
        <w:t>9）功能特性：具有12路220V输入接口，支持12路红绿灯号检测功能，可通过WEB客户端显示板卡的工作状态，可通过WEB客户端进行交通灯状态展示并配置红绿灯与IPC通道的匹配关系；设备带有显示屏用于显示日期、时间、环境温度、四块硬盘的工作状态、四路强电的输出状态；首次登录时，需要进行设备激活，提示用户修改密码，后续登录需要通过正确的用户名密码才可以登录设备（以公安部检测报告为准）；</w:t>
      </w:r>
    </w:p>
    <w:p>
      <w:pPr>
        <w:numPr>
          <w:ilvl w:val="0"/>
          <w:numId w:val="10"/>
        </w:numPr>
        <w:spacing w:line="400" w:lineRule="exact"/>
        <w:rPr>
          <w:rFonts w:hint="eastAsia" w:ascii="宋体" w:hAnsi="宋体"/>
          <w:b/>
          <w:bCs/>
          <w:color w:val="auto"/>
          <w:sz w:val="24"/>
          <w:highlight w:val="none"/>
        </w:rPr>
      </w:pPr>
      <w:r>
        <w:rPr>
          <w:rFonts w:hint="eastAsia" w:ascii="宋体" w:hAnsi="宋体"/>
          <w:color w:val="auto"/>
          <w:sz w:val="24"/>
          <w:highlight w:val="none"/>
        </w:rPr>
        <w:t>10）网络接口：16个1000M以太网接口，4个内部和1个外部10/100/1000M自适应以太网接口，内部千兆网口为可光电转换网络接口，5组标准SFP光纤接口；</w:t>
      </w:r>
    </w:p>
    <w:p>
      <w:pPr>
        <w:numPr>
          <w:ilvl w:val="0"/>
          <w:numId w:val="10"/>
        </w:numPr>
        <w:spacing w:line="400" w:lineRule="exact"/>
        <w:rPr>
          <w:rFonts w:hint="eastAsia" w:ascii="宋体" w:hAnsi="宋体"/>
          <w:b/>
          <w:bCs/>
          <w:color w:val="auto"/>
          <w:sz w:val="24"/>
          <w:highlight w:val="none"/>
        </w:rPr>
      </w:pPr>
      <w:r>
        <w:rPr>
          <w:rFonts w:hint="eastAsia" w:ascii="宋体" w:hAnsi="宋体"/>
          <w:color w:val="auto"/>
          <w:sz w:val="24"/>
          <w:highlight w:val="none"/>
        </w:rPr>
        <w:t>11）音频扩展功能：1路音频输入，1路音频输出；</w:t>
      </w:r>
    </w:p>
    <w:p>
      <w:pPr>
        <w:numPr>
          <w:ilvl w:val="0"/>
          <w:numId w:val="10"/>
        </w:numPr>
        <w:spacing w:line="400" w:lineRule="exact"/>
        <w:rPr>
          <w:rFonts w:hint="eastAsia" w:ascii="宋体" w:hAnsi="宋体"/>
          <w:b/>
          <w:bCs/>
          <w:color w:val="auto"/>
          <w:sz w:val="24"/>
          <w:highlight w:val="none"/>
        </w:rPr>
      </w:pPr>
      <w:r>
        <w:rPr>
          <w:rFonts w:hint="eastAsia" w:ascii="宋体" w:hAnsi="宋体"/>
          <w:color w:val="auto"/>
          <w:sz w:val="24"/>
          <w:highlight w:val="none"/>
        </w:rPr>
        <w:t>12）其他接口：4路报警输入，4路报警输出；5个RS232接口，4个RS485接口； 2个外置USB接口；1个HDMI接口；</w:t>
      </w:r>
    </w:p>
    <w:p>
      <w:pPr>
        <w:numPr>
          <w:ilvl w:val="0"/>
          <w:numId w:val="10"/>
        </w:numPr>
        <w:spacing w:line="400" w:lineRule="exact"/>
        <w:rPr>
          <w:rFonts w:hint="eastAsia" w:ascii="宋体" w:hAnsi="宋体"/>
          <w:b/>
          <w:bCs/>
          <w:color w:val="auto"/>
          <w:sz w:val="24"/>
          <w:highlight w:val="none"/>
        </w:rPr>
      </w:pPr>
      <w:r>
        <w:rPr>
          <w:rFonts w:hint="eastAsia" w:ascii="宋体" w:hAnsi="宋体"/>
          <w:color w:val="auto"/>
          <w:sz w:val="24"/>
          <w:highlight w:val="none"/>
        </w:rPr>
        <w:t>13）电源输入：1路AC220V电源输入；</w:t>
      </w:r>
    </w:p>
    <w:p>
      <w:pPr>
        <w:numPr>
          <w:ilvl w:val="0"/>
          <w:numId w:val="10"/>
        </w:numPr>
        <w:spacing w:line="400" w:lineRule="exact"/>
        <w:rPr>
          <w:rFonts w:hint="eastAsia" w:ascii="宋体" w:hAnsi="宋体"/>
          <w:b/>
          <w:bCs/>
          <w:color w:val="auto"/>
          <w:sz w:val="24"/>
          <w:highlight w:val="none"/>
        </w:rPr>
      </w:pPr>
      <w:r>
        <w:rPr>
          <w:rFonts w:hint="eastAsia" w:ascii="宋体" w:hAnsi="宋体"/>
          <w:color w:val="auto"/>
          <w:sz w:val="24"/>
          <w:highlight w:val="none"/>
        </w:rPr>
        <w:t>14）电源：220v±20%；15）工作环境：工作温度-20~+70℃ 、工作湿度10%～90%（无冷凝）。</w:t>
      </w:r>
    </w:p>
    <w:p>
      <w:pPr>
        <w:spacing w:line="400" w:lineRule="exact"/>
        <w:ind w:left="900"/>
        <w:rPr>
          <w:rFonts w:hint="eastAsia" w:ascii="宋体" w:hAnsi="宋体"/>
          <w:b/>
          <w:bCs/>
          <w:color w:val="auto"/>
          <w:sz w:val="24"/>
          <w:highlight w:val="none"/>
        </w:rPr>
      </w:pPr>
      <w:r>
        <w:rPr>
          <w:rFonts w:hint="eastAsia" w:ascii="宋体" w:hAnsi="宋体"/>
          <w:b/>
          <w:bCs/>
          <w:color w:val="auto"/>
          <w:sz w:val="24"/>
          <w:highlight w:val="none"/>
        </w:rPr>
        <w:t>12) 人车管控系统(机柜)</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1) 机箱材料选用冷扎钢板，机箱表面镀锌后喷飞机灰平光塑，壁厚1.5mm；</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2) 机箱成型时严格控制焊接变形；</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3) 机箱顶部必须满焊,不应有漏水和渗水现象出现，机箱防护等级必须达到IP65。</w:t>
      </w:r>
    </w:p>
    <w:p>
      <w:pPr>
        <w:spacing w:line="400" w:lineRule="exact"/>
        <w:ind w:left="900"/>
        <w:rPr>
          <w:rFonts w:hint="eastAsia" w:ascii="宋体" w:hAnsi="宋体"/>
          <w:b/>
          <w:bCs/>
          <w:color w:val="auto"/>
          <w:sz w:val="24"/>
          <w:highlight w:val="none"/>
        </w:rPr>
      </w:pPr>
      <w:r>
        <w:rPr>
          <w:rFonts w:hint="eastAsia" w:ascii="宋体" w:hAnsi="宋体"/>
          <w:b/>
          <w:bCs/>
          <w:color w:val="auto"/>
          <w:sz w:val="24"/>
          <w:highlight w:val="none"/>
        </w:rPr>
        <w:t>13） 防雷及接地</w:t>
      </w:r>
    </w:p>
    <w:p>
      <w:pPr>
        <w:numPr>
          <w:ilvl w:val="0"/>
          <w:numId w:val="10"/>
        </w:numPr>
        <w:spacing w:line="400" w:lineRule="exact"/>
        <w:rPr>
          <w:rFonts w:hint="eastAsia" w:ascii="宋体" w:hAnsi="宋体"/>
          <w:color w:val="auto"/>
          <w:sz w:val="24"/>
          <w:highlight w:val="none"/>
        </w:rPr>
      </w:pPr>
      <w:r>
        <w:rPr>
          <w:rFonts w:hint="eastAsia" w:ascii="宋体" w:hAnsi="宋体"/>
          <w:color w:val="auto"/>
          <w:sz w:val="24"/>
          <w:highlight w:val="none"/>
        </w:rPr>
        <w:t>所有外场设备均做保护及防雷接地，采用联合接地方式，接地电阻≤4Ω。</w:t>
      </w:r>
    </w:p>
    <w:p>
      <w:pPr>
        <w:numPr>
          <w:ilvl w:val="0"/>
          <w:numId w:val="10"/>
        </w:numPr>
        <w:spacing w:line="400" w:lineRule="exact"/>
        <w:rPr>
          <w:rFonts w:ascii="宋体" w:hAnsi="宋体"/>
          <w:color w:val="auto"/>
          <w:sz w:val="24"/>
          <w:highlight w:val="none"/>
        </w:rPr>
      </w:pPr>
      <w:r>
        <w:rPr>
          <w:rFonts w:hint="eastAsia" w:ascii="宋体" w:hAnsi="宋体"/>
          <w:color w:val="auto"/>
          <w:sz w:val="24"/>
          <w:highlight w:val="none"/>
        </w:rPr>
        <w:t>在终端设备电源引入端加装电源防雷器，在控制电缆引入控制箱前加装数据防雷器。</w:t>
      </w:r>
    </w:p>
    <w:p>
      <w:pPr>
        <w:numPr>
          <w:ilvl w:val="0"/>
          <w:numId w:val="14"/>
        </w:numPr>
        <w:spacing w:line="380" w:lineRule="exact"/>
        <w:jc w:val="left"/>
        <w:rPr>
          <w:rFonts w:ascii="宋体" w:hAnsi="宋体"/>
          <w:b/>
          <w:bCs/>
          <w:color w:val="auto"/>
          <w:sz w:val="28"/>
          <w:szCs w:val="28"/>
          <w:highlight w:val="none"/>
        </w:rPr>
      </w:pPr>
      <w:r>
        <w:rPr>
          <w:rFonts w:hint="eastAsia" w:ascii="宋体" w:hAnsi="宋体"/>
          <w:b/>
          <w:bCs/>
          <w:color w:val="auto"/>
          <w:sz w:val="28"/>
          <w:szCs w:val="28"/>
          <w:highlight w:val="none"/>
        </w:rPr>
        <w:t>相关要求</w:t>
      </w:r>
    </w:p>
    <w:p>
      <w:pPr>
        <w:numPr>
          <w:ilvl w:val="0"/>
          <w:numId w:val="15"/>
        </w:numPr>
        <w:spacing w:line="380" w:lineRule="exact"/>
        <w:jc w:val="left"/>
        <w:rPr>
          <w:rFonts w:ascii="宋体" w:hAnsi="宋体"/>
          <w:color w:val="auto"/>
          <w:sz w:val="24"/>
          <w:highlight w:val="none"/>
        </w:rPr>
      </w:pPr>
      <w:r>
        <w:rPr>
          <w:rFonts w:hint="eastAsia" w:ascii="宋体" w:hAnsi="宋体"/>
          <w:color w:val="auto"/>
          <w:sz w:val="24"/>
          <w:highlight w:val="none"/>
        </w:rPr>
        <w:t>无条件的做好本项目的通电、通网工作，直至移交交通运输综合行政执法部门验收为止。</w:t>
      </w:r>
    </w:p>
    <w:p>
      <w:pPr>
        <w:numPr>
          <w:ilvl w:val="0"/>
          <w:numId w:val="15"/>
        </w:numPr>
        <w:spacing w:line="380" w:lineRule="exact"/>
        <w:jc w:val="left"/>
        <w:rPr>
          <w:rFonts w:ascii="宋体" w:hAnsi="宋体"/>
          <w:color w:val="auto"/>
          <w:sz w:val="24"/>
          <w:highlight w:val="none"/>
        </w:rPr>
      </w:pPr>
      <w:r>
        <w:rPr>
          <w:rFonts w:hint="eastAsia" w:ascii="宋体" w:hAnsi="宋体"/>
          <w:color w:val="auto"/>
          <w:sz w:val="24"/>
          <w:highlight w:val="none"/>
        </w:rPr>
        <w:t>利旧设备损坏无条件更新。</w:t>
      </w:r>
    </w:p>
    <w:p>
      <w:pPr>
        <w:numPr>
          <w:ilvl w:val="0"/>
          <w:numId w:val="15"/>
        </w:numPr>
        <w:spacing w:line="380" w:lineRule="exact"/>
        <w:jc w:val="left"/>
        <w:rPr>
          <w:rFonts w:ascii="宋体" w:hAnsi="宋体"/>
          <w:color w:val="auto"/>
          <w:sz w:val="24"/>
          <w:highlight w:val="none"/>
        </w:rPr>
      </w:pPr>
      <w:r>
        <w:rPr>
          <w:rFonts w:hint="eastAsia" w:ascii="宋体" w:hAnsi="宋体"/>
          <w:color w:val="auto"/>
          <w:sz w:val="24"/>
          <w:highlight w:val="none"/>
        </w:rPr>
        <w:t>拆除费2万元一次性包干不作调整。</w:t>
      </w:r>
    </w:p>
    <w:p>
      <w:pPr>
        <w:tabs>
          <w:tab w:val="left" w:pos="709"/>
        </w:tabs>
        <w:spacing w:line="400" w:lineRule="exact"/>
        <w:ind w:left="481"/>
        <w:jc w:val="left"/>
        <w:rPr>
          <w:rFonts w:hint="eastAsia" w:ascii="宋体" w:hAnsi="宋体"/>
          <w:color w:val="auto"/>
          <w:szCs w:val="21"/>
          <w:highlight w:val="none"/>
        </w:rPr>
      </w:pPr>
    </w:p>
    <w:p>
      <w:pPr>
        <w:numPr>
          <w:ilvl w:val="0"/>
          <w:numId w:val="14"/>
        </w:numPr>
        <w:spacing w:line="380" w:lineRule="exact"/>
        <w:jc w:val="left"/>
        <w:rPr>
          <w:rFonts w:hint="eastAsia" w:ascii="宋体" w:hAnsi="宋体"/>
          <w:b/>
          <w:bCs/>
          <w:color w:val="auto"/>
          <w:sz w:val="28"/>
          <w:szCs w:val="28"/>
          <w:highlight w:val="none"/>
        </w:rPr>
      </w:pPr>
      <w:r>
        <w:rPr>
          <w:rFonts w:hint="eastAsia" w:ascii="宋体" w:hAnsi="宋体"/>
          <w:b/>
          <w:bCs/>
          <w:color w:val="auto"/>
          <w:sz w:val="28"/>
          <w:szCs w:val="28"/>
          <w:highlight w:val="none"/>
        </w:rPr>
        <w:t>服务期：</w:t>
      </w:r>
    </w:p>
    <w:p>
      <w:pPr>
        <w:numPr>
          <w:ilvl w:val="0"/>
          <w:numId w:val="16"/>
        </w:numPr>
        <w:spacing w:line="400" w:lineRule="exact"/>
        <w:jc w:val="left"/>
        <w:rPr>
          <w:rFonts w:ascii="宋体" w:hAnsi="宋体"/>
          <w:color w:val="auto"/>
          <w:sz w:val="24"/>
          <w:highlight w:val="none"/>
        </w:rPr>
      </w:pPr>
      <w:r>
        <w:rPr>
          <w:rFonts w:hint="eastAsia" w:ascii="宋体" w:hAnsi="宋体"/>
          <w:color w:val="auto"/>
          <w:sz w:val="24"/>
          <w:highlight w:val="none"/>
        </w:rPr>
        <w:t>采购人发出开工通知后90日历天内完成供货、安装、调试、验收。</w:t>
      </w:r>
    </w:p>
    <w:p>
      <w:pPr>
        <w:numPr>
          <w:ilvl w:val="0"/>
          <w:numId w:val="14"/>
        </w:numPr>
        <w:spacing w:line="380" w:lineRule="exact"/>
        <w:jc w:val="left"/>
        <w:rPr>
          <w:rFonts w:ascii="宋体" w:hAnsi="宋体"/>
          <w:b/>
          <w:bCs/>
          <w:color w:val="auto"/>
          <w:sz w:val="28"/>
          <w:szCs w:val="28"/>
          <w:highlight w:val="none"/>
        </w:rPr>
      </w:pPr>
      <w:r>
        <w:rPr>
          <w:rFonts w:hint="eastAsia" w:ascii="宋体" w:hAnsi="宋体"/>
          <w:b/>
          <w:bCs/>
          <w:color w:val="auto"/>
          <w:sz w:val="28"/>
          <w:szCs w:val="28"/>
          <w:highlight w:val="none"/>
        </w:rPr>
        <w:t>付款方式：</w:t>
      </w:r>
    </w:p>
    <w:p>
      <w:pPr>
        <w:spacing w:line="400" w:lineRule="exact"/>
        <w:ind w:firstLine="480" w:firstLineChars="200"/>
        <w:jc w:val="left"/>
        <w:rPr>
          <w:rFonts w:hint="eastAsia" w:ascii="宋体" w:hAnsi="宋体"/>
          <w:color w:val="auto"/>
          <w:sz w:val="24"/>
          <w:highlight w:val="none"/>
        </w:rPr>
      </w:pPr>
      <w:r>
        <w:rPr>
          <w:rFonts w:hint="eastAsia" w:ascii="宋体" w:hAnsi="宋体"/>
          <w:color w:val="auto"/>
          <w:sz w:val="24"/>
          <w:highlight w:val="none"/>
        </w:rPr>
        <w:t>1.合同签订后15日内，中标供应商缴纳中标价的5%作为履约保证金，采购人支付合同金额的30%作为预付款。</w:t>
      </w:r>
    </w:p>
    <w:p>
      <w:pPr>
        <w:spacing w:line="400" w:lineRule="exact"/>
        <w:ind w:firstLine="480" w:firstLineChars="200"/>
        <w:jc w:val="left"/>
        <w:rPr>
          <w:rFonts w:hint="eastAsia" w:ascii="宋体" w:hAnsi="宋体"/>
          <w:color w:val="auto"/>
          <w:sz w:val="24"/>
          <w:highlight w:val="none"/>
        </w:rPr>
      </w:pPr>
      <w:r>
        <w:rPr>
          <w:rFonts w:hint="eastAsia" w:ascii="宋体" w:hAnsi="宋体"/>
          <w:color w:val="auto"/>
          <w:sz w:val="24"/>
          <w:highlight w:val="none"/>
        </w:rPr>
        <w:t>2.项目投入试运行后，采购人支付至合同金额的65%。</w:t>
      </w:r>
    </w:p>
    <w:p>
      <w:pPr>
        <w:spacing w:line="400" w:lineRule="exact"/>
        <w:ind w:firstLine="480" w:firstLineChars="200"/>
        <w:jc w:val="left"/>
        <w:rPr>
          <w:rFonts w:hint="eastAsia" w:ascii="宋体" w:hAnsi="宋体"/>
          <w:color w:val="auto"/>
          <w:sz w:val="24"/>
          <w:highlight w:val="none"/>
        </w:rPr>
      </w:pPr>
      <w:r>
        <w:rPr>
          <w:rFonts w:hint="eastAsia" w:ascii="宋体" w:hAnsi="宋体"/>
          <w:color w:val="auto"/>
          <w:sz w:val="24"/>
          <w:highlight w:val="none"/>
        </w:rPr>
        <w:t>3.项目试运行满6个月并验收合格后，采购人支付至合同金额的80%。</w:t>
      </w:r>
    </w:p>
    <w:p>
      <w:pPr>
        <w:spacing w:line="400" w:lineRule="exact"/>
        <w:ind w:firstLine="480" w:firstLineChars="200"/>
        <w:jc w:val="left"/>
        <w:rPr>
          <w:rFonts w:hint="eastAsia" w:ascii="宋体" w:hAnsi="宋体"/>
          <w:color w:val="auto"/>
          <w:sz w:val="24"/>
          <w:highlight w:val="none"/>
        </w:rPr>
      </w:pPr>
      <w:r>
        <w:rPr>
          <w:rFonts w:hint="eastAsia" w:ascii="宋体" w:hAnsi="宋体"/>
          <w:color w:val="auto"/>
          <w:sz w:val="24"/>
          <w:highlight w:val="none"/>
        </w:rPr>
        <w:t>4.项目完成移交后，采购人支付至审计金额的95%，同时退回履约保证金。</w:t>
      </w:r>
    </w:p>
    <w:p>
      <w:pPr>
        <w:spacing w:line="400" w:lineRule="exact"/>
        <w:ind w:firstLine="480" w:firstLineChars="200"/>
        <w:jc w:val="left"/>
        <w:rPr>
          <w:rFonts w:ascii="宋体" w:hAnsi="宋体"/>
          <w:color w:val="auto"/>
          <w:sz w:val="24"/>
          <w:highlight w:val="none"/>
        </w:rPr>
      </w:pPr>
      <w:r>
        <w:rPr>
          <w:rFonts w:hint="eastAsia" w:ascii="宋体" w:hAnsi="宋体"/>
          <w:color w:val="auto"/>
          <w:sz w:val="24"/>
          <w:highlight w:val="none"/>
        </w:rPr>
        <w:t>5.待合同规定的免费质保服务期满后，采购人付清余款。</w:t>
      </w:r>
    </w:p>
    <w:p>
      <w:pPr>
        <w:spacing w:line="400" w:lineRule="exact"/>
        <w:ind w:firstLine="480" w:firstLineChars="200"/>
        <w:jc w:val="left"/>
        <w:rPr>
          <w:rFonts w:ascii="宋体" w:hAnsi="宋体"/>
          <w:color w:val="auto"/>
          <w:sz w:val="24"/>
          <w:highlight w:val="none"/>
        </w:rPr>
      </w:pPr>
      <w:r>
        <w:rPr>
          <w:rFonts w:hint="eastAsia" w:ascii="宋体" w:hAnsi="宋体"/>
          <w:color w:val="auto"/>
          <w:sz w:val="24"/>
          <w:highlight w:val="none"/>
        </w:rPr>
        <w:t>6.中标供应商未能在约定的供货安装时间内完成的，未达到合同规定的质量要求的，采购人有权暂缓支付货物、安装款；</w:t>
      </w:r>
    </w:p>
    <w:p>
      <w:pPr>
        <w:spacing w:line="400" w:lineRule="exact"/>
        <w:ind w:left="481"/>
        <w:jc w:val="left"/>
        <w:rPr>
          <w:rFonts w:ascii="宋体" w:hAnsi="宋体"/>
          <w:color w:val="auto"/>
          <w:sz w:val="24"/>
          <w:highlight w:val="none"/>
        </w:rPr>
      </w:pPr>
      <w:r>
        <w:rPr>
          <w:rFonts w:hint="eastAsia" w:ascii="宋体" w:hAnsi="宋体"/>
          <w:color w:val="auto"/>
          <w:sz w:val="24"/>
          <w:highlight w:val="none"/>
        </w:rPr>
        <w:t>7.发票应随付款进度同时提供（按照国家有关规定缴纳相应税费）。</w:t>
      </w:r>
    </w:p>
    <w:p>
      <w:pPr>
        <w:spacing w:line="400" w:lineRule="exact"/>
        <w:ind w:left="481"/>
        <w:jc w:val="left"/>
        <w:rPr>
          <w:rFonts w:hint="eastAsia" w:ascii="宋体" w:hAnsi="宋体"/>
          <w:color w:val="auto"/>
          <w:sz w:val="24"/>
          <w:highlight w:val="none"/>
        </w:rPr>
      </w:pPr>
      <w:r>
        <w:rPr>
          <w:rFonts w:hint="eastAsia" w:ascii="宋体" w:hAnsi="宋体"/>
          <w:color w:val="auto"/>
          <w:sz w:val="24"/>
          <w:highlight w:val="none"/>
        </w:rPr>
        <w:t>8.采购人按合同约定支付给中标供应商的各项价款应专用于合同工程。</w:t>
      </w:r>
    </w:p>
    <w:p>
      <w:pPr>
        <w:numPr>
          <w:ilvl w:val="0"/>
          <w:numId w:val="14"/>
        </w:numPr>
        <w:spacing w:line="380" w:lineRule="exact"/>
        <w:jc w:val="left"/>
        <w:rPr>
          <w:rFonts w:hint="eastAsia" w:ascii="宋体" w:hAnsi="宋体"/>
          <w:b/>
          <w:bCs/>
          <w:color w:val="auto"/>
          <w:sz w:val="28"/>
          <w:szCs w:val="28"/>
          <w:highlight w:val="none"/>
        </w:rPr>
      </w:pPr>
      <w:r>
        <w:rPr>
          <w:rFonts w:hint="eastAsia" w:ascii="宋体" w:hAnsi="宋体"/>
          <w:b/>
          <w:bCs/>
          <w:color w:val="auto"/>
          <w:sz w:val="28"/>
          <w:szCs w:val="28"/>
          <w:highlight w:val="none"/>
        </w:rPr>
        <w:t>结算</w:t>
      </w:r>
    </w:p>
    <w:p>
      <w:pPr>
        <w:spacing w:line="400" w:lineRule="exact"/>
        <w:ind w:firstLine="480" w:firstLineChars="200"/>
        <w:jc w:val="left"/>
        <w:rPr>
          <w:rFonts w:hint="eastAsia" w:ascii="宋体" w:hAnsi="宋体"/>
          <w:color w:val="auto"/>
          <w:sz w:val="24"/>
          <w:highlight w:val="none"/>
        </w:rPr>
      </w:pPr>
      <w:r>
        <w:rPr>
          <w:rFonts w:hint="eastAsia" w:ascii="宋体" w:hAnsi="宋体"/>
          <w:color w:val="auto"/>
          <w:sz w:val="24"/>
          <w:highlight w:val="none"/>
        </w:rPr>
        <w:t>1.如因管理部门要求增加或减少设备的，由设计出具变更联系单，根据实际增加或减少的设备数量和设备的中标单价进行结算。</w:t>
      </w:r>
    </w:p>
    <w:p>
      <w:pPr>
        <w:spacing w:line="400" w:lineRule="exact"/>
        <w:ind w:firstLine="480" w:firstLineChars="200"/>
        <w:jc w:val="left"/>
        <w:rPr>
          <w:rFonts w:ascii="宋体" w:hAnsi="宋体"/>
          <w:color w:val="auto"/>
          <w:sz w:val="24"/>
          <w:highlight w:val="none"/>
        </w:rPr>
      </w:pPr>
      <w:r>
        <w:rPr>
          <w:rFonts w:hint="eastAsia" w:ascii="宋体" w:hAnsi="宋体"/>
          <w:color w:val="auto"/>
          <w:sz w:val="24"/>
          <w:highlight w:val="none"/>
        </w:rPr>
        <w:t>2.本项目最终结算总金额不得超过原合同采购金额的110%（不包括招标人提出变更引起的费用调整）。</w:t>
      </w:r>
    </w:p>
    <w:p>
      <w:pPr>
        <w:pStyle w:val="2"/>
        <w:rPr>
          <w:rFonts w:hint="eastAsia" w:ascii="宋体" w:hAnsi="宋体" w:cs="宋体"/>
          <w:color w:val="auto"/>
          <w:szCs w:val="21"/>
          <w:highlight w:val="none"/>
        </w:rPr>
      </w:pPr>
    </w:p>
    <w:p>
      <w:pPr>
        <w:pStyle w:val="2"/>
        <w:rPr>
          <w:rFonts w:hint="eastAsia" w:ascii="宋体" w:hAnsi="宋体" w:cs="宋体"/>
          <w:color w:val="auto"/>
          <w:szCs w:val="21"/>
          <w:highlight w:val="none"/>
        </w:rPr>
      </w:pPr>
    </w:p>
    <w:p>
      <w:pPr>
        <w:pStyle w:val="2"/>
        <w:rPr>
          <w:rFonts w:hint="eastAsia" w:ascii="宋体" w:hAnsi="宋体" w:cs="宋体"/>
          <w:color w:val="auto"/>
          <w:szCs w:val="21"/>
          <w:highlight w:val="none"/>
        </w:rPr>
      </w:pPr>
    </w:p>
    <w:p>
      <w:pPr>
        <w:pStyle w:val="2"/>
        <w:rPr>
          <w:rFonts w:hint="eastAsia" w:ascii="宋体" w:hAnsi="宋体" w:cs="宋体"/>
          <w:color w:val="auto"/>
          <w:szCs w:val="21"/>
          <w:highlight w:val="none"/>
        </w:rPr>
      </w:pPr>
    </w:p>
    <w:p>
      <w:pPr>
        <w:pStyle w:val="2"/>
        <w:rPr>
          <w:rFonts w:hint="eastAsia" w:ascii="宋体" w:hAnsi="宋体" w:cs="宋体"/>
          <w:color w:val="auto"/>
          <w:szCs w:val="21"/>
          <w:highlight w:val="none"/>
        </w:rPr>
      </w:pPr>
    </w:p>
    <w:p>
      <w:pPr>
        <w:pStyle w:val="2"/>
        <w:rPr>
          <w:rFonts w:hint="eastAsia" w:ascii="宋体" w:hAnsi="宋体" w:cs="宋体"/>
          <w:color w:val="auto"/>
          <w:szCs w:val="21"/>
          <w:highlight w:val="none"/>
        </w:rPr>
      </w:pPr>
    </w:p>
    <w:p>
      <w:pPr>
        <w:pStyle w:val="2"/>
        <w:rPr>
          <w:rFonts w:hint="eastAsia" w:ascii="宋体" w:hAnsi="宋体" w:cs="宋体"/>
          <w:color w:val="auto"/>
          <w:szCs w:val="21"/>
          <w:highlight w:val="none"/>
        </w:rPr>
      </w:pPr>
    </w:p>
    <w:p>
      <w:pPr>
        <w:pStyle w:val="2"/>
        <w:rPr>
          <w:rFonts w:hint="eastAsia" w:ascii="宋体" w:hAnsi="宋体" w:cs="宋体"/>
          <w:color w:val="auto"/>
          <w:szCs w:val="21"/>
          <w:highlight w:val="none"/>
        </w:rPr>
      </w:pPr>
    </w:p>
    <w:p>
      <w:pPr>
        <w:pStyle w:val="2"/>
        <w:rPr>
          <w:rFonts w:hint="eastAsia" w:ascii="宋体" w:hAnsi="宋体" w:cs="宋体"/>
          <w:color w:val="auto"/>
          <w:szCs w:val="21"/>
          <w:highlight w:val="none"/>
        </w:rPr>
      </w:pPr>
    </w:p>
    <w:p>
      <w:pPr>
        <w:pStyle w:val="2"/>
        <w:rPr>
          <w:rFonts w:hint="eastAsia" w:ascii="宋体" w:hAnsi="宋体" w:cs="宋体"/>
          <w:color w:val="auto"/>
          <w:szCs w:val="21"/>
          <w:highlight w:val="none"/>
        </w:rPr>
      </w:pPr>
    </w:p>
    <w:p>
      <w:pPr>
        <w:pStyle w:val="2"/>
        <w:rPr>
          <w:rFonts w:hint="eastAsia" w:ascii="宋体" w:hAnsi="宋体" w:cs="宋体"/>
          <w:color w:val="auto"/>
          <w:szCs w:val="21"/>
          <w:highlight w:val="none"/>
        </w:rPr>
      </w:pPr>
    </w:p>
    <w:p>
      <w:pPr>
        <w:pStyle w:val="2"/>
        <w:rPr>
          <w:rFonts w:hint="eastAsia" w:ascii="宋体" w:hAnsi="宋体" w:cs="宋体"/>
          <w:color w:val="auto"/>
          <w:szCs w:val="21"/>
          <w:highlight w:val="none"/>
        </w:rPr>
      </w:pPr>
    </w:p>
    <w:p>
      <w:pPr>
        <w:pStyle w:val="2"/>
        <w:rPr>
          <w:rFonts w:hint="eastAsia" w:ascii="宋体" w:hAnsi="宋体" w:cs="宋体"/>
          <w:color w:val="auto"/>
          <w:szCs w:val="21"/>
          <w:highlight w:val="none"/>
        </w:rPr>
      </w:pPr>
    </w:p>
    <w:p>
      <w:pPr>
        <w:pStyle w:val="2"/>
        <w:rPr>
          <w:rFonts w:hint="eastAsia" w:ascii="宋体" w:hAnsi="宋体" w:cs="宋体"/>
          <w:color w:val="auto"/>
          <w:szCs w:val="21"/>
          <w:highlight w:val="none"/>
        </w:rPr>
      </w:pPr>
    </w:p>
    <w:p>
      <w:pPr>
        <w:pStyle w:val="2"/>
        <w:rPr>
          <w:rFonts w:hint="eastAsia" w:ascii="宋体" w:hAnsi="宋体" w:cs="宋体"/>
          <w:color w:val="auto"/>
          <w:szCs w:val="21"/>
          <w:highlight w:val="none"/>
        </w:rPr>
      </w:pPr>
    </w:p>
    <w:p>
      <w:pPr>
        <w:pStyle w:val="2"/>
        <w:rPr>
          <w:rFonts w:hint="eastAsia" w:ascii="宋体" w:hAnsi="宋体" w:cs="宋体"/>
          <w:color w:val="auto"/>
          <w:szCs w:val="21"/>
          <w:highlight w:val="none"/>
        </w:rPr>
      </w:pPr>
    </w:p>
    <w:p>
      <w:pPr>
        <w:pStyle w:val="2"/>
        <w:rPr>
          <w:rFonts w:hint="eastAsia" w:ascii="宋体" w:hAnsi="宋体" w:cs="宋体"/>
          <w:color w:val="auto"/>
          <w:szCs w:val="21"/>
          <w:highlight w:val="none"/>
        </w:rPr>
      </w:pPr>
    </w:p>
    <w:p>
      <w:pPr>
        <w:pStyle w:val="2"/>
        <w:rPr>
          <w:rFonts w:hint="eastAsia" w:ascii="宋体" w:hAnsi="宋体" w:cs="宋体"/>
          <w:color w:val="auto"/>
          <w:szCs w:val="21"/>
          <w:highlight w:val="none"/>
        </w:rPr>
      </w:pPr>
    </w:p>
    <w:p>
      <w:pPr>
        <w:pStyle w:val="2"/>
        <w:rPr>
          <w:rFonts w:hint="eastAsia" w:ascii="宋体" w:hAnsi="宋体" w:cs="宋体"/>
          <w:color w:val="auto"/>
          <w:szCs w:val="21"/>
          <w:highlight w:val="none"/>
        </w:rPr>
      </w:pPr>
    </w:p>
    <w:p>
      <w:pPr>
        <w:pStyle w:val="2"/>
        <w:rPr>
          <w:rFonts w:hint="eastAsia" w:ascii="宋体" w:hAnsi="宋体" w:cs="宋体"/>
          <w:color w:val="auto"/>
          <w:szCs w:val="21"/>
          <w:highlight w:val="none"/>
        </w:rPr>
      </w:pPr>
    </w:p>
    <w:p>
      <w:pPr>
        <w:pStyle w:val="2"/>
        <w:rPr>
          <w:rFonts w:hint="eastAsia" w:ascii="宋体" w:hAnsi="宋体" w:cs="宋体"/>
          <w:color w:val="auto"/>
          <w:szCs w:val="21"/>
          <w:highlight w:val="none"/>
        </w:rPr>
      </w:pPr>
    </w:p>
    <w:p>
      <w:pPr>
        <w:pStyle w:val="2"/>
        <w:rPr>
          <w:rFonts w:hint="eastAsia" w:ascii="宋体" w:hAnsi="宋体" w:cs="宋体"/>
          <w:color w:val="auto"/>
          <w:szCs w:val="21"/>
          <w:highlight w:val="none"/>
        </w:rPr>
      </w:pPr>
    </w:p>
    <w:p>
      <w:pPr>
        <w:pStyle w:val="2"/>
        <w:rPr>
          <w:rFonts w:hint="eastAsia" w:ascii="宋体" w:hAnsi="宋体" w:cs="宋体"/>
          <w:color w:val="auto"/>
          <w:szCs w:val="21"/>
          <w:highlight w:val="none"/>
        </w:rPr>
      </w:pPr>
    </w:p>
    <w:p>
      <w:pPr>
        <w:pStyle w:val="2"/>
        <w:rPr>
          <w:rFonts w:hint="eastAsia" w:ascii="宋体" w:hAnsi="宋体" w:cs="宋体"/>
          <w:color w:val="auto"/>
          <w:szCs w:val="21"/>
          <w:highlight w:val="none"/>
        </w:rPr>
      </w:pPr>
    </w:p>
    <w:p>
      <w:pPr>
        <w:pStyle w:val="4"/>
        <w:jc w:val="center"/>
        <w:rPr>
          <w:rFonts w:ascii="黑体" w:eastAsia="黑体"/>
          <w:color w:val="auto"/>
          <w:sz w:val="32"/>
          <w:szCs w:val="32"/>
          <w:highlight w:val="none"/>
        </w:rPr>
      </w:pPr>
      <w:r>
        <w:rPr>
          <w:rFonts w:hint="eastAsia" w:ascii="黑体" w:eastAsia="黑体"/>
          <w:color w:val="auto"/>
          <w:sz w:val="32"/>
          <w:szCs w:val="32"/>
          <w:highlight w:val="none"/>
        </w:rPr>
        <w:t>第八章  投标文件格式</w:t>
      </w:r>
    </w:p>
    <w:p>
      <w:pPr>
        <w:shd w:val="clear" w:color="auto" w:fill="FFFFFF"/>
        <w:jc w:val="center"/>
        <w:rPr>
          <w:rFonts w:ascii="黑体" w:eastAsia="黑体"/>
          <w:color w:val="auto"/>
          <w:sz w:val="32"/>
          <w:szCs w:val="32"/>
          <w:highlight w:val="none"/>
        </w:rPr>
      </w:pPr>
    </w:p>
    <w:p>
      <w:pPr>
        <w:shd w:val="clear" w:color="auto" w:fill="FFFFFF"/>
        <w:jc w:val="center"/>
        <w:rPr>
          <w:rFonts w:ascii="黑体" w:eastAsia="黑体"/>
          <w:color w:val="auto"/>
          <w:sz w:val="32"/>
          <w:szCs w:val="32"/>
          <w:highlight w:val="none"/>
        </w:rPr>
      </w:pPr>
    </w:p>
    <w:p>
      <w:pPr>
        <w:jc w:val="center"/>
        <w:rPr>
          <w:rFonts w:hint="eastAsia" w:ascii="宋体" w:hAnsi="宋体"/>
          <w:color w:val="auto"/>
          <w:sz w:val="28"/>
          <w:szCs w:val="28"/>
          <w:highlight w:val="none"/>
        </w:rPr>
      </w:pPr>
      <w:r>
        <w:rPr>
          <w:rFonts w:hint="eastAsia" w:ascii="宋体" w:hAnsi="宋体"/>
          <w:color w:val="auto"/>
          <w:sz w:val="32"/>
          <w:szCs w:val="32"/>
          <w:highlight w:val="none"/>
          <w:u w:val="single"/>
        </w:rPr>
        <w:t xml:space="preserve">             </w:t>
      </w:r>
      <w:r>
        <w:rPr>
          <w:rFonts w:hint="eastAsia" w:ascii="宋体" w:hAnsi="宋体"/>
          <w:color w:val="auto"/>
          <w:sz w:val="28"/>
          <w:szCs w:val="28"/>
          <w:highlight w:val="none"/>
        </w:rPr>
        <w:t>（项目名称）招标</w:t>
      </w:r>
    </w:p>
    <w:p>
      <w:pPr>
        <w:shd w:val="clear" w:color="auto" w:fill="FFFFFF"/>
        <w:spacing w:before="240" w:beforeLines="100"/>
        <w:jc w:val="center"/>
        <w:rPr>
          <w:rFonts w:ascii="黑体" w:eastAsia="黑体"/>
          <w:color w:val="auto"/>
          <w:sz w:val="44"/>
          <w:szCs w:val="44"/>
          <w:highlight w:val="none"/>
        </w:rPr>
      </w:pPr>
      <w:r>
        <w:rPr>
          <w:rFonts w:hint="eastAsia" w:ascii="黑体" w:eastAsia="黑体"/>
          <w:color w:val="auto"/>
          <w:sz w:val="44"/>
          <w:szCs w:val="44"/>
          <w:highlight w:val="none"/>
        </w:rPr>
        <w:t>投  标  文  件</w:t>
      </w:r>
    </w:p>
    <w:p>
      <w:pPr>
        <w:shd w:val="clear" w:color="auto" w:fill="FFFFFF"/>
        <w:jc w:val="center"/>
        <w:rPr>
          <w:rFonts w:hint="eastAsia" w:ascii="黑体" w:eastAsia="黑体"/>
          <w:color w:val="auto"/>
          <w:sz w:val="32"/>
          <w:szCs w:val="32"/>
          <w:highlight w:val="none"/>
          <w:lang w:eastAsia="zh-CN"/>
        </w:rPr>
      </w:pPr>
      <w:r>
        <w:rPr>
          <w:rFonts w:hint="eastAsia" w:ascii="黑体" w:eastAsia="黑体"/>
          <w:color w:val="auto"/>
          <w:sz w:val="32"/>
          <w:szCs w:val="32"/>
          <w:highlight w:val="none"/>
          <w:lang w:eastAsia="zh-CN"/>
        </w:rPr>
        <w:t>（</w:t>
      </w:r>
      <w:r>
        <w:rPr>
          <w:rFonts w:hint="eastAsia" w:ascii="黑体" w:eastAsia="黑体"/>
          <w:color w:val="auto"/>
          <w:sz w:val="32"/>
          <w:szCs w:val="32"/>
          <w:highlight w:val="none"/>
          <w:lang w:val="en-US" w:eastAsia="zh-CN"/>
        </w:rPr>
        <w:t>商务标</w:t>
      </w:r>
      <w:r>
        <w:rPr>
          <w:rFonts w:hint="eastAsia" w:ascii="黑体" w:eastAsia="黑体"/>
          <w:color w:val="auto"/>
          <w:sz w:val="32"/>
          <w:szCs w:val="32"/>
          <w:highlight w:val="none"/>
          <w:lang w:eastAsia="zh-CN"/>
        </w:rPr>
        <w:t>）</w:t>
      </w:r>
    </w:p>
    <w:p>
      <w:pPr>
        <w:shd w:val="clear" w:color="auto" w:fill="FFFFFF"/>
        <w:jc w:val="center"/>
        <w:rPr>
          <w:rFonts w:ascii="黑体" w:eastAsia="黑体"/>
          <w:color w:val="auto"/>
          <w:sz w:val="32"/>
          <w:szCs w:val="32"/>
          <w:highlight w:val="none"/>
        </w:rPr>
      </w:pPr>
    </w:p>
    <w:p>
      <w:pPr>
        <w:shd w:val="clear" w:color="auto" w:fill="FFFFFF"/>
        <w:jc w:val="center"/>
        <w:rPr>
          <w:rFonts w:ascii="黑体" w:eastAsia="黑体"/>
          <w:color w:val="auto"/>
          <w:sz w:val="32"/>
          <w:szCs w:val="32"/>
          <w:highlight w:val="none"/>
        </w:rPr>
      </w:pPr>
    </w:p>
    <w:p>
      <w:pPr>
        <w:shd w:val="clear" w:color="auto" w:fill="FFFFFF"/>
        <w:jc w:val="center"/>
        <w:rPr>
          <w:rFonts w:ascii="黑体" w:eastAsia="黑体"/>
          <w:color w:val="auto"/>
          <w:sz w:val="32"/>
          <w:szCs w:val="32"/>
          <w:highlight w:val="none"/>
        </w:rPr>
      </w:pPr>
    </w:p>
    <w:p>
      <w:pPr>
        <w:shd w:val="clear" w:color="auto" w:fill="FFFFFF"/>
        <w:jc w:val="center"/>
        <w:rPr>
          <w:rFonts w:ascii="黑体" w:eastAsia="黑体"/>
          <w:color w:val="auto"/>
          <w:sz w:val="32"/>
          <w:szCs w:val="32"/>
          <w:highlight w:val="none"/>
        </w:rPr>
      </w:pPr>
    </w:p>
    <w:p>
      <w:pPr>
        <w:shd w:val="clear" w:color="auto" w:fill="FFFFFF"/>
        <w:jc w:val="center"/>
        <w:rPr>
          <w:rFonts w:ascii="黑体" w:eastAsia="黑体"/>
          <w:color w:val="auto"/>
          <w:sz w:val="32"/>
          <w:szCs w:val="32"/>
          <w:highlight w:val="none"/>
        </w:rPr>
      </w:pPr>
    </w:p>
    <w:p>
      <w:pPr>
        <w:shd w:val="clear" w:color="auto" w:fill="FFFFFF"/>
        <w:jc w:val="center"/>
        <w:rPr>
          <w:rFonts w:ascii="黑体" w:eastAsia="黑体"/>
          <w:color w:val="auto"/>
          <w:sz w:val="32"/>
          <w:szCs w:val="32"/>
          <w:highlight w:val="none"/>
        </w:rPr>
      </w:pPr>
    </w:p>
    <w:p>
      <w:pPr>
        <w:shd w:val="clear" w:color="auto" w:fill="FFFFFF"/>
        <w:jc w:val="center"/>
        <w:rPr>
          <w:rFonts w:ascii="黑体" w:eastAsia="黑体"/>
          <w:color w:val="auto"/>
          <w:sz w:val="32"/>
          <w:szCs w:val="32"/>
          <w:highlight w:val="none"/>
        </w:rPr>
      </w:pPr>
    </w:p>
    <w:p>
      <w:pPr>
        <w:shd w:val="clear" w:color="auto" w:fill="FFFFFF"/>
        <w:jc w:val="center"/>
        <w:rPr>
          <w:rFonts w:ascii="黑体" w:eastAsia="黑体"/>
          <w:color w:val="auto"/>
          <w:sz w:val="32"/>
          <w:szCs w:val="32"/>
          <w:highlight w:val="none"/>
        </w:rPr>
      </w:pPr>
    </w:p>
    <w:p>
      <w:pPr>
        <w:shd w:val="clear" w:color="auto" w:fill="FFFFFF"/>
        <w:jc w:val="center"/>
        <w:rPr>
          <w:rFonts w:ascii="黑体" w:eastAsia="黑体"/>
          <w:color w:val="auto"/>
          <w:sz w:val="32"/>
          <w:szCs w:val="32"/>
          <w:highlight w:val="none"/>
        </w:rPr>
      </w:pPr>
    </w:p>
    <w:p>
      <w:pPr>
        <w:shd w:val="clear" w:color="auto" w:fill="FFFFFF"/>
        <w:jc w:val="center"/>
        <w:rPr>
          <w:rFonts w:ascii="黑体" w:eastAsia="黑体"/>
          <w:color w:val="auto"/>
          <w:sz w:val="32"/>
          <w:szCs w:val="32"/>
          <w:highlight w:val="none"/>
        </w:rPr>
      </w:pPr>
    </w:p>
    <w:p>
      <w:pPr>
        <w:shd w:val="clear" w:color="auto" w:fill="FFFFFF"/>
        <w:jc w:val="center"/>
        <w:rPr>
          <w:rFonts w:ascii="黑体" w:eastAsia="黑体"/>
          <w:color w:val="auto"/>
          <w:sz w:val="32"/>
          <w:szCs w:val="32"/>
          <w:highlight w:val="none"/>
        </w:rPr>
      </w:pPr>
    </w:p>
    <w:p>
      <w:pPr>
        <w:shd w:val="clear" w:color="auto" w:fill="FFFFFF"/>
        <w:spacing w:line="360" w:lineRule="auto"/>
        <w:jc w:val="center"/>
        <w:rPr>
          <w:rFonts w:ascii="黑体" w:eastAsia="黑体"/>
          <w:color w:val="auto"/>
          <w:sz w:val="28"/>
          <w:szCs w:val="28"/>
          <w:highlight w:val="none"/>
        </w:rPr>
      </w:pPr>
      <w:r>
        <w:rPr>
          <w:rFonts w:hint="eastAsia" w:ascii="黑体" w:eastAsia="黑体"/>
          <w:color w:val="auto"/>
          <w:sz w:val="28"/>
          <w:szCs w:val="28"/>
          <w:highlight w:val="none"/>
        </w:rPr>
        <w:t>投标人：</w:t>
      </w:r>
      <w:r>
        <w:rPr>
          <w:rFonts w:hint="eastAsia" w:ascii="宋体" w:hAnsi="宋体"/>
          <w:color w:val="auto"/>
          <w:sz w:val="28"/>
          <w:szCs w:val="28"/>
          <w:highlight w:val="none"/>
          <w:u w:val="single"/>
        </w:rPr>
        <w:t xml:space="preserve">                      </w:t>
      </w:r>
      <w:r>
        <w:rPr>
          <w:rFonts w:hint="eastAsia" w:ascii="黑体" w:eastAsia="黑体"/>
          <w:color w:val="auto"/>
          <w:sz w:val="28"/>
          <w:szCs w:val="28"/>
          <w:highlight w:val="none"/>
        </w:rPr>
        <w:t>（盖投标人公章）</w:t>
      </w:r>
    </w:p>
    <w:p>
      <w:pPr>
        <w:shd w:val="clear" w:color="auto" w:fill="FFFFFF"/>
        <w:spacing w:line="360" w:lineRule="auto"/>
        <w:jc w:val="center"/>
        <w:rPr>
          <w:rFonts w:ascii="黑体" w:eastAsia="黑体"/>
          <w:color w:val="auto"/>
          <w:sz w:val="28"/>
          <w:szCs w:val="28"/>
          <w:highlight w:val="none"/>
        </w:rPr>
      </w:pPr>
      <w:r>
        <w:rPr>
          <w:rFonts w:hint="eastAsia" w:ascii="黑体" w:eastAsia="黑体"/>
          <w:color w:val="auto"/>
          <w:sz w:val="28"/>
          <w:szCs w:val="28"/>
          <w:highlight w:val="none"/>
        </w:rPr>
        <w:t>法定代表人或其委托代理人：</w:t>
      </w:r>
      <w:r>
        <w:rPr>
          <w:rFonts w:hint="eastAsia" w:ascii="宋体" w:hAnsi="宋体"/>
          <w:color w:val="auto"/>
          <w:sz w:val="28"/>
          <w:szCs w:val="28"/>
          <w:highlight w:val="none"/>
          <w:u w:val="single"/>
        </w:rPr>
        <w:t xml:space="preserve">               </w:t>
      </w:r>
      <w:r>
        <w:rPr>
          <w:rFonts w:hint="eastAsia" w:ascii="黑体" w:eastAsia="黑体"/>
          <w:color w:val="auto"/>
          <w:sz w:val="28"/>
          <w:szCs w:val="28"/>
          <w:highlight w:val="none"/>
        </w:rPr>
        <w:t>（盖法定代表人印章）</w:t>
      </w:r>
    </w:p>
    <w:p>
      <w:pPr>
        <w:shd w:val="clear" w:color="auto" w:fill="FFFFFF"/>
        <w:jc w:val="center"/>
        <w:rPr>
          <w:rFonts w:ascii="黑体" w:eastAsia="黑体"/>
          <w:color w:val="auto"/>
          <w:sz w:val="28"/>
          <w:szCs w:val="28"/>
          <w:highlight w:val="none"/>
        </w:rPr>
      </w:pPr>
    </w:p>
    <w:p>
      <w:pPr>
        <w:shd w:val="clear" w:color="auto" w:fill="FFFFFF"/>
        <w:jc w:val="center"/>
        <w:rPr>
          <w:rFonts w:ascii="黑体" w:eastAsia="黑体"/>
          <w:color w:val="auto"/>
          <w:sz w:val="28"/>
          <w:szCs w:val="28"/>
          <w:highlight w:val="none"/>
        </w:rPr>
      </w:pPr>
    </w:p>
    <w:p>
      <w:pPr>
        <w:shd w:val="clear" w:color="auto" w:fill="FFFFFF"/>
        <w:jc w:val="center"/>
        <w:rPr>
          <w:rFonts w:ascii="黑体" w:eastAsia="黑体"/>
          <w:color w:val="auto"/>
          <w:sz w:val="28"/>
          <w:szCs w:val="28"/>
          <w:highlight w:val="none"/>
        </w:rPr>
      </w:pPr>
      <w:r>
        <w:rPr>
          <w:rFonts w:hint="eastAsia" w:ascii="宋体" w:hAnsi="宋体"/>
          <w:color w:val="auto"/>
          <w:sz w:val="28"/>
          <w:szCs w:val="28"/>
          <w:highlight w:val="none"/>
          <w:u w:val="single"/>
        </w:rPr>
        <w:t xml:space="preserve">       </w:t>
      </w:r>
      <w:r>
        <w:rPr>
          <w:rFonts w:hint="eastAsia" w:ascii="黑体" w:eastAsia="黑体"/>
          <w:color w:val="auto"/>
          <w:sz w:val="28"/>
          <w:szCs w:val="28"/>
          <w:highlight w:val="none"/>
        </w:rPr>
        <w:t>年</w:t>
      </w:r>
      <w:r>
        <w:rPr>
          <w:rFonts w:hint="eastAsia" w:ascii="宋体" w:hAnsi="宋体"/>
          <w:color w:val="auto"/>
          <w:sz w:val="28"/>
          <w:szCs w:val="28"/>
          <w:highlight w:val="none"/>
          <w:u w:val="single"/>
        </w:rPr>
        <w:t xml:space="preserve">       </w:t>
      </w:r>
      <w:r>
        <w:rPr>
          <w:rFonts w:hint="eastAsia" w:ascii="黑体" w:eastAsia="黑体"/>
          <w:color w:val="auto"/>
          <w:sz w:val="28"/>
          <w:szCs w:val="28"/>
          <w:highlight w:val="none"/>
        </w:rPr>
        <w:t>月</w:t>
      </w:r>
      <w:r>
        <w:rPr>
          <w:rFonts w:hint="eastAsia" w:ascii="宋体" w:hAnsi="宋体"/>
          <w:color w:val="auto"/>
          <w:sz w:val="28"/>
          <w:szCs w:val="28"/>
          <w:highlight w:val="none"/>
          <w:u w:val="single"/>
        </w:rPr>
        <w:t xml:space="preserve">       </w:t>
      </w:r>
      <w:r>
        <w:rPr>
          <w:rFonts w:hint="eastAsia" w:ascii="黑体" w:eastAsia="黑体"/>
          <w:color w:val="auto"/>
          <w:sz w:val="28"/>
          <w:szCs w:val="28"/>
          <w:highlight w:val="none"/>
        </w:rPr>
        <w:t>日</w:t>
      </w:r>
    </w:p>
    <w:p>
      <w:pPr>
        <w:jc w:val="center"/>
        <w:rPr>
          <w:color w:val="auto"/>
          <w:sz w:val="28"/>
          <w:szCs w:val="28"/>
          <w:highlight w:val="none"/>
        </w:rPr>
      </w:pPr>
      <w:r>
        <w:rPr>
          <w:rFonts w:ascii="宋体" w:hAnsi="宋体"/>
          <w:color w:val="auto"/>
          <w:szCs w:val="21"/>
          <w:highlight w:val="none"/>
        </w:rPr>
        <w:br w:type="page"/>
      </w:r>
      <w:r>
        <w:rPr>
          <w:b/>
          <w:color w:val="auto"/>
          <w:sz w:val="32"/>
          <w:szCs w:val="32"/>
          <w:highlight w:val="none"/>
        </w:rPr>
        <w:t>目   录</w:t>
      </w:r>
      <w:r>
        <w:rPr>
          <w:b/>
          <w:color w:val="auto"/>
          <w:sz w:val="32"/>
          <w:szCs w:val="32"/>
          <w:highlight w:val="none"/>
        </w:rPr>
        <w:cr/>
      </w:r>
    </w:p>
    <w:p>
      <w:pPr>
        <w:spacing w:line="500" w:lineRule="exact"/>
        <w:rPr>
          <w:rFonts w:hint="eastAsia" w:ascii="宋体" w:hAnsi="宋体"/>
          <w:color w:val="auto"/>
          <w:sz w:val="24"/>
          <w:highlight w:val="none"/>
        </w:rPr>
      </w:pPr>
      <w:r>
        <w:rPr>
          <w:rFonts w:hint="eastAsia" w:ascii="宋体" w:hAnsi="宋体"/>
          <w:color w:val="auto"/>
          <w:sz w:val="24"/>
          <w:highlight w:val="none"/>
        </w:rPr>
        <w:t>商务标内容：</w:t>
      </w:r>
    </w:p>
    <w:p>
      <w:pPr>
        <w:spacing w:line="500" w:lineRule="exact"/>
        <w:rPr>
          <w:rFonts w:hint="eastAsia" w:ascii="宋体" w:hAnsi="宋体"/>
          <w:color w:val="auto"/>
          <w:sz w:val="24"/>
          <w:highlight w:val="none"/>
        </w:rPr>
      </w:pPr>
      <w:r>
        <w:rPr>
          <w:rFonts w:hint="eastAsia" w:ascii="宋体" w:hAnsi="宋体"/>
          <w:color w:val="auto"/>
          <w:sz w:val="24"/>
          <w:highlight w:val="none"/>
        </w:rPr>
        <w:t>1、法定代表人身份证明（附件一）</w:t>
      </w:r>
    </w:p>
    <w:p>
      <w:pPr>
        <w:spacing w:line="500" w:lineRule="exact"/>
        <w:rPr>
          <w:rFonts w:hint="eastAsia" w:ascii="宋体" w:hAnsi="宋体"/>
          <w:color w:val="auto"/>
          <w:sz w:val="24"/>
          <w:highlight w:val="none"/>
        </w:rPr>
      </w:pPr>
      <w:r>
        <w:rPr>
          <w:rFonts w:hint="eastAsia" w:ascii="宋体" w:hAnsi="宋体"/>
          <w:color w:val="auto"/>
          <w:sz w:val="24"/>
          <w:highlight w:val="none"/>
        </w:rPr>
        <w:t>2、授权委托书（如有）（附件二）</w:t>
      </w:r>
    </w:p>
    <w:p>
      <w:pPr>
        <w:spacing w:line="500" w:lineRule="exact"/>
        <w:rPr>
          <w:rFonts w:hint="eastAsia" w:ascii="宋体" w:hAnsi="宋体"/>
          <w:color w:val="auto"/>
          <w:sz w:val="24"/>
          <w:highlight w:val="none"/>
        </w:rPr>
      </w:pPr>
      <w:r>
        <w:rPr>
          <w:rFonts w:hint="eastAsia" w:ascii="宋体" w:hAnsi="宋体"/>
          <w:color w:val="auto"/>
          <w:sz w:val="24"/>
          <w:highlight w:val="none"/>
        </w:rPr>
        <w:t>3、投标函（附件三）</w:t>
      </w:r>
    </w:p>
    <w:p>
      <w:pPr>
        <w:spacing w:line="500" w:lineRule="exact"/>
        <w:rPr>
          <w:rFonts w:hint="eastAsia" w:ascii="宋体" w:hAnsi="宋体"/>
          <w:color w:val="auto"/>
          <w:sz w:val="24"/>
          <w:highlight w:val="none"/>
        </w:rPr>
      </w:pPr>
      <w:r>
        <w:rPr>
          <w:rFonts w:hint="eastAsia" w:ascii="宋体" w:hAnsi="宋体"/>
          <w:color w:val="auto"/>
          <w:sz w:val="24"/>
          <w:highlight w:val="none"/>
        </w:rPr>
        <w:t>4、</w:t>
      </w:r>
      <w:r>
        <w:rPr>
          <w:rFonts w:hint="eastAsia" w:ascii="宋体" w:hAnsi="宋体"/>
          <w:color w:val="auto"/>
          <w:sz w:val="24"/>
          <w:highlight w:val="none"/>
          <w:lang w:val="en-US" w:eastAsia="zh-CN"/>
        </w:rPr>
        <w:t>开标一览表</w:t>
      </w:r>
      <w:r>
        <w:rPr>
          <w:rFonts w:hint="eastAsia" w:ascii="宋体" w:hAnsi="宋体"/>
          <w:color w:val="auto"/>
          <w:sz w:val="24"/>
          <w:highlight w:val="none"/>
        </w:rPr>
        <w:t>（附件四）</w:t>
      </w:r>
    </w:p>
    <w:p>
      <w:pPr>
        <w:spacing w:line="500" w:lineRule="exact"/>
        <w:rPr>
          <w:rFonts w:hint="eastAsia" w:ascii="宋体" w:hAnsi="宋体"/>
          <w:color w:val="auto"/>
          <w:sz w:val="24"/>
          <w:highlight w:val="none"/>
        </w:rPr>
      </w:pPr>
      <w:r>
        <w:rPr>
          <w:rFonts w:hint="eastAsia" w:ascii="宋体" w:hAnsi="宋体"/>
          <w:color w:val="auto"/>
          <w:sz w:val="24"/>
          <w:highlight w:val="none"/>
          <w:lang w:val="en-US" w:eastAsia="zh-CN"/>
        </w:rPr>
        <w:t>5</w:t>
      </w:r>
      <w:r>
        <w:rPr>
          <w:rFonts w:hint="eastAsia" w:ascii="宋体" w:hAnsi="宋体"/>
          <w:color w:val="auto"/>
          <w:sz w:val="24"/>
          <w:highlight w:val="none"/>
        </w:rPr>
        <w:t>、承诺书（附件</w:t>
      </w:r>
      <w:r>
        <w:rPr>
          <w:rFonts w:hint="eastAsia" w:ascii="宋体" w:hAnsi="宋体"/>
          <w:color w:val="auto"/>
          <w:sz w:val="24"/>
          <w:highlight w:val="none"/>
          <w:lang w:val="en-US" w:eastAsia="zh-CN"/>
        </w:rPr>
        <w:t>五</w:t>
      </w:r>
      <w:r>
        <w:rPr>
          <w:rFonts w:hint="eastAsia" w:ascii="宋体" w:hAnsi="宋体"/>
          <w:color w:val="auto"/>
          <w:sz w:val="24"/>
          <w:highlight w:val="none"/>
        </w:rPr>
        <w:t>）</w:t>
      </w:r>
    </w:p>
    <w:p>
      <w:pPr>
        <w:spacing w:line="500" w:lineRule="exact"/>
        <w:rPr>
          <w:rFonts w:hint="eastAsia" w:ascii="宋体" w:hAnsi="宋体"/>
          <w:color w:val="auto"/>
          <w:sz w:val="24"/>
          <w:highlight w:val="none"/>
        </w:rPr>
      </w:pPr>
      <w:r>
        <w:rPr>
          <w:rFonts w:hint="eastAsia" w:ascii="宋体" w:hAnsi="宋体"/>
          <w:color w:val="auto"/>
          <w:sz w:val="24"/>
          <w:highlight w:val="none"/>
          <w:lang w:val="en-US" w:eastAsia="zh-CN"/>
        </w:rPr>
        <w:t>6</w:t>
      </w:r>
      <w:r>
        <w:rPr>
          <w:rFonts w:hint="eastAsia" w:ascii="宋体" w:hAnsi="宋体"/>
          <w:color w:val="auto"/>
          <w:sz w:val="24"/>
          <w:highlight w:val="none"/>
        </w:rPr>
        <w:t>、项目负责人简历表（附件</w:t>
      </w:r>
      <w:r>
        <w:rPr>
          <w:rFonts w:hint="eastAsia" w:ascii="宋体" w:hAnsi="宋体"/>
          <w:color w:val="auto"/>
          <w:sz w:val="24"/>
          <w:highlight w:val="none"/>
          <w:lang w:val="en-US" w:eastAsia="zh-CN"/>
        </w:rPr>
        <w:t>六</w:t>
      </w:r>
      <w:r>
        <w:rPr>
          <w:rFonts w:hint="eastAsia" w:ascii="宋体" w:hAnsi="宋体"/>
          <w:color w:val="auto"/>
          <w:sz w:val="24"/>
          <w:highlight w:val="none"/>
        </w:rPr>
        <w:t>）</w:t>
      </w:r>
    </w:p>
    <w:p>
      <w:pPr>
        <w:spacing w:line="500" w:lineRule="exact"/>
        <w:rPr>
          <w:rFonts w:ascii="宋体" w:hAnsi="宋体"/>
          <w:color w:val="auto"/>
          <w:sz w:val="24"/>
          <w:highlight w:val="none"/>
        </w:rPr>
      </w:pPr>
      <w:r>
        <w:rPr>
          <w:rFonts w:hint="eastAsia" w:ascii="宋体" w:hAnsi="宋体"/>
          <w:color w:val="auto"/>
          <w:sz w:val="24"/>
          <w:highlight w:val="none"/>
          <w:lang w:val="en-US" w:eastAsia="zh-CN"/>
        </w:rPr>
        <w:t>7</w:t>
      </w:r>
      <w:r>
        <w:rPr>
          <w:rFonts w:hint="eastAsia" w:ascii="宋体" w:hAnsi="宋体"/>
          <w:color w:val="auto"/>
          <w:sz w:val="24"/>
          <w:highlight w:val="none"/>
        </w:rPr>
        <w:t>、主要施工机械设备表（附件</w:t>
      </w:r>
      <w:r>
        <w:rPr>
          <w:rFonts w:hint="eastAsia" w:ascii="宋体" w:hAnsi="宋体"/>
          <w:color w:val="auto"/>
          <w:sz w:val="24"/>
          <w:highlight w:val="none"/>
          <w:lang w:val="en-US" w:eastAsia="zh-CN"/>
        </w:rPr>
        <w:t>七</w:t>
      </w:r>
      <w:r>
        <w:rPr>
          <w:rFonts w:hint="eastAsia" w:ascii="宋体" w:hAnsi="宋体"/>
          <w:color w:val="auto"/>
          <w:sz w:val="24"/>
          <w:highlight w:val="none"/>
        </w:rPr>
        <w:t>）</w:t>
      </w:r>
    </w:p>
    <w:p>
      <w:pPr>
        <w:spacing w:line="500" w:lineRule="exact"/>
        <w:rPr>
          <w:rFonts w:hint="eastAsia" w:ascii="宋体" w:hAnsi="宋体"/>
          <w:color w:val="auto"/>
          <w:sz w:val="24"/>
          <w:highlight w:val="none"/>
        </w:rPr>
      </w:pPr>
      <w:r>
        <w:rPr>
          <w:rFonts w:hint="eastAsia" w:ascii="宋体" w:hAnsi="宋体"/>
          <w:color w:val="auto"/>
          <w:sz w:val="24"/>
          <w:highlight w:val="none"/>
          <w:lang w:val="en-US" w:eastAsia="zh-CN"/>
        </w:rPr>
        <w:t>8</w:t>
      </w:r>
      <w:r>
        <w:rPr>
          <w:rFonts w:hint="eastAsia" w:ascii="宋体" w:hAnsi="宋体"/>
          <w:color w:val="auto"/>
          <w:sz w:val="24"/>
          <w:highlight w:val="none"/>
        </w:rPr>
        <w:t>、临时设施情况表（附件</w:t>
      </w:r>
      <w:r>
        <w:rPr>
          <w:rFonts w:hint="eastAsia" w:ascii="宋体" w:hAnsi="宋体"/>
          <w:color w:val="auto"/>
          <w:sz w:val="24"/>
          <w:highlight w:val="none"/>
          <w:lang w:val="en-US" w:eastAsia="zh-CN"/>
        </w:rPr>
        <w:t>八</w:t>
      </w:r>
      <w:r>
        <w:rPr>
          <w:rFonts w:hint="eastAsia" w:ascii="宋体" w:hAnsi="宋体"/>
          <w:color w:val="auto"/>
          <w:sz w:val="24"/>
          <w:highlight w:val="none"/>
        </w:rPr>
        <w:t>）</w:t>
      </w:r>
    </w:p>
    <w:p>
      <w:pPr>
        <w:pStyle w:val="40"/>
        <w:rPr>
          <w:rFonts w:hAnsi="宋体"/>
          <w:bCs/>
          <w:color w:val="auto"/>
          <w:szCs w:val="24"/>
          <w:highlight w:val="none"/>
        </w:rPr>
      </w:pPr>
    </w:p>
    <w:p>
      <w:pPr>
        <w:pStyle w:val="40"/>
        <w:rPr>
          <w:rFonts w:hAnsi="宋体"/>
          <w:bCs/>
          <w:color w:val="auto"/>
          <w:szCs w:val="24"/>
          <w:highlight w:val="none"/>
        </w:rPr>
      </w:pPr>
    </w:p>
    <w:p>
      <w:pPr>
        <w:pStyle w:val="40"/>
        <w:rPr>
          <w:rFonts w:hAnsi="宋体"/>
          <w:bCs/>
          <w:color w:val="auto"/>
          <w:szCs w:val="24"/>
          <w:highlight w:val="none"/>
        </w:rPr>
      </w:pPr>
    </w:p>
    <w:p>
      <w:pPr>
        <w:pStyle w:val="40"/>
        <w:rPr>
          <w:rFonts w:hAnsi="宋体"/>
          <w:bCs/>
          <w:color w:val="auto"/>
          <w:szCs w:val="24"/>
          <w:highlight w:val="none"/>
        </w:rPr>
      </w:pPr>
    </w:p>
    <w:p>
      <w:pPr>
        <w:pStyle w:val="40"/>
        <w:rPr>
          <w:rFonts w:hAnsi="宋体"/>
          <w:bCs/>
          <w:color w:val="auto"/>
          <w:szCs w:val="24"/>
          <w:highlight w:val="none"/>
        </w:rPr>
      </w:pPr>
    </w:p>
    <w:p>
      <w:pPr>
        <w:pStyle w:val="40"/>
        <w:rPr>
          <w:rFonts w:hAnsi="宋体"/>
          <w:bCs/>
          <w:color w:val="auto"/>
          <w:szCs w:val="24"/>
          <w:highlight w:val="none"/>
        </w:rPr>
      </w:pPr>
    </w:p>
    <w:p>
      <w:pPr>
        <w:pStyle w:val="40"/>
        <w:rPr>
          <w:rFonts w:hAnsi="宋体"/>
          <w:bCs/>
          <w:color w:val="auto"/>
          <w:szCs w:val="24"/>
          <w:highlight w:val="none"/>
        </w:rPr>
      </w:pPr>
    </w:p>
    <w:p>
      <w:pPr>
        <w:pStyle w:val="40"/>
        <w:rPr>
          <w:rFonts w:hAnsi="宋体"/>
          <w:bCs/>
          <w:color w:val="auto"/>
          <w:szCs w:val="24"/>
          <w:highlight w:val="none"/>
        </w:rPr>
      </w:pPr>
    </w:p>
    <w:p>
      <w:pPr>
        <w:pStyle w:val="40"/>
        <w:rPr>
          <w:rFonts w:hAnsi="宋体"/>
          <w:bCs/>
          <w:color w:val="auto"/>
          <w:szCs w:val="24"/>
          <w:highlight w:val="none"/>
        </w:rPr>
      </w:pPr>
    </w:p>
    <w:p>
      <w:pPr>
        <w:pStyle w:val="40"/>
        <w:rPr>
          <w:rFonts w:hAnsi="宋体"/>
          <w:bCs/>
          <w:color w:val="auto"/>
          <w:szCs w:val="24"/>
          <w:highlight w:val="none"/>
        </w:rPr>
      </w:pPr>
    </w:p>
    <w:p>
      <w:pPr>
        <w:pStyle w:val="40"/>
        <w:rPr>
          <w:rFonts w:hAnsi="宋体"/>
          <w:bCs/>
          <w:color w:val="auto"/>
          <w:szCs w:val="24"/>
          <w:highlight w:val="none"/>
        </w:rPr>
      </w:pPr>
    </w:p>
    <w:p>
      <w:pPr>
        <w:pStyle w:val="40"/>
        <w:rPr>
          <w:rFonts w:hAnsi="宋体"/>
          <w:bCs/>
          <w:color w:val="auto"/>
          <w:szCs w:val="24"/>
          <w:highlight w:val="none"/>
        </w:rPr>
      </w:pPr>
    </w:p>
    <w:p>
      <w:pPr>
        <w:pStyle w:val="40"/>
        <w:rPr>
          <w:rFonts w:hAnsi="宋体"/>
          <w:bCs/>
          <w:color w:val="auto"/>
          <w:szCs w:val="24"/>
          <w:highlight w:val="none"/>
        </w:rPr>
      </w:pPr>
    </w:p>
    <w:p>
      <w:pPr>
        <w:pStyle w:val="40"/>
        <w:rPr>
          <w:rFonts w:hAnsi="宋体"/>
          <w:bCs/>
          <w:color w:val="auto"/>
          <w:szCs w:val="24"/>
          <w:highlight w:val="none"/>
        </w:rPr>
      </w:pPr>
    </w:p>
    <w:p>
      <w:pPr>
        <w:pStyle w:val="40"/>
        <w:rPr>
          <w:rFonts w:hAnsi="宋体"/>
          <w:bCs/>
          <w:color w:val="auto"/>
          <w:szCs w:val="24"/>
          <w:highlight w:val="none"/>
        </w:rPr>
      </w:pPr>
    </w:p>
    <w:p>
      <w:pPr>
        <w:pStyle w:val="40"/>
        <w:rPr>
          <w:rFonts w:hAnsi="宋体"/>
          <w:bCs/>
          <w:color w:val="auto"/>
          <w:szCs w:val="24"/>
          <w:highlight w:val="none"/>
        </w:rPr>
      </w:pPr>
    </w:p>
    <w:p>
      <w:pPr>
        <w:pStyle w:val="40"/>
        <w:rPr>
          <w:rFonts w:hAnsi="宋体"/>
          <w:bCs/>
          <w:color w:val="auto"/>
          <w:szCs w:val="24"/>
          <w:highlight w:val="none"/>
        </w:rPr>
      </w:pPr>
    </w:p>
    <w:p>
      <w:pPr>
        <w:pStyle w:val="40"/>
        <w:rPr>
          <w:rFonts w:hAnsi="宋体"/>
          <w:bCs/>
          <w:color w:val="auto"/>
          <w:szCs w:val="24"/>
          <w:highlight w:val="none"/>
        </w:rPr>
      </w:pPr>
    </w:p>
    <w:p>
      <w:pPr>
        <w:pStyle w:val="40"/>
        <w:rPr>
          <w:rFonts w:hAnsi="宋体"/>
          <w:bCs/>
          <w:color w:val="auto"/>
          <w:szCs w:val="24"/>
          <w:highlight w:val="none"/>
        </w:rPr>
      </w:pPr>
    </w:p>
    <w:p>
      <w:pPr>
        <w:pStyle w:val="40"/>
        <w:rPr>
          <w:rFonts w:hAnsi="宋体"/>
          <w:bCs/>
          <w:color w:val="auto"/>
          <w:szCs w:val="24"/>
          <w:highlight w:val="none"/>
        </w:rPr>
      </w:pPr>
    </w:p>
    <w:p>
      <w:pPr>
        <w:pStyle w:val="40"/>
        <w:rPr>
          <w:rFonts w:hAnsi="宋体"/>
          <w:bCs/>
          <w:color w:val="auto"/>
          <w:szCs w:val="24"/>
          <w:highlight w:val="none"/>
        </w:rPr>
      </w:pPr>
    </w:p>
    <w:p>
      <w:pPr>
        <w:pStyle w:val="40"/>
        <w:rPr>
          <w:rFonts w:hAnsi="宋体"/>
          <w:bCs/>
          <w:color w:val="auto"/>
          <w:szCs w:val="24"/>
          <w:highlight w:val="none"/>
        </w:rPr>
      </w:pPr>
    </w:p>
    <w:p>
      <w:pPr>
        <w:pStyle w:val="40"/>
        <w:rPr>
          <w:rFonts w:hAnsi="宋体"/>
          <w:bCs/>
          <w:color w:val="auto"/>
          <w:szCs w:val="24"/>
          <w:highlight w:val="none"/>
        </w:rPr>
      </w:pPr>
    </w:p>
    <w:p>
      <w:pPr>
        <w:pStyle w:val="40"/>
        <w:rPr>
          <w:rFonts w:hAnsi="宋体"/>
          <w:bCs/>
          <w:color w:val="auto"/>
          <w:szCs w:val="24"/>
          <w:highlight w:val="none"/>
        </w:rPr>
      </w:pPr>
    </w:p>
    <w:p>
      <w:pPr>
        <w:pStyle w:val="40"/>
        <w:rPr>
          <w:rFonts w:hAnsi="宋体"/>
          <w:bCs/>
          <w:color w:val="auto"/>
          <w:szCs w:val="24"/>
          <w:highlight w:val="none"/>
        </w:rPr>
      </w:pPr>
    </w:p>
    <w:p>
      <w:pPr>
        <w:pStyle w:val="40"/>
        <w:rPr>
          <w:rFonts w:hAnsi="宋体"/>
          <w:bCs/>
          <w:color w:val="auto"/>
          <w:szCs w:val="24"/>
          <w:highlight w:val="none"/>
        </w:rPr>
      </w:pPr>
    </w:p>
    <w:p>
      <w:pPr>
        <w:pStyle w:val="40"/>
        <w:rPr>
          <w:rFonts w:hAnsi="宋体"/>
          <w:bCs/>
          <w:color w:val="auto"/>
          <w:szCs w:val="24"/>
          <w:highlight w:val="none"/>
        </w:rPr>
      </w:pPr>
    </w:p>
    <w:p>
      <w:pPr>
        <w:pStyle w:val="40"/>
        <w:rPr>
          <w:rFonts w:hAnsi="宋体"/>
          <w:bCs/>
          <w:color w:val="auto"/>
          <w:szCs w:val="24"/>
          <w:highlight w:val="none"/>
        </w:rPr>
      </w:pPr>
    </w:p>
    <w:p>
      <w:pPr>
        <w:spacing w:line="500" w:lineRule="exact"/>
        <w:rPr>
          <w:rFonts w:hint="eastAsia" w:ascii="宋体" w:hAnsi="宋体"/>
          <w:color w:val="auto"/>
          <w:sz w:val="24"/>
          <w:highlight w:val="none"/>
        </w:rPr>
      </w:pPr>
      <w:r>
        <w:rPr>
          <w:rFonts w:hint="eastAsia" w:ascii="宋体" w:hAnsi="宋体"/>
          <w:color w:val="auto"/>
          <w:sz w:val="24"/>
          <w:highlight w:val="none"/>
        </w:rPr>
        <w:t>附件一</w:t>
      </w:r>
    </w:p>
    <w:p>
      <w:pPr>
        <w:spacing w:line="500" w:lineRule="exact"/>
        <w:jc w:val="center"/>
        <w:rPr>
          <w:rFonts w:hint="eastAsia" w:ascii="宋体" w:hAnsi="宋体"/>
          <w:b/>
          <w:color w:val="auto"/>
          <w:sz w:val="28"/>
          <w:szCs w:val="28"/>
          <w:highlight w:val="none"/>
        </w:rPr>
      </w:pPr>
      <w:r>
        <w:rPr>
          <w:rFonts w:hint="eastAsia" w:ascii="宋体" w:hAnsi="宋体"/>
          <w:b/>
          <w:color w:val="auto"/>
          <w:sz w:val="28"/>
          <w:szCs w:val="28"/>
          <w:highlight w:val="none"/>
        </w:rPr>
        <w:t>法定代表人身份证明</w:t>
      </w:r>
    </w:p>
    <w:p>
      <w:pPr>
        <w:spacing w:line="500" w:lineRule="exact"/>
        <w:jc w:val="center"/>
        <w:rPr>
          <w:rFonts w:hint="eastAsia" w:ascii="宋体" w:hAnsi="宋体"/>
          <w:color w:val="auto"/>
          <w:sz w:val="24"/>
          <w:highlight w:val="none"/>
        </w:rPr>
      </w:pPr>
    </w:p>
    <w:p>
      <w:pPr>
        <w:spacing w:line="480" w:lineRule="auto"/>
        <w:rPr>
          <w:rFonts w:hint="eastAsia" w:ascii="宋体" w:hAnsi="宋体"/>
          <w:color w:val="auto"/>
          <w:sz w:val="24"/>
          <w:highlight w:val="none"/>
        </w:rPr>
      </w:pPr>
      <w:r>
        <w:rPr>
          <w:rFonts w:hint="eastAsia" w:ascii="宋体" w:hAnsi="宋体"/>
          <w:color w:val="auto"/>
          <w:sz w:val="24"/>
          <w:highlight w:val="none"/>
        </w:rPr>
        <w:t>投 标 人：</w:t>
      </w:r>
      <w:r>
        <w:rPr>
          <w:rFonts w:hint="eastAsia" w:ascii="宋体" w:hAnsi="宋体"/>
          <w:color w:val="auto"/>
          <w:sz w:val="24"/>
          <w:highlight w:val="none"/>
          <w:u w:val="single"/>
        </w:rPr>
        <w:t xml:space="preserve">                                                        </w:t>
      </w:r>
    </w:p>
    <w:p>
      <w:pPr>
        <w:spacing w:line="480" w:lineRule="auto"/>
        <w:rPr>
          <w:rFonts w:hint="eastAsia" w:ascii="宋体" w:hAnsi="宋体"/>
          <w:color w:val="auto"/>
          <w:sz w:val="24"/>
          <w:highlight w:val="none"/>
        </w:rPr>
      </w:pPr>
      <w:r>
        <w:rPr>
          <w:rFonts w:hint="eastAsia" w:ascii="宋体" w:hAnsi="宋体"/>
          <w:color w:val="auto"/>
          <w:sz w:val="24"/>
          <w:highlight w:val="none"/>
        </w:rPr>
        <w:t>单位性质：</w:t>
      </w:r>
      <w:r>
        <w:rPr>
          <w:rFonts w:hint="eastAsia" w:ascii="宋体" w:hAnsi="宋体"/>
          <w:color w:val="auto"/>
          <w:sz w:val="24"/>
          <w:highlight w:val="none"/>
          <w:u w:val="single"/>
        </w:rPr>
        <w:t xml:space="preserve">                                                        </w:t>
      </w:r>
    </w:p>
    <w:p>
      <w:pPr>
        <w:spacing w:line="480" w:lineRule="auto"/>
        <w:rPr>
          <w:rFonts w:hint="eastAsia" w:ascii="宋体" w:hAnsi="宋体"/>
          <w:color w:val="auto"/>
          <w:sz w:val="24"/>
          <w:highlight w:val="none"/>
        </w:rPr>
      </w:pPr>
      <w:r>
        <w:rPr>
          <w:rFonts w:hint="eastAsia" w:ascii="宋体" w:hAnsi="宋体"/>
          <w:color w:val="auto"/>
          <w:sz w:val="24"/>
          <w:highlight w:val="none"/>
        </w:rPr>
        <w:t>地    址：</w:t>
      </w:r>
      <w:r>
        <w:rPr>
          <w:rFonts w:hint="eastAsia" w:ascii="宋体" w:hAnsi="宋体"/>
          <w:color w:val="auto"/>
          <w:sz w:val="24"/>
          <w:highlight w:val="none"/>
          <w:u w:val="single"/>
        </w:rPr>
        <w:t xml:space="preserve">                                                        </w:t>
      </w:r>
    </w:p>
    <w:p>
      <w:pPr>
        <w:spacing w:line="480" w:lineRule="auto"/>
        <w:rPr>
          <w:rFonts w:hint="eastAsia" w:ascii="宋体" w:hAnsi="宋体"/>
          <w:color w:val="auto"/>
          <w:sz w:val="24"/>
          <w:highlight w:val="none"/>
        </w:rPr>
      </w:pPr>
      <w:r>
        <w:rPr>
          <w:rFonts w:hint="eastAsia" w:ascii="宋体" w:hAnsi="宋体"/>
          <w:color w:val="auto"/>
          <w:sz w:val="24"/>
          <w:highlight w:val="none"/>
        </w:rPr>
        <w:t>成立时间：</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pPr>
        <w:spacing w:line="480" w:lineRule="auto"/>
        <w:rPr>
          <w:rFonts w:hint="eastAsia" w:ascii="宋体" w:hAnsi="宋体"/>
          <w:color w:val="auto"/>
          <w:sz w:val="24"/>
          <w:highlight w:val="none"/>
        </w:rPr>
      </w:pPr>
      <w:r>
        <w:rPr>
          <w:rFonts w:hint="eastAsia" w:ascii="宋体" w:hAnsi="宋体"/>
          <w:color w:val="auto"/>
          <w:sz w:val="24"/>
          <w:highlight w:val="none"/>
        </w:rPr>
        <w:t>经营期限：</w:t>
      </w:r>
      <w:r>
        <w:rPr>
          <w:rFonts w:hint="eastAsia" w:ascii="宋体" w:hAnsi="宋体"/>
          <w:color w:val="auto"/>
          <w:sz w:val="24"/>
          <w:highlight w:val="none"/>
          <w:u w:val="single"/>
        </w:rPr>
        <w:t xml:space="preserve">                                                        </w:t>
      </w:r>
    </w:p>
    <w:p>
      <w:pPr>
        <w:spacing w:line="480" w:lineRule="auto"/>
        <w:rPr>
          <w:rFonts w:hint="eastAsia" w:ascii="宋体" w:hAnsi="宋体"/>
          <w:color w:val="auto"/>
          <w:sz w:val="24"/>
          <w:highlight w:val="none"/>
        </w:rPr>
      </w:pPr>
      <w:r>
        <w:rPr>
          <w:rFonts w:hint="eastAsia" w:ascii="宋体" w:hAnsi="宋体"/>
          <w:color w:val="auto"/>
          <w:sz w:val="24"/>
          <w:highlight w:val="none"/>
        </w:rPr>
        <w:t>姓    名：</w:t>
      </w:r>
      <w:r>
        <w:rPr>
          <w:rFonts w:hint="eastAsia" w:ascii="宋体" w:hAnsi="宋体"/>
          <w:color w:val="auto"/>
          <w:sz w:val="24"/>
          <w:highlight w:val="none"/>
          <w:u w:val="single"/>
        </w:rPr>
        <w:t xml:space="preserve">                          </w:t>
      </w:r>
      <w:r>
        <w:rPr>
          <w:rFonts w:hint="eastAsia" w:ascii="宋体" w:hAnsi="宋体"/>
          <w:color w:val="auto"/>
          <w:sz w:val="24"/>
          <w:highlight w:val="none"/>
        </w:rPr>
        <w:t>性        别：</w:t>
      </w:r>
      <w:r>
        <w:rPr>
          <w:rFonts w:hint="eastAsia" w:ascii="宋体" w:hAnsi="宋体"/>
          <w:color w:val="auto"/>
          <w:sz w:val="24"/>
          <w:highlight w:val="none"/>
          <w:u w:val="single"/>
        </w:rPr>
        <w:t xml:space="preserve">                </w:t>
      </w:r>
    </w:p>
    <w:p>
      <w:pPr>
        <w:spacing w:line="480" w:lineRule="auto"/>
        <w:rPr>
          <w:rFonts w:hint="eastAsia" w:ascii="宋体" w:hAnsi="宋体"/>
          <w:color w:val="auto"/>
          <w:sz w:val="24"/>
          <w:highlight w:val="none"/>
        </w:rPr>
      </w:pPr>
      <w:r>
        <w:rPr>
          <w:rFonts w:hint="eastAsia" w:ascii="宋体" w:hAnsi="宋体"/>
          <w:color w:val="auto"/>
          <w:sz w:val="24"/>
          <w:highlight w:val="none"/>
        </w:rPr>
        <w:t>年    龄：</w:t>
      </w:r>
      <w:r>
        <w:rPr>
          <w:rFonts w:hint="eastAsia" w:ascii="宋体" w:hAnsi="宋体"/>
          <w:color w:val="auto"/>
          <w:sz w:val="24"/>
          <w:highlight w:val="none"/>
          <w:u w:val="single"/>
        </w:rPr>
        <w:t xml:space="preserve">                          </w:t>
      </w:r>
      <w:r>
        <w:rPr>
          <w:rFonts w:hint="eastAsia" w:ascii="宋体" w:hAnsi="宋体"/>
          <w:color w:val="auto"/>
          <w:sz w:val="24"/>
          <w:highlight w:val="none"/>
        </w:rPr>
        <w:t>职        务：</w:t>
      </w:r>
      <w:r>
        <w:rPr>
          <w:rFonts w:hint="eastAsia" w:ascii="宋体" w:hAnsi="宋体"/>
          <w:color w:val="auto"/>
          <w:sz w:val="24"/>
          <w:highlight w:val="none"/>
          <w:u w:val="single"/>
        </w:rPr>
        <w:t xml:space="preserve">                </w:t>
      </w:r>
    </w:p>
    <w:p>
      <w:pPr>
        <w:spacing w:line="480" w:lineRule="auto"/>
        <w:rPr>
          <w:rFonts w:hint="eastAsia"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 xml:space="preserve">                                      </w:t>
      </w:r>
      <w:r>
        <w:rPr>
          <w:rFonts w:hint="eastAsia" w:ascii="宋体" w:hAnsi="宋体"/>
          <w:color w:val="auto"/>
          <w:sz w:val="24"/>
          <w:highlight w:val="none"/>
        </w:rPr>
        <w:t>（投标人名称）的法定代表人。</w:t>
      </w:r>
    </w:p>
    <w:p>
      <w:pPr>
        <w:spacing w:line="480" w:lineRule="auto"/>
        <w:ind w:firstLine="480" w:firstLineChars="200"/>
        <w:rPr>
          <w:rFonts w:hint="eastAsia" w:ascii="宋体" w:hAnsi="宋体"/>
          <w:color w:val="auto"/>
          <w:sz w:val="24"/>
          <w:highlight w:val="none"/>
        </w:rPr>
      </w:pPr>
      <w:r>
        <w:rPr>
          <w:rFonts w:hint="eastAsia" w:ascii="宋体" w:hAnsi="宋体"/>
          <w:color w:val="auto"/>
          <w:sz w:val="24"/>
          <w:highlight w:val="none"/>
        </w:rPr>
        <w:t>特此证明。</w:t>
      </w:r>
    </w:p>
    <w:p>
      <w:pPr>
        <w:spacing w:line="480" w:lineRule="auto"/>
        <w:rPr>
          <w:rFonts w:hint="eastAsia" w:ascii="宋体" w:hAnsi="宋体"/>
          <w:color w:val="auto"/>
          <w:sz w:val="24"/>
          <w:highlight w:val="none"/>
        </w:rPr>
      </w:pPr>
    </w:p>
    <w:p>
      <w:pPr>
        <w:spacing w:line="480" w:lineRule="auto"/>
        <w:jc w:val="right"/>
        <w:rPr>
          <w:rFonts w:hint="eastAsia" w:ascii="宋体" w:hAnsi="宋体"/>
          <w:color w:val="auto"/>
          <w:sz w:val="24"/>
          <w:highlight w:val="none"/>
        </w:rPr>
      </w:pPr>
      <w:r>
        <w:rPr>
          <w:rFonts w:hint="eastAsia" w:ascii="宋体" w:hAnsi="宋体"/>
          <w:color w:val="auto"/>
          <w:sz w:val="24"/>
          <w:highlight w:val="none"/>
        </w:rPr>
        <w:t>投标人：</w:t>
      </w:r>
      <w:r>
        <w:rPr>
          <w:rFonts w:hint="eastAsia" w:ascii="宋体" w:hAnsi="宋体"/>
          <w:color w:val="auto"/>
          <w:sz w:val="24"/>
          <w:highlight w:val="none"/>
          <w:u w:val="single"/>
        </w:rPr>
        <w:t xml:space="preserve">                          </w:t>
      </w:r>
      <w:r>
        <w:rPr>
          <w:rFonts w:hint="eastAsia" w:ascii="宋体" w:hAnsi="宋体"/>
          <w:color w:val="auto"/>
          <w:sz w:val="24"/>
          <w:highlight w:val="none"/>
        </w:rPr>
        <w:t>（盖投标人公章）</w:t>
      </w:r>
    </w:p>
    <w:p>
      <w:pPr>
        <w:spacing w:line="480" w:lineRule="auto"/>
        <w:jc w:val="right"/>
        <w:rPr>
          <w:rFonts w:hint="eastAsia"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pPr>
        <w:spacing w:line="480" w:lineRule="auto"/>
        <w:rPr>
          <w:rFonts w:hint="eastAsia" w:ascii="宋体" w:hAnsi="宋体"/>
          <w:color w:val="auto"/>
          <w:sz w:val="24"/>
          <w:highlight w:val="none"/>
        </w:rPr>
      </w:pPr>
    </w:p>
    <w:p>
      <w:pPr>
        <w:spacing w:line="480" w:lineRule="auto"/>
        <w:rPr>
          <w:rFonts w:hint="eastAsia" w:ascii="宋体" w:hAnsi="宋体"/>
          <w:color w:val="auto"/>
          <w:sz w:val="24"/>
          <w:highlight w:val="none"/>
        </w:rPr>
      </w:pPr>
    </w:p>
    <w:p>
      <w:pPr>
        <w:spacing w:line="480" w:lineRule="auto"/>
        <w:rPr>
          <w:rFonts w:hint="eastAsia" w:ascii="宋体" w:hAnsi="宋体"/>
          <w:color w:val="auto"/>
          <w:sz w:val="24"/>
          <w:highlight w:val="none"/>
        </w:rPr>
      </w:pPr>
    </w:p>
    <w:p>
      <w:pPr>
        <w:spacing w:line="480" w:lineRule="auto"/>
        <w:rPr>
          <w:rFonts w:hint="eastAsia" w:ascii="宋体" w:hAnsi="宋体"/>
          <w:color w:val="auto"/>
          <w:sz w:val="24"/>
          <w:highlight w:val="none"/>
        </w:rPr>
      </w:pPr>
    </w:p>
    <w:p>
      <w:pPr>
        <w:spacing w:line="360" w:lineRule="auto"/>
        <w:rPr>
          <w:rFonts w:hint="eastAsia" w:ascii="宋体" w:hAnsi="宋体"/>
          <w:color w:val="auto"/>
          <w:sz w:val="24"/>
          <w:highlight w:val="none"/>
        </w:rPr>
      </w:pPr>
    </w:p>
    <w:p>
      <w:pPr>
        <w:spacing w:line="360" w:lineRule="auto"/>
        <w:rPr>
          <w:rFonts w:hint="eastAsia" w:ascii="宋体" w:hAnsi="宋体"/>
          <w:color w:val="auto"/>
          <w:sz w:val="24"/>
          <w:highlight w:val="none"/>
        </w:rPr>
      </w:pPr>
    </w:p>
    <w:p>
      <w:pPr>
        <w:spacing w:line="360" w:lineRule="auto"/>
        <w:rPr>
          <w:rFonts w:hint="eastAsia" w:ascii="宋体" w:hAnsi="宋体"/>
          <w:color w:val="auto"/>
          <w:sz w:val="24"/>
          <w:highlight w:val="none"/>
        </w:rPr>
      </w:pPr>
    </w:p>
    <w:p>
      <w:pPr>
        <w:spacing w:line="360" w:lineRule="auto"/>
        <w:rPr>
          <w:rFonts w:hint="eastAsia" w:ascii="宋体" w:hAnsi="宋体"/>
          <w:color w:val="auto"/>
          <w:sz w:val="24"/>
          <w:highlight w:val="none"/>
        </w:rPr>
      </w:pPr>
    </w:p>
    <w:p>
      <w:pPr>
        <w:spacing w:line="360" w:lineRule="auto"/>
        <w:rPr>
          <w:rFonts w:hint="eastAsia" w:ascii="宋体" w:hAnsi="宋体"/>
          <w:color w:val="auto"/>
          <w:sz w:val="24"/>
          <w:highlight w:val="none"/>
        </w:rPr>
      </w:pPr>
    </w:p>
    <w:p>
      <w:pPr>
        <w:spacing w:before="312" w:beforeLines="100" w:after="156" w:afterLines="50" w:line="500" w:lineRule="exact"/>
        <w:rPr>
          <w:rFonts w:hint="eastAsia" w:ascii="宋体" w:hAnsi="宋体"/>
          <w:color w:val="auto"/>
          <w:sz w:val="24"/>
          <w:highlight w:val="none"/>
        </w:rPr>
      </w:pPr>
      <w:r>
        <w:rPr>
          <w:rFonts w:hint="eastAsia" w:ascii="宋体" w:hAnsi="宋体"/>
          <w:color w:val="auto"/>
          <w:sz w:val="24"/>
          <w:highlight w:val="none"/>
        </w:rPr>
        <w:t>附件二</w:t>
      </w:r>
    </w:p>
    <w:p>
      <w:pPr>
        <w:spacing w:line="500" w:lineRule="exact"/>
        <w:jc w:val="center"/>
        <w:rPr>
          <w:rFonts w:hint="eastAsia" w:ascii="宋体" w:hAnsi="宋体"/>
          <w:b/>
          <w:color w:val="auto"/>
          <w:sz w:val="28"/>
          <w:szCs w:val="28"/>
          <w:highlight w:val="none"/>
        </w:rPr>
      </w:pPr>
      <w:r>
        <w:rPr>
          <w:rFonts w:hint="eastAsia" w:ascii="宋体" w:hAnsi="宋体"/>
          <w:b/>
          <w:color w:val="auto"/>
          <w:sz w:val="28"/>
          <w:szCs w:val="28"/>
          <w:highlight w:val="none"/>
        </w:rPr>
        <w:t>授权委托书</w:t>
      </w:r>
    </w:p>
    <w:p>
      <w:pPr>
        <w:spacing w:line="500" w:lineRule="exact"/>
        <w:jc w:val="center"/>
        <w:rPr>
          <w:rFonts w:hint="eastAsia" w:ascii="宋体" w:hAnsi="宋体"/>
          <w:b/>
          <w:color w:val="auto"/>
          <w:sz w:val="28"/>
          <w:szCs w:val="28"/>
          <w:highlight w:val="none"/>
        </w:rPr>
      </w:pPr>
    </w:p>
    <w:p>
      <w:pPr>
        <w:spacing w:line="480" w:lineRule="auto"/>
        <w:ind w:firstLine="480" w:firstLineChars="200"/>
        <w:rPr>
          <w:rFonts w:hint="eastAsia" w:ascii="宋体" w:hAnsi="宋体"/>
          <w:color w:val="auto"/>
          <w:sz w:val="24"/>
          <w:highlight w:val="none"/>
        </w:rPr>
      </w:pPr>
      <w:r>
        <w:rPr>
          <w:rFonts w:hint="eastAsia" w:ascii="宋体" w:hAnsi="宋体"/>
          <w:color w:val="auto"/>
          <w:sz w:val="24"/>
          <w:highlight w:val="none"/>
        </w:rPr>
        <w:t>本人</w:t>
      </w:r>
      <w:r>
        <w:rPr>
          <w:rFonts w:hint="eastAsia" w:ascii="宋体" w:hAnsi="宋体"/>
          <w:color w:val="auto"/>
          <w:sz w:val="24"/>
          <w:highlight w:val="none"/>
          <w:u w:val="single"/>
        </w:rPr>
        <w:t xml:space="preserve">         </w:t>
      </w:r>
      <w:r>
        <w:rPr>
          <w:rFonts w:hint="eastAsia" w:ascii="宋体" w:hAnsi="宋体"/>
          <w:color w:val="auto"/>
          <w:sz w:val="24"/>
          <w:highlight w:val="none"/>
        </w:rPr>
        <w:t>（姓名）系</w:t>
      </w:r>
      <w:r>
        <w:rPr>
          <w:rFonts w:hint="eastAsia" w:ascii="宋体" w:hAnsi="宋体"/>
          <w:color w:val="auto"/>
          <w:sz w:val="24"/>
          <w:highlight w:val="none"/>
          <w:u w:val="single"/>
        </w:rPr>
        <w:t xml:space="preserve">                </w:t>
      </w:r>
      <w:r>
        <w:rPr>
          <w:rFonts w:hint="eastAsia" w:ascii="宋体" w:hAnsi="宋体"/>
          <w:color w:val="auto"/>
          <w:sz w:val="24"/>
          <w:highlight w:val="none"/>
        </w:rPr>
        <w:t>（投标人名称）的法定代表人，现委托</w:t>
      </w:r>
      <w:r>
        <w:rPr>
          <w:rFonts w:hint="eastAsia" w:ascii="宋体" w:hAnsi="宋体"/>
          <w:color w:val="auto"/>
          <w:sz w:val="24"/>
          <w:highlight w:val="none"/>
          <w:u w:val="single"/>
        </w:rPr>
        <w:t xml:space="preserve">        </w:t>
      </w:r>
      <w:r>
        <w:rPr>
          <w:rFonts w:hint="eastAsia" w:ascii="宋体" w:hAnsi="宋体"/>
          <w:color w:val="auto"/>
          <w:sz w:val="24"/>
          <w:highlight w:val="none"/>
        </w:rPr>
        <w:t>（姓名）为我方代理人。代理人根据授权，以我方名义签署、澄清、说明、补正、递交、撤回、修改</w:t>
      </w:r>
      <w:r>
        <w:rPr>
          <w:rFonts w:hint="eastAsia" w:ascii="宋体" w:hAnsi="宋体"/>
          <w:color w:val="auto"/>
          <w:sz w:val="24"/>
          <w:highlight w:val="none"/>
          <w:u w:val="single"/>
        </w:rPr>
        <w:t xml:space="preserve">              </w:t>
      </w:r>
      <w:r>
        <w:rPr>
          <w:rFonts w:hint="eastAsia" w:ascii="宋体" w:hAnsi="宋体"/>
          <w:color w:val="auto"/>
          <w:sz w:val="24"/>
          <w:highlight w:val="none"/>
        </w:rPr>
        <w:t>（项目名称）</w:t>
      </w:r>
      <w:r>
        <w:rPr>
          <w:rFonts w:hint="eastAsia" w:ascii="宋体" w:hAnsi="宋体"/>
          <w:color w:val="auto"/>
          <w:sz w:val="24"/>
          <w:highlight w:val="none"/>
          <w:u w:val="single"/>
        </w:rPr>
        <w:t xml:space="preserve">  / </w:t>
      </w:r>
      <w:r>
        <w:rPr>
          <w:rFonts w:hint="eastAsia" w:ascii="宋体" w:hAnsi="宋体"/>
          <w:color w:val="auto"/>
          <w:sz w:val="24"/>
          <w:highlight w:val="none"/>
        </w:rPr>
        <w:t>标段施工投标文件、签订合同和处理有关事宜，其法律后果由我方承担。</w:t>
      </w:r>
    </w:p>
    <w:p>
      <w:pPr>
        <w:spacing w:line="480" w:lineRule="auto"/>
        <w:ind w:firstLine="480" w:firstLineChars="200"/>
        <w:rPr>
          <w:rFonts w:hint="eastAsia" w:ascii="宋体" w:hAnsi="宋体"/>
          <w:color w:val="auto"/>
          <w:sz w:val="24"/>
          <w:highlight w:val="none"/>
        </w:rPr>
      </w:pPr>
      <w:r>
        <w:rPr>
          <w:rFonts w:hint="eastAsia" w:ascii="宋体" w:hAnsi="宋体"/>
          <w:color w:val="auto"/>
          <w:sz w:val="24"/>
          <w:highlight w:val="none"/>
        </w:rPr>
        <w:t>委托期限：</w:t>
      </w:r>
      <w:r>
        <w:rPr>
          <w:rFonts w:hint="eastAsia" w:ascii="宋体" w:hAnsi="宋体"/>
          <w:color w:val="auto"/>
          <w:sz w:val="24"/>
          <w:highlight w:val="none"/>
          <w:u w:val="single"/>
        </w:rPr>
        <w:t xml:space="preserve">                                                        </w:t>
      </w:r>
    </w:p>
    <w:p>
      <w:pPr>
        <w:spacing w:line="480" w:lineRule="auto"/>
        <w:ind w:firstLine="1440" w:firstLineChars="600"/>
        <w:rPr>
          <w:rFonts w:hint="eastAsia"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w:t>
      </w:r>
    </w:p>
    <w:p>
      <w:pPr>
        <w:spacing w:line="480" w:lineRule="auto"/>
        <w:ind w:firstLine="480" w:firstLineChars="200"/>
        <w:rPr>
          <w:rFonts w:hint="eastAsia" w:ascii="宋体" w:hAnsi="宋体"/>
          <w:color w:val="auto"/>
          <w:sz w:val="24"/>
          <w:highlight w:val="none"/>
        </w:rPr>
      </w:pPr>
      <w:r>
        <w:rPr>
          <w:rFonts w:hint="eastAsia" w:ascii="宋体" w:hAnsi="宋体"/>
          <w:color w:val="auto"/>
          <w:sz w:val="24"/>
          <w:highlight w:val="none"/>
        </w:rPr>
        <w:t>代理人无转委托权。</w:t>
      </w:r>
    </w:p>
    <w:p>
      <w:pPr>
        <w:spacing w:line="480" w:lineRule="auto"/>
        <w:ind w:firstLine="480" w:firstLineChars="200"/>
        <w:rPr>
          <w:rFonts w:hint="eastAsia" w:ascii="宋体" w:hAnsi="宋体"/>
          <w:color w:val="auto"/>
          <w:sz w:val="24"/>
          <w:highlight w:val="none"/>
        </w:rPr>
      </w:pPr>
      <w:r>
        <w:rPr>
          <w:rFonts w:hint="eastAsia" w:ascii="宋体" w:hAnsi="宋体"/>
          <w:color w:val="auto"/>
          <w:sz w:val="24"/>
          <w:highlight w:val="none"/>
        </w:rPr>
        <w:t>附：法定代表人身份证明</w:t>
      </w:r>
    </w:p>
    <w:p>
      <w:pPr>
        <w:spacing w:line="480" w:lineRule="auto"/>
        <w:rPr>
          <w:rFonts w:hint="eastAsia" w:ascii="宋体" w:hAnsi="宋体"/>
          <w:color w:val="auto"/>
          <w:sz w:val="24"/>
          <w:highlight w:val="none"/>
        </w:rPr>
      </w:pPr>
    </w:p>
    <w:p>
      <w:pPr>
        <w:spacing w:line="480" w:lineRule="auto"/>
        <w:ind w:firstLine="3684" w:firstLineChars="1535"/>
        <w:rPr>
          <w:rFonts w:hint="eastAsia" w:ascii="宋体" w:hAnsi="宋体"/>
          <w:color w:val="auto"/>
          <w:sz w:val="24"/>
          <w:highlight w:val="none"/>
        </w:rPr>
      </w:pPr>
      <w:r>
        <w:rPr>
          <w:rFonts w:hint="eastAsia" w:ascii="宋体" w:hAnsi="宋体"/>
          <w:color w:val="auto"/>
          <w:sz w:val="24"/>
          <w:highlight w:val="none"/>
        </w:rPr>
        <w:t>投  标  人：</w:t>
      </w:r>
      <w:r>
        <w:rPr>
          <w:rFonts w:hint="eastAsia" w:ascii="宋体" w:hAnsi="宋体"/>
          <w:color w:val="auto"/>
          <w:sz w:val="24"/>
          <w:highlight w:val="none"/>
          <w:u w:val="single"/>
        </w:rPr>
        <w:t xml:space="preserve">         </w:t>
      </w:r>
      <w:r>
        <w:rPr>
          <w:rFonts w:hint="eastAsia" w:ascii="宋体" w:hAnsi="宋体"/>
          <w:color w:val="auto"/>
          <w:sz w:val="24"/>
          <w:highlight w:val="none"/>
        </w:rPr>
        <w:t>（盖投标人公章）</w:t>
      </w:r>
    </w:p>
    <w:p>
      <w:pPr>
        <w:spacing w:line="480" w:lineRule="auto"/>
        <w:ind w:firstLine="3684" w:firstLineChars="1535"/>
        <w:rPr>
          <w:rFonts w:hint="eastAsia" w:ascii="宋体" w:hAnsi="宋体"/>
          <w:color w:val="auto"/>
          <w:sz w:val="24"/>
          <w:highlight w:val="none"/>
        </w:rPr>
      </w:pPr>
      <w:r>
        <w:rPr>
          <w:rFonts w:hint="eastAsia" w:ascii="宋体" w:hAnsi="宋体"/>
          <w:color w:val="auto"/>
          <w:sz w:val="24"/>
          <w:highlight w:val="none"/>
        </w:rPr>
        <w:t>法定代表人：</w:t>
      </w:r>
      <w:r>
        <w:rPr>
          <w:rFonts w:hint="eastAsia" w:ascii="宋体" w:hAnsi="宋体"/>
          <w:color w:val="auto"/>
          <w:sz w:val="24"/>
          <w:highlight w:val="none"/>
          <w:u w:val="single"/>
        </w:rPr>
        <w:t xml:space="preserve">     </w:t>
      </w:r>
      <w:r>
        <w:rPr>
          <w:rFonts w:hint="eastAsia" w:ascii="宋体" w:hAnsi="宋体"/>
          <w:color w:val="auto"/>
          <w:sz w:val="24"/>
          <w:highlight w:val="none"/>
        </w:rPr>
        <w:t>（盖法定代表人印章）</w:t>
      </w:r>
    </w:p>
    <w:p>
      <w:pPr>
        <w:spacing w:line="480" w:lineRule="auto"/>
        <w:ind w:firstLine="3684" w:firstLineChars="1535"/>
        <w:rPr>
          <w:rFonts w:hint="eastAsia" w:ascii="宋体" w:hAnsi="宋体"/>
          <w:color w:val="auto"/>
          <w:sz w:val="24"/>
          <w:highlight w:val="none"/>
          <w:u w:val="single"/>
        </w:rPr>
      </w:pPr>
      <w:r>
        <w:rPr>
          <w:rFonts w:hint="eastAsia" w:ascii="宋体" w:hAnsi="宋体"/>
          <w:color w:val="auto"/>
          <w:sz w:val="24"/>
          <w:highlight w:val="none"/>
        </w:rPr>
        <w:t>身份证号码：</w:t>
      </w:r>
      <w:r>
        <w:rPr>
          <w:rFonts w:hint="eastAsia" w:ascii="宋体" w:hAnsi="宋体"/>
          <w:color w:val="auto"/>
          <w:sz w:val="24"/>
          <w:highlight w:val="none"/>
          <w:u w:val="single"/>
        </w:rPr>
        <w:t xml:space="preserve">                       </w:t>
      </w:r>
    </w:p>
    <w:p>
      <w:pPr>
        <w:spacing w:line="480" w:lineRule="auto"/>
        <w:ind w:firstLine="3684" w:firstLineChars="1535"/>
        <w:rPr>
          <w:rFonts w:hint="eastAsia" w:ascii="宋体" w:hAnsi="宋体"/>
          <w:color w:val="auto"/>
          <w:sz w:val="24"/>
          <w:highlight w:val="none"/>
        </w:rPr>
      </w:pPr>
      <w:r>
        <w:rPr>
          <w:rFonts w:hint="eastAsia" w:ascii="宋体" w:hAnsi="宋体"/>
          <w:color w:val="auto"/>
          <w:sz w:val="24"/>
          <w:highlight w:val="none"/>
        </w:rPr>
        <w:t>委托代理人：</w:t>
      </w:r>
      <w:r>
        <w:rPr>
          <w:rFonts w:hint="eastAsia" w:ascii="宋体" w:hAnsi="宋体"/>
          <w:color w:val="auto"/>
          <w:sz w:val="24"/>
          <w:highlight w:val="none"/>
          <w:u w:val="single"/>
        </w:rPr>
        <w:t xml:space="preserve">              </w:t>
      </w:r>
      <w:r>
        <w:rPr>
          <w:rFonts w:hint="eastAsia" w:ascii="宋体" w:hAnsi="宋体"/>
          <w:color w:val="auto"/>
          <w:sz w:val="24"/>
          <w:highlight w:val="none"/>
        </w:rPr>
        <w:t>（签字或盖章）</w:t>
      </w:r>
    </w:p>
    <w:p>
      <w:pPr>
        <w:spacing w:line="480" w:lineRule="auto"/>
        <w:ind w:firstLine="3684" w:firstLineChars="1535"/>
        <w:rPr>
          <w:rFonts w:hint="eastAsia" w:ascii="宋体" w:hAnsi="宋体"/>
          <w:color w:val="auto"/>
          <w:sz w:val="24"/>
          <w:highlight w:val="none"/>
          <w:u w:val="single"/>
        </w:rPr>
      </w:pPr>
      <w:r>
        <w:rPr>
          <w:rFonts w:hint="eastAsia" w:ascii="宋体" w:hAnsi="宋体"/>
          <w:color w:val="auto"/>
          <w:sz w:val="24"/>
          <w:highlight w:val="none"/>
        </w:rPr>
        <w:t>身份证号码：</w:t>
      </w:r>
      <w:r>
        <w:rPr>
          <w:rFonts w:hint="eastAsia" w:ascii="宋体" w:hAnsi="宋体"/>
          <w:color w:val="auto"/>
          <w:sz w:val="24"/>
          <w:highlight w:val="none"/>
          <w:u w:val="single"/>
        </w:rPr>
        <w:t xml:space="preserve">                        </w:t>
      </w:r>
    </w:p>
    <w:p>
      <w:pPr>
        <w:spacing w:line="480" w:lineRule="auto"/>
        <w:jc w:val="right"/>
        <w:rPr>
          <w:rFonts w:hint="eastAsia"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pPr>
        <w:spacing w:line="480" w:lineRule="auto"/>
        <w:rPr>
          <w:rFonts w:hint="eastAsia" w:ascii="宋体" w:hAnsi="宋体"/>
          <w:color w:val="auto"/>
          <w:sz w:val="24"/>
          <w:highlight w:val="none"/>
        </w:rPr>
      </w:pPr>
    </w:p>
    <w:p>
      <w:pPr>
        <w:pStyle w:val="2"/>
        <w:rPr>
          <w:rFonts w:hint="eastAsia" w:ascii="宋体" w:hAnsi="宋体"/>
          <w:color w:val="auto"/>
          <w:sz w:val="24"/>
          <w:highlight w:val="none"/>
        </w:rPr>
      </w:pPr>
    </w:p>
    <w:p>
      <w:pPr>
        <w:pStyle w:val="2"/>
        <w:rPr>
          <w:rFonts w:hint="eastAsia" w:ascii="宋体" w:hAnsi="宋体"/>
          <w:color w:val="auto"/>
          <w:sz w:val="24"/>
          <w:highlight w:val="none"/>
        </w:rPr>
      </w:pPr>
    </w:p>
    <w:p>
      <w:pPr>
        <w:pStyle w:val="2"/>
        <w:rPr>
          <w:rFonts w:hint="eastAsia" w:ascii="宋体" w:hAnsi="宋体"/>
          <w:color w:val="auto"/>
          <w:sz w:val="24"/>
          <w:highlight w:val="none"/>
        </w:rPr>
      </w:pPr>
    </w:p>
    <w:p>
      <w:pPr>
        <w:spacing w:line="480" w:lineRule="auto"/>
        <w:rPr>
          <w:rFonts w:hint="eastAsia" w:ascii="宋体" w:hAnsi="宋体"/>
          <w:color w:val="auto"/>
          <w:sz w:val="24"/>
          <w:highlight w:val="none"/>
        </w:rPr>
      </w:pPr>
    </w:p>
    <w:p>
      <w:pPr>
        <w:rPr>
          <w:rFonts w:hint="eastAsia"/>
          <w:color w:val="auto"/>
          <w:highlight w:val="none"/>
        </w:rPr>
      </w:pPr>
    </w:p>
    <w:p>
      <w:pPr>
        <w:rPr>
          <w:rFonts w:hint="eastAsia" w:ascii="宋体" w:hAnsi="宋体"/>
          <w:color w:val="auto"/>
          <w:sz w:val="24"/>
          <w:highlight w:val="none"/>
        </w:rPr>
      </w:pPr>
      <w:r>
        <w:rPr>
          <w:rFonts w:hint="eastAsia" w:ascii="宋体" w:hAnsi="宋体"/>
          <w:color w:val="auto"/>
          <w:sz w:val="24"/>
          <w:highlight w:val="none"/>
        </w:rPr>
        <w:t>附件三</w:t>
      </w:r>
    </w:p>
    <w:p>
      <w:pPr>
        <w:spacing w:line="500" w:lineRule="exact"/>
        <w:jc w:val="center"/>
        <w:rPr>
          <w:rFonts w:hint="eastAsia" w:ascii="宋体" w:hAnsi="宋体"/>
          <w:b/>
          <w:color w:val="auto"/>
          <w:sz w:val="28"/>
          <w:szCs w:val="28"/>
          <w:highlight w:val="none"/>
        </w:rPr>
      </w:pPr>
      <w:r>
        <w:rPr>
          <w:rFonts w:hint="eastAsia" w:ascii="宋体" w:hAnsi="宋体"/>
          <w:color w:val="auto"/>
          <w:sz w:val="24"/>
          <w:highlight w:val="none"/>
          <w:u w:val="single"/>
        </w:rPr>
        <w:t xml:space="preserve">                   </w:t>
      </w:r>
      <w:r>
        <w:rPr>
          <w:rFonts w:hint="eastAsia" w:ascii="宋体" w:hAnsi="宋体"/>
          <w:b/>
          <w:color w:val="auto"/>
          <w:sz w:val="28"/>
          <w:szCs w:val="28"/>
          <w:highlight w:val="none"/>
        </w:rPr>
        <w:t xml:space="preserve">工程  投 标 函 </w:t>
      </w:r>
    </w:p>
    <w:p>
      <w:pPr>
        <w:pStyle w:val="2"/>
        <w:rPr>
          <w:rFonts w:hint="eastAsia" w:ascii="宋体" w:hAnsi="宋体"/>
          <w:b/>
          <w:color w:val="auto"/>
          <w:sz w:val="28"/>
          <w:szCs w:val="28"/>
          <w:highlight w:val="none"/>
        </w:rPr>
      </w:pP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（招标人名称）：</w:t>
      </w:r>
      <w:r>
        <w:rPr>
          <w:rFonts w:hint="eastAsia" w:ascii="宋体" w:hAnsi="宋体" w:eastAsia="宋体" w:cs="宋体"/>
          <w:color w:val="auto"/>
          <w:sz w:val="24"/>
          <w:szCs w:val="24"/>
          <w:highlight w:val="none"/>
        </w:rPr>
        <w:cr/>
      </w:r>
      <w:r>
        <w:rPr>
          <w:rFonts w:hint="eastAsia" w:ascii="宋体" w:hAnsi="宋体" w:eastAsia="宋体" w:cs="宋体"/>
          <w:color w:val="auto"/>
          <w:sz w:val="24"/>
          <w:szCs w:val="24"/>
          <w:highlight w:val="none"/>
        </w:rPr>
        <w:t xml:space="preserve">    1．我方已仔细研究了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（项目名称）招标文件的全部内容，愿意以人民币（大写）</w:t>
      </w:r>
      <w:r>
        <w:rPr>
          <w:rFonts w:hint="eastAsia" w:ascii="宋体" w:hAnsi="宋体" w:eastAsia="宋体" w:cs="宋体"/>
          <w:color w:val="auto"/>
          <w:sz w:val="24"/>
          <w:szCs w:val="24"/>
          <w:highlight w:val="none"/>
          <w:u w:val="single"/>
        </w:rPr>
        <w:t xml:space="preserve">                元整</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小写￥                         </w:t>
      </w:r>
      <w:r>
        <w:rPr>
          <w:rFonts w:hint="eastAsia" w:ascii="宋体" w:hAnsi="宋体" w:eastAsia="宋体" w:cs="宋体"/>
          <w:color w:val="auto"/>
          <w:sz w:val="24"/>
          <w:szCs w:val="24"/>
          <w:highlight w:val="none"/>
        </w:rPr>
        <w:t>）的条件承包上述项目，</w:t>
      </w:r>
      <w:r>
        <w:rPr>
          <w:rFonts w:hint="eastAsia" w:ascii="宋体" w:hAnsi="宋体" w:eastAsia="宋体" w:cs="宋体"/>
          <w:color w:val="auto"/>
          <w:kern w:val="0"/>
          <w:sz w:val="24"/>
          <w:szCs w:val="24"/>
          <w:highlight w:val="none"/>
        </w:rPr>
        <w:t>交货期：</w:t>
      </w:r>
      <w:r>
        <w:rPr>
          <w:rFonts w:hint="eastAsia" w:ascii="宋体" w:hAnsi="宋体"/>
          <w:b w:val="0"/>
          <w:bCs/>
          <w:color w:val="auto"/>
          <w:sz w:val="24"/>
          <w:szCs w:val="24"/>
          <w:highlight w:val="none"/>
          <w:u w:val="single"/>
          <w:lang w:val="en-US" w:eastAsia="zh-CN"/>
        </w:rPr>
        <w:t>招标人</w:t>
      </w:r>
      <w:r>
        <w:rPr>
          <w:rFonts w:hint="eastAsia" w:ascii="宋体" w:hAnsi="宋体"/>
          <w:b w:val="0"/>
          <w:bCs/>
          <w:color w:val="auto"/>
          <w:sz w:val="24"/>
          <w:szCs w:val="24"/>
          <w:highlight w:val="none"/>
          <w:u w:val="single"/>
        </w:rPr>
        <w:t>发出开工通知后90日历天内完成供货、安装、调试、验收</w:t>
      </w:r>
      <w:r>
        <w:rPr>
          <w:rFonts w:hint="eastAsia" w:ascii="宋体" w:hAnsi="宋体" w:eastAsia="宋体" w:cs="宋体"/>
          <w:b w:val="0"/>
          <w:bCs/>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，按合同约定实施和</w:t>
      </w:r>
      <w:r>
        <w:rPr>
          <w:rFonts w:hint="eastAsia" w:ascii="宋体" w:hAnsi="宋体" w:eastAsia="宋体" w:cs="宋体"/>
          <w:color w:val="auto"/>
          <w:sz w:val="24"/>
          <w:szCs w:val="24"/>
          <w:highlight w:val="none"/>
        </w:rPr>
        <w:t>完成承包项目，工程质量达到</w:t>
      </w:r>
      <w:r>
        <w:rPr>
          <w:rFonts w:hint="eastAsia" w:ascii="宋体" w:hAnsi="宋体" w:eastAsia="宋体" w:cs="宋体"/>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合格</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cr/>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2．我方承诺在投标有效期内不修改、撤销投标文件。</w:t>
      </w:r>
    </w:p>
    <w:p>
      <w:pPr>
        <w:spacing w:line="420" w:lineRule="exact"/>
        <w:ind w:firstLine="480" w:firstLineChars="200"/>
        <w:rPr>
          <w:color w:val="auto"/>
          <w:szCs w:val="21"/>
          <w:highlight w:val="none"/>
        </w:rPr>
      </w:pPr>
      <w:r>
        <w:rPr>
          <w:rFonts w:hint="eastAsia" w:ascii="宋体" w:hAnsi="宋体" w:eastAsia="宋体" w:cs="宋体"/>
          <w:color w:val="auto"/>
          <w:sz w:val="24"/>
          <w:szCs w:val="24"/>
          <w:highlight w:val="none"/>
        </w:rPr>
        <w:t xml:space="preserve">3．如我方中标： </w:t>
      </w:r>
      <w:r>
        <w:rPr>
          <w:rFonts w:hint="eastAsia" w:ascii="宋体" w:hAnsi="宋体" w:eastAsia="宋体" w:cs="宋体"/>
          <w:color w:val="auto"/>
          <w:sz w:val="24"/>
          <w:szCs w:val="24"/>
          <w:highlight w:val="none"/>
        </w:rPr>
        <w:cr/>
      </w:r>
      <w:r>
        <w:rPr>
          <w:rFonts w:hint="eastAsia" w:ascii="宋体" w:hAnsi="宋体" w:eastAsia="宋体" w:cs="宋体"/>
          <w:color w:val="auto"/>
          <w:sz w:val="24"/>
          <w:szCs w:val="24"/>
          <w:highlight w:val="none"/>
        </w:rPr>
        <w:t xml:space="preserve">      （1）我方承诺在收到中标通知书后，在中标通知书规定的期限内与你方签订合同。 </w:t>
      </w:r>
      <w:r>
        <w:rPr>
          <w:rFonts w:hint="eastAsia" w:ascii="宋体" w:hAnsi="宋体" w:eastAsia="宋体" w:cs="宋体"/>
          <w:color w:val="auto"/>
          <w:sz w:val="24"/>
          <w:szCs w:val="24"/>
          <w:highlight w:val="none"/>
        </w:rPr>
        <w:cr/>
      </w:r>
      <w:r>
        <w:rPr>
          <w:rFonts w:hint="eastAsia" w:ascii="宋体" w:hAnsi="宋体" w:eastAsia="宋体" w:cs="宋体"/>
          <w:color w:val="auto"/>
          <w:sz w:val="24"/>
          <w:szCs w:val="24"/>
          <w:highlight w:val="none"/>
        </w:rPr>
        <w:t xml:space="preserve">      （2）随同本投标函递交的投标函附录属于合同文件的组成部分。 </w:t>
      </w:r>
      <w:r>
        <w:rPr>
          <w:rFonts w:hint="eastAsia" w:ascii="宋体" w:hAnsi="宋体" w:eastAsia="宋体" w:cs="宋体"/>
          <w:color w:val="auto"/>
          <w:sz w:val="24"/>
          <w:szCs w:val="24"/>
          <w:highlight w:val="none"/>
        </w:rPr>
        <w:cr/>
      </w:r>
      <w:r>
        <w:rPr>
          <w:rFonts w:hint="eastAsia" w:ascii="宋体" w:hAnsi="宋体" w:eastAsia="宋体" w:cs="宋体"/>
          <w:color w:val="auto"/>
          <w:sz w:val="24"/>
          <w:szCs w:val="24"/>
          <w:highlight w:val="none"/>
        </w:rPr>
        <w:t xml:space="preserve">      （3）我方承诺按照招标文件规定向你方递交履约担保。 </w:t>
      </w:r>
      <w:r>
        <w:rPr>
          <w:rFonts w:hint="eastAsia" w:ascii="宋体" w:hAnsi="宋体" w:eastAsia="宋体" w:cs="宋体"/>
          <w:color w:val="auto"/>
          <w:sz w:val="24"/>
          <w:szCs w:val="24"/>
          <w:highlight w:val="none"/>
        </w:rPr>
        <w:cr/>
      </w:r>
      <w:r>
        <w:rPr>
          <w:rFonts w:hint="eastAsia" w:ascii="宋体" w:hAnsi="宋体" w:eastAsia="宋体" w:cs="宋体"/>
          <w:color w:val="auto"/>
          <w:sz w:val="24"/>
          <w:szCs w:val="24"/>
          <w:highlight w:val="none"/>
        </w:rPr>
        <w:t xml:space="preserve">      （4）我方承诺在合同约定的期限内完成并移交全部合同工程。 </w:t>
      </w:r>
      <w:r>
        <w:rPr>
          <w:rFonts w:hint="eastAsia" w:ascii="宋体" w:hAnsi="宋体" w:eastAsia="宋体" w:cs="宋体"/>
          <w:color w:val="auto"/>
          <w:sz w:val="24"/>
          <w:szCs w:val="24"/>
          <w:highlight w:val="none"/>
        </w:rPr>
        <w:cr/>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4．我方在此声明，所递交的投标文件及有关资料内容完整、真实和准确。 </w:t>
      </w:r>
      <w:r>
        <w:rPr>
          <w:rFonts w:hint="eastAsia" w:ascii="宋体" w:hAnsi="宋体" w:eastAsia="宋体" w:cs="宋体"/>
          <w:color w:val="auto"/>
          <w:sz w:val="24"/>
          <w:szCs w:val="24"/>
          <w:highlight w:val="none"/>
        </w:rPr>
        <w:cr/>
      </w:r>
      <w:r>
        <w:rPr>
          <w:rFonts w:hint="eastAsia" w:ascii="宋体" w:hAnsi="宋体" w:eastAsia="宋体" w:cs="宋体"/>
          <w:color w:val="auto"/>
          <w:sz w:val="24"/>
          <w:szCs w:val="24"/>
          <w:highlight w:val="none"/>
        </w:rPr>
        <w:t xml:space="preserve">    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（其他补充说明）。</w:t>
      </w:r>
      <w:r>
        <w:rPr>
          <w:color w:val="auto"/>
          <w:szCs w:val="21"/>
          <w:highlight w:val="none"/>
        </w:rPr>
        <w:cr/>
      </w:r>
    </w:p>
    <w:p>
      <w:pPr>
        <w:spacing w:line="500" w:lineRule="exact"/>
        <w:ind w:firstLine="480" w:firstLineChars="200"/>
        <w:rPr>
          <w:rFonts w:hint="eastAsia" w:ascii="宋体" w:hAnsi="宋体"/>
          <w:color w:val="auto"/>
          <w:sz w:val="24"/>
          <w:highlight w:val="none"/>
        </w:rPr>
      </w:pP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投 标 人：（盖投标人电子公章）</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单位地址：</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法定代表人或委托代理人：（盖法定代表人电子印章）</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邮政编码：</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电    话：</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传    真：</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开户银行名称：</w:t>
      </w:r>
    </w:p>
    <w:p>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银行账号：</w:t>
      </w:r>
    </w:p>
    <w:p>
      <w:pPr>
        <w:tabs>
          <w:tab w:val="left" w:pos="5040"/>
        </w:tabs>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电    话：                              日期：    年    月    日</w:t>
      </w:r>
    </w:p>
    <w:p>
      <w:pPr>
        <w:pStyle w:val="2"/>
        <w:rPr>
          <w:rFonts w:hint="eastAsia" w:ascii="宋体" w:hAnsi="宋体"/>
          <w:color w:val="auto"/>
          <w:sz w:val="24"/>
          <w:highlight w:val="none"/>
        </w:rPr>
      </w:pPr>
    </w:p>
    <w:p>
      <w:pPr>
        <w:pStyle w:val="2"/>
        <w:rPr>
          <w:rFonts w:hint="eastAsia" w:ascii="宋体" w:hAnsi="宋体"/>
          <w:color w:val="auto"/>
          <w:sz w:val="24"/>
          <w:highlight w:val="none"/>
        </w:rPr>
      </w:pPr>
    </w:p>
    <w:p>
      <w:pPr>
        <w:pStyle w:val="2"/>
        <w:rPr>
          <w:rFonts w:hint="eastAsia" w:ascii="宋体" w:hAnsi="宋体"/>
          <w:color w:val="auto"/>
          <w:sz w:val="24"/>
          <w:highlight w:val="none"/>
        </w:rPr>
      </w:pPr>
    </w:p>
    <w:p>
      <w:pPr>
        <w:rPr>
          <w:rFonts w:hint="eastAsia" w:ascii="宋体" w:hAnsi="宋体"/>
          <w:color w:val="auto"/>
          <w:sz w:val="24"/>
          <w:highlight w:val="none"/>
        </w:rPr>
      </w:pPr>
      <w:r>
        <w:rPr>
          <w:rFonts w:hint="eastAsia" w:ascii="宋体" w:hAnsi="宋体"/>
          <w:color w:val="auto"/>
          <w:sz w:val="24"/>
          <w:highlight w:val="none"/>
        </w:rPr>
        <w:t>附件四</w:t>
      </w:r>
    </w:p>
    <w:p>
      <w:pPr>
        <w:tabs>
          <w:tab w:val="left" w:pos="1620"/>
          <w:tab w:val="left" w:pos="1800"/>
          <w:tab w:val="left" w:pos="3780"/>
        </w:tabs>
        <w:spacing w:line="500" w:lineRule="exact"/>
        <w:rPr>
          <w:rFonts w:hint="eastAsia" w:ascii="宋体" w:hAnsi="宋体"/>
          <w:color w:val="auto"/>
          <w:sz w:val="24"/>
          <w:highlight w:val="none"/>
          <w:u w:val="single"/>
        </w:rPr>
      </w:pPr>
    </w:p>
    <w:p>
      <w:pPr>
        <w:spacing w:line="500" w:lineRule="exact"/>
        <w:jc w:val="center"/>
        <w:rPr>
          <w:rFonts w:hint="default" w:ascii="宋体" w:hAnsi="宋体" w:eastAsia="宋体"/>
          <w:color w:val="auto"/>
          <w:sz w:val="24"/>
          <w:highlight w:val="none"/>
          <w:lang w:val="en-US" w:eastAsia="zh-CN"/>
        </w:rPr>
      </w:pPr>
      <w:r>
        <w:rPr>
          <w:rFonts w:hint="eastAsia" w:ascii="宋体" w:hAnsi="宋体"/>
          <w:color w:val="auto"/>
          <w:sz w:val="24"/>
          <w:highlight w:val="none"/>
          <w:u w:val="single"/>
        </w:rPr>
        <w:t xml:space="preserve">                      </w:t>
      </w:r>
      <w:r>
        <w:rPr>
          <w:rFonts w:hint="eastAsia" w:ascii="宋体" w:hAnsi="宋体"/>
          <w:b/>
          <w:color w:val="auto"/>
          <w:sz w:val="28"/>
          <w:szCs w:val="28"/>
          <w:highlight w:val="none"/>
        </w:rPr>
        <w:t xml:space="preserve">工程  </w:t>
      </w:r>
      <w:r>
        <w:rPr>
          <w:rFonts w:hint="eastAsia" w:ascii="宋体" w:hAnsi="宋体"/>
          <w:b/>
          <w:color w:val="auto"/>
          <w:sz w:val="28"/>
          <w:szCs w:val="28"/>
          <w:highlight w:val="none"/>
          <w:lang w:val="en-US" w:eastAsia="zh-CN"/>
        </w:rPr>
        <w:t>开标一览表</w:t>
      </w:r>
    </w:p>
    <w:p>
      <w:pPr>
        <w:spacing w:line="280" w:lineRule="exact"/>
        <w:ind w:firstLine="352" w:firstLineChars="147"/>
        <w:jc w:val="right"/>
        <w:rPr>
          <w:rFonts w:ascii="仿宋_GB2312" w:hAnsi="宋体" w:eastAsia="仿宋_GB2312"/>
          <w:color w:val="auto"/>
          <w:sz w:val="24"/>
          <w:highlight w:val="none"/>
          <w:u w:val="single"/>
        </w:rPr>
      </w:pPr>
      <w:r>
        <w:rPr>
          <w:rFonts w:hint="eastAsia" w:ascii="仿宋_GB2312" w:hAnsi="宋体" w:eastAsia="仿宋_GB2312"/>
          <w:color w:val="auto"/>
          <w:sz w:val="24"/>
          <w:highlight w:val="none"/>
        </w:rPr>
        <w:t>单位：元</w:t>
      </w:r>
    </w:p>
    <w:tbl>
      <w:tblPr>
        <w:tblStyle w:val="51"/>
        <w:tblW w:w="918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47"/>
        <w:gridCol w:w="1080"/>
        <w:gridCol w:w="1261"/>
        <w:gridCol w:w="900"/>
        <w:gridCol w:w="615"/>
        <w:gridCol w:w="105"/>
        <w:gridCol w:w="745"/>
        <w:gridCol w:w="695"/>
        <w:gridCol w:w="156"/>
        <w:gridCol w:w="708"/>
        <w:gridCol w:w="851"/>
        <w:gridCol w:w="567"/>
        <w:gridCol w:w="850"/>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9180" w:type="dxa"/>
            <w:gridSpan w:val="13"/>
            <w:noWrap w:val="0"/>
            <w:vAlign w:val="center"/>
          </w:tcPr>
          <w:p>
            <w:pPr>
              <w:spacing w:line="280" w:lineRule="exact"/>
              <w:ind w:firstLine="352" w:firstLineChars="147"/>
              <w:rPr>
                <w:rFonts w:ascii="仿宋_GB2312" w:hAnsi="宋体" w:eastAsia="仿宋_GB2312"/>
                <w:color w:val="auto"/>
                <w:sz w:val="24"/>
                <w:highlight w:val="none"/>
              </w:rPr>
            </w:pPr>
            <w:r>
              <w:rPr>
                <w:rFonts w:hint="eastAsia" w:ascii="仿宋_GB2312" w:hAnsi="宋体" w:eastAsia="仿宋_GB2312"/>
                <w:color w:val="auto"/>
                <w:sz w:val="24"/>
                <w:highlight w:val="none"/>
              </w:rPr>
              <w:t>一、新增设备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647" w:type="dxa"/>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序号</w:t>
            </w:r>
          </w:p>
        </w:tc>
        <w:tc>
          <w:tcPr>
            <w:tcW w:w="1080" w:type="dxa"/>
            <w:tcBorders>
              <w:right w:val="single" w:color="auto" w:sz="4" w:space="0"/>
            </w:tcBorders>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设备名称</w:t>
            </w:r>
          </w:p>
        </w:tc>
        <w:tc>
          <w:tcPr>
            <w:tcW w:w="1261" w:type="dxa"/>
            <w:tcBorders>
              <w:left w:val="single" w:color="auto" w:sz="4" w:space="0"/>
            </w:tcBorders>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货物的制造商或服务的提供商</w:t>
            </w:r>
          </w:p>
        </w:tc>
        <w:tc>
          <w:tcPr>
            <w:tcW w:w="900" w:type="dxa"/>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品牌（如有）</w:t>
            </w:r>
          </w:p>
        </w:tc>
        <w:tc>
          <w:tcPr>
            <w:tcW w:w="720" w:type="dxa"/>
            <w:gridSpan w:val="2"/>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数量</w:t>
            </w:r>
          </w:p>
        </w:tc>
        <w:tc>
          <w:tcPr>
            <w:tcW w:w="1440" w:type="dxa"/>
            <w:gridSpan w:val="2"/>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型号和规格</w:t>
            </w:r>
            <w:r>
              <w:rPr>
                <w:rFonts w:hint="eastAsia" w:ascii="仿宋_GB2312" w:hAnsi="宋体" w:eastAsia="仿宋_GB2312"/>
                <w:b/>
                <w:color w:val="auto"/>
                <w:sz w:val="24"/>
                <w:highlight w:val="none"/>
              </w:rPr>
              <w:t>（或具体服务）</w:t>
            </w:r>
          </w:p>
        </w:tc>
        <w:tc>
          <w:tcPr>
            <w:tcW w:w="864" w:type="dxa"/>
            <w:gridSpan w:val="2"/>
            <w:tcBorders>
              <w:right w:val="single" w:color="auto" w:sz="4" w:space="0"/>
            </w:tcBorders>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单价</w:t>
            </w:r>
          </w:p>
        </w:tc>
        <w:tc>
          <w:tcPr>
            <w:tcW w:w="851" w:type="dxa"/>
            <w:tcBorders>
              <w:left w:val="single" w:color="auto" w:sz="4" w:space="0"/>
            </w:tcBorders>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合价</w:t>
            </w:r>
          </w:p>
        </w:tc>
        <w:tc>
          <w:tcPr>
            <w:tcW w:w="567" w:type="dxa"/>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交货期</w:t>
            </w:r>
          </w:p>
        </w:tc>
        <w:tc>
          <w:tcPr>
            <w:tcW w:w="850" w:type="dxa"/>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质保期/服务要求（年限）</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647" w:type="dxa"/>
            <w:noWrap w:val="0"/>
            <w:vAlign w:val="top"/>
          </w:tcPr>
          <w:p>
            <w:pPr>
              <w:spacing w:line="280" w:lineRule="exact"/>
              <w:ind w:firstLine="352" w:firstLineChars="147"/>
              <w:rPr>
                <w:rFonts w:ascii="仿宋_GB2312" w:hAnsi="宋体" w:eastAsia="仿宋_GB2312"/>
                <w:color w:val="auto"/>
                <w:sz w:val="24"/>
                <w:highlight w:val="none"/>
              </w:rPr>
            </w:pPr>
          </w:p>
        </w:tc>
        <w:tc>
          <w:tcPr>
            <w:tcW w:w="1080" w:type="dxa"/>
            <w:tcBorders>
              <w:right w:val="single" w:color="auto" w:sz="4" w:space="0"/>
            </w:tcBorders>
            <w:noWrap w:val="0"/>
            <w:vAlign w:val="center"/>
          </w:tcPr>
          <w:p>
            <w:pPr>
              <w:spacing w:line="280" w:lineRule="exact"/>
              <w:ind w:firstLine="352" w:firstLineChars="147"/>
              <w:rPr>
                <w:rFonts w:ascii="仿宋_GB2312" w:hAnsi="宋体" w:eastAsia="仿宋_GB2312"/>
                <w:color w:val="auto"/>
                <w:sz w:val="24"/>
                <w:highlight w:val="none"/>
              </w:rPr>
            </w:pPr>
          </w:p>
        </w:tc>
        <w:tc>
          <w:tcPr>
            <w:tcW w:w="1261" w:type="dxa"/>
            <w:tcBorders>
              <w:left w:val="single" w:color="auto" w:sz="4" w:space="0"/>
            </w:tcBorders>
            <w:noWrap w:val="0"/>
            <w:vAlign w:val="center"/>
          </w:tcPr>
          <w:p>
            <w:pPr>
              <w:spacing w:line="280" w:lineRule="exact"/>
              <w:ind w:firstLine="352" w:firstLineChars="147"/>
              <w:rPr>
                <w:rFonts w:ascii="仿宋_GB2312" w:hAnsi="宋体" w:eastAsia="仿宋_GB2312"/>
                <w:color w:val="auto"/>
                <w:sz w:val="24"/>
                <w:highlight w:val="none"/>
              </w:rPr>
            </w:pPr>
          </w:p>
        </w:tc>
        <w:tc>
          <w:tcPr>
            <w:tcW w:w="900" w:type="dxa"/>
            <w:noWrap w:val="0"/>
            <w:vAlign w:val="center"/>
          </w:tcPr>
          <w:p>
            <w:pPr>
              <w:spacing w:line="280" w:lineRule="exact"/>
              <w:ind w:firstLine="352" w:firstLineChars="147"/>
              <w:rPr>
                <w:rFonts w:ascii="仿宋_GB2312" w:hAnsi="宋体" w:eastAsia="仿宋_GB2312"/>
                <w:color w:val="auto"/>
                <w:sz w:val="24"/>
                <w:highlight w:val="none"/>
              </w:rPr>
            </w:pPr>
          </w:p>
        </w:tc>
        <w:tc>
          <w:tcPr>
            <w:tcW w:w="720" w:type="dxa"/>
            <w:gridSpan w:val="2"/>
            <w:noWrap w:val="0"/>
            <w:vAlign w:val="center"/>
          </w:tcPr>
          <w:p>
            <w:pPr>
              <w:spacing w:line="280" w:lineRule="exact"/>
              <w:ind w:firstLine="352" w:firstLineChars="147"/>
              <w:rPr>
                <w:rFonts w:ascii="仿宋_GB2312" w:hAnsi="宋体" w:eastAsia="仿宋_GB2312"/>
                <w:color w:val="auto"/>
                <w:sz w:val="24"/>
                <w:highlight w:val="none"/>
              </w:rPr>
            </w:pPr>
          </w:p>
        </w:tc>
        <w:tc>
          <w:tcPr>
            <w:tcW w:w="1440" w:type="dxa"/>
            <w:gridSpan w:val="2"/>
            <w:noWrap w:val="0"/>
            <w:vAlign w:val="center"/>
          </w:tcPr>
          <w:p>
            <w:pPr>
              <w:spacing w:line="280" w:lineRule="exact"/>
              <w:ind w:firstLine="352" w:firstLineChars="147"/>
              <w:rPr>
                <w:rFonts w:ascii="仿宋_GB2312" w:hAnsi="宋体" w:eastAsia="仿宋_GB2312"/>
                <w:color w:val="auto"/>
                <w:sz w:val="24"/>
                <w:highlight w:val="none"/>
              </w:rPr>
            </w:pPr>
          </w:p>
        </w:tc>
        <w:tc>
          <w:tcPr>
            <w:tcW w:w="864" w:type="dxa"/>
            <w:gridSpan w:val="2"/>
            <w:tcBorders>
              <w:right w:val="single" w:color="auto" w:sz="4" w:space="0"/>
            </w:tcBorders>
            <w:noWrap w:val="0"/>
            <w:vAlign w:val="center"/>
          </w:tcPr>
          <w:p>
            <w:pPr>
              <w:spacing w:line="280" w:lineRule="exact"/>
              <w:ind w:firstLine="352" w:firstLineChars="147"/>
              <w:rPr>
                <w:rFonts w:ascii="仿宋_GB2312" w:hAnsi="宋体" w:eastAsia="仿宋_GB2312"/>
                <w:color w:val="auto"/>
                <w:sz w:val="24"/>
                <w:highlight w:val="none"/>
              </w:rPr>
            </w:pPr>
          </w:p>
        </w:tc>
        <w:tc>
          <w:tcPr>
            <w:tcW w:w="851" w:type="dxa"/>
            <w:tcBorders>
              <w:left w:val="single" w:color="auto" w:sz="4" w:space="0"/>
            </w:tcBorders>
            <w:noWrap w:val="0"/>
            <w:vAlign w:val="center"/>
          </w:tcPr>
          <w:p>
            <w:pPr>
              <w:spacing w:line="280" w:lineRule="exact"/>
              <w:ind w:firstLine="352" w:firstLineChars="147"/>
              <w:rPr>
                <w:rFonts w:ascii="仿宋_GB2312" w:hAnsi="宋体" w:eastAsia="仿宋_GB2312"/>
                <w:color w:val="auto"/>
                <w:sz w:val="24"/>
                <w:highlight w:val="none"/>
              </w:rPr>
            </w:pPr>
          </w:p>
        </w:tc>
        <w:tc>
          <w:tcPr>
            <w:tcW w:w="567" w:type="dxa"/>
            <w:noWrap w:val="0"/>
            <w:vAlign w:val="center"/>
          </w:tcPr>
          <w:p>
            <w:pPr>
              <w:spacing w:line="280" w:lineRule="exact"/>
              <w:ind w:firstLine="352" w:firstLineChars="147"/>
              <w:rPr>
                <w:rFonts w:ascii="仿宋_GB2312" w:hAnsi="宋体" w:eastAsia="仿宋_GB2312"/>
                <w:color w:val="auto"/>
                <w:sz w:val="24"/>
                <w:highlight w:val="none"/>
              </w:rPr>
            </w:pPr>
          </w:p>
        </w:tc>
        <w:tc>
          <w:tcPr>
            <w:tcW w:w="850" w:type="dxa"/>
            <w:noWrap w:val="0"/>
            <w:vAlign w:val="top"/>
          </w:tcPr>
          <w:p>
            <w:pPr>
              <w:spacing w:line="280" w:lineRule="exact"/>
              <w:ind w:firstLine="352" w:firstLineChars="147"/>
              <w:rPr>
                <w:rFonts w:ascii="仿宋_GB2312" w:hAnsi="宋体" w:eastAsia="仿宋_GB2312"/>
                <w:color w:val="auto"/>
                <w:sz w:val="24"/>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647" w:type="dxa"/>
            <w:noWrap w:val="0"/>
            <w:vAlign w:val="top"/>
          </w:tcPr>
          <w:p>
            <w:pPr>
              <w:spacing w:line="280" w:lineRule="exact"/>
              <w:ind w:firstLine="352" w:firstLineChars="147"/>
              <w:rPr>
                <w:rFonts w:ascii="仿宋_GB2312" w:hAnsi="宋体" w:eastAsia="仿宋_GB2312"/>
                <w:color w:val="auto"/>
                <w:sz w:val="24"/>
                <w:highlight w:val="none"/>
              </w:rPr>
            </w:pPr>
          </w:p>
        </w:tc>
        <w:tc>
          <w:tcPr>
            <w:tcW w:w="1080" w:type="dxa"/>
            <w:tcBorders>
              <w:right w:val="single" w:color="auto" w:sz="4" w:space="0"/>
            </w:tcBorders>
            <w:noWrap w:val="0"/>
            <w:vAlign w:val="center"/>
          </w:tcPr>
          <w:p>
            <w:pPr>
              <w:spacing w:line="280" w:lineRule="exact"/>
              <w:ind w:firstLine="352" w:firstLineChars="147"/>
              <w:rPr>
                <w:rFonts w:ascii="仿宋_GB2312" w:hAnsi="宋体" w:eastAsia="仿宋_GB2312"/>
                <w:color w:val="auto"/>
                <w:sz w:val="24"/>
                <w:highlight w:val="none"/>
              </w:rPr>
            </w:pPr>
          </w:p>
        </w:tc>
        <w:tc>
          <w:tcPr>
            <w:tcW w:w="1261" w:type="dxa"/>
            <w:tcBorders>
              <w:left w:val="single" w:color="auto" w:sz="4" w:space="0"/>
            </w:tcBorders>
            <w:noWrap w:val="0"/>
            <w:vAlign w:val="center"/>
          </w:tcPr>
          <w:p>
            <w:pPr>
              <w:spacing w:line="280" w:lineRule="exact"/>
              <w:ind w:firstLine="352" w:firstLineChars="147"/>
              <w:rPr>
                <w:rFonts w:ascii="仿宋_GB2312" w:hAnsi="宋体" w:eastAsia="仿宋_GB2312"/>
                <w:color w:val="auto"/>
                <w:sz w:val="24"/>
                <w:highlight w:val="none"/>
              </w:rPr>
            </w:pPr>
          </w:p>
        </w:tc>
        <w:tc>
          <w:tcPr>
            <w:tcW w:w="900" w:type="dxa"/>
            <w:noWrap w:val="0"/>
            <w:vAlign w:val="center"/>
          </w:tcPr>
          <w:p>
            <w:pPr>
              <w:spacing w:line="280" w:lineRule="exact"/>
              <w:ind w:firstLine="352" w:firstLineChars="147"/>
              <w:rPr>
                <w:rFonts w:ascii="仿宋_GB2312" w:hAnsi="宋体" w:eastAsia="仿宋_GB2312"/>
                <w:color w:val="auto"/>
                <w:sz w:val="24"/>
                <w:highlight w:val="none"/>
              </w:rPr>
            </w:pPr>
          </w:p>
        </w:tc>
        <w:tc>
          <w:tcPr>
            <w:tcW w:w="720" w:type="dxa"/>
            <w:gridSpan w:val="2"/>
            <w:tcBorders>
              <w:right w:val="single" w:color="auto" w:sz="4" w:space="0"/>
            </w:tcBorders>
            <w:noWrap w:val="0"/>
            <w:vAlign w:val="center"/>
          </w:tcPr>
          <w:p>
            <w:pPr>
              <w:spacing w:line="280" w:lineRule="exact"/>
              <w:ind w:firstLine="352" w:firstLineChars="147"/>
              <w:rPr>
                <w:rFonts w:ascii="仿宋_GB2312" w:hAnsi="宋体" w:eastAsia="仿宋_GB2312"/>
                <w:color w:val="auto"/>
                <w:sz w:val="24"/>
                <w:highlight w:val="none"/>
              </w:rPr>
            </w:pPr>
          </w:p>
        </w:tc>
        <w:tc>
          <w:tcPr>
            <w:tcW w:w="1440" w:type="dxa"/>
            <w:gridSpan w:val="2"/>
            <w:tcBorders>
              <w:left w:val="single" w:color="auto" w:sz="4" w:space="0"/>
            </w:tcBorders>
            <w:noWrap w:val="0"/>
            <w:vAlign w:val="center"/>
          </w:tcPr>
          <w:p>
            <w:pPr>
              <w:spacing w:line="280" w:lineRule="exact"/>
              <w:ind w:firstLine="352" w:firstLineChars="147"/>
              <w:rPr>
                <w:rFonts w:ascii="仿宋_GB2312" w:hAnsi="宋体" w:eastAsia="仿宋_GB2312"/>
                <w:color w:val="auto"/>
                <w:sz w:val="24"/>
                <w:highlight w:val="none"/>
              </w:rPr>
            </w:pPr>
          </w:p>
        </w:tc>
        <w:tc>
          <w:tcPr>
            <w:tcW w:w="864" w:type="dxa"/>
            <w:gridSpan w:val="2"/>
            <w:tcBorders>
              <w:right w:val="single" w:color="auto" w:sz="4" w:space="0"/>
            </w:tcBorders>
            <w:noWrap w:val="0"/>
            <w:vAlign w:val="center"/>
          </w:tcPr>
          <w:p>
            <w:pPr>
              <w:spacing w:line="280" w:lineRule="exact"/>
              <w:ind w:firstLine="352" w:firstLineChars="147"/>
              <w:rPr>
                <w:rFonts w:ascii="仿宋_GB2312" w:hAnsi="宋体" w:eastAsia="仿宋_GB2312"/>
                <w:color w:val="auto"/>
                <w:sz w:val="24"/>
                <w:highlight w:val="none"/>
              </w:rPr>
            </w:pPr>
          </w:p>
        </w:tc>
        <w:tc>
          <w:tcPr>
            <w:tcW w:w="851" w:type="dxa"/>
            <w:tcBorders>
              <w:left w:val="single" w:color="auto" w:sz="4" w:space="0"/>
            </w:tcBorders>
            <w:noWrap w:val="0"/>
            <w:vAlign w:val="center"/>
          </w:tcPr>
          <w:p>
            <w:pPr>
              <w:spacing w:line="280" w:lineRule="exact"/>
              <w:ind w:firstLine="352" w:firstLineChars="147"/>
              <w:rPr>
                <w:rFonts w:ascii="仿宋_GB2312" w:hAnsi="宋体" w:eastAsia="仿宋_GB2312"/>
                <w:color w:val="auto"/>
                <w:sz w:val="24"/>
                <w:highlight w:val="none"/>
              </w:rPr>
            </w:pPr>
          </w:p>
        </w:tc>
        <w:tc>
          <w:tcPr>
            <w:tcW w:w="567" w:type="dxa"/>
            <w:noWrap w:val="0"/>
            <w:vAlign w:val="center"/>
          </w:tcPr>
          <w:p>
            <w:pPr>
              <w:spacing w:line="280" w:lineRule="exact"/>
              <w:ind w:firstLine="352" w:firstLineChars="147"/>
              <w:rPr>
                <w:rFonts w:ascii="仿宋_GB2312" w:hAnsi="宋体" w:eastAsia="仿宋_GB2312"/>
                <w:color w:val="auto"/>
                <w:sz w:val="24"/>
                <w:highlight w:val="none"/>
              </w:rPr>
            </w:pPr>
          </w:p>
        </w:tc>
        <w:tc>
          <w:tcPr>
            <w:tcW w:w="850" w:type="dxa"/>
            <w:noWrap w:val="0"/>
            <w:vAlign w:val="top"/>
          </w:tcPr>
          <w:p>
            <w:pPr>
              <w:spacing w:line="280" w:lineRule="exact"/>
              <w:ind w:firstLine="352" w:firstLineChars="147"/>
              <w:rPr>
                <w:rFonts w:ascii="仿宋_GB2312" w:hAnsi="宋体" w:eastAsia="仿宋_GB2312"/>
                <w:color w:val="auto"/>
                <w:sz w:val="24"/>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9180" w:type="dxa"/>
            <w:gridSpan w:val="13"/>
            <w:noWrap w:val="0"/>
            <w:vAlign w:val="center"/>
          </w:tcPr>
          <w:p>
            <w:pPr>
              <w:spacing w:line="280" w:lineRule="exact"/>
              <w:ind w:firstLine="352" w:firstLineChars="147"/>
              <w:rPr>
                <w:rFonts w:ascii="仿宋_GB2312" w:hAnsi="宋体" w:eastAsia="仿宋_GB2312"/>
                <w:color w:val="auto"/>
                <w:sz w:val="24"/>
                <w:highlight w:val="none"/>
              </w:rPr>
            </w:pPr>
            <w:r>
              <w:rPr>
                <w:rFonts w:hint="eastAsia" w:ascii="仿宋_GB2312" w:hAnsi="宋体" w:eastAsia="仿宋_GB2312"/>
                <w:color w:val="auto"/>
                <w:sz w:val="24"/>
                <w:highlight w:val="none"/>
              </w:rPr>
              <w:t>二、利旧设备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647" w:type="dxa"/>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序号</w:t>
            </w:r>
          </w:p>
        </w:tc>
        <w:tc>
          <w:tcPr>
            <w:tcW w:w="1080" w:type="dxa"/>
            <w:tcBorders>
              <w:right w:val="single" w:color="auto" w:sz="4" w:space="0"/>
            </w:tcBorders>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设备名称</w:t>
            </w:r>
          </w:p>
        </w:tc>
        <w:tc>
          <w:tcPr>
            <w:tcW w:w="1261" w:type="dxa"/>
            <w:tcBorders>
              <w:left w:val="single" w:color="auto" w:sz="4" w:space="0"/>
            </w:tcBorders>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货物的制造商或服务的提供商</w:t>
            </w:r>
          </w:p>
        </w:tc>
        <w:tc>
          <w:tcPr>
            <w:tcW w:w="900" w:type="dxa"/>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品牌（如有）</w:t>
            </w:r>
          </w:p>
        </w:tc>
        <w:tc>
          <w:tcPr>
            <w:tcW w:w="720" w:type="dxa"/>
            <w:gridSpan w:val="2"/>
            <w:tcBorders>
              <w:right w:val="single" w:color="auto" w:sz="4" w:space="0"/>
            </w:tcBorders>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数量</w:t>
            </w:r>
          </w:p>
        </w:tc>
        <w:tc>
          <w:tcPr>
            <w:tcW w:w="1440" w:type="dxa"/>
            <w:gridSpan w:val="2"/>
            <w:tcBorders>
              <w:left w:val="single" w:color="auto" w:sz="4" w:space="0"/>
            </w:tcBorders>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型号和规格（</w:t>
            </w:r>
            <w:r>
              <w:rPr>
                <w:rFonts w:hint="eastAsia" w:ascii="仿宋_GB2312" w:hAnsi="宋体" w:eastAsia="仿宋_GB2312"/>
                <w:b/>
                <w:color w:val="auto"/>
                <w:sz w:val="24"/>
                <w:highlight w:val="none"/>
              </w:rPr>
              <w:t>或具体服务</w:t>
            </w:r>
            <w:r>
              <w:rPr>
                <w:rFonts w:hint="eastAsia" w:ascii="仿宋_GB2312" w:hAnsi="宋体" w:eastAsia="仿宋_GB2312"/>
                <w:color w:val="auto"/>
                <w:sz w:val="24"/>
                <w:highlight w:val="none"/>
              </w:rPr>
              <w:t>）</w:t>
            </w:r>
          </w:p>
        </w:tc>
        <w:tc>
          <w:tcPr>
            <w:tcW w:w="864" w:type="dxa"/>
            <w:gridSpan w:val="2"/>
            <w:tcBorders>
              <w:right w:val="single" w:color="auto" w:sz="4" w:space="0"/>
            </w:tcBorders>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单价</w:t>
            </w:r>
          </w:p>
        </w:tc>
        <w:tc>
          <w:tcPr>
            <w:tcW w:w="851" w:type="dxa"/>
            <w:tcBorders>
              <w:left w:val="single" w:color="auto" w:sz="4" w:space="0"/>
            </w:tcBorders>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合价</w:t>
            </w:r>
          </w:p>
        </w:tc>
        <w:tc>
          <w:tcPr>
            <w:tcW w:w="1417" w:type="dxa"/>
            <w:gridSpan w:val="2"/>
            <w:noWrap w:val="0"/>
            <w:vAlign w:val="center"/>
          </w:tcPr>
          <w:p>
            <w:pPr>
              <w:spacing w:line="280" w:lineRule="exact"/>
              <w:ind w:firstLine="352" w:firstLineChars="147"/>
              <w:rPr>
                <w:rFonts w:ascii="仿宋_GB2312" w:hAnsi="宋体" w:eastAsia="仿宋_GB2312"/>
                <w:color w:val="auto"/>
                <w:sz w:val="24"/>
                <w:highlight w:val="none"/>
              </w:rPr>
            </w:pPr>
            <w:r>
              <w:rPr>
                <w:rFonts w:hint="eastAsia" w:ascii="仿宋_GB2312" w:hAnsi="宋体" w:eastAsia="仿宋_GB2312"/>
                <w:color w:val="auto"/>
                <w:sz w:val="24"/>
                <w:highlight w:val="none"/>
              </w:rPr>
              <w:t>备注</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647" w:type="dxa"/>
            <w:noWrap w:val="0"/>
            <w:vAlign w:val="top"/>
          </w:tcPr>
          <w:p>
            <w:pPr>
              <w:spacing w:line="280" w:lineRule="exact"/>
              <w:ind w:firstLine="352" w:firstLineChars="147"/>
              <w:rPr>
                <w:rFonts w:ascii="仿宋_GB2312" w:hAnsi="宋体" w:eastAsia="仿宋_GB2312"/>
                <w:color w:val="auto"/>
                <w:sz w:val="24"/>
                <w:highlight w:val="none"/>
              </w:rPr>
            </w:pPr>
          </w:p>
        </w:tc>
        <w:tc>
          <w:tcPr>
            <w:tcW w:w="1080" w:type="dxa"/>
            <w:tcBorders>
              <w:right w:val="single" w:color="auto" w:sz="4" w:space="0"/>
            </w:tcBorders>
            <w:noWrap w:val="0"/>
            <w:vAlign w:val="center"/>
          </w:tcPr>
          <w:p>
            <w:pPr>
              <w:spacing w:line="280" w:lineRule="exact"/>
              <w:ind w:firstLine="352" w:firstLineChars="147"/>
              <w:rPr>
                <w:rFonts w:ascii="仿宋_GB2312" w:hAnsi="宋体" w:eastAsia="仿宋_GB2312"/>
                <w:color w:val="auto"/>
                <w:sz w:val="24"/>
                <w:highlight w:val="none"/>
              </w:rPr>
            </w:pPr>
          </w:p>
        </w:tc>
        <w:tc>
          <w:tcPr>
            <w:tcW w:w="1261" w:type="dxa"/>
            <w:tcBorders>
              <w:left w:val="single" w:color="auto" w:sz="4" w:space="0"/>
            </w:tcBorders>
            <w:noWrap w:val="0"/>
            <w:vAlign w:val="center"/>
          </w:tcPr>
          <w:p>
            <w:pPr>
              <w:spacing w:line="280" w:lineRule="exact"/>
              <w:ind w:firstLine="352" w:firstLineChars="147"/>
              <w:rPr>
                <w:rFonts w:ascii="仿宋_GB2312" w:hAnsi="宋体" w:eastAsia="仿宋_GB2312"/>
                <w:color w:val="auto"/>
                <w:sz w:val="24"/>
                <w:highlight w:val="none"/>
              </w:rPr>
            </w:pPr>
          </w:p>
        </w:tc>
        <w:tc>
          <w:tcPr>
            <w:tcW w:w="900" w:type="dxa"/>
            <w:noWrap w:val="0"/>
            <w:vAlign w:val="center"/>
          </w:tcPr>
          <w:p>
            <w:pPr>
              <w:spacing w:line="280" w:lineRule="exact"/>
              <w:ind w:firstLine="352" w:firstLineChars="147"/>
              <w:rPr>
                <w:rFonts w:ascii="仿宋_GB2312" w:hAnsi="宋体" w:eastAsia="仿宋_GB2312"/>
                <w:color w:val="auto"/>
                <w:sz w:val="24"/>
                <w:highlight w:val="none"/>
              </w:rPr>
            </w:pPr>
          </w:p>
        </w:tc>
        <w:tc>
          <w:tcPr>
            <w:tcW w:w="720" w:type="dxa"/>
            <w:gridSpan w:val="2"/>
            <w:tcBorders>
              <w:right w:val="single" w:color="auto" w:sz="4" w:space="0"/>
            </w:tcBorders>
            <w:noWrap w:val="0"/>
            <w:vAlign w:val="center"/>
          </w:tcPr>
          <w:p>
            <w:pPr>
              <w:spacing w:line="280" w:lineRule="exact"/>
              <w:ind w:firstLine="352" w:firstLineChars="147"/>
              <w:rPr>
                <w:rFonts w:ascii="仿宋_GB2312" w:hAnsi="宋体" w:eastAsia="仿宋_GB2312"/>
                <w:color w:val="auto"/>
                <w:sz w:val="24"/>
                <w:highlight w:val="none"/>
              </w:rPr>
            </w:pPr>
          </w:p>
        </w:tc>
        <w:tc>
          <w:tcPr>
            <w:tcW w:w="1440" w:type="dxa"/>
            <w:gridSpan w:val="2"/>
            <w:tcBorders>
              <w:left w:val="single" w:color="auto" w:sz="4" w:space="0"/>
            </w:tcBorders>
            <w:noWrap w:val="0"/>
            <w:vAlign w:val="center"/>
          </w:tcPr>
          <w:p>
            <w:pPr>
              <w:spacing w:line="280" w:lineRule="exact"/>
              <w:ind w:firstLine="352" w:firstLineChars="147"/>
              <w:rPr>
                <w:rFonts w:ascii="仿宋_GB2312" w:hAnsi="宋体" w:eastAsia="仿宋_GB2312"/>
                <w:color w:val="auto"/>
                <w:sz w:val="24"/>
                <w:highlight w:val="none"/>
              </w:rPr>
            </w:pPr>
          </w:p>
        </w:tc>
        <w:tc>
          <w:tcPr>
            <w:tcW w:w="864" w:type="dxa"/>
            <w:gridSpan w:val="2"/>
            <w:tcBorders>
              <w:right w:val="single" w:color="auto" w:sz="4" w:space="0"/>
            </w:tcBorders>
            <w:noWrap w:val="0"/>
            <w:vAlign w:val="center"/>
          </w:tcPr>
          <w:p>
            <w:pPr>
              <w:spacing w:line="280" w:lineRule="exact"/>
              <w:ind w:firstLine="352" w:firstLineChars="147"/>
              <w:rPr>
                <w:rFonts w:ascii="仿宋_GB2312" w:hAnsi="宋体" w:eastAsia="仿宋_GB2312"/>
                <w:color w:val="auto"/>
                <w:sz w:val="24"/>
                <w:highlight w:val="none"/>
              </w:rPr>
            </w:pPr>
          </w:p>
        </w:tc>
        <w:tc>
          <w:tcPr>
            <w:tcW w:w="851" w:type="dxa"/>
            <w:tcBorders>
              <w:left w:val="single" w:color="auto" w:sz="4" w:space="0"/>
            </w:tcBorders>
            <w:noWrap w:val="0"/>
            <w:vAlign w:val="center"/>
          </w:tcPr>
          <w:p>
            <w:pPr>
              <w:spacing w:line="280" w:lineRule="exact"/>
              <w:ind w:firstLine="352" w:firstLineChars="147"/>
              <w:rPr>
                <w:rFonts w:ascii="仿宋_GB2312" w:hAnsi="宋体" w:eastAsia="仿宋_GB2312"/>
                <w:color w:val="auto"/>
                <w:sz w:val="24"/>
                <w:highlight w:val="none"/>
              </w:rPr>
            </w:pPr>
          </w:p>
        </w:tc>
        <w:tc>
          <w:tcPr>
            <w:tcW w:w="1417" w:type="dxa"/>
            <w:gridSpan w:val="2"/>
            <w:vMerge w:val="restart"/>
            <w:noWrap w:val="0"/>
            <w:vAlign w:val="center"/>
          </w:tcPr>
          <w:p>
            <w:pPr>
              <w:spacing w:line="280" w:lineRule="exact"/>
              <w:ind w:firstLine="352" w:firstLineChars="147"/>
              <w:rPr>
                <w:rFonts w:ascii="仿宋_GB2312" w:hAnsi="宋体" w:eastAsia="仿宋_GB2312"/>
                <w:color w:val="auto"/>
                <w:sz w:val="24"/>
                <w:highlight w:val="none"/>
              </w:rPr>
            </w:pPr>
            <w:r>
              <w:rPr>
                <w:rFonts w:hint="eastAsia" w:ascii="仿宋_GB2312" w:hAnsi="宋体" w:eastAsia="仿宋_GB2312"/>
                <w:color w:val="auto"/>
                <w:sz w:val="24"/>
                <w:highlight w:val="none"/>
              </w:rPr>
              <w:t>费用不包括设备费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647" w:type="dxa"/>
            <w:noWrap w:val="0"/>
            <w:vAlign w:val="top"/>
          </w:tcPr>
          <w:p>
            <w:pPr>
              <w:spacing w:line="280" w:lineRule="exact"/>
              <w:ind w:firstLine="352" w:firstLineChars="147"/>
              <w:rPr>
                <w:rFonts w:ascii="仿宋_GB2312" w:hAnsi="宋体" w:eastAsia="仿宋_GB2312"/>
                <w:color w:val="auto"/>
                <w:sz w:val="24"/>
                <w:highlight w:val="none"/>
              </w:rPr>
            </w:pPr>
          </w:p>
        </w:tc>
        <w:tc>
          <w:tcPr>
            <w:tcW w:w="1080" w:type="dxa"/>
            <w:tcBorders>
              <w:right w:val="single" w:color="auto" w:sz="4" w:space="0"/>
            </w:tcBorders>
            <w:noWrap w:val="0"/>
            <w:vAlign w:val="center"/>
          </w:tcPr>
          <w:p>
            <w:pPr>
              <w:spacing w:line="280" w:lineRule="exact"/>
              <w:ind w:firstLine="352" w:firstLineChars="147"/>
              <w:rPr>
                <w:rFonts w:ascii="仿宋_GB2312" w:hAnsi="宋体" w:eastAsia="仿宋_GB2312"/>
                <w:color w:val="auto"/>
                <w:sz w:val="24"/>
                <w:highlight w:val="none"/>
              </w:rPr>
            </w:pPr>
          </w:p>
        </w:tc>
        <w:tc>
          <w:tcPr>
            <w:tcW w:w="1261" w:type="dxa"/>
            <w:tcBorders>
              <w:left w:val="single" w:color="auto" w:sz="4" w:space="0"/>
            </w:tcBorders>
            <w:noWrap w:val="0"/>
            <w:vAlign w:val="center"/>
          </w:tcPr>
          <w:p>
            <w:pPr>
              <w:spacing w:line="280" w:lineRule="exact"/>
              <w:ind w:firstLine="352" w:firstLineChars="147"/>
              <w:rPr>
                <w:rFonts w:ascii="仿宋_GB2312" w:hAnsi="宋体" w:eastAsia="仿宋_GB2312"/>
                <w:color w:val="auto"/>
                <w:sz w:val="24"/>
                <w:highlight w:val="none"/>
              </w:rPr>
            </w:pPr>
          </w:p>
        </w:tc>
        <w:tc>
          <w:tcPr>
            <w:tcW w:w="900" w:type="dxa"/>
            <w:noWrap w:val="0"/>
            <w:vAlign w:val="center"/>
          </w:tcPr>
          <w:p>
            <w:pPr>
              <w:spacing w:line="280" w:lineRule="exact"/>
              <w:ind w:firstLine="352" w:firstLineChars="147"/>
              <w:rPr>
                <w:rFonts w:ascii="仿宋_GB2312" w:hAnsi="宋体" w:eastAsia="仿宋_GB2312"/>
                <w:color w:val="auto"/>
                <w:sz w:val="24"/>
                <w:highlight w:val="none"/>
              </w:rPr>
            </w:pPr>
          </w:p>
        </w:tc>
        <w:tc>
          <w:tcPr>
            <w:tcW w:w="720" w:type="dxa"/>
            <w:gridSpan w:val="2"/>
            <w:tcBorders>
              <w:right w:val="single" w:color="auto" w:sz="4" w:space="0"/>
            </w:tcBorders>
            <w:noWrap w:val="0"/>
            <w:vAlign w:val="center"/>
          </w:tcPr>
          <w:p>
            <w:pPr>
              <w:spacing w:line="280" w:lineRule="exact"/>
              <w:ind w:firstLine="352" w:firstLineChars="147"/>
              <w:rPr>
                <w:rFonts w:ascii="仿宋_GB2312" w:hAnsi="宋体" w:eastAsia="仿宋_GB2312"/>
                <w:color w:val="auto"/>
                <w:sz w:val="24"/>
                <w:highlight w:val="none"/>
              </w:rPr>
            </w:pPr>
          </w:p>
        </w:tc>
        <w:tc>
          <w:tcPr>
            <w:tcW w:w="1440" w:type="dxa"/>
            <w:gridSpan w:val="2"/>
            <w:tcBorders>
              <w:left w:val="single" w:color="auto" w:sz="4" w:space="0"/>
            </w:tcBorders>
            <w:noWrap w:val="0"/>
            <w:vAlign w:val="center"/>
          </w:tcPr>
          <w:p>
            <w:pPr>
              <w:spacing w:line="280" w:lineRule="exact"/>
              <w:ind w:firstLine="352" w:firstLineChars="147"/>
              <w:rPr>
                <w:rFonts w:ascii="仿宋_GB2312" w:hAnsi="宋体" w:eastAsia="仿宋_GB2312"/>
                <w:color w:val="auto"/>
                <w:sz w:val="24"/>
                <w:highlight w:val="none"/>
              </w:rPr>
            </w:pPr>
          </w:p>
        </w:tc>
        <w:tc>
          <w:tcPr>
            <w:tcW w:w="864" w:type="dxa"/>
            <w:gridSpan w:val="2"/>
            <w:tcBorders>
              <w:right w:val="single" w:color="auto" w:sz="4" w:space="0"/>
            </w:tcBorders>
            <w:noWrap w:val="0"/>
            <w:vAlign w:val="center"/>
          </w:tcPr>
          <w:p>
            <w:pPr>
              <w:spacing w:line="280" w:lineRule="exact"/>
              <w:ind w:firstLine="352" w:firstLineChars="147"/>
              <w:rPr>
                <w:rFonts w:ascii="仿宋_GB2312" w:hAnsi="宋体" w:eastAsia="仿宋_GB2312"/>
                <w:color w:val="auto"/>
                <w:sz w:val="24"/>
                <w:highlight w:val="none"/>
              </w:rPr>
            </w:pPr>
          </w:p>
        </w:tc>
        <w:tc>
          <w:tcPr>
            <w:tcW w:w="851" w:type="dxa"/>
            <w:tcBorders>
              <w:left w:val="single" w:color="auto" w:sz="4" w:space="0"/>
            </w:tcBorders>
            <w:noWrap w:val="0"/>
            <w:vAlign w:val="center"/>
          </w:tcPr>
          <w:p>
            <w:pPr>
              <w:spacing w:line="280" w:lineRule="exact"/>
              <w:ind w:firstLine="352" w:firstLineChars="147"/>
              <w:rPr>
                <w:rFonts w:ascii="仿宋_GB2312" w:hAnsi="宋体" w:eastAsia="仿宋_GB2312"/>
                <w:color w:val="auto"/>
                <w:sz w:val="24"/>
                <w:highlight w:val="none"/>
              </w:rPr>
            </w:pPr>
          </w:p>
        </w:tc>
        <w:tc>
          <w:tcPr>
            <w:tcW w:w="1417" w:type="dxa"/>
            <w:gridSpan w:val="2"/>
            <w:vMerge w:val="continue"/>
            <w:noWrap w:val="0"/>
            <w:vAlign w:val="center"/>
          </w:tcPr>
          <w:p>
            <w:pPr>
              <w:spacing w:line="280" w:lineRule="exact"/>
              <w:ind w:firstLine="352" w:firstLineChars="147"/>
              <w:rPr>
                <w:rFonts w:ascii="仿宋_GB2312" w:hAnsi="宋体" w:eastAsia="仿宋_GB2312"/>
                <w:color w:val="auto"/>
                <w:sz w:val="24"/>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9180" w:type="dxa"/>
            <w:gridSpan w:val="13"/>
            <w:noWrap w:val="0"/>
            <w:vAlign w:val="center"/>
          </w:tcPr>
          <w:p>
            <w:pPr>
              <w:spacing w:line="280" w:lineRule="exact"/>
              <w:ind w:firstLine="352" w:firstLineChars="147"/>
              <w:rPr>
                <w:rFonts w:ascii="仿宋_GB2312" w:hAnsi="宋体" w:eastAsia="仿宋_GB2312"/>
                <w:color w:val="auto"/>
                <w:sz w:val="24"/>
                <w:highlight w:val="none"/>
              </w:rPr>
            </w:pPr>
            <w:r>
              <w:rPr>
                <w:rFonts w:hint="eastAsia" w:ascii="仿宋_GB2312" w:hAnsi="宋体" w:eastAsia="仿宋_GB2312"/>
                <w:color w:val="auto"/>
                <w:sz w:val="24"/>
                <w:highlight w:val="none"/>
              </w:rPr>
              <w:t>三、原设备拆除费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647" w:type="dxa"/>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序号</w:t>
            </w:r>
          </w:p>
        </w:tc>
        <w:tc>
          <w:tcPr>
            <w:tcW w:w="1080" w:type="dxa"/>
            <w:tcBorders>
              <w:right w:val="single" w:color="auto" w:sz="4" w:space="0"/>
            </w:tcBorders>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设备名称</w:t>
            </w:r>
          </w:p>
        </w:tc>
        <w:tc>
          <w:tcPr>
            <w:tcW w:w="1261" w:type="dxa"/>
            <w:tcBorders>
              <w:left w:val="single" w:color="auto" w:sz="4" w:space="0"/>
            </w:tcBorders>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货物的制造商或服务的提供商</w:t>
            </w:r>
          </w:p>
        </w:tc>
        <w:tc>
          <w:tcPr>
            <w:tcW w:w="900" w:type="dxa"/>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品牌（如有）</w:t>
            </w:r>
          </w:p>
        </w:tc>
        <w:tc>
          <w:tcPr>
            <w:tcW w:w="720" w:type="dxa"/>
            <w:gridSpan w:val="2"/>
            <w:tcBorders>
              <w:right w:val="single" w:color="auto" w:sz="4" w:space="0"/>
            </w:tcBorders>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数量</w:t>
            </w:r>
          </w:p>
        </w:tc>
        <w:tc>
          <w:tcPr>
            <w:tcW w:w="1440" w:type="dxa"/>
            <w:gridSpan w:val="2"/>
            <w:tcBorders>
              <w:left w:val="single" w:color="auto" w:sz="4" w:space="0"/>
            </w:tcBorders>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型号和规格（</w:t>
            </w:r>
            <w:r>
              <w:rPr>
                <w:rFonts w:hint="eastAsia" w:ascii="仿宋_GB2312" w:hAnsi="宋体" w:eastAsia="仿宋_GB2312"/>
                <w:b/>
                <w:color w:val="auto"/>
                <w:sz w:val="24"/>
                <w:highlight w:val="none"/>
              </w:rPr>
              <w:t>或具体服务</w:t>
            </w:r>
            <w:r>
              <w:rPr>
                <w:rFonts w:hint="eastAsia" w:ascii="仿宋_GB2312" w:hAnsi="宋体" w:eastAsia="仿宋_GB2312"/>
                <w:color w:val="auto"/>
                <w:sz w:val="24"/>
                <w:highlight w:val="none"/>
              </w:rPr>
              <w:t>）</w:t>
            </w:r>
          </w:p>
        </w:tc>
        <w:tc>
          <w:tcPr>
            <w:tcW w:w="864" w:type="dxa"/>
            <w:gridSpan w:val="2"/>
            <w:tcBorders>
              <w:right w:val="single" w:color="auto" w:sz="4" w:space="0"/>
            </w:tcBorders>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单价</w:t>
            </w:r>
          </w:p>
        </w:tc>
        <w:tc>
          <w:tcPr>
            <w:tcW w:w="851" w:type="dxa"/>
            <w:tcBorders>
              <w:left w:val="single" w:color="auto" w:sz="4" w:space="0"/>
            </w:tcBorders>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合价</w:t>
            </w:r>
          </w:p>
        </w:tc>
        <w:tc>
          <w:tcPr>
            <w:tcW w:w="1417" w:type="dxa"/>
            <w:gridSpan w:val="2"/>
            <w:noWrap w:val="0"/>
            <w:vAlign w:val="center"/>
          </w:tcPr>
          <w:p>
            <w:pPr>
              <w:spacing w:line="280" w:lineRule="exact"/>
              <w:ind w:firstLine="352" w:firstLineChars="147"/>
              <w:rPr>
                <w:rFonts w:ascii="仿宋_GB2312" w:hAnsi="宋体" w:eastAsia="仿宋_GB2312"/>
                <w:color w:val="auto"/>
                <w:sz w:val="24"/>
                <w:highlight w:val="none"/>
              </w:rPr>
            </w:pPr>
            <w:r>
              <w:rPr>
                <w:rFonts w:hint="eastAsia" w:ascii="仿宋_GB2312" w:hAnsi="宋体" w:eastAsia="仿宋_GB2312"/>
                <w:color w:val="auto"/>
                <w:sz w:val="24"/>
                <w:highlight w:val="none"/>
              </w:rPr>
              <w:t>备注</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647" w:type="dxa"/>
            <w:noWrap w:val="0"/>
            <w:vAlign w:val="center"/>
          </w:tcPr>
          <w:p>
            <w:pPr>
              <w:spacing w:line="280" w:lineRule="exact"/>
              <w:ind w:firstLine="352" w:firstLineChars="147"/>
              <w:rPr>
                <w:rFonts w:hint="eastAsia" w:ascii="仿宋_GB2312" w:hAnsi="宋体" w:eastAsia="仿宋_GB2312"/>
                <w:color w:val="auto"/>
                <w:sz w:val="24"/>
                <w:highlight w:val="none"/>
              </w:rPr>
            </w:pPr>
          </w:p>
        </w:tc>
        <w:tc>
          <w:tcPr>
            <w:tcW w:w="1080" w:type="dxa"/>
            <w:tcBorders>
              <w:right w:val="single" w:color="auto" w:sz="4" w:space="0"/>
            </w:tcBorders>
            <w:noWrap w:val="0"/>
            <w:vAlign w:val="center"/>
          </w:tcPr>
          <w:p>
            <w:pPr>
              <w:spacing w:line="28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原设备拆除</w:t>
            </w:r>
          </w:p>
        </w:tc>
        <w:tc>
          <w:tcPr>
            <w:tcW w:w="1261" w:type="dxa"/>
            <w:tcBorders>
              <w:left w:val="single" w:color="auto" w:sz="4" w:space="0"/>
            </w:tcBorders>
            <w:noWrap w:val="0"/>
            <w:vAlign w:val="center"/>
          </w:tcPr>
          <w:p>
            <w:pPr>
              <w:spacing w:line="280" w:lineRule="exact"/>
              <w:ind w:firstLine="352" w:firstLineChars="147"/>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w:t>
            </w:r>
          </w:p>
        </w:tc>
        <w:tc>
          <w:tcPr>
            <w:tcW w:w="900" w:type="dxa"/>
            <w:noWrap w:val="0"/>
            <w:vAlign w:val="center"/>
          </w:tcPr>
          <w:p>
            <w:pPr>
              <w:spacing w:line="280" w:lineRule="exact"/>
              <w:ind w:firstLine="352" w:firstLineChars="147"/>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w:t>
            </w:r>
          </w:p>
        </w:tc>
        <w:tc>
          <w:tcPr>
            <w:tcW w:w="720" w:type="dxa"/>
            <w:gridSpan w:val="2"/>
            <w:tcBorders>
              <w:right w:val="single" w:color="auto" w:sz="4" w:space="0"/>
            </w:tcBorders>
            <w:noWrap w:val="0"/>
            <w:vAlign w:val="center"/>
          </w:tcPr>
          <w:p>
            <w:pPr>
              <w:spacing w:line="280" w:lineRule="exact"/>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一项</w:t>
            </w:r>
          </w:p>
        </w:tc>
        <w:tc>
          <w:tcPr>
            <w:tcW w:w="1440" w:type="dxa"/>
            <w:gridSpan w:val="2"/>
            <w:tcBorders>
              <w:left w:val="single" w:color="auto" w:sz="4" w:space="0"/>
            </w:tcBorders>
            <w:noWrap w:val="0"/>
            <w:vAlign w:val="center"/>
          </w:tcPr>
          <w:p>
            <w:pPr>
              <w:spacing w:line="280" w:lineRule="exact"/>
              <w:ind w:firstLine="352" w:firstLineChars="147"/>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w:t>
            </w:r>
          </w:p>
        </w:tc>
        <w:tc>
          <w:tcPr>
            <w:tcW w:w="864" w:type="dxa"/>
            <w:gridSpan w:val="2"/>
            <w:tcBorders>
              <w:right w:val="single" w:color="auto" w:sz="4" w:space="0"/>
            </w:tcBorders>
            <w:noWrap w:val="0"/>
            <w:vAlign w:val="center"/>
          </w:tcPr>
          <w:p>
            <w:pPr>
              <w:spacing w:line="280" w:lineRule="exact"/>
              <w:rPr>
                <w:rFonts w:hint="eastAsia" w:ascii="仿宋_GB2312" w:hAnsi="宋体" w:eastAsia="仿宋_GB2312"/>
                <w:color w:val="auto"/>
                <w:sz w:val="24"/>
                <w:highlight w:val="none"/>
              </w:rPr>
            </w:pPr>
            <w:r>
              <w:rPr>
                <w:rFonts w:ascii="仿宋_GB2312" w:hAnsi="宋体" w:eastAsia="仿宋_GB2312"/>
                <w:color w:val="auto"/>
                <w:sz w:val="24"/>
                <w:highlight w:val="none"/>
              </w:rPr>
              <w:t>2</w:t>
            </w:r>
            <w:r>
              <w:rPr>
                <w:rFonts w:hint="eastAsia" w:ascii="仿宋_GB2312" w:hAnsi="宋体" w:eastAsia="仿宋_GB2312"/>
                <w:color w:val="auto"/>
                <w:sz w:val="24"/>
                <w:highlight w:val="none"/>
              </w:rPr>
              <w:t>0000</w:t>
            </w:r>
          </w:p>
        </w:tc>
        <w:tc>
          <w:tcPr>
            <w:tcW w:w="851" w:type="dxa"/>
            <w:tcBorders>
              <w:left w:val="single" w:color="auto" w:sz="4" w:space="0"/>
            </w:tcBorders>
            <w:noWrap w:val="0"/>
            <w:vAlign w:val="center"/>
          </w:tcPr>
          <w:p>
            <w:pPr>
              <w:spacing w:line="280" w:lineRule="exact"/>
              <w:rPr>
                <w:rFonts w:hint="eastAsia" w:ascii="仿宋_GB2312" w:hAnsi="宋体" w:eastAsia="仿宋_GB2312"/>
                <w:color w:val="auto"/>
                <w:sz w:val="24"/>
                <w:highlight w:val="none"/>
              </w:rPr>
            </w:pPr>
            <w:r>
              <w:rPr>
                <w:rFonts w:ascii="仿宋_GB2312" w:hAnsi="宋体" w:eastAsia="仿宋_GB2312"/>
                <w:color w:val="auto"/>
                <w:sz w:val="24"/>
                <w:highlight w:val="none"/>
              </w:rPr>
              <w:t>2</w:t>
            </w:r>
            <w:r>
              <w:rPr>
                <w:rFonts w:hint="eastAsia" w:ascii="仿宋_GB2312" w:hAnsi="宋体" w:eastAsia="仿宋_GB2312"/>
                <w:color w:val="auto"/>
                <w:sz w:val="24"/>
                <w:highlight w:val="none"/>
              </w:rPr>
              <w:t>0000</w:t>
            </w:r>
          </w:p>
        </w:tc>
        <w:tc>
          <w:tcPr>
            <w:tcW w:w="1417" w:type="dxa"/>
            <w:gridSpan w:val="2"/>
            <w:noWrap w:val="0"/>
            <w:vAlign w:val="center"/>
          </w:tcPr>
          <w:p>
            <w:pPr>
              <w:spacing w:line="280" w:lineRule="exact"/>
              <w:ind w:firstLine="352" w:firstLineChars="147"/>
              <w:rPr>
                <w:rFonts w:hint="eastAsia" w:ascii="仿宋_GB2312" w:hAnsi="宋体" w:eastAsia="仿宋_GB2312"/>
                <w:color w:val="auto"/>
                <w:sz w:val="24"/>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9180" w:type="dxa"/>
            <w:gridSpan w:val="13"/>
            <w:noWrap w:val="0"/>
            <w:vAlign w:val="center"/>
          </w:tcPr>
          <w:p>
            <w:pPr>
              <w:spacing w:line="280" w:lineRule="exact"/>
              <w:ind w:firstLine="352" w:firstLineChars="147"/>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四、不可利旧设备以料代工处置</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647" w:type="dxa"/>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序号</w:t>
            </w:r>
          </w:p>
        </w:tc>
        <w:tc>
          <w:tcPr>
            <w:tcW w:w="1080" w:type="dxa"/>
            <w:tcBorders>
              <w:right w:val="single" w:color="auto" w:sz="4" w:space="0"/>
            </w:tcBorders>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设备名称</w:t>
            </w:r>
          </w:p>
        </w:tc>
        <w:tc>
          <w:tcPr>
            <w:tcW w:w="2776" w:type="dxa"/>
            <w:gridSpan w:val="3"/>
            <w:tcBorders>
              <w:left w:val="single" w:color="auto" w:sz="4" w:space="0"/>
            </w:tcBorders>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型号和规格（</w:t>
            </w:r>
            <w:r>
              <w:rPr>
                <w:rFonts w:hint="eastAsia" w:ascii="仿宋_GB2312" w:hAnsi="宋体" w:eastAsia="仿宋_GB2312"/>
                <w:b/>
                <w:color w:val="auto"/>
                <w:sz w:val="24"/>
                <w:highlight w:val="none"/>
              </w:rPr>
              <w:t>或具体服务</w:t>
            </w:r>
            <w:r>
              <w:rPr>
                <w:rFonts w:hint="eastAsia" w:ascii="仿宋_GB2312" w:hAnsi="宋体" w:eastAsia="仿宋_GB2312"/>
                <w:color w:val="auto"/>
                <w:sz w:val="24"/>
                <w:highlight w:val="none"/>
              </w:rPr>
              <w:t>）</w:t>
            </w:r>
          </w:p>
        </w:tc>
        <w:tc>
          <w:tcPr>
            <w:tcW w:w="850" w:type="dxa"/>
            <w:gridSpan w:val="2"/>
            <w:tcBorders>
              <w:right w:val="single" w:color="auto" w:sz="4" w:space="0"/>
            </w:tcBorders>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数量</w:t>
            </w:r>
          </w:p>
        </w:tc>
        <w:tc>
          <w:tcPr>
            <w:tcW w:w="851" w:type="dxa"/>
            <w:gridSpan w:val="2"/>
            <w:tcBorders>
              <w:left w:val="single" w:color="auto" w:sz="4" w:space="0"/>
              <w:right w:val="single" w:color="auto" w:sz="4" w:space="0"/>
            </w:tcBorders>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单价/项</w:t>
            </w:r>
          </w:p>
        </w:tc>
        <w:tc>
          <w:tcPr>
            <w:tcW w:w="1559" w:type="dxa"/>
            <w:gridSpan w:val="2"/>
            <w:tcBorders>
              <w:left w:val="single" w:color="auto" w:sz="4" w:space="0"/>
            </w:tcBorders>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合价/项</w:t>
            </w:r>
          </w:p>
        </w:tc>
        <w:tc>
          <w:tcPr>
            <w:tcW w:w="1417" w:type="dxa"/>
            <w:gridSpan w:val="2"/>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备注</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647" w:type="dxa"/>
            <w:noWrap w:val="0"/>
            <w:vAlign w:val="center"/>
          </w:tcPr>
          <w:p>
            <w:pPr>
              <w:spacing w:line="280" w:lineRule="exact"/>
              <w:rPr>
                <w:rFonts w:ascii="仿宋_GB2312" w:hAnsi="宋体" w:eastAsia="仿宋_GB2312"/>
                <w:color w:val="auto"/>
                <w:sz w:val="24"/>
                <w:highlight w:val="none"/>
              </w:rPr>
            </w:pPr>
            <w:r>
              <w:rPr>
                <w:rFonts w:ascii="仿宋_GB2312" w:hAnsi="宋体" w:eastAsia="仿宋_GB2312"/>
                <w:color w:val="auto"/>
                <w:sz w:val="24"/>
                <w:highlight w:val="none"/>
              </w:rPr>
              <w:t>1</w:t>
            </w:r>
          </w:p>
        </w:tc>
        <w:tc>
          <w:tcPr>
            <w:tcW w:w="1080" w:type="dxa"/>
            <w:tcBorders>
              <w:right w:val="single" w:color="auto" w:sz="4" w:space="0"/>
            </w:tcBorders>
            <w:noWrap w:val="0"/>
            <w:vAlign w:val="center"/>
          </w:tcPr>
          <w:p>
            <w:pPr>
              <w:pStyle w:val="507"/>
              <w:widowControl w:val="0"/>
              <w:ind w:firstLine="0" w:firstLineChars="0"/>
              <w:jc w:val="center"/>
              <w:rPr>
                <w:rFonts w:ascii="仿宋_GB2312" w:hAnsi="宋体" w:eastAsia="仿宋_GB2312"/>
                <w:color w:val="auto"/>
                <w:sz w:val="24"/>
                <w:highlight w:val="none"/>
              </w:rPr>
            </w:pPr>
            <w:r>
              <w:rPr>
                <w:rFonts w:hint="eastAsia" w:ascii="宋体" w:hAnsi="宋体"/>
                <w:color w:val="auto"/>
                <w:kern w:val="2"/>
                <w:sz w:val="20"/>
                <w:szCs w:val="20"/>
                <w:highlight w:val="none"/>
              </w:rPr>
              <w:t>称重传感器</w:t>
            </w:r>
          </w:p>
        </w:tc>
        <w:tc>
          <w:tcPr>
            <w:tcW w:w="2776" w:type="dxa"/>
            <w:gridSpan w:val="3"/>
            <w:tcBorders>
              <w:left w:val="single" w:color="auto" w:sz="4" w:space="0"/>
            </w:tcBorders>
            <w:noWrap w:val="0"/>
            <w:vAlign w:val="top"/>
          </w:tcPr>
          <w:p>
            <w:pPr>
              <w:jc w:val="center"/>
              <w:rPr>
                <w:rFonts w:ascii="仿宋_GB2312" w:hAnsi="宋体" w:eastAsia="仿宋_GB2312"/>
                <w:color w:val="auto"/>
                <w:sz w:val="24"/>
                <w:highlight w:val="none"/>
              </w:rPr>
            </w:pPr>
            <w:r>
              <w:rPr>
                <w:rFonts w:hint="eastAsia" w:ascii="宋体" w:hAnsi="宋体"/>
                <w:color w:val="auto"/>
                <w:sz w:val="20"/>
                <w:szCs w:val="20"/>
                <w:highlight w:val="none"/>
              </w:rPr>
              <w:t>传感器横截面≤45x55平方毫米；额定载荷≥30吨；过载能力≥150%FS；防护等级IP68；工作温度-45～80℃；非线性精度误差小于±2%(传感器各点静态校准精度)；不一致性误差小于±3%(传感器不同位置点静态校准精度)；重复性误差小于±2%(传感器同位置点静态校准精度)；综合精度优于±5%(传感器总的静态校准精度)；</w:t>
            </w:r>
          </w:p>
        </w:tc>
        <w:tc>
          <w:tcPr>
            <w:tcW w:w="850" w:type="dxa"/>
            <w:gridSpan w:val="2"/>
            <w:tcBorders>
              <w:right w:val="single" w:color="auto" w:sz="4" w:space="0"/>
            </w:tcBorders>
            <w:noWrap w:val="0"/>
            <w:vAlign w:val="center"/>
          </w:tcPr>
          <w:p>
            <w:pPr>
              <w:jc w:val="center"/>
              <w:rPr>
                <w:rFonts w:ascii="仿宋_GB2312" w:hAnsi="宋体" w:eastAsia="仿宋_GB2312"/>
                <w:color w:val="auto"/>
                <w:sz w:val="24"/>
                <w:highlight w:val="none"/>
              </w:rPr>
            </w:pPr>
            <w:r>
              <w:rPr>
                <w:rFonts w:hint="eastAsia" w:ascii="宋体" w:hAnsi="宋体"/>
                <w:color w:val="auto"/>
                <w:sz w:val="20"/>
                <w:szCs w:val="20"/>
                <w:highlight w:val="none"/>
              </w:rPr>
              <w:t>48</w:t>
            </w:r>
          </w:p>
        </w:tc>
        <w:tc>
          <w:tcPr>
            <w:tcW w:w="851" w:type="dxa"/>
            <w:gridSpan w:val="2"/>
            <w:vMerge w:val="restart"/>
            <w:tcBorders>
              <w:left w:val="single" w:color="auto" w:sz="4" w:space="0"/>
              <w:right w:val="single" w:color="auto" w:sz="4" w:space="0"/>
            </w:tcBorders>
            <w:noWrap w:val="0"/>
            <w:vAlign w:val="center"/>
          </w:tcPr>
          <w:p>
            <w:pPr>
              <w:spacing w:line="280" w:lineRule="exact"/>
              <w:ind w:firstLine="352" w:firstLineChars="147"/>
              <w:rPr>
                <w:rFonts w:hint="eastAsia" w:ascii="仿宋_GB2312" w:hAnsi="宋体" w:eastAsia="仿宋_GB2312"/>
                <w:color w:val="auto"/>
                <w:sz w:val="24"/>
                <w:highlight w:val="none"/>
              </w:rPr>
            </w:pPr>
          </w:p>
        </w:tc>
        <w:tc>
          <w:tcPr>
            <w:tcW w:w="1559" w:type="dxa"/>
            <w:gridSpan w:val="2"/>
            <w:vMerge w:val="restart"/>
            <w:tcBorders>
              <w:left w:val="single" w:color="auto" w:sz="4" w:space="0"/>
            </w:tcBorders>
            <w:noWrap w:val="0"/>
            <w:vAlign w:val="center"/>
          </w:tcPr>
          <w:p>
            <w:pPr>
              <w:spacing w:line="280" w:lineRule="exact"/>
              <w:ind w:firstLine="352" w:firstLineChars="147"/>
              <w:rPr>
                <w:rFonts w:hint="eastAsia" w:ascii="仿宋_GB2312" w:hAnsi="宋体" w:eastAsia="仿宋_GB2312"/>
                <w:color w:val="auto"/>
                <w:sz w:val="24"/>
                <w:highlight w:val="none"/>
              </w:rPr>
            </w:pPr>
          </w:p>
        </w:tc>
        <w:tc>
          <w:tcPr>
            <w:tcW w:w="1417" w:type="dxa"/>
            <w:gridSpan w:val="2"/>
            <w:vMerge w:val="restart"/>
            <w:noWrap w:val="0"/>
            <w:vAlign w:val="center"/>
          </w:tcPr>
          <w:p>
            <w:pPr>
              <w:spacing w:line="280" w:lineRule="exact"/>
              <w:rPr>
                <w:rFonts w:hint="eastAsia" w:ascii="仿宋_GB2312" w:hAnsi="宋体" w:eastAsia="仿宋_GB2312"/>
                <w:color w:val="auto"/>
                <w:sz w:val="24"/>
                <w:highlight w:val="none"/>
              </w:rPr>
            </w:pPr>
            <w:r>
              <w:rPr>
                <w:rFonts w:hint="eastAsia" w:ascii="仿宋_GB2312" w:hAnsi="宋体" w:eastAsia="仿宋_GB2312"/>
                <w:b/>
                <w:color w:val="auto"/>
                <w:sz w:val="24"/>
                <w:highlight w:val="none"/>
              </w:rPr>
              <w:t>由中标人以料代工负责处置，以负数形式进行报价。</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647" w:type="dxa"/>
            <w:noWrap w:val="0"/>
            <w:vAlign w:val="center"/>
          </w:tcPr>
          <w:p>
            <w:pPr>
              <w:spacing w:line="280" w:lineRule="exact"/>
              <w:rPr>
                <w:rFonts w:ascii="仿宋_GB2312" w:hAnsi="宋体" w:eastAsia="仿宋_GB2312"/>
                <w:color w:val="auto"/>
                <w:sz w:val="24"/>
                <w:highlight w:val="none"/>
              </w:rPr>
            </w:pPr>
            <w:r>
              <w:rPr>
                <w:rFonts w:ascii="仿宋_GB2312" w:hAnsi="宋体" w:eastAsia="仿宋_GB2312"/>
                <w:color w:val="auto"/>
                <w:sz w:val="24"/>
                <w:highlight w:val="none"/>
              </w:rPr>
              <w:t>2</w:t>
            </w:r>
          </w:p>
        </w:tc>
        <w:tc>
          <w:tcPr>
            <w:tcW w:w="1080" w:type="dxa"/>
            <w:tcBorders>
              <w:right w:val="single" w:color="auto" w:sz="4" w:space="0"/>
            </w:tcBorders>
            <w:noWrap w:val="0"/>
            <w:vAlign w:val="center"/>
          </w:tcPr>
          <w:p>
            <w:pPr>
              <w:pStyle w:val="507"/>
              <w:widowControl w:val="0"/>
              <w:ind w:firstLine="0" w:firstLineChars="0"/>
              <w:jc w:val="center"/>
              <w:rPr>
                <w:rFonts w:ascii="仿宋_GB2312" w:hAnsi="宋体" w:eastAsia="仿宋_GB2312"/>
                <w:color w:val="auto"/>
                <w:sz w:val="24"/>
                <w:highlight w:val="none"/>
              </w:rPr>
            </w:pPr>
            <w:r>
              <w:rPr>
                <w:rFonts w:hint="eastAsia" w:ascii="宋体" w:hAnsi="宋体"/>
                <w:color w:val="auto"/>
                <w:kern w:val="2"/>
                <w:sz w:val="20"/>
                <w:szCs w:val="20"/>
                <w:highlight w:val="none"/>
              </w:rPr>
              <w:t>传感器密封胶</w:t>
            </w:r>
          </w:p>
        </w:tc>
        <w:tc>
          <w:tcPr>
            <w:tcW w:w="2776" w:type="dxa"/>
            <w:gridSpan w:val="3"/>
            <w:tcBorders>
              <w:left w:val="single" w:color="auto" w:sz="4" w:space="0"/>
            </w:tcBorders>
            <w:noWrap w:val="0"/>
            <w:vAlign w:val="top"/>
          </w:tcPr>
          <w:p>
            <w:pPr>
              <w:jc w:val="center"/>
              <w:rPr>
                <w:rFonts w:ascii="仿宋_GB2312" w:hAnsi="宋体" w:eastAsia="仿宋_GB2312"/>
                <w:color w:val="auto"/>
                <w:sz w:val="24"/>
                <w:highlight w:val="none"/>
              </w:rPr>
            </w:pPr>
            <w:r>
              <w:rPr>
                <w:rFonts w:hint="eastAsia" w:ascii="宋体" w:hAnsi="宋体"/>
                <w:color w:val="auto"/>
                <w:sz w:val="20"/>
                <w:szCs w:val="20"/>
                <w:highlight w:val="none"/>
              </w:rPr>
              <w:t>摄氏23度下，8小时内固化，抗压强度≥30MPa，抗折强度≥10MPa，粘接强度≥3MPa；符合GB50367-2006标准；</w:t>
            </w:r>
          </w:p>
        </w:tc>
        <w:tc>
          <w:tcPr>
            <w:tcW w:w="850" w:type="dxa"/>
            <w:gridSpan w:val="2"/>
            <w:tcBorders>
              <w:right w:val="single" w:color="auto" w:sz="4" w:space="0"/>
            </w:tcBorders>
            <w:noWrap w:val="0"/>
            <w:vAlign w:val="center"/>
          </w:tcPr>
          <w:p>
            <w:pPr>
              <w:jc w:val="center"/>
              <w:rPr>
                <w:rFonts w:ascii="仿宋_GB2312" w:hAnsi="宋体" w:eastAsia="仿宋_GB2312"/>
                <w:color w:val="auto"/>
                <w:sz w:val="24"/>
                <w:highlight w:val="none"/>
              </w:rPr>
            </w:pPr>
            <w:r>
              <w:rPr>
                <w:rFonts w:hint="eastAsia" w:ascii="宋体" w:hAnsi="宋体"/>
                <w:color w:val="auto"/>
                <w:sz w:val="20"/>
                <w:szCs w:val="20"/>
                <w:highlight w:val="none"/>
              </w:rPr>
              <w:t>48</w:t>
            </w:r>
          </w:p>
        </w:tc>
        <w:tc>
          <w:tcPr>
            <w:tcW w:w="851" w:type="dxa"/>
            <w:gridSpan w:val="2"/>
            <w:vMerge w:val="continue"/>
            <w:tcBorders>
              <w:left w:val="single" w:color="auto" w:sz="4" w:space="0"/>
              <w:right w:val="single" w:color="auto" w:sz="4" w:space="0"/>
            </w:tcBorders>
            <w:noWrap w:val="0"/>
            <w:vAlign w:val="center"/>
          </w:tcPr>
          <w:p>
            <w:pPr>
              <w:spacing w:line="280" w:lineRule="exact"/>
              <w:ind w:firstLine="352" w:firstLineChars="147"/>
              <w:rPr>
                <w:rFonts w:hint="eastAsia" w:ascii="仿宋_GB2312" w:hAnsi="宋体" w:eastAsia="仿宋_GB2312"/>
                <w:color w:val="auto"/>
                <w:sz w:val="24"/>
                <w:highlight w:val="none"/>
              </w:rPr>
            </w:pPr>
          </w:p>
        </w:tc>
        <w:tc>
          <w:tcPr>
            <w:tcW w:w="1559" w:type="dxa"/>
            <w:gridSpan w:val="2"/>
            <w:vMerge w:val="continue"/>
            <w:tcBorders>
              <w:left w:val="single" w:color="auto" w:sz="4" w:space="0"/>
            </w:tcBorders>
            <w:noWrap w:val="0"/>
            <w:vAlign w:val="center"/>
          </w:tcPr>
          <w:p>
            <w:pPr>
              <w:spacing w:line="280" w:lineRule="exact"/>
              <w:ind w:firstLine="352" w:firstLineChars="147"/>
              <w:rPr>
                <w:rFonts w:hint="eastAsia" w:ascii="仿宋_GB2312" w:hAnsi="宋体" w:eastAsia="仿宋_GB2312"/>
                <w:color w:val="auto"/>
                <w:sz w:val="24"/>
                <w:highlight w:val="none"/>
              </w:rPr>
            </w:pPr>
          </w:p>
        </w:tc>
        <w:tc>
          <w:tcPr>
            <w:tcW w:w="1417" w:type="dxa"/>
            <w:gridSpan w:val="2"/>
            <w:vMerge w:val="continue"/>
            <w:noWrap w:val="0"/>
            <w:vAlign w:val="center"/>
          </w:tcPr>
          <w:p>
            <w:pPr>
              <w:spacing w:line="280" w:lineRule="exact"/>
              <w:ind w:firstLine="354" w:firstLineChars="147"/>
              <w:rPr>
                <w:rFonts w:hint="eastAsia" w:ascii="仿宋_GB2312" w:hAnsi="宋体" w:eastAsia="仿宋_GB2312"/>
                <w:b/>
                <w:color w:val="auto"/>
                <w:sz w:val="24"/>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647" w:type="dxa"/>
            <w:noWrap w:val="0"/>
            <w:vAlign w:val="center"/>
          </w:tcPr>
          <w:p>
            <w:pPr>
              <w:spacing w:line="280" w:lineRule="exact"/>
              <w:rPr>
                <w:rFonts w:ascii="仿宋_GB2312" w:hAnsi="宋体" w:eastAsia="仿宋_GB2312"/>
                <w:color w:val="auto"/>
                <w:sz w:val="24"/>
                <w:highlight w:val="none"/>
              </w:rPr>
            </w:pPr>
            <w:r>
              <w:rPr>
                <w:rFonts w:ascii="仿宋_GB2312" w:hAnsi="宋体" w:eastAsia="仿宋_GB2312"/>
                <w:color w:val="auto"/>
                <w:sz w:val="24"/>
                <w:highlight w:val="none"/>
              </w:rPr>
              <w:t>3</w:t>
            </w:r>
          </w:p>
        </w:tc>
        <w:tc>
          <w:tcPr>
            <w:tcW w:w="1080" w:type="dxa"/>
            <w:tcBorders>
              <w:right w:val="single" w:color="auto" w:sz="4" w:space="0"/>
            </w:tcBorders>
            <w:noWrap w:val="0"/>
            <w:vAlign w:val="center"/>
          </w:tcPr>
          <w:p>
            <w:pPr>
              <w:pStyle w:val="507"/>
              <w:widowControl w:val="0"/>
              <w:ind w:firstLine="0" w:firstLineChars="0"/>
              <w:jc w:val="center"/>
              <w:rPr>
                <w:rFonts w:ascii="仿宋_GB2312" w:hAnsi="宋体" w:eastAsia="仿宋_GB2312"/>
                <w:color w:val="auto"/>
                <w:sz w:val="24"/>
                <w:highlight w:val="none"/>
              </w:rPr>
            </w:pPr>
            <w:r>
              <w:rPr>
                <w:rFonts w:hint="eastAsia" w:ascii="宋体" w:hAnsi="宋体"/>
                <w:color w:val="auto"/>
                <w:kern w:val="2"/>
                <w:sz w:val="20"/>
                <w:szCs w:val="20"/>
                <w:highlight w:val="none"/>
              </w:rPr>
              <w:t>地感线圈</w:t>
            </w:r>
          </w:p>
        </w:tc>
        <w:tc>
          <w:tcPr>
            <w:tcW w:w="2776" w:type="dxa"/>
            <w:gridSpan w:val="3"/>
            <w:tcBorders>
              <w:left w:val="single" w:color="auto" w:sz="4" w:space="0"/>
            </w:tcBorders>
            <w:noWrap w:val="0"/>
            <w:vAlign w:val="top"/>
          </w:tcPr>
          <w:p>
            <w:pPr>
              <w:jc w:val="center"/>
              <w:rPr>
                <w:rFonts w:ascii="仿宋_GB2312" w:hAnsi="宋体" w:eastAsia="仿宋_GB2312"/>
                <w:color w:val="auto"/>
                <w:sz w:val="24"/>
                <w:highlight w:val="none"/>
              </w:rPr>
            </w:pPr>
          </w:p>
        </w:tc>
        <w:tc>
          <w:tcPr>
            <w:tcW w:w="850" w:type="dxa"/>
            <w:gridSpan w:val="2"/>
            <w:tcBorders>
              <w:right w:val="single" w:color="auto" w:sz="4" w:space="0"/>
            </w:tcBorders>
            <w:noWrap w:val="0"/>
            <w:vAlign w:val="center"/>
          </w:tcPr>
          <w:p>
            <w:pPr>
              <w:jc w:val="center"/>
              <w:rPr>
                <w:rFonts w:ascii="仿宋_GB2312" w:hAnsi="宋体" w:eastAsia="仿宋_GB2312"/>
                <w:color w:val="auto"/>
                <w:sz w:val="24"/>
                <w:highlight w:val="none"/>
              </w:rPr>
            </w:pPr>
            <w:r>
              <w:rPr>
                <w:rFonts w:hint="eastAsia" w:ascii="宋体" w:hAnsi="宋体"/>
                <w:color w:val="auto"/>
                <w:sz w:val="20"/>
                <w:szCs w:val="20"/>
                <w:highlight w:val="none"/>
              </w:rPr>
              <w:t>48</w:t>
            </w:r>
          </w:p>
        </w:tc>
        <w:tc>
          <w:tcPr>
            <w:tcW w:w="851" w:type="dxa"/>
            <w:gridSpan w:val="2"/>
            <w:vMerge w:val="continue"/>
            <w:tcBorders>
              <w:left w:val="single" w:color="auto" w:sz="4" w:space="0"/>
              <w:right w:val="single" w:color="auto" w:sz="4" w:space="0"/>
            </w:tcBorders>
            <w:noWrap w:val="0"/>
            <w:vAlign w:val="center"/>
          </w:tcPr>
          <w:p>
            <w:pPr>
              <w:spacing w:line="280" w:lineRule="exact"/>
              <w:ind w:firstLine="352" w:firstLineChars="147"/>
              <w:rPr>
                <w:rFonts w:hint="eastAsia" w:ascii="仿宋_GB2312" w:hAnsi="宋体" w:eastAsia="仿宋_GB2312"/>
                <w:color w:val="auto"/>
                <w:sz w:val="24"/>
                <w:highlight w:val="none"/>
              </w:rPr>
            </w:pPr>
          </w:p>
        </w:tc>
        <w:tc>
          <w:tcPr>
            <w:tcW w:w="1559" w:type="dxa"/>
            <w:gridSpan w:val="2"/>
            <w:vMerge w:val="continue"/>
            <w:tcBorders>
              <w:left w:val="single" w:color="auto" w:sz="4" w:space="0"/>
            </w:tcBorders>
            <w:noWrap w:val="0"/>
            <w:vAlign w:val="center"/>
          </w:tcPr>
          <w:p>
            <w:pPr>
              <w:spacing w:line="280" w:lineRule="exact"/>
              <w:ind w:firstLine="352" w:firstLineChars="147"/>
              <w:rPr>
                <w:rFonts w:hint="eastAsia" w:ascii="仿宋_GB2312" w:hAnsi="宋体" w:eastAsia="仿宋_GB2312"/>
                <w:color w:val="auto"/>
                <w:sz w:val="24"/>
                <w:highlight w:val="none"/>
              </w:rPr>
            </w:pPr>
          </w:p>
        </w:tc>
        <w:tc>
          <w:tcPr>
            <w:tcW w:w="1417" w:type="dxa"/>
            <w:gridSpan w:val="2"/>
            <w:vMerge w:val="continue"/>
            <w:noWrap w:val="0"/>
            <w:vAlign w:val="center"/>
          </w:tcPr>
          <w:p>
            <w:pPr>
              <w:spacing w:line="280" w:lineRule="exact"/>
              <w:ind w:firstLine="354" w:firstLineChars="147"/>
              <w:rPr>
                <w:rFonts w:hint="eastAsia" w:ascii="仿宋_GB2312" w:hAnsi="宋体" w:eastAsia="仿宋_GB2312"/>
                <w:b/>
                <w:color w:val="auto"/>
                <w:sz w:val="24"/>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647" w:type="dxa"/>
            <w:noWrap w:val="0"/>
            <w:vAlign w:val="center"/>
          </w:tcPr>
          <w:p>
            <w:pPr>
              <w:spacing w:line="280" w:lineRule="exact"/>
              <w:rPr>
                <w:rFonts w:ascii="仿宋_GB2312" w:hAnsi="宋体" w:eastAsia="仿宋_GB2312"/>
                <w:color w:val="auto"/>
                <w:sz w:val="24"/>
                <w:highlight w:val="none"/>
              </w:rPr>
            </w:pPr>
            <w:r>
              <w:rPr>
                <w:rFonts w:ascii="仿宋_GB2312" w:hAnsi="宋体" w:eastAsia="仿宋_GB2312"/>
                <w:color w:val="auto"/>
                <w:sz w:val="24"/>
                <w:highlight w:val="none"/>
              </w:rPr>
              <w:t>4</w:t>
            </w:r>
          </w:p>
        </w:tc>
        <w:tc>
          <w:tcPr>
            <w:tcW w:w="1080" w:type="dxa"/>
            <w:tcBorders>
              <w:right w:val="single" w:color="auto" w:sz="4" w:space="0"/>
            </w:tcBorders>
            <w:noWrap w:val="0"/>
            <w:vAlign w:val="center"/>
          </w:tcPr>
          <w:p>
            <w:pPr>
              <w:pStyle w:val="507"/>
              <w:widowControl w:val="0"/>
              <w:ind w:firstLine="0" w:firstLineChars="0"/>
              <w:jc w:val="center"/>
              <w:rPr>
                <w:rFonts w:ascii="仿宋_GB2312" w:hAnsi="宋体" w:eastAsia="仿宋_GB2312"/>
                <w:color w:val="auto"/>
                <w:sz w:val="24"/>
                <w:highlight w:val="none"/>
              </w:rPr>
            </w:pPr>
            <w:r>
              <w:rPr>
                <w:rFonts w:hint="eastAsia" w:ascii="宋体" w:hAnsi="宋体"/>
                <w:color w:val="auto"/>
                <w:kern w:val="2"/>
                <w:sz w:val="20"/>
                <w:szCs w:val="20"/>
                <w:highlight w:val="none"/>
              </w:rPr>
              <w:t>车辆检测器</w:t>
            </w:r>
          </w:p>
        </w:tc>
        <w:tc>
          <w:tcPr>
            <w:tcW w:w="2776" w:type="dxa"/>
            <w:gridSpan w:val="3"/>
            <w:tcBorders>
              <w:left w:val="single" w:color="auto" w:sz="4" w:space="0"/>
            </w:tcBorders>
            <w:noWrap w:val="0"/>
            <w:vAlign w:val="top"/>
          </w:tcPr>
          <w:p>
            <w:pPr>
              <w:rPr>
                <w:rFonts w:ascii="仿宋_GB2312" w:hAnsi="宋体" w:eastAsia="仿宋_GB2312"/>
                <w:color w:val="auto"/>
                <w:sz w:val="24"/>
                <w:highlight w:val="none"/>
              </w:rPr>
            </w:pPr>
            <w:r>
              <w:rPr>
                <w:rFonts w:hint="eastAsia" w:ascii="宋体" w:hAnsi="宋体"/>
                <w:color w:val="auto"/>
                <w:sz w:val="20"/>
                <w:szCs w:val="20"/>
                <w:highlight w:val="none"/>
              </w:rPr>
              <w:t>电感量自调谐范围20-1500uH,Q值≥5；灵敏度4级可调；频率范围20kHz-110kHz，4级可调；响应时间≤100ms；</w:t>
            </w:r>
          </w:p>
        </w:tc>
        <w:tc>
          <w:tcPr>
            <w:tcW w:w="850" w:type="dxa"/>
            <w:gridSpan w:val="2"/>
            <w:tcBorders>
              <w:right w:val="single" w:color="auto" w:sz="4" w:space="0"/>
            </w:tcBorders>
            <w:noWrap w:val="0"/>
            <w:vAlign w:val="center"/>
          </w:tcPr>
          <w:p>
            <w:pPr>
              <w:jc w:val="center"/>
              <w:rPr>
                <w:rFonts w:ascii="仿宋_GB2312" w:hAnsi="宋体" w:eastAsia="仿宋_GB2312"/>
                <w:color w:val="auto"/>
                <w:sz w:val="24"/>
                <w:highlight w:val="none"/>
              </w:rPr>
            </w:pPr>
            <w:r>
              <w:rPr>
                <w:rFonts w:hint="eastAsia" w:ascii="宋体" w:hAnsi="宋体"/>
                <w:color w:val="auto"/>
                <w:sz w:val="20"/>
                <w:szCs w:val="20"/>
                <w:highlight w:val="none"/>
              </w:rPr>
              <w:t>2</w:t>
            </w:r>
          </w:p>
        </w:tc>
        <w:tc>
          <w:tcPr>
            <w:tcW w:w="851" w:type="dxa"/>
            <w:gridSpan w:val="2"/>
            <w:vMerge w:val="continue"/>
            <w:tcBorders>
              <w:left w:val="single" w:color="auto" w:sz="4" w:space="0"/>
              <w:right w:val="single" w:color="auto" w:sz="4" w:space="0"/>
            </w:tcBorders>
            <w:noWrap w:val="0"/>
            <w:vAlign w:val="center"/>
          </w:tcPr>
          <w:p>
            <w:pPr>
              <w:spacing w:line="280" w:lineRule="exact"/>
              <w:ind w:firstLine="352" w:firstLineChars="147"/>
              <w:rPr>
                <w:rFonts w:hint="eastAsia" w:ascii="仿宋_GB2312" w:hAnsi="宋体" w:eastAsia="仿宋_GB2312"/>
                <w:color w:val="auto"/>
                <w:sz w:val="24"/>
                <w:highlight w:val="none"/>
              </w:rPr>
            </w:pPr>
          </w:p>
        </w:tc>
        <w:tc>
          <w:tcPr>
            <w:tcW w:w="1559" w:type="dxa"/>
            <w:gridSpan w:val="2"/>
            <w:vMerge w:val="continue"/>
            <w:tcBorders>
              <w:left w:val="single" w:color="auto" w:sz="4" w:space="0"/>
            </w:tcBorders>
            <w:noWrap w:val="0"/>
            <w:vAlign w:val="center"/>
          </w:tcPr>
          <w:p>
            <w:pPr>
              <w:spacing w:line="280" w:lineRule="exact"/>
              <w:ind w:firstLine="352" w:firstLineChars="147"/>
              <w:rPr>
                <w:rFonts w:hint="eastAsia" w:ascii="仿宋_GB2312" w:hAnsi="宋体" w:eastAsia="仿宋_GB2312"/>
                <w:color w:val="auto"/>
                <w:sz w:val="24"/>
                <w:highlight w:val="none"/>
              </w:rPr>
            </w:pPr>
          </w:p>
        </w:tc>
        <w:tc>
          <w:tcPr>
            <w:tcW w:w="1417" w:type="dxa"/>
            <w:gridSpan w:val="2"/>
            <w:vMerge w:val="continue"/>
            <w:noWrap w:val="0"/>
            <w:vAlign w:val="center"/>
          </w:tcPr>
          <w:p>
            <w:pPr>
              <w:spacing w:line="280" w:lineRule="exact"/>
              <w:ind w:firstLine="354" w:firstLineChars="147"/>
              <w:rPr>
                <w:rFonts w:hint="eastAsia" w:ascii="仿宋_GB2312" w:hAnsi="宋体" w:eastAsia="仿宋_GB2312"/>
                <w:b/>
                <w:color w:val="auto"/>
                <w:sz w:val="24"/>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647" w:type="dxa"/>
            <w:noWrap w:val="0"/>
            <w:vAlign w:val="center"/>
          </w:tcPr>
          <w:p>
            <w:pPr>
              <w:spacing w:line="280" w:lineRule="exact"/>
              <w:rPr>
                <w:rFonts w:ascii="仿宋_GB2312" w:hAnsi="宋体" w:eastAsia="仿宋_GB2312"/>
                <w:color w:val="auto"/>
                <w:sz w:val="24"/>
                <w:highlight w:val="none"/>
              </w:rPr>
            </w:pPr>
            <w:r>
              <w:rPr>
                <w:rFonts w:ascii="仿宋_GB2312" w:hAnsi="宋体" w:eastAsia="仿宋_GB2312"/>
                <w:color w:val="auto"/>
                <w:sz w:val="24"/>
                <w:highlight w:val="none"/>
              </w:rPr>
              <w:t>5</w:t>
            </w:r>
          </w:p>
        </w:tc>
        <w:tc>
          <w:tcPr>
            <w:tcW w:w="1080" w:type="dxa"/>
            <w:tcBorders>
              <w:right w:val="single" w:color="auto" w:sz="4" w:space="0"/>
            </w:tcBorders>
            <w:noWrap w:val="0"/>
            <w:vAlign w:val="center"/>
          </w:tcPr>
          <w:p>
            <w:pPr>
              <w:pStyle w:val="507"/>
              <w:widowControl w:val="0"/>
              <w:ind w:firstLine="0" w:firstLineChars="0"/>
              <w:jc w:val="center"/>
              <w:rPr>
                <w:rFonts w:ascii="仿宋_GB2312" w:hAnsi="宋体" w:eastAsia="仿宋_GB2312"/>
                <w:color w:val="auto"/>
                <w:sz w:val="24"/>
                <w:highlight w:val="none"/>
              </w:rPr>
            </w:pPr>
            <w:r>
              <w:rPr>
                <w:rFonts w:hint="eastAsia" w:ascii="宋体" w:hAnsi="宋体"/>
                <w:color w:val="auto"/>
                <w:kern w:val="2"/>
                <w:sz w:val="20"/>
                <w:szCs w:val="20"/>
                <w:highlight w:val="none"/>
              </w:rPr>
              <w:t>电荷放大器</w:t>
            </w:r>
          </w:p>
        </w:tc>
        <w:tc>
          <w:tcPr>
            <w:tcW w:w="2776" w:type="dxa"/>
            <w:gridSpan w:val="3"/>
            <w:tcBorders>
              <w:left w:val="single" w:color="auto" w:sz="4" w:space="0"/>
            </w:tcBorders>
            <w:noWrap w:val="0"/>
            <w:vAlign w:val="top"/>
          </w:tcPr>
          <w:p>
            <w:pPr>
              <w:rPr>
                <w:rFonts w:ascii="仿宋_GB2312" w:hAnsi="宋体" w:eastAsia="仿宋_GB2312"/>
                <w:color w:val="auto"/>
                <w:sz w:val="24"/>
                <w:highlight w:val="none"/>
              </w:rPr>
            </w:pPr>
            <w:r>
              <w:rPr>
                <w:rFonts w:hint="eastAsia" w:ascii="宋体" w:hAnsi="宋体"/>
                <w:color w:val="auto"/>
                <w:sz w:val="20"/>
                <w:szCs w:val="20"/>
                <w:highlight w:val="none"/>
              </w:rPr>
              <w:t>测量范围：60,000pC；测量误差：&lt;1%；输出电压：±5V；输出电流：±2mA；输出阻抗：&lt;100Ω；输出干扰信号：&lt;3mVpp；频响范围：0.0016～10kHz；时间常数：≥1000s；电流消耗：&lt;25mA；工作温度范围：-45℃～+60℃；防护等级：IP64；</w:t>
            </w:r>
          </w:p>
        </w:tc>
        <w:tc>
          <w:tcPr>
            <w:tcW w:w="850" w:type="dxa"/>
            <w:gridSpan w:val="2"/>
            <w:tcBorders>
              <w:right w:val="single" w:color="auto" w:sz="4" w:space="0"/>
            </w:tcBorders>
            <w:noWrap w:val="0"/>
            <w:vAlign w:val="center"/>
          </w:tcPr>
          <w:p>
            <w:pPr>
              <w:jc w:val="center"/>
              <w:rPr>
                <w:rFonts w:ascii="仿宋_GB2312" w:hAnsi="宋体" w:eastAsia="仿宋_GB2312"/>
                <w:color w:val="auto"/>
                <w:sz w:val="24"/>
                <w:highlight w:val="none"/>
              </w:rPr>
            </w:pPr>
            <w:r>
              <w:rPr>
                <w:rFonts w:hint="eastAsia" w:ascii="宋体" w:hAnsi="宋体"/>
                <w:color w:val="auto"/>
                <w:sz w:val="20"/>
                <w:szCs w:val="20"/>
                <w:highlight w:val="none"/>
              </w:rPr>
              <w:t>2</w:t>
            </w:r>
          </w:p>
        </w:tc>
        <w:tc>
          <w:tcPr>
            <w:tcW w:w="851" w:type="dxa"/>
            <w:gridSpan w:val="2"/>
            <w:vMerge w:val="continue"/>
            <w:tcBorders>
              <w:left w:val="single" w:color="auto" w:sz="4" w:space="0"/>
              <w:right w:val="single" w:color="auto" w:sz="4" w:space="0"/>
            </w:tcBorders>
            <w:noWrap w:val="0"/>
            <w:vAlign w:val="center"/>
          </w:tcPr>
          <w:p>
            <w:pPr>
              <w:spacing w:line="280" w:lineRule="exact"/>
              <w:ind w:firstLine="352" w:firstLineChars="147"/>
              <w:rPr>
                <w:rFonts w:hint="eastAsia" w:ascii="仿宋_GB2312" w:hAnsi="宋体" w:eastAsia="仿宋_GB2312"/>
                <w:color w:val="auto"/>
                <w:sz w:val="24"/>
                <w:highlight w:val="none"/>
              </w:rPr>
            </w:pPr>
          </w:p>
        </w:tc>
        <w:tc>
          <w:tcPr>
            <w:tcW w:w="1559" w:type="dxa"/>
            <w:gridSpan w:val="2"/>
            <w:vMerge w:val="continue"/>
            <w:tcBorders>
              <w:left w:val="single" w:color="auto" w:sz="4" w:space="0"/>
            </w:tcBorders>
            <w:noWrap w:val="0"/>
            <w:vAlign w:val="center"/>
          </w:tcPr>
          <w:p>
            <w:pPr>
              <w:spacing w:line="280" w:lineRule="exact"/>
              <w:ind w:firstLine="352" w:firstLineChars="147"/>
              <w:rPr>
                <w:rFonts w:hint="eastAsia" w:ascii="仿宋_GB2312" w:hAnsi="宋体" w:eastAsia="仿宋_GB2312"/>
                <w:color w:val="auto"/>
                <w:sz w:val="24"/>
                <w:highlight w:val="none"/>
              </w:rPr>
            </w:pPr>
          </w:p>
        </w:tc>
        <w:tc>
          <w:tcPr>
            <w:tcW w:w="1417" w:type="dxa"/>
            <w:gridSpan w:val="2"/>
            <w:vMerge w:val="continue"/>
            <w:noWrap w:val="0"/>
            <w:vAlign w:val="center"/>
          </w:tcPr>
          <w:p>
            <w:pPr>
              <w:spacing w:line="280" w:lineRule="exact"/>
              <w:ind w:firstLine="354" w:firstLineChars="147"/>
              <w:rPr>
                <w:rFonts w:hint="eastAsia" w:ascii="仿宋_GB2312" w:hAnsi="宋体" w:eastAsia="仿宋_GB2312"/>
                <w:b/>
                <w:color w:val="auto"/>
                <w:sz w:val="24"/>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647" w:type="dxa"/>
            <w:noWrap w:val="0"/>
            <w:vAlign w:val="center"/>
          </w:tcPr>
          <w:p>
            <w:pPr>
              <w:spacing w:line="280" w:lineRule="exact"/>
              <w:rPr>
                <w:rFonts w:ascii="仿宋_GB2312" w:hAnsi="宋体" w:eastAsia="仿宋_GB2312"/>
                <w:color w:val="auto"/>
                <w:sz w:val="24"/>
                <w:highlight w:val="none"/>
              </w:rPr>
            </w:pPr>
            <w:r>
              <w:rPr>
                <w:rFonts w:ascii="仿宋_GB2312" w:hAnsi="宋体" w:eastAsia="仿宋_GB2312"/>
                <w:color w:val="auto"/>
                <w:sz w:val="24"/>
                <w:highlight w:val="none"/>
              </w:rPr>
              <w:t>6</w:t>
            </w:r>
          </w:p>
        </w:tc>
        <w:tc>
          <w:tcPr>
            <w:tcW w:w="1080" w:type="dxa"/>
            <w:tcBorders>
              <w:right w:val="single" w:color="auto" w:sz="4" w:space="0"/>
            </w:tcBorders>
            <w:noWrap w:val="0"/>
            <w:vAlign w:val="center"/>
          </w:tcPr>
          <w:p>
            <w:pPr>
              <w:pStyle w:val="507"/>
              <w:widowControl w:val="0"/>
              <w:ind w:firstLine="0" w:firstLineChars="0"/>
              <w:jc w:val="center"/>
              <w:rPr>
                <w:rFonts w:ascii="仿宋_GB2312" w:hAnsi="宋体" w:eastAsia="仿宋_GB2312"/>
                <w:color w:val="auto"/>
                <w:sz w:val="24"/>
                <w:highlight w:val="none"/>
              </w:rPr>
            </w:pPr>
            <w:r>
              <w:rPr>
                <w:rFonts w:hint="eastAsia" w:ascii="宋体" w:hAnsi="宋体"/>
                <w:color w:val="auto"/>
                <w:kern w:val="2"/>
                <w:sz w:val="20"/>
                <w:szCs w:val="20"/>
                <w:highlight w:val="none"/>
              </w:rPr>
              <w:t>高速动态称重控制器</w:t>
            </w:r>
          </w:p>
        </w:tc>
        <w:tc>
          <w:tcPr>
            <w:tcW w:w="2776" w:type="dxa"/>
            <w:gridSpan w:val="3"/>
            <w:tcBorders>
              <w:left w:val="single" w:color="auto" w:sz="4" w:space="0"/>
            </w:tcBorders>
            <w:noWrap w:val="0"/>
            <w:vAlign w:val="top"/>
          </w:tcPr>
          <w:p>
            <w:pPr>
              <w:rPr>
                <w:rFonts w:ascii="仿宋_GB2312" w:hAnsi="宋体" w:eastAsia="仿宋_GB2312"/>
                <w:color w:val="auto"/>
                <w:sz w:val="24"/>
                <w:highlight w:val="none"/>
              </w:rPr>
            </w:pPr>
            <w:r>
              <w:rPr>
                <w:rFonts w:hint="eastAsia" w:ascii="宋体" w:hAnsi="宋体"/>
                <w:color w:val="auto"/>
                <w:sz w:val="20"/>
                <w:szCs w:val="20"/>
                <w:highlight w:val="none"/>
              </w:rPr>
              <w:t>液晶显示屏实时显示传感器运行情况;自动采集车辆载荷信息，经程序运算出路面承受的车轮载荷参数及车辆轴距、轴数、车速等参数；对正常通过车辆进行监测，不影响道路通行能力；平均无故障时间：MTBF≥20000h；信号传输方式：RS422/RS232/RS485多种接口实时传输；电源：AC220V±10%，50Hz±1Hz；工作温度：-45℃～+80℃；湿度：0～95%；</w:t>
            </w:r>
          </w:p>
        </w:tc>
        <w:tc>
          <w:tcPr>
            <w:tcW w:w="850" w:type="dxa"/>
            <w:gridSpan w:val="2"/>
            <w:tcBorders>
              <w:right w:val="single" w:color="auto" w:sz="4" w:space="0"/>
            </w:tcBorders>
            <w:noWrap w:val="0"/>
            <w:vAlign w:val="center"/>
          </w:tcPr>
          <w:p>
            <w:pPr>
              <w:jc w:val="center"/>
              <w:rPr>
                <w:rFonts w:ascii="仿宋_GB2312" w:hAnsi="宋体" w:eastAsia="仿宋_GB2312"/>
                <w:color w:val="auto"/>
                <w:sz w:val="24"/>
                <w:highlight w:val="none"/>
              </w:rPr>
            </w:pPr>
            <w:r>
              <w:rPr>
                <w:rFonts w:hint="eastAsia" w:ascii="宋体" w:hAnsi="宋体"/>
                <w:color w:val="auto"/>
                <w:sz w:val="20"/>
                <w:szCs w:val="20"/>
                <w:highlight w:val="none"/>
              </w:rPr>
              <w:t>1</w:t>
            </w:r>
          </w:p>
        </w:tc>
        <w:tc>
          <w:tcPr>
            <w:tcW w:w="851" w:type="dxa"/>
            <w:gridSpan w:val="2"/>
            <w:vMerge w:val="continue"/>
            <w:tcBorders>
              <w:left w:val="single" w:color="auto" w:sz="4" w:space="0"/>
              <w:right w:val="single" w:color="auto" w:sz="4" w:space="0"/>
            </w:tcBorders>
            <w:noWrap w:val="0"/>
            <w:vAlign w:val="center"/>
          </w:tcPr>
          <w:p>
            <w:pPr>
              <w:spacing w:line="280" w:lineRule="exact"/>
              <w:ind w:firstLine="352" w:firstLineChars="147"/>
              <w:rPr>
                <w:rFonts w:hint="eastAsia" w:ascii="仿宋_GB2312" w:hAnsi="宋体" w:eastAsia="仿宋_GB2312"/>
                <w:color w:val="auto"/>
                <w:sz w:val="24"/>
                <w:highlight w:val="none"/>
              </w:rPr>
            </w:pPr>
          </w:p>
        </w:tc>
        <w:tc>
          <w:tcPr>
            <w:tcW w:w="1559" w:type="dxa"/>
            <w:gridSpan w:val="2"/>
            <w:vMerge w:val="continue"/>
            <w:tcBorders>
              <w:left w:val="single" w:color="auto" w:sz="4" w:space="0"/>
            </w:tcBorders>
            <w:noWrap w:val="0"/>
            <w:vAlign w:val="center"/>
          </w:tcPr>
          <w:p>
            <w:pPr>
              <w:spacing w:line="280" w:lineRule="exact"/>
              <w:ind w:firstLine="352" w:firstLineChars="147"/>
              <w:rPr>
                <w:rFonts w:hint="eastAsia" w:ascii="仿宋_GB2312" w:hAnsi="宋体" w:eastAsia="仿宋_GB2312"/>
                <w:color w:val="auto"/>
                <w:sz w:val="24"/>
                <w:highlight w:val="none"/>
              </w:rPr>
            </w:pPr>
          </w:p>
        </w:tc>
        <w:tc>
          <w:tcPr>
            <w:tcW w:w="1417" w:type="dxa"/>
            <w:gridSpan w:val="2"/>
            <w:vMerge w:val="continue"/>
            <w:noWrap w:val="0"/>
            <w:vAlign w:val="center"/>
          </w:tcPr>
          <w:p>
            <w:pPr>
              <w:spacing w:line="280" w:lineRule="exact"/>
              <w:ind w:firstLine="354" w:firstLineChars="147"/>
              <w:rPr>
                <w:rFonts w:hint="eastAsia" w:ascii="仿宋_GB2312" w:hAnsi="宋体" w:eastAsia="仿宋_GB2312"/>
                <w:b/>
                <w:color w:val="auto"/>
                <w:sz w:val="24"/>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647" w:type="dxa"/>
            <w:noWrap w:val="0"/>
            <w:vAlign w:val="center"/>
          </w:tcPr>
          <w:p>
            <w:pPr>
              <w:spacing w:line="280" w:lineRule="exact"/>
              <w:rPr>
                <w:rFonts w:ascii="仿宋_GB2312" w:hAnsi="宋体" w:eastAsia="仿宋_GB2312"/>
                <w:color w:val="auto"/>
                <w:sz w:val="24"/>
                <w:highlight w:val="none"/>
              </w:rPr>
            </w:pPr>
            <w:r>
              <w:rPr>
                <w:rFonts w:ascii="仿宋_GB2312" w:hAnsi="宋体" w:eastAsia="仿宋_GB2312"/>
                <w:color w:val="auto"/>
                <w:sz w:val="24"/>
                <w:highlight w:val="none"/>
              </w:rPr>
              <w:t>7</w:t>
            </w:r>
          </w:p>
        </w:tc>
        <w:tc>
          <w:tcPr>
            <w:tcW w:w="1080" w:type="dxa"/>
            <w:tcBorders>
              <w:right w:val="single" w:color="auto" w:sz="4" w:space="0"/>
            </w:tcBorders>
            <w:noWrap w:val="0"/>
            <w:vAlign w:val="center"/>
          </w:tcPr>
          <w:p>
            <w:pPr>
              <w:pStyle w:val="507"/>
              <w:widowControl w:val="0"/>
              <w:ind w:firstLine="0" w:firstLineChars="0"/>
              <w:jc w:val="center"/>
              <w:rPr>
                <w:rFonts w:ascii="仿宋_GB2312" w:hAnsi="宋体" w:eastAsia="仿宋_GB2312"/>
                <w:color w:val="auto"/>
                <w:sz w:val="24"/>
                <w:highlight w:val="none"/>
              </w:rPr>
            </w:pPr>
            <w:r>
              <w:rPr>
                <w:rFonts w:hint="eastAsia" w:ascii="宋体" w:hAnsi="宋体"/>
                <w:color w:val="auto"/>
                <w:kern w:val="2"/>
                <w:sz w:val="20"/>
                <w:szCs w:val="20"/>
                <w:highlight w:val="none"/>
              </w:rPr>
              <w:t>工业级交换机</w:t>
            </w:r>
          </w:p>
        </w:tc>
        <w:tc>
          <w:tcPr>
            <w:tcW w:w="2776" w:type="dxa"/>
            <w:gridSpan w:val="3"/>
            <w:tcBorders>
              <w:left w:val="single" w:color="auto" w:sz="4" w:space="0"/>
            </w:tcBorders>
            <w:noWrap w:val="0"/>
            <w:vAlign w:val="top"/>
          </w:tcPr>
          <w:p>
            <w:pPr>
              <w:rPr>
                <w:rFonts w:ascii="仿宋_GB2312" w:hAnsi="宋体" w:eastAsia="仿宋_GB2312"/>
                <w:color w:val="auto"/>
                <w:sz w:val="24"/>
                <w:highlight w:val="none"/>
              </w:rPr>
            </w:pPr>
          </w:p>
        </w:tc>
        <w:tc>
          <w:tcPr>
            <w:tcW w:w="850" w:type="dxa"/>
            <w:gridSpan w:val="2"/>
            <w:tcBorders>
              <w:right w:val="single" w:color="auto" w:sz="4" w:space="0"/>
            </w:tcBorders>
            <w:noWrap w:val="0"/>
            <w:vAlign w:val="center"/>
          </w:tcPr>
          <w:p>
            <w:pPr>
              <w:jc w:val="center"/>
              <w:rPr>
                <w:rFonts w:ascii="仿宋_GB2312" w:hAnsi="宋体" w:eastAsia="仿宋_GB2312"/>
                <w:color w:val="auto"/>
                <w:sz w:val="24"/>
                <w:highlight w:val="none"/>
              </w:rPr>
            </w:pPr>
            <w:r>
              <w:rPr>
                <w:rFonts w:hint="eastAsia" w:ascii="宋体" w:hAnsi="宋体"/>
                <w:color w:val="auto"/>
                <w:szCs w:val="21"/>
                <w:highlight w:val="none"/>
              </w:rPr>
              <w:t>2台, 利旧1台</w:t>
            </w:r>
          </w:p>
        </w:tc>
        <w:tc>
          <w:tcPr>
            <w:tcW w:w="851" w:type="dxa"/>
            <w:gridSpan w:val="2"/>
            <w:vMerge w:val="continue"/>
            <w:tcBorders>
              <w:left w:val="single" w:color="auto" w:sz="4" w:space="0"/>
              <w:right w:val="single" w:color="auto" w:sz="4" w:space="0"/>
            </w:tcBorders>
            <w:noWrap w:val="0"/>
            <w:vAlign w:val="center"/>
          </w:tcPr>
          <w:p>
            <w:pPr>
              <w:spacing w:line="280" w:lineRule="exact"/>
              <w:ind w:firstLine="352" w:firstLineChars="147"/>
              <w:rPr>
                <w:rFonts w:hint="eastAsia" w:ascii="仿宋_GB2312" w:hAnsi="宋体" w:eastAsia="仿宋_GB2312"/>
                <w:color w:val="auto"/>
                <w:sz w:val="24"/>
                <w:highlight w:val="none"/>
              </w:rPr>
            </w:pPr>
          </w:p>
        </w:tc>
        <w:tc>
          <w:tcPr>
            <w:tcW w:w="1559" w:type="dxa"/>
            <w:gridSpan w:val="2"/>
            <w:vMerge w:val="continue"/>
            <w:tcBorders>
              <w:left w:val="single" w:color="auto" w:sz="4" w:space="0"/>
            </w:tcBorders>
            <w:noWrap w:val="0"/>
            <w:vAlign w:val="center"/>
          </w:tcPr>
          <w:p>
            <w:pPr>
              <w:spacing w:line="280" w:lineRule="exact"/>
              <w:ind w:firstLine="352" w:firstLineChars="147"/>
              <w:rPr>
                <w:rFonts w:hint="eastAsia" w:ascii="仿宋_GB2312" w:hAnsi="宋体" w:eastAsia="仿宋_GB2312"/>
                <w:color w:val="auto"/>
                <w:sz w:val="24"/>
                <w:highlight w:val="none"/>
              </w:rPr>
            </w:pPr>
          </w:p>
        </w:tc>
        <w:tc>
          <w:tcPr>
            <w:tcW w:w="1417" w:type="dxa"/>
            <w:gridSpan w:val="2"/>
            <w:vMerge w:val="continue"/>
            <w:noWrap w:val="0"/>
            <w:vAlign w:val="center"/>
          </w:tcPr>
          <w:p>
            <w:pPr>
              <w:spacing w:line="280" w:lineRule="exact"/>
              <w:ind w:firstLine="354" w:firstLineChars="147"/>
              <w:rPr>
                <w:rFonts w:hint="eastAsia" w:ascii="仿宋_GB2312" w:hAnsi="宋体" w:eastAsia="仿宋_GB2312"/>
                <w:b/>
                <w:color w:val="auto"/>
                <w:sz w:val="24"/>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647" w:type="dxa"/>
            <w:noWrap w:val="0"/>
            <w:vAlign w:val="center"/>
          </w:tcPr>
          <w:p>
            <w:pPr>
              <w:spacing w:line="280" w:lineRule="exact"/>
              <w:rPr>
                <w:rFonts w:ascii="仿宋_GB2312" w:hAnsi="宋体" w:eastAsia="仿宋_GB2312"/>
                <w:color w:val="auto"/>
                <w:sz w:val="24"/>
                <w:highlight w:val="none"/>
              </w:rPr>
            </w:pPr>
            <w:r>
              <w:rPr>
                <w:rFonts w:ascii="仿宋_GB2312" w:hAnsi="宋体" w:eastAsia="仿宋_GB2312"/>
                <w:color w:val="auto"/>
                <w:sz w:val="24"/>
                <w:highlight w:val="none"/>
              </w:rPr>
              <w:t>8</w:t>
            </w:r>
          </w:p>
        </w:tc>
        <w:tc>
          <w:tcPr>
            <w:tcW w:w="1080" w:type="dxa"/>
            <w:tcBorders>
              <w:right w:val="single" w:color="auto" w:sz="4" w:space="0"/>
            </w:tcBorders>
            <w:noWrap w:val="0"/>
            <w:vAlign w:val="center"/>
          </w:tcPr>
          <w:p>
            <w:pPr>
              <w:pStyle w:val="507"/>
              <w:widowControl w:val="0"/>
              <w:ind w:firstLine="0" w:firstLineChars="0"/>
              <w:jc w:val="center"/>
              <w:rPr>
                <w:rFonts w:ascii="仿宋_GB2312" w:hAnsi="宋体" w:eastAsia="仿宋_GB2312"/>
                <w:color w:val="auto"/>
                <w:sz w:val="24"/>
                <w:highlight w:val="none"/>
              </w:rPr>
            </w:pPr>
            <w:r>
              <w:rPr>
                <w:rFonts w:hint="eastAsia" w:ascii="宋体" w:hAnsi="宋体"/>
                <w:color w:val="auto"/>
                <w:kern w:val="2"/>
                <w:sz w:val="20"/>
                <w:szCs w:val="20"/>
                <w:highlight w:val="none"/>
              </w:rPr>
              <w:t>车牌识别抓拍摄像机(700W)</w:t>
            </w:r>
          </w:p>
        </w:tc>
        <w:tc>
          <w:tcPr>
            <w:tcW w:w="2776" w:type="dxa"/>
            <w:gridSpan w:val="3"/>
            <w:tcBorders>
              <w:left w:val="single" w:color="auto" w:sz="4" w:space="0"/>
            </w:tcBorders>
            <w:noWrap w:val="0"/>
            <w:vAlign w:val="top"/>
          </w:tcPr>
          <w:p>
            <w:pPr>
              <w:rPr>
                <w:rFonts w:ascii="仿宋_GB2312" w:hAnsi="宋体" w:eastAsia="仿宋_GB2312"/>
                <w:color w:val="auto"/>
                <w:sz w:val="24"/>
                <w:highlight w:val="none"/>
              </w:rPr>
            </w:pPr>
          </w:p>
        </w:tc>
        <w:tc>
          <w:tcPr>
            <w:tcW w:w="850" w:type="dxa"/>
            <w:gridSpan w:val="2"/>
            <w:tcBorders>
              <w:right w:val="single" w:color="auto" w:sz="4" w:space="0"/>
            </w:tcBorders>
            <w:noWrap w:val="0"/>
            <w:vAlign w:val="center"/>
          </w:tcPr>
          <w:p>
            <w:pPr>
              <w:jc w:val="center"/>
              <w:rPr>
                <w:rFonts w:ascii="仿宋_GB2312" w:hAnsi="宋体" w:eastAsia="仿宋_GB2312"/>
                <w:color w:val="auto"/>
                <w:sz w:val="24"/>
                <w:highlight w:val="none"/>
              </w:rPr>
            </w:pPr>
            <w:r>
              <w:rPr>
                <w:rFonts w:hint="eastAsia" w:ascii="宋体" w:hAnsi="宋体"/>
                <w:color w:val="auto"/>
                <w:sz w:val="20"/>
                <w:szCs w:val="20"/>
                <w:highlight w:val="none"/>
              </w:rPr>
              <w:t>4</w:t>
            </w:r>
          </w:p>
        </w:tc>
        <w:tc>
          <w:tcPr>
            <w:tcW w:w="851" w:type="dxa"/>
            <w:gridSpan w:val="2"/>
            <w:vMerge w:val="continue"/>
            <w:tcBorders>
              <w:left w:val="single" w:color="auto" w:sz="4" w:space="0"/>
              <w:right w:val="single" w:color="auto" w:sz="4" w:space="0"/>
            </w:tcBorders>
            <w:noWrap w:val="0"/>
            <w:vAlign w:val="center"/>
          </w:tcPr>
          <w:p>
            <w:pPr>
              <w:spacing w:line="280" w:lineRule="exact"/>
              <w:ind w:firstLine="352" w:firstLineChars="147"/>
              <w:rPr>
                <w:rFonts w:hint="eastAsia" w:ascii="仿宋_GB2312" w:hAnsi="宋体" w:eastAsia="仿宋_GB2312"/>
                <w:color w:val="auto"/>
                <w:sz w:val="24"/>
                <w:highlight w:val="none"/>
              </w:rPr>
            </w:pPr>
          </w:p>
        </w:tc>
        <w:tc>
          <w:tcPr>
            <w:tcW w:w="1559" w:type="dxa"/>
            <w:gridSpan w:val="2"/>
            <w:vMerge w:val="continue"/>
            <w:tcBorders>
              <w:left w:val="single" w:color="auto" w:sz="4" w:space="0"/>
            </w:tcBorders>
            <w:noWrap w:val="0"/>
            <w:vAlign w:val="center"/>
          </w:tcPr>
          <w:p>
            <w:pPr>
              <w:spacing w:line="280" w:lineRule="exact"/>
              <w:ind w:firstLine="352" w:firstLineChars="147"/>
              <w:rPr>
                <w:rFonts w:hint="eastAsia" w:ascii="仿宋_GB2312" w:hAnsi="宋体" w:eastAsia="仿宋_GB2312"/>
                <w:color w:val="auto"/>
                <w:sz w:val="24"/>
                <w:highlight w:val="none"/>
              </w:rPr>
            </w:pPr>
          </w:p>
        </w:tc>
        <w:tc>
          <w:tcPr>
            <w:tcW w:w="1417" w:type="dxa"/>
            <w:gridSpan w:val="2"/>
            <w:vMerge w:val="continue"/>
            <w:noWrap w:val="0"/>
            <w:vAlign w:val="center"/>
          </w:tcPr>
          <w:p>
            <w:pPr>
              <w:spacing w:line="280" w:lineRule="exact"/>
              <w:ind w:firstLine="354" w:firstLineChars="147"/>
              <w:rPr>
                <w:rFonts w:hint="eastAsia" w:ascii="仿宋_GB2312" w:hAnsi="宋体" w:eastAsia="仿宋_GB2312"/>
                <w:b/>
                <w:color w:val="auto"/>
                <w:sz w:val="24"/>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647" w:type="dxa"/>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9</w:t>
            </w:r>
          </w:p>
        </w:tc>
        <w:tc>
          <w:tcPr>
            <w:tcW w:w="1080" w:type="dxa"/>
            <w:tcBorders>
              <w:right w:val="single" w:color="auto" w:sz="4" w:space="0"/>
            </w:tcBorders>
            <w:noWrap w:val="0"/>
            <w:vAlign w:val="center"/>
          </w:tcPr>
          <w:p>
            <w:pPr>
              <w:pStyle w:val="507"/>
              <w:widowControl w:val="0"/>
              <w:ind w:firstLine="0" w:firstLineChars="0"/>
              <w:jc w:val="center"/>
              <w:rPr>
                <w:rFonts w:ascii="仿宋_GB2312" w:hAnsi="宋体" w:eastAsia="仿宋_GB2312"/>
                <w:color w:val="auto"/>
                <w:sz w:val="24"/>
                <w:highlight w:val="none"/>
              </w:rPr>
            </w:pPr>
            <w:r>
              <w:rPr>
                <w:rFonts w:hint="eastAsia" w:ascii="宋体" w:hAnsi="宋体"/>
                <w:color w:val="auto"/>
                <w:kern w:val="2"/>
                <w:sz w:val="20"/>
                <w:szCs w:val="20"/>
                <w:highlight w:val="none"/>
              </w:rPr>
              <w:t>补光灯</w:t>
            </w:r>
          </w:p>
        </w:tc>
        <w:tc>
          <w:tcPr>
            <w:tcW w:w="2776" w:type="dxa"/>
            <w:gridSpan w:val="3"/>
            <w:tcBorders>
              <w:left w:val="single" w:color="auto" w:sz="4" w:space="0"/>
            </w:tcBorders>
            <w:noWrap w:val="0"/>
            <w:vAlign w:val="top"/>
          </w:tcPr>
          <w:p>
            <w:pPr>
              <w:rPr>
                <w:rFonts w:ascii="仿宋_GB2312" w:hAnsi="宋体" w:eastAsia="仿宋_GB2312"/>
                <w:color w:val="auto"/>
                <w:sz w:val="24"/>
                <w:highlight w:val="none"/>
              </w:rPr>
            </w:pPr>
            <w:r>
              <w:rPr>
                <w:rFonts w:hint="eastAsia" w:ascii="宋体" w:hAnsi="宋体"/>
                <w:color w:val="auto"/>
                <w:sz w:val="20"/>
                <w:szCs w:val="20"/>
                <w:highlight w:val="none"/>
              </w:rPr>
              <w:t>补光范围主光面半径9-12米，距离20米，工作温度-40℃~+70℃，平均功耗35W，使用寿命＞50000小时，防护等级IP66</w:t>
            </w:r>
          </w:p>
        </w:tc>
        <w:tc>
          <w:tcPr>
            <w:tcW w:w="850" w:type="dxa"/>
            <w:gridSpan w:val="2"/>
            <w:tcBorders>
              <w:right w:val="single" w:color="auto" w:sz="4" w:space="0"/>
            </w:tcBorders>
            <w:noWrap w:val="0"/>
            <w:vAlign w:val="center"/>
          </w:tcPr>
          <w:p>
            <w:pPr>
              <w:jc w:val="center"/>
              <w:rPr>
                <w:rFonts w:ascii="仿宋_GB2312" w:hAnsi="宋体" w:eastAsia="仿宋_GB2312"/>
                <w:color w:val="auto"/>
                <w:sz w:val="24"/>
                <w:highlight w:val="none"/>
              </w:rPr>
            </w:pPr>
            <w:r>
              <w:rPr>
                <w:rFonts w:hint="eastAsia" w:ascii="宋体" w:hAnsi="宋体"/>
                <w:color w:val="auto"/>
                <w:sz w:val="20"/>
                <w:szCs w:val="20"/>
                <w:highlight w:val="none"/>
              </w:rPr>
              <w:t>6</w:t>
            </w:r>
          </w:p>
        </w:tc>
        <w:tc>
          <w:tcPr>
            <w:tcW w:w="851" w:type="dxa"/>
            <w:gridSpan w:val="2"/>
            <w:vMerge w:val="continue"/>
            <w:tcBorders>
              <w:left w:val="single" w:color="auto" w:sz="4" w:space="0"/>
              <w:right w:val="single" w:color="auto" w:sz="4" w:space="0"/>
            </w:tcBorders>
            <w:noWrap w:val="0"/>
            <w:vAlign w:val="center"/>
          </w:tcPr>
          <w:p>
            <w:pPr>
              <w:spacing w:line="280" w:lineRule="exact"/>
              <w:ind w:firstLine="352" w:firstLineChars="147"/>
              <w:rPr>
                <w:rFonts w:hint="eastAsia" w:ascii="仿宋_GB2312" w:hAnsi="宋体" w:eastAsia="仿宋_GB2312"/>
                <w:color w:val="auto"/>
                <w:sz w:val="24"/>
                <w:highlight w:val="none"/>
              </w:rPr>
            </w:pPr>
          </w:p>
        </w:tc>
        <w:tc>
          <w:tcPr>
            <w:tcW w:w="1559" w:type="dxa"/>
            <w:gridSpan w:val="2"/>
            <w:vMerge w:val="continue"/>
            <w:tcBorders>
              <w:left w:val="single" w:color="auto" w:sz="4" w:space="0"/>
            </w:tcBorders>
            <w:noWrap w:val="0"/>
            <w:vAlign w:val="center"/>
          </w:tcPr>
          <w:p>
            <w:pPr>
              <w:spacing w:line="280" w:lineRule="exact"/>
              <w:ind w:firstLine="352" w:firstLineChars="147"/>
              <w:rPr>
                <w:rFonts w:hint="eastAsia" w:ascii="仿宋_GB2312" w:hAnsi="宋体" w:eastAsia="仿宋_GB2312"/>
                <w:color w:val="auto"/>
                <w:sz w:val="24"/>
                <w:highlight w:val="none"/>
              </w:rPr>
            </w:pPr>
          </w:p>
        </w:tc>
        <w:tc>
          <w:tcPr>
            <w:tcW w:w="1417" w:type="dxa"/>
            <w:gridSpan w:val="2"/>
            <w:vMerge w:val="continue"/>
            <w:noWrap w:val="0"/>
            <w:vAlign w:val="center"/>
          </w:tcPr>
          <w:p>
            <w:pPr>
              <w:spacing w:line="280" w:lineRule="exact"/>
              <w:ind w:firstLine="354" w:firstLineChars="147"/>
              <w:rPr>
                <w:rFonts w:hint="eastAsia" w:ascii="仿宋_GB2312" w:hAnsi="宋体" w:eastAsia="仿宋_GB2312"/>
                <w:b/>
                <w:color w:val="auto"/>
                <w:sz w:val="24"/>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647" w:type="dxa"/>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10</w:t>
            </w:r>
          </w:p>
        </w:tc>
        <w:tc>
          <w:tcPr>
            <w:tcW w:w="1080" w:type="dxa"/>
            <w:tcBorders>
              <w:right w:val="single" w:color="auto" w:sz="4" w:space="0"/>
            </w:tcBorders>
            <w:noWrap w:val="0"/>
            <w:vAlign w:val="center"/>
          </w:tcPr>
          <w:p>
            <w:pPr>
              <w:pStyle w:val="507"/>
              <w:widowControl w:val="0"/>
              <w:ind w:firstLine="0" w:firstLineChars="0"/>
              <w:jc w:val="center"/>
              <w:rPr>
                <w:rFonts w:hint="eastAsia" w:ascii="仿宋_GB2312" w:hAnsi="宋体" w:eastAsia="仿宋_GB2312"/>
                <w:color w:val="auto"/>
                <w:sz w:val="24"/>
                <w:highlight w:val="none"/>
              </w:rPr>
            </w:pPr>
            <w:r>
              <w:rPr>
                <w:rFonts w:hint="eastAsia" w:ascii="宋体" w:hAnsi="宋体"/>
                <w:color w:val="auto"/>
                <w:kern w:val="2"/>
                <w:sz w:val="20"/>
                <w:szCs w:val="20"/>
                <w:highlight w:val="none"/>
              </w:rPr>
              <w:t>闪光灯</w:t>
            </w:r>
          </w:p>
        </w:tc>
        <w:tc>
          <w:tcPr>
            <w:tcW w:w="2776" w:type="dxa"/>
            <w:gridSpan w:val="3"/>
            <w:tcBorders>
              <w:left w:val="single" w:color="auto" w:sz="4" w:space="0"/>
            </w:tcBorders>
            <w:noWrap w:val="0"/>
            <w:vAlign w:val="top"/>
          </w:tcPr>
          <w:p>
            <w:pPr>
              <w:rPr>
                <w:rFonts w:hint="eastAsia" w:ascii="仿宋_GB2312" w:hAnsi="宋体" w:eastAsia="仿宋_GB2312"/>
                <w:color w:val="auto"/>
                <w:sz w:val="24"/>
                <w:highlight w:val="none"/>
              </w:rPr>
            </w:pPr>
          </w:p>
        </w:tc>
        <w:tc>
          <w:tcPr>
            <w:tcW w:w="850" w:type="dxa"/>
            <w:gridSpan w:val="2"/>
            <w:tcBorders>
              <w:right w:val="single" w:color="auto" w:sz="4" w:space="0"/>
            </w:tcBorders>
            <w:noWrap w:val="0"/>
            <w:vAlign w:val="center"/>
          </w:tcPr>
          <w:p>
            <w:pPr>
              <w:jc w:val="center"/>
              <w:rPr>
                <w:rFonts w:ascii="仿宋_GB2312" w:hAnsi="宋体" w:eastAsia="仿宋_GB2312"/>
                <w:color w:val="auto"/>
                <w:sz w:val="24"/>
                <w:highlight w:val="none"/>
              </w:rPr>
            </w:pPr>
            <w:r>
              <w:rPr>
                <w:rFonts w:hint="eastAsia" w:ascii="宋体" w:hAnsi="宋体"/>
                <w:color w:val="auto"/>
                <w:sz w:val="20"/>
                <w:szCs w:val="20"/>
                <w:highlight w:val="none"/>
              </w:rPr>
              <w:t>4</w:t>
            </w:r>
          </w:p>
        </w:tc>
        <w:tc>
          <w:tcPr>
            <w:tcW w:w="851" w:type="dxa"/>
            <w:gridSpan w:val="2"/>
            <w:vMerge w:val="continue"/>
            <w:tcBorders>
              <w:left w:val="single" w:color="auto" w:sz="4" w:space="0"/>
              <w:right w:val="single" w:color="auto" w:sz="4" w:space="0"/>
            </w:tcBorders>
            <w:noWrap w:val="0"/>
            <w:vAlign w:val="center"/>
          </w:tcPr>
          <w:p>
            <w:pPr>
              <w:spacing w:line="280" w:lineRule="exact"/>
              <w:ind w:firstLine="352" w:firstLineChars="147"/>
              <w:rPr>
                <w:rFonts w:hint="eastAsia" w:ascii="仿宋_GB2312" w:hAnsi="宋体" w:eastAsia="仿宋_GB2312"/>
                <w:color w:val="auto"/>
                <w:sz w:val="24"/>
                <w:highlight w:val="none"/>
              </w:rPr>
            </w:pPr>
          </w:p>
        </w:tc>
        <w:tc>
          <w:tcPr>
            <w:tcW w:w="1559" w:type="dxa"/>
            <w:gridSpan w:val="2"/>
            <w:vMerge w:val="continue"/>
            <w:tcBorders>
              <w:left w:val="single" w:color="auto" w:sz="4" w:space="0"/>
            </w:tcBorders>
            <w:noWrap w:val="0"/>
            <w:vAlign w:val="center"/>
          </w:tcPr>
          <w:p>
            <w:pPr>
              <w:spacing w:line="280" w:lineRule="exact"/>
              <w:ind w:firstLine="352" w:firstLineChars="147"/>
              <w:rPr>
                <w:rFonts w:hint="eastAsia" w:ascii="仿宋_GB2312" w:hAnsi="宋体" w:eastAsia="仿宋_GB2312"/>
                <w:color w:val="auto"/>
                <w:sz w:val="24"/>
                <w:highlight w:val="none"/>
              </w:rPr>
            </w:pPr>
          </w:p>
        </w:tc>
        <w:tc>
          <w:tcPr>
            <w:tcW w:w="1417" w:type="dxa"/>
            <w:gridSpan w:val="2"/>
            <w:vMerge w:val="continue"/>
            <w:noWrap w:val="0"/>
            <w:vAlign w:val="center"/>
          </w:tcPr>
          <w:p>
            <w:pPr>
              <w:spacing w:line="280" w:lineRule="exact"/>
              <w:ind w:firstLine="354" w:firstLineChars="147"/>
              <w:rPr>
                <w:rFonts w:hint="eastAsia" w:ascii="仿宋_GB2312" w:hAnsi="宋体" w:eastAsia="仿宋_GB2312"/>
                <w:b/>
                <w:color w:val="auto"/>
                <w:sz w:val="24"/>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647" w:type="dxa"/>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11</w:t>
            </w:r>
          </w:p>
        </w:tc>
        <w:tc>
          <w:tcPr>
            <w:tcW w:w="1080" w:type="dxa"/>
            <w:tcBorders>
              <w:right w:val="single" w:color="auto" w:sz="4" w:space="0"/>
            </w:tcBorders>
            <w:noWrap w:val="0"/>
            <w:vAlign w:val="center"/>
          </w:tcPr>
          <w:p>
            <w:pPr>
              <w:pStyle w:val="507"/>
              <w:widowControl w:val="0"/>
              <w:ind w:firstLine="0" w:firstLineChars="0"/>
              <w:jc w:val="center"/>
              <w:rPr>
                <w:rFonts w:hint="eastAsia" w:ascii="仿宋_GB2312" w:hAnsi="宋体" w:eastAsia="仿宋_GB2312"/>
                <w:color w:val="auto"/>
                <w:sz w:val="24"/>
                <w:highlight w:val="none"/>
              </w:rPr>
            </w:pPr>
            <w:r>
              <w:rPr>
                <w:rFonts w:hint="eastAsia" w:ascii="宋体" w:hAnsi="宋体"/>
                <w:color w:val="auto"/>
                <w:kern w:val="2"/>
                <w:sz w:val="20"/>
                <w:szCs w:val="20"/>
                <w:highlight w:val="none"/>
              </w:rPr>
              <w:t>监控球机</w:t>
            </w:r>
          </w:p>
        </w:tc>
        <w:tc>
          <w:tcPr>
            <w:tcW w:w="2776" w:type="dxa"/>
            <w:gridSpan w:val="3"/>
            <w:tcBorders>
              <w:left w:val="single" w:color="auto" w:sz="4" w:space="0"/>
            </w:tcBorders>
            <w:noWrap w:val="0"/>
            <w:vAlign w:val="top"/>
          </w:tcPr>
          <w:p>
            <w:pPr>
              <w:rPr>
                <w:rFonts w:hint="eastAsia" w:ascii="仿宋_GB2312" w:hAnsi="宋体" w:eastAsia="仿宋_GB2312"/>
                <w:color w:val="auto"/>
                <w:sz w:val="24"/>
                <w:highlight w:val="none"/>
              </w:rPr>
            </w:pPr>
            <w:r>
              <w:rPr>
                <w:rFonts w:hint="eastAsia" w:ascii="宋体" w:hAnsi="宋体"/>
                <w:color w:val="auto"/>
                <w:sz w:val="20"/>
                <w:szCs w:val="20"/>
                <w:highlight w:val="none"/>
              </w:rPr>
              <w:t>300万像素低照度球机</w:t>
            </w:r>
          </w:p>
        </w:tc>
        <w:tc>
          <w:tcPr>
            <w:tcW w:w="850" w:type="dxa"/>
            <w:gridSpan w:val="2"/>
            <w:tcBorders>
              <w:right w:val="single" w:color="auto" w:sz="4" w:space="0"/>
            </w:tcBorders>
            <w:noWrap w:val="0"/>
            <w:vAlign w:val="center"/>
          </w:tcPr>
          <w:p>
            <w:pPr>
              <w:jc w:val="center"/>
              <w:rPr>
                <w:rFonts w:ascii="仿宋_GB2312" w:hAnsi="宋体" w:eastAsia="仿宋_GB2312"/>
                <w:color w:val="auto"/>
                <w:sz w:val="24"/>
                <w:highlight w:val="none"/>
              </w:rPr>
            </w:pPr>
            <w:r>
              <w:rPr>
                <w:rFonts w:hint="eastAsia" w:ascii="宋体" w:hAnsi="宋体"/>
                <w:color w:val="auto"/>
                <w:sz w:val="20"/>
                <w:szCs w:val="20"/>
                <w:highlight w:val="none"/>
              </w:rPr>
              <w:t>2</w:t>
            </w:r>
          </w:p>
        </w:tc>
        <w:tc>
          <w:tcPr>
            <w:tcW w:w="851" w:type="dxa"/>
            <w:gridSpan w:val="2"/>
            <w:vMerge w:val="continue"/>
            <w:tcBorders>
              <w:left w:val="single" w:color="auto" w:sz="4" w:space="0"/>
              <w:right w:val="single" w:color="auto" w:sz="4" w:space="0"/>
            </w:tcBorders>
            <w:noWrap w:val="0"/>
            <w:vAlign w:val="center"/>
          </w:tcPr>
          <w:p>
            <w:pPr>
              <w:spacing w:line="280" w:lineRule="exact"/>
              <w:ind w:firstLine="352" w:firstLineChars="147"/>
              <w:rPr>
                <w:rFonts w:hint="eastAsia" w:ascii="仿宋_GB2312" w:hAnsi="宋体" w:eastAsia="仿宋_GB2312"/>
                <w:color w:val="auto"/>
                <w:sz w:val="24"/>
                <w:highlight w:val="none"/>
              </w:rPr>
            </w:pPr>
          </w:p>
        </w:tc>
        <w:tc>
          <w:tcPr>
            <w:tcW w:w="1559" w:type="dxa"/>
            <w:gridSpan w:val="2"/>
            <w:vMerge w:val="continue"/>
            <w:tcBorders>
              <w:left w:val="single" w:color="auto" w:sz="4" w:space="0"/>
            </w:tcBorders>
            <w:noWrap w:val="0"/>
            <w:vAlign w:val="center"/>
          </w:tcPr>
          <w:p>
            <w:pPr>
              <w:spacing w:line="280" w:lineRule="exact"/>
              <w:ind w:firstLine="352" w:firstLineChars="147"/>
              <w:rPr>
                <w:rFonts w:hint="eastAsia" w:ascii="仿宋_GB2312" w:hAnsi="宋体" w:eastAsia="仿宋_GB2312"/>
                <w:color w:val="auto"/>
                <w:sz w:val="24"/>
                <w:highlight w:val="none"/>
              </w:rPr>
            </w:pPr>
          </w:p>
        </w:tc>
        <w:tc>
          <w:tcPr>
            <w:tcW w:w="1417" w:type="dxa"/>
            <w:gridSpan w:val="2"/>
            <w:vMerge w:val="continue"/>
            <w:noWrap w:val="0"/>
            <w:vAlign w:val="center"/>
          </w:tcPr>
          <w:p>
            <w:pPr>
              <w:spacing w:line="280" w:lineRule="exact"/>
              <w:ind w:firstLine="354" w:firstLineChars="147"/>
              <w:rPr>
                <w:rFonts w:hint="eastAsia" w:ascii="仿宋_GB2312" w:hAnsi="宋体" w:eastAsia="仿宋_GB2312"/>
                <w:b/>
                <w:color w:val="auto"/>
                <w:sz w:val="24"/>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647" w:type="dxa"/>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12</w:t>
            </w:r>
          </w:p>
        </w:tc>
        <w:tc>
          <w:tcPr>
            <w:tcW w:w="1080" w:type="dxa"/>
            <w:tcBorders>
              <w:right w:val="single" w:color="auto" w:sz="4" w:space="0"/>
            </w:tcBorders>
            <w:noWrap w:val="0"/>
            <w:vAlign w:val="center"/>
          </w:tcPr>
          <w:p>
            <w:pPr>
              <w:pStyle w:val="507"/>
              <w:widowControl w:val="0"/>
              <w:ind w:firstLine="0" w:firstLineChars="0"/>
              <w:jc w:val="center"/>
              <w:rPr>
                <w:rFonts w:hint="eastAsia" w:ascii="仿宋_GB2312" w:hAnsi="宋体" w:eastAsia="仿宋_GB2312"/>
                <w:color w:val="auto"/>
                <w:sz w:val="24"/>
                <w:highlight w:val="none"/>
              </w:rPr>
            </w:pPr>
            <w:r>
              <w:rPr>
                <w:rFonts w:hint="eastAsia" w:ascii="宋体" w:hAnsi="宋体"/>
                <w:color w:val="auto"/>
                <w:kern w:val="2"/>
                <w:sz w:val="20"/>
                <w:szCs w:val="20"/>
                <w:highlight w:val="none"/>
              </w:rPr>
              <w:t>视频数据光端机</w:t>
            </w:r>
          </w:p>
        </w:tc>
        <w:tc>
          <w:tcPr>
            <w:tcW w:w="2776" w:type="dxa"/>
            <w:gridSpan w:val="3"/>
            <w:tcBorders>
              <w:left w:val="single" w:color="auto" w:sz="4" w:space="0"/>
            </w:tcBorders>
            <w:noWrap w:val="0"/>
            <w:vAlign w:val="top"/>
          </w:tcPr>
          <w:p>
            <w:pPr>
              <w:rPr>
                <w:rFonts w:hint="eastAsia" w:ascii="仿宋_GB2312" w:hAnsi="宋体" w:eastAsia="仿宋_GB2312"/>
                <w:color w:val="auto"/>
                <w:sz w:val="24"/>
                <w:highlight w:val="none"/>
              </w:rPr>
            </w:pPr>
            <w:r>
              <w:rPr>
                <w:rFonts w:hint="eastAsia" w:ascii="宋体" w:hAnsi="宋体"/>
                <w:color w:val="auto"/>
                <w:sz w:val="20"/>
                <w:szCs w:val="20"/>
                <w:highlight w:val="none"/>
              </w:rPr>
              <w:t>1路视频，1路数据485</w:t>
            </w:r>
          </w:p>
        </w:tc>
        <w:tc>
          <w:tcPr>
            <w:tcW w:w="850" w:type="dxa"/>
            <w:gridSpan w:val="2"/>
            <w:tcBorders>
              <w:right w:val="single" w:color="auto" w:sz="4" w:space="0"/>
            </w:tcBorders>
            <w:noWrap w:val="0"/>
            <w:vAlign w:val="center"/>
          </w:tcPr>
          <w:p>
            <w:pPr>
              <w:jc w:val="center"/>
              <w:rPr>
                <w:rFonts w:ascii="仿宋_GB2312" w:hAnsi="宋体" w:eastAsia="仿宋_GB2312"/>
                <w:color w:val="auto"/>
                <w:sz w:val="24"/>
                <w:highlight w:val="none"/>
              </w:rPr>
            </w:pPr>
            <w:r>
              <w:rPr>
                <w:rFonts w:hint="eastAsia" w:ascii="宋体" w:hAnsi="宋体"/>
                <w:color w:val="auto"/>
                <w:sz w:val="20"/>
                <w:szCs w:val="20"/>
                <w:highlight w:val="none"/>
              </w:rPr>
              <w:t>2</w:t>
            </w:r>
          </w:p>
        </w:tc>
        <w:tc>
          <w:tcPr>
            <w:tcW w:w="851" w:type="dxa"/>
            <w:gridSpan w:val="2"/>
            <w:vMerge w:val="continue"/>
            <w:tcBorders>
              <w:left w:val="single" w:color="auto" w:sz="4" w:space="0"/>
              <w:right w:val="single" w:color="auto" w:sz="4" w:space="0"/>
            </w:tcBorders>
            <w:noWrap w:val="0"/>
            <w:vAlign w:val="center"/>
          </w:tcPr>
          <w:p>
            <w:pPr>
              <w:spacing w:line="280" w:lineRule="exact"/>
              <w:ind w:firstLine="352" w:firstLineChars="147"/>
              <w:rPr>
                <w:rFonts w:hint="eastAsia" w:ascii="仿宋_GB2312" w:hAnsi="宋体" w:eastAsia="仿宋_GB2312"/>
                <w:color w:val="auto"/>
                <w:sz w:val="24"/>
                <w:highlight w:val="none"/>
              </w:rPr>
            </w:pPr>
          </w:p>
        </w:tc>
        <w:tc>
          <w:tcPr>
            <w:tcW w:w="1559" w:type="dxa"/>
            <w:gridSpan w:val="2"/>
            <w:vMerge w:val="continue"/>
            <w:tcBorders>
              <w:left w:val="single" w:color="auto" w:sz="4" w:space="0"/>
            </w:tcBorders>
            <w:noWrap w:val="0"/>
            <w:vAlign w:val="center"/>
          </w:tcPr>
          <w:p>
            <w:pPr>
              <w:spacing w:line="280" w:lineRule="exact"/>
              <w:ind w:firstLine="352" w:firstLineChars="147"/>
              <w:rPr>
                <w:rFonts w:hint="eastAsia" w:ascii="仿宋_GB2312" w:hAnsi="宋体" w:eastAsia="仿宋_GB2312"/>
                <w:color w:val="auto"/>
                <w:sz w:val="24"/>
                <w:highlight w:val="none"/>
              </w:rPr>
            </w:pPr>
          </w:p>
        </w:tc>
        <w:tc>
          <w:tcPr>
            <w:tcW w:w="1417" w:type="dxa"/>
            <w:gridSpan w:val="2"/>
            <w:vMerge w:val="continue"/>
            <w:noWrap w:val="0"/>
            <w:vAlign w:val="center"/>
          </w:tcPr>
          <w:p>
            <w:pPr>
              <w:spacing w:line="280" w:lineRule="exact"/>
              <w:ind w:firstLine="354" w:firstLineChars="147"/>
              <w:rPr>
                <w:rFonts w:hint="eastAsia" w:ascii="仿宋_GB2312" w:hAnsi="宋体" w:eastAsia="仿宋_GB2312"/>
                <w:b/>
                <w:color w:val="auto"/>
                <w:sz w:val="24"/>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647" w:type="dxa"/>
            <w:noWrap w:val="0"/>
            <w:vAlign w:val="center"/>
          </w:tcPr>
          <w:p>
            <w:pPr>
              <w:spacing w:line="28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13</w:t>
            </w:r>
          </w:p>
        </w:tc>
        <w:tc>
          <w:tcPr>
            <w:tcW w:w="1080" w:type="dxa"/>
            <w:tcBorders>
              <w:right w:val="single" w:color="auto" w:sz="4" w:space="0"/>
            </w:tcBorders>
            <w:noWrap w:val="0"/>
            <w:vAlign w:val="center"/>
          </w:tcPr>
          <w:p>
            <w:pPr>
              <w:pStyle w:val="507"/>
              <w:widowControl w:val="0"/>
              <w:ind w:firstLine="0" w:firstLineChars="0"/>
              <w:jc w:val="center"/>
              <w:rPr>
                <w:rFonts w:hint="eastAsia" w:ascii="仿宋_GB2312" w:hAnsi="宋体" w:eastAsia="仿宋_GB2312"/>
                <w:color w:val="auto"/>
                <w:sz w:val="24"/>
                <w:highlight w:val="none"/>
              </w:rPr>
            </w:pPr>
            <w:r>
              <w:rPr>
                <w:rFonts w:hint="eastAsia" w:ascii="宋体" w:hAnsi="宋体"/>
                <w:color w:val="auto"/>
                <w:kern w:val="2"/>
                <w:sz w:val="20"/>
                <w:szCs w:val="20"/>
                <w:highlight w:val="none"/>
              </w:rPr>
              <w:t>16路数字硬盘录像机</w:t>
            </w:r>
          </w:p>
        </w:tc>
        <w:tc>
          <w:tcPr>
            <w:tcW w:w="2776" w:type="dxa"/>
            <w:gridSpan w:val="3"/>
            <w:tcBorders>
              <w:left w:val="single" w:color="auto" w:sz="4" w:space="0"/>
            </w:tcBorders>
            <w:noWrap w:val="0"/>
            <w:vAlign w:val="top"/>
          </w:tcPr>
          <w:p>
            <w:pPr>
              <w:rPr>
                <w:rFonts w:hint="eastAsia" w:ascii="仿宋_GB2312" w:hAnsi="宋体" w:eastAsia="仿宋_GB2312"/>
                <w:color w:val="auto"/>
                <w:sz w:val="24"/>
                <w:highlight w:val="none"/>
              </w:rPr>
            </w:pPr>
            <w:r>
              <w:rPr>
                <w:rFonts w:hint="eastAsia" w:ascii="宋体" w:hAnsi="宋体"/>
                <w:color w:val="auto"/>
                <w:sz w:val="20"/>
                <w:szCs w:val="20"/>
                <w:highlight w:val="none"/>
              </w:rPr>
              <w:t>总硬盘容量≥3T，存贮时间：视频15天，图像30天</w:t>
            </w:r>
          </w:p>
        </w:tc>
        <w:tc>
          <w:tcPr>
            <w:tcW w:w="850" w:type="dxa"/>
            <w:gridSpan w:val="2"/>
            <w:tcBorders>
              <w:right w:val="single" w:color="auto" w:sz="4" w:space="0"/>
            </w:tcBorders>
            <w:noWrap w:val="0"/>
            <w:vAlign w:val="center"/>
          </w:tcPr>
          <w:p>
            <w:pPr>
              <w:spacing w:line="280" w:lineRule="exact"/>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2</w:t>
            </w:r>
          </w:p>
        </w:tc>
        <w:tc>
          <w:tcPr>
            <w:tcW w:w="851" w:type="dxa"/>
            <w:gridSpan w:val="2"/>
            <w:vMerge w:val="continue"/>
            <w:tcBorders>
              <w:left w:val="single" w:color="auto" w:sz="4" w:space="0"/>
              <w:right w:val="single" w:color="auto" w:sz="4" w:space="0"/>
            </w:tcBorders>
            <w:noWrap w:val="0"/>
            <w:vAlign w:val="center"/>
          </w:tcPr>
          <w:p>
            <w:pPr>
              <w:spacing w:line="280" w:lineRule="exact"/>
              <w:ind w:firstLine="352" w:firstLineChars="147"/>
              <w:rPr>
                <w:rFonts w:hint="eastAsia" w:ascii="仿宋_GB2312" w:hAnsi="宋体" w:eastAsia="仿宋_GB2312"/>
                <w:color w:val="auto"/>
                <w:sz w:val="24"/>
                <w:highlight w:val="none"/>
              </w:rPr>
            </w:pPr>
          </w:p>
        </w:tc>
        <w:tc>
          <w:tcPr>
            <w:tcW w:w="1559" w:type="dxa"/>
            <w:gridSpan w:val="2"/>
            <w:vMerge w:val="continue"/>
            <w:tcBorders>
              <w:left w:val="single" w:color="auto" w:sz="4" w:space="0"/>
            </w:tcBorders>
            <w:noWrap w:val="0"/>
            <w:vAlign w:val="center"/>
          </w:tcPr>
          <w:p>
            <w:pPr>
              <w:spacing w:line="280" w:lineRule="exact"/>
              <w:ind w:firstLine="352" w:firstLineChars="147"/>
              <w:rPr>
                <w:rFonts w:hint="eastAsia" w:ascii="仿宋_GB2312" w:hAnsi="宋体" w:eastAsia="仿宋_GB2312"/>
                <w:color w:val="auto"/>
                <w:sz w:val="24"/>
                <w:highlight w:val="none"/>
              </w:rPr>
            </w:pPr>
          </w:p>
        </w:tc>
        <w:tc>
          <w:tcPr>
            <w:tcW w:w="1417" w:type="dxa"/>
            <w:gridSpan w:val="2"/>
            <w:vMerge w:val="continue"/>
            <w:noWrap w:val="0"/>
            <w:vAlign w:val="center"/>
          </w:tcPr>
          <w:p>
            <w:pPr>
              <w:spacing w:line="280" w:lineRule="exact"/>
              <w:ind w:firstLine="354" w:firstLineChars="147"/>
              <w:rPr>
                <w:rFonts w:hint="eastAsia" w:ascii="仿宋_GB2312" w:hAnsi="宋体" w:eastAsia="仿宋_GB2312"/>
                <w:b/>
                <w:color w:val="auto"/>
                <w:sz w:val="24"/>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0" w:hRule="atLeast"/>
        </w:trPr>
        <w:tc>
          <w:tcPr>
            <w:tcW w:w="1727" w:type="dxa"/>
            <w:gridSpan w:val="2"/>
            <w:vMerge w:val="restart"/>
            <w:tcBorders>
              <w:right w:val="single" w:color="auto" w:sz="4" w:space="0"/>
            </w:tcBorders>
            <w:noWrap w:val="0"/>
            <w:vAlign w:val="center"/>
          </w:tcPr>
          <w:p>
            <w:pPr>
              <w:spacing w:line="280" w:lineRule="exact"/>
              <w:ind w:firstLine="352" w:firstLineChars="147"/>
              <w:rPr>
                <w:rFonts w:ascii="仿宋_GB2312" w:hAnsi="宋体" w:eastAsia="仿宋_GB2312"/>
                <w:color w:val="auto"/>
                <w:sz w:val="24"/>
                <w:highlight w:val="none"/>
              </w:rPr>
            </w:pPr>
            <w:r>
              <w:rPr>
                <w:rFonts w:hint="eastAsia" w:ascii="仿宋_GB2312" w:hAnsi="宋体" w:eastAsia="仿宋_GB2312"/>
                <w:color w:val="auto"/>
                <w:sz w:val="24"/>
                <w:highlight w:val="none"/>
              </w:rPr>
              <w:t>投标总价（一+二+三-四）</w:t>
            </w:r>
          </w:p>
        </w:tc>
        <w:tc>
          <w:tcPr>
            <w:tcW w:w="7453" w:type="dxa"/>
            <w:gridSpan w:val="11"/>
            <w:tcBorders>
              <w:left w:val="single" w:color="auto" w:sz="4" w:space="0"/>
              <w:bottom w:val="single" w:color="auto" w:sz="4" w:space="0"/>
            </w:tcBorders>
            <w:noWrap w:val="0"/>
            <w:vAlign w:val="center"/>
          </w:tcPr>
          <w:p>
            <w:pPr>
              <w:spacing w:line="280" w:lineRule="exact"/>
              <w:ind w:firstLine="352" w:firstLineChars="147"/>
              <w:rPr>
                <w:rFonts w:ascii="仿宋_GB2312" w:hAnsi="宋体" w:eastAsia="仿宋_GB2312"/>
                <w:color w:val="auto"/>
                <w:sz w:val="24"/>
                <w:highlight w:val="none"/>
              </w:rPr>
            </w:pPr>
            <w:r>
              <w:rPr>
                <w:rFonts w:hint="eastAsia" w:ascii="仿宋_GB2312" w:hAnsi="宋体" w:eastAsia="仿宋_GB2312"/>
                <w:color w:val="auto"/>
                <w:sz w:val="24"/>
                <w:highlight w:val="none"/>
              </w:rPr>
              <w:t>小写：</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7" w:hRule="atLeast"/>
        </w:trPr>
        <w:tc>
          <w:tcPr>
            <w:tcW w:w="1727" w:type="dxa"/>
            <w:gridSpan w:val="2"/>
            <w:vMerge w:val="continue"/>
            <w:tcBorders>
              <w:right w:val="single" w:color="auto" w:sz="4" w:space="0"/>
            </w:tcBorders>
            <w:noWrap w:val="0"/>
            <w:vAlign w:val="center"/>
          </w:tcPr>
          <w:p>
            <w:pPr>
              <w:spacing w:line="280" w:lineRule="exact"/>
              <w:ind w:firstLine="352" w:firstLineChars="147"/>
              <w:rPr>
                <w:rFonts w:ascii="仿宋_GB2312" w:hAnsi="宋体" w:eastAsia="仿宋_GB2312"/>
                <w:color w:val="auto"/>
                <w:sz w:val="24"/>
                <w:highlight w:val="none"/>
              </w:rPr>
            </w:pPr>
          </w:p>
        </w:tc>
        <w:tc>
          <w:tcPr>
            <w:tcW w:w="7453" w:type="dxa"/>
            <w:gridSpan w:val="11"/>
            <w:tcBorders>
              <w:top w:val="single" w:color="auto" w:sz="4" w:space="0"/>
              <w:left w:val="single" w:color="auto" w:sz="4" w:space="0"/>
              <w:bottom w:val="single" w:color="auto" w:sz="4" w:space="0"/>
            </w:tcBorders>
            <w:noWrap w:val="0"/>
            <w:vAlign w:val="center"/>
          </w:tcPr>
          <w:p>
            <w:pPr>
              <w:spacing w:line="280" w:lineRule="exact"/>
              <w:ind w:firstLine="352" w:firstLineChars="147"/>
              <w:rPr>
                <w:rFonts w:ascii="仿宋_GB2312" w:hAnsi="宋体" w:eastAsia="仿宋_GB2312"/>
                <w:color w:val="auto"/>
                <w:sz w:val="24"/>
                <w:highlight w:val="none"/>
              </w:rPr>
            </w:pPr>
            <w:r>
              <w:rPr>
                <w:rFonts w:hint="eastAsia" w:ascii="仿宋_GB2312" w:hAnsi="宋体" w:eastAsia="仿宋_GB2312"/>
                <w:color w:val="auto"/>
                <w:sz w:val="24"/>
                <w:highlight w:val="none"/>
              </w:rPr>
              <w:t>大写：</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50" w:hRule="atLeast"/>
        </w:trPr>
        <w:tc>
          <w:tcPr>
            <w:tcW w:w="9180" w:type="dxa"/>
            <w:gridSpan w:val="13"/>
            <w:noWrap w:val="0"/>
            <w:vAlign w:val="center"/>
          </w:tcPr>
          <w:p>
            <w:pPr>
              <w:spacing w:line="280" w:lineRule="exact"/>
              <w:ind w:firstLine="354" w:firstLineChars="147"/>
              <w:rPr>
                <w:rFonts w:ascii="仿宋_GB2312" w:hAnsi="宋体" w:eastAsia="仿宋_GB2312"/>
                <w:color w:val="auto"/>
                <w:sz w:val="24"/>
                <w:highlight w:val="none"/>
              </w:rPr>
            </w:pPr>
            <w:r>
              <w:rPr>
                <w:rFonts w:hint="eastAsia" w:ascii="仿宋_GB2312" w:hAnsi="宋体" w:eastAsia="仿宋_GB2312"/>
                <w:b/>
                <w:color w:val="auto"/>
                <w:sz w:val="24"/>
                <w:highlight w:val="none"/>
              </w:rPr>
              <w:t>其中核心产品，由</w:t>
            </w:r>
            <w:r>
              <w:rPr>
                <w:rFonts w:hint="eastAsia" w:ascii="仿宋_GB2312" w:hAnsi="宋体" w:eastAsia="仿宋_GB2312"/>
                <w:b/>
                <w:color w:val="auto"/>
                <w:sz w:val="24"/>
                <w:highlight w:val="none"/>
                <w:u w:val="single"/>
              </w:rPr>
              <w:t xml:space="preserve">     </w:t>
            </w:r>
            <w:r>
              <w:rPr>
                <w:rFonts w:hint="eastAsia" w:ascii="仿宋_GB2312" w:hAnsi="宋体" w:eastAsia="仿宋_GB2312"/>
                <w:b/>
                <w:color w:val="auto"/>
                <w:sz w:val="24"/>
                <w:highlight w:val="none"/>
              </w:rPr>
              <w:t>（请填写企业名称）制造，该企业</w:t>
            </w:r>
            <w:r>
              <w:rPr>
                <w:rFonts w:hint="eastAsia" w:ascii="仿宋_GB2312" w:hAnsi="宋体" w:eastAsia="仿宋_GB2312"/>
                <w:b/>
                <w:color w:val="auto"/>
                <w:sz w:val="24"/>
                <w:highlight w:val="none"/>
                <w:u w:val="single"/>
              </w:rPr>
              <w:t xml:space="preserve">    </w:t>
            </w:r>
            <w:r>
              <w:rPr>
                <w:rFonts w:hint="eastAsia" w:ascii="仿宋_GB2312" w:hAnsi="宋体" w:eastAsia="仿宋_GB2312"/>
                <w:b/>
                <w:color w:val="auto"/>
                <w:sz w:val="24"/>
                <w:highlight w:val="none"/>
              </w:rPr>
              <w:t>（请填写属于或不属于）小型、微型企业。</w:t>
            </w:r>
          </w:p>
        </w:tc>
      </w:tr>
    </w:tbl>
    <w:p>
      <w:pPr>
        <w:spacing w:line="280" w:lineRule="exact"/>
        <w:ind w:firstLine="352" w:firstLineChars="147"/>
        <w:rPr>
          <w:rFonts w:ascii="仿宋_GB2312" w:hAnsi="宋体" w:eastAsia="仿宋_GB2312"/>
          <w:color w:val="auto"/>
          <w:sz w:val="24"/>
          <w:highlight w:val="none"/>
        </w:rPr>
      </w:pPr>
      <w:r>
        <w:rPr>
          <w:rFonts w:hint="eastAsia" w:ascii="仿宋_GB2312" w:hAnsi="宋体" w:eastAsia="仿宋_GB2312"/>
          <w:color w:val="auto"/>
          <w:sz w:val="24"/>
          <w:highlight w:val="none"/>
        </w:rPr>
        <w:t>注: 1.报价一经涂改，应在涂改处加盖单位公章或者由法定代表人或其授权代表签字或盖章，否则其投标作无效投标处理。</w:t>
      </w:r>
    </w:p>
    <w:p>
      <w:pPr>
        <w:spacing w:line="280" w:lineRule="exact"/>
        <w:ind w:firstLine="352" w:firstLineChars="147"/>
        <w:rPr>
          <w:rFonts w:ascii="仿宋_GB2312" w:hAnsi="宋体" w:eastAsia="仿宋_GB2312"/>
          <w:color w:val="auto"/>
          <w:sz w:val="24"/>
          <w:highlight w:val="none"/>
        </w:rPr>
      </w:pPr>
      <w:r>
        <w:rPr>
          <w:rFonts w:hint="eastAsia" w:ascii="仿宋_GB2312" w:hAnsi="宋体" w:eastAsia="仿宋_GB2312"/>
          <w:color w:val="auto"/>
          <w:sz w:val="24"/>
          <w:highlight w:val="none"/>
        </w:rPr>
        <w:t>2.采购人不接受某一标项中有2个(含)以上的报价或方案，若投标人在此表中有2个（含）以上的报价或方案，其投标作无效投标处理。</w:t>
      </w:r>
    </w:p>
    <w:p>
      <w:pPr>
        <w:spacing w:line="280" w:lineRule="exact"/>
        <w:ind w:firstLine="352" w:firstLineChars="147"/>
        <w:rPr>
          <w:rFonts w:ascii="宋体" w:hAnsi="宋体"/>
          <w:color w:val="auto"/>
          <w:sz w:val="24"/>
          <w:highlight w:val="none"/>
        </w:rPr>
      </w:pPr>
      <w:r>
        <w:rPr>
          <w:rFonts w:hint="eastAsia" w:ascii="宋体" w:hAnsi="宋体"/>
          <w:color w:val="auto"/>
          <w:sz w:val="24"/>
          <w:highlight w:val="none"/>
        </w:rPr>
        <w:t>3.</w:t>
      </w:r>
      <w:r>
        <w:rPr>
          <w:rFonts w:hint="eastAsia" w:ascii="宋体" w:hAnsi="宋体"/>
          <w:b/>
          <w:bCs/>
          <w:color w:val="auto"/>
          <w:sz w:val="24"/>
          <w:highlight w:val="none"/>
          <w:u w:val="single"/>
        </w:rPr>
        <w:t>投标报价包括招标项目设备清单及</w:t>
      </w:r>
      <w:r>
        <w:rPr>
          <w:rFonts w:hint="eastAsia" w:ascii="宋体" w:hAnsi="宋体" w:cs="宋体"/>
          <w:b/>
          <w:bCs/>
          <w:color w:val="auto"/>
          <w:kern w:val="0"/>
          <w:sz w:val="24"/>
          <w:highlight w:val="none"/>
          <w:u w:val="single"/>
        </w:rPr>
        <w:t>施工图范围内为货物安装、调试、验收、运行、维护、服务所需的一切配套内容的所有费用。允许另行增加《开标一览表》的设备名称并报价。总报价不得超过最高限价。</w:t>
      </w:r>
    </w:p>
    <w:p>
      <w:pPr>
        <w:spacing w:line="280" w:lineRule="exact"/>
        <w:ind w:firstLine="352" w:firstLineChars="147"/>
        <w:rPr>
          <w:rFonts w:ascii="仿宋_GB2312" w:hAnsi="宋体" w:eastAsia="仿宋_GB2312"/>
          <w:color w:val="auto"/>
          <w:sz w:val="24"/>
          <w:highlight w:val="none"/>
        </w:rPr>
      </w:pPr>
      <w:r>
        <w:rPr>
          <w:rFonts w:hint="eastAsia" w:ascii="仿宋_GB2312" w:hAnsi="宋体" w:eastAsia="仿宋_GB2312"/>
          <w:color w:val="auto"/>
          <w:sz w:val="24"/>
          <w:highlight w:val="none"/>
        </w:rPr>
        <w:t>4.有关本项目实施所涉及的一切费用均计入报价。</w:t>
      </w:r>
    </w:p>
    <w:p>
      <w:pPr>
        <w:spacing w:line="280" w:lineRule="exact"/>
        <w:ind w:firstLine="352" w:firstLineChars="147"/>
        <w:rPr>
          <w:rFonts w:ascii="仿宋_GB2312" w:hAnsi="宋体" w:eastAsia="仿宋_GB2312"/>
          <w:color w:val="auto"/>
          <w:sz w:val="24"/>
          <w:highlight w:val="none"/>
        </w:rPr>
      </w:pPr>
      <w:r>
        <w:rPr>
          <w:rFonts w:hint="eastAsia" w:ascii="仿宋_GB2312" w:hAnsi="宋体" w:eastAsia="仿宋_GB2312"/>
          <w:color w:val="auto"/>
          <w:sz w:val="24"/>
          <w:highlight w:val="none"/>
        </w:rPr>
        <w:t>5.以上表格要求细分项目及报价，</w:t>
      </w:r>
      <w:r>
        <w:rPr>
          <w:rFonts w:hint="eastAsia" w:ascii="仿宋_GB2312" w:hAnsi="宋体" w:eastAsia="仿宋_GB2312"/>
          <w:b/>
          <w:color w:val="auto"/>
          <w:sz w:val="24"/>
          <w:highlight w:val="none"/>
        </w:rPr>
        <w:t>在“具体服务内容”一栏中，填写具体服务。服务包含但不仅限于：服务方案、次数或人数、服务年限等。</w:t>
      </w:r>
    </w:p>
    <w:p>
      <w:pPr>
        <w:spacing w:line="280" w:lineRule="exact"/>
        <w:ind w:firstLine="352" w:firstLineChars="147"/>
        <w:rPr>
          <w:rFonts w:ascii="仿宋_GB2312" w:hAnsi="宋体" w:eastAsia="仿宋_GB2312"/>
          <w:color w:val="auto"/>
          <w:sz w:val="24"/>
          <w:highlight w:val="none"/>
        </w:rPr>
      </w:pPr>
      <w:r>
        <w:rPr>
          <w:rFonts w:hint="eastAsia" w:ascii="仿宋_GB2312" w:hAnsi="宋体" w:eastAsia="仿宋_GB2312"/>
          <w:color w:val="auto"/>
          <w:sz w:val="24"/>
          <w:highlight w:val="none"/>
        </w:rPr>
        <w:t>6、根据采购项目技术构成、产品价格比重等确定本项目核心产品。投标人为小型、微型企业的，同时提供小型、微型企业制造的核心产品的，才视为投标人参加本项目采购活动提供了小型、微型企业产品，对投标报价给予6 %的扣除，用扣除后的价格参与评审。符合上述条件的，请填写中小企业声明函。投标人应如实填写是否可享受价格扣除，否则投标价格不可享受价格扣除。</w:t>
      </w:r>
    </w:p>
    <w:p>
      <w:pPr>
        <w:spacing w:line="280" w:lineRule="exact"/>
        <w:ind w:firstLine="354" w:firstLineChars="147"/>
        <w:rPr>
          <w:rFonts w:ascii="仿宋_GB2312" w:hAnsi="宋体" w:eastAsia="仿宋_GB2312"/>
          <w:color w:val="auto"/>
          <w:sz w:val="24"/>
          <w:highlight w:val="none"/>
        </w:rPr>
      </w:pPr>
      <w:r>
        <w:rPr>
          <w:rFonts w:hint="eastAsia" w:ascii="仿宋_GB2312" w:hAnsi="宋体" w:eastAsia="仿宋_GB2312"/>
          <w:b/>
          <w:color w:val="auto"/>
          <w:sz w:val="24"/>
          <w:highlight w:val="none"/>
        </w:rPr>
        <w:t>7.特别提示：采购代理机构将对项目名称和项目编号，中标供应商名称、地址和中标金额，主要中标标的的名称、规格型号、数量、单价、服务要求等予以公示。请把上述涉及的内容完整填写在开标一览表中。</w:t>
      </w:r>
    </w:p>
    <w:p>
      <w:pPr>
        <w:spacing w:line="500" w:lineRule="exact"/>
        <w:rPr>
          <w:rFonts w:hint="eastAsia" w:ascii="宋体" w:hAnsi="宋体"/>
          <w:color w:val="auto"/>
          <w:sz w:val="24"/>
          <w:highlight w:val="none"/>
        </w:rPr>
      </w:pPr>
    </w:p>
    <w:p>
      <w:pPr>
        <w:spacing w:line="500" w:lineRule="exact"/>
        <w:rPr>
          <w:rFonts w:hint="eastAsia" w:ascii="宋体" w:hAnsi="宋体"/>
          <w:color w:val="auto"/>
          <w:sz w:val="24"/>
          <w:highlight w:val="none"/>
        </w:rPr>
      </w:pPr>
      <w:r>
        <w:rPr>
          <w:rFonts w:hint="eastAsia" w:ascii="宋体" w:hAnsi="宋体"/>
          <w:color w:val="auto"/>
          <w:sz w:val="24"/>
          <w:highlight w:val="none"/>
        </w:rPr>
        <w:t>投标人：</w:t>
      </w:r>
      <w:r>
        <w:rPr>
          <w:rFonts w:hint="eastAsia" w:ascii="宋体" w:hAnsi="宋体"/>
          <w:color w:val="auto"/>
          <w:sz w:val="24"/>
          <w:highlight w:val="none"/>
          <w:u w:val="single"/>
        </w:rPr>
        <w:t xml:space="preserve">                        </w:t>
      </w:r>
      <w:r>
        <w:rPr>
          <w:rFonts w:hint="eastAsia" w:ascii="宋体" w:hAnsi="宋体"/>
          <w:color w:val="auto"/>
          <w:sz w:val="24"/>
          <w:highlight w:val="none"/>
        </w:rPr>
        <w:t>（盖投标人公章）</w:t>
      </w:r>
    </w:p>
    <w:p>
      <w:pPr>
        <w:spacing w:line="500" w:lineRule="exact"/>
        <w:rPr>
          <w:rFonts w:hint="eastAsia" w:ascii="宋体" w:hAnsi="宋体"/>
          <w:color w:val="auto"/>
          <w:sz w:val="24"/>
          <w:highlight w:val="none"/>
        </w:rPr>
      </w:pPr>
      <w:r>
        <w:rPr>
          <w:rFonts w:hint="eastAsia" w:ascii="宋体" w:hAnsi="宋体"/>
          <w:color w:val="auto"/>
          <w:sz w:val="24"/>
          <w:highlight w:val="none"/>
        </w:rPr>
        <w:t>法定代表人：</w:t>
      </w:r>
      <w:r>
        <w:rPr>
          <w:rFonts w:hint="eastAsia" w:ascii="宋体" w:hAnsi="宋体"/>
          <w:color w:val="auto"/>
          <w:sz w:val="24"/>
          <w:highlight w:val="none"/>
          <w:u w:val="single"/>
        </w:rPr>
        <w:t xml:space="preserve">                </w:t>
      </w:r>
      <w:r>
        <w:rPr>
          <w:rFonts w:hint="eastAsia" w:ascii="宋体" w:hAnsi="宋体"/>
          <w:color w:val="auto"/>
          <w:sz w:val="24"/>
          <w:highlight w:val="none"/>
        </w:rPr>
        <w:t>（盖法定代表人印章）</w:t>
      </w:r>
    </w:p>
    <w:p>
      <w:pPr>
        <w:spacing w:line="500" w:lineRule="exact"/>
        <w:rPr>
          <w:rFonts w:hint="eastAsia" w:ascii="宋体" w:hAnsi="宋体"/>
          <w:color w:val="auto"/>
          <w:sz w:val="24"/>
          <w:highlight w:val="none"/>
        </w:rPr>
      </w:pPr>
      <w:r>
        <w:rPr>
          <w:rFonts w:hint="eastAsia" w:ascii="宋体" w:hAnsi="宋体"/>
          <w:color w:val="auto"/>
          <w:sz w:val="24"/>
          <w:highlight w:val="none"/>
        </w:rPr>
        <w:t>日期：    年   月   日</w:t>
      </w:r>
    </w:p>
    <w:p>
      <w:pPr>
        <w:pStyle w:val="2"/>
        <w:rPr>
          <w:rFonts w:hint="eastAsia" w:ascii="宋体" w:hAnsi="宋体"/>
          <w:color w:val="auto"/>
          <w:sz w:val="24"/>
          <w:highlight w:val="none"/>
        </w:rPr>
      </w:pPr>
    </w:p>
    <w:p>
      <w:pPr>
        <w:pStyle w:val="2"/>
        <w:rPr>
          <w:rFonts w:hint="eastAsia" w:ascii="宋体" w:hAnsi="宋体"/>
          <w:color w:val="auto"/>
          <w:sz w:val="24"/>
          <w:highlight w:val="none"/>
        </w:rPr>
      </w:pPr>
    </w:p>
    <w:p>
      <w:pPr>
        <w:pStyle w:val="2"/>
        <w:rPr>
          <w:rFonts w:hint="eastAsia" w:ascii="宋体" w:hAnsi="宋体"/>
          <w:color w:val="auto"/>
          <w:sz w:val="24"/>
          <w:highlight w:val="none"/>
        </w:rPr>
      </w:pPr>
    </w:p>
    <w:p>
      <w:pPr>
        <w:pStyle w:val="2"/>
        <w:rPr>
          <w:rFonts w:hint="eastAsia" w:ascii="宋体" w:hAnsi="宋体"/>
          <w:color w:val="auto"/>
          <w:sz w:val="24"/>
          <w:highlight w:val="none"/>
        </w:rPr>
      </w:pPr>
    </w:p>
    <w:p>
      <w:pPr>
        <w:pStyle w:val="2"/>
        <w:rPr>
          <w:rFonts w:hint="eastAsia" w:ascii="宋体" w:hAnsi="宋体"/>
          <w:color w:val="auto"/>
          <w:sz w:val="24"/>
          <w:highlight w:val="none"/>
        </w:rPr>
      </w:pPr>
    </w:p>
    <w:p>
      <w:pPr>
        <w:pStyle w:val="2"/>
        <w:rPr>
          <w:rFonts w:hint="eastAsia" w:ascii="宋体" w:hAnsi="宋体"/>
          <w:color w:val="auto"/>
          <w:sz w:val="24"/>
          <w:highlight w:val="none"/>
        </w:rPr>
      </w:pPr>
    </w:p>
    <w:p>
      <w:pPr>
        <w:pStyle w:val="2"/>
        <w:rPr>
          <w:rFonts w:hint="eastAsia" w:ascii="宋体" w:hAnsi="宋体"/>
          <w:color w:val="auto"/>
          <w:sz w:val="24"/>
          <w:highlight w:val="none"/>
        </w:rPr>
      </w:pPr>
    </w:p>
    <w:p>
      <w:pPr>
        <w:spacing w:line="500" w:lineRule="exact"/>
        <w:ind w:right="420"/>
        <w:rPr>
          <w:rFonts w:hint="eastAsia" w:ascii="宋体" w:hAnsi="宋体" w:eastAsia="宋体"/>
          <w:color w:val="auto"/>
          <w:sz w:val="24"/>
          <w:highlight w:val="none"/>
          <w:lang w:eastAsia="zh-CN"/>
        </w:rPr>
      </w:pPr>
      <w:r>
        <w:rPr>
          <w:rFonts w:hint="eastAsia" w:ascii="宋体" w:hAnsi="宋体"/>
          <w:color w:val="auto"/>
          <w:sz w:val="24"/>
          <w:highlight w:val="none"/>
        </w:rPr>
        <w:t>附件</w:t>
      </w:r>
      <w:r>
        <w:rPr>
          <w:rFonts w:hint="eastAsia" w:ascii="宋体" w:hAnsi="宋体"/>
          <w:color w:val="auto"/>
          <w:sz w:val="24"/>
          <w:highlight w:val="none"/>
          <w:lang w:val="en-US" w:eastAsia="zh-CN"/>
        </w:rPr>
        <w:t>五</w:t>
      </w:r>
    </w:p>
    <w:p>
      <w:pPr>
        <w:spacing w:line="500" w:lineRule="exact"/>
        <w:jc w:val="center"/>
        <w:rPr>
          <w:rFonts w:hint="eastAsia" w:ascii="宋体" w:hAnsi="宋体"/>
          <w:b/>
          <w:color w:val="auto"/>
          <w:sz w:val="28"/>
          <w:szCs w:val="28"/>
          <w:highlight w:val="none"/>
        </w:rPr>
      </w:pPr>
      <w:r>
        <w:rPr>
          <w:rFonts w:hint="eastAsia" w:ascii="宋体" w:hAnsi="宋体"/>
          <w:b/>
          <w:color w:val="auto"/>
          <w:sz w:val="28"/>
          <w:szCs w:val="28"/>
          <w:highlight w:val="none"/>
        </w:rPr>
        <w:t>承 诺 书</w:t>
      </w:r>
    </w:p>
    <w:p>
      <w:pPr>
        <w:spacing w:line="500" w:lineRule="exact"/>
        <w:jc w:val="center"/>
        <w:rPr>
          <w:rFonts w:hint="eastAsia" w:ascii="宋体" w:hAnsi="宋体"/>
          <w:b/>
          <w:color w:val="auto"/>
          <w:sz w:val="28"/>
          <w:szCs w:val="28"/>
          <w:highlight w:val="none"/>
        </w:rPr>
      </w:pPr>
    </w:p>
    <w:p>
      <w:pPr>
        <w:spacing w:line="480" w:lineRule="auto"/>
        <w:rPr>
          <w:rFonts w:hint="eastAsia"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 xml:space="preserve">（招标人名称）： </w:t>
      </w:r>
    </w:p>
    <w:p>
      <w:pPr>
        <w:spacing w:line="480" w:lineRule="auto"/>
        <w:ind w:firstLine="480" w:firstLineChars="200"/>
        <w:rPr>
          <w:rFonts w:hint="eastAsia" w:ascii="宋体" w:hAnsi="宋体"/>
          <w:color w:val="auto"/>
          <w:sz w:val="24"/>
          <w:highlight w:val="none"/>
        </w:rPr>
      </w:pPr>
      <w:r>
        <w:rPr>
          <w:rFonts w:hint="eastAsia" w:ascii="宋体" w:hAnsi="宋体"/>
          <w:color w:val="auto"/>
          <w:sz w:val="24"/>
          <w:highlight w:val="none"/>
        </w:rPr>
        <w:t>我方在此声明，我方拟派往</w:t>
      </w:r>
      <w:r>
        <w:rPr>
          <w:rFonts w:hint="eastAsia" w:ascii="宋体" w:hAnsi="宋体"/>
          <w:color w:val="auto"/>
          <w:sz w:val="24"/>
          <w:highlight w:val="none"/>
          <w:u w:val="single"/>
        </w:rPr>
        <w:t xml:space="preserve">                        </w:t>
      </w:r>
      <w:r>
        <w:rPr>
          <w:rFonts w:hint="eastAsia" w:ascii="宋体" w:hAnsi="宋体"/>
          <w:color w:val="auto"/>
          <w:sz w:val="24"/>
          <w:highlight w:val="none"/>
        </w:rPr>
        <w:t>（项目名称）</w:t>
      </w:r>
      <w:r>
        <w:rPr>
          <w:rFonts w:hint="eastAsia" w:ascii="宋体" w:hAnsi="宋体"/>
          <w:color w:val="auto"/>
          <w:sz w:val="24"/>
          <w:highlight w:val="none"/>
          <w:u w:val="single"/>
        </w:rPr>
        <w:t xml:space="preserve">  /  </w:t>
      </w:r>
      <w:r>
        <w:rPr>
          <w:rFonts w:hint="eastAsia" w:ascii="宋体" w:hAnsi="宋体"/>
          <w:color w:val="auto"/>
          <w:sz w:val="24"/>
          <w:highlight w:val="none"/>
        </w:rPr>
        <w:t>标段（以下简称“本工程”）的项目经理</w:t>
      </w:r>
      <w:r>
        <w:rPr>
          <w:rFonts w:hint="eastAsia" w:ascii="宋体" w:hAnsi="宋体"/>
          <w:color w:val="auto"/>
          <w:sz w:val="24"/>
          <w:highlight w:val="none"/>
          <w:u w:val="single"/>
        </w:rPr>
        <w:t xml:space="preserve">           </w:t>
      </w:r>
      <w:r>
        <w:rPr>
          <w:rFonts w:hint="eastAsia" w:ascii="宋体" w:hAnsi="宋体"/>
          <w:color w:val="auto"/>
          <w:sz w:val="24"/>
          <w:highlight w:val="none"/>
        </w:rPr>
        <w:t>（项目经理姓名）现阶段没有担任任何在施建设工程项目的项目经理。企业和项目负责人近</w:t>
      </w:r>
      <w:r>
        <w:rPr>
          <w:rFonts w:hint="eastAsia" w:ascii="宋体" w:hAnsi="宋体"/>
          <w:color w:val="auto"/>
          <w:sz w:val="24"/>
          <w:highlight w:val="none"/>
          <w:u w:val="single"/>
        </w:rPr>
        <w:t xml:space="preserve">  5  </w:t>
      </w:r>
      <w:r>
        <w:rPr>
          <w:rFonts w:hint="eastAsia" w:ascii="宋体" w:hAnsi="宋体"/>
          <w:color w:val="auto"/>
          <w:sz w:val="24"/>
          <w:highlight w:val="none"/>
        </w:rPr>
        <w:t>年无行贿犯罪记录。</w:t>
      </w:r>
    </w:p>
    <w:p>
      <w:pPr>
        <w:spacing w:line="480" w:lineRule="auto"/>
        <w:ind w:firstLine="480" w:firstLineChars="200"/>
        <w:rPr>
          <w:rFonts w:hint="eastAsia" w:ascii="宋体" w:hAnsi="宋体"/>
          <w:color w:val="auto"/>
          <w:sz w:val="24"/>
          <w:highlight w:val="none"/>
        </w:rPr>
      </w:pPr>
      <w:r>
        <w:rPr>
          <w:rFonts w:hint="eastAsia" w:ascii="宋体" w:hAnsi="宋体"/>
          <w:color w:val="auto"/>
          <w:sz w:val="24"/>
          <w:highlight w:val="none"/>
        </w:rPr>
        <w:t>我方保证上述信息的真实和准确，并愿意承担因我方就此弄虚作假所引起的一切法律后果。</w:t>
      </w:r>
    </w:p>
    <w:p>
      <w:pPr>
        <w:spacing w:line="480" w:lineRule="auto"/>
        <w:ind w:firstLine="480" w:firstLineChars="200"/>
        <w:rPr>
          <w:rFonts w:hint="eastAsia" w:ascii="宋体" w:hAnsi="宋体"/>
          <w:color w:val="auto"/>
          <w:sz w:val="24"/>
          <w:highlight w:val="none"/>
        </w:rPr>
      </w:pPr>
      <w:r>
        <w:rPr>
          <w:rFonts w:hint="eastAsia" w:ascii="宋体" w:hAnsi="宋体"/>
          <w:color w:val="auto"/>
          <w:sz w:val="24"/>
          <w:highlight w:val="none"/>
        </w:rPr>
        <w:t>特此承诺。</w:t>
      </w:r>
    </w:p>
    <w:p>
      <w:pPr>
        <w:spacing w:line="480" w:lineRule="auto"/>
        <w:rPr>
          <w:rFonts w:hint="eastAsia" w:ascii="宋体" w:hAnsi="宋体"/>
          <w:color w:val="auto"/>
          <w:sz w:val="24"/>
          <w:highlight w:val="none"/>
        </w:rPr>
      </w:pPr>
    </w:p>
    <w:p>
      <w:pPr>
        <w:spacing w:line="480" w:lineRule="auto"/>
        <w:jc w:val="right"/>
        <w:rPr>
          <w:rFonts w:hint="eastAsia" w:ascii="宋体" w:hAnsi="宋体"/>
          <w:color w:val="auto"/>
          <w:sz w:val="24"/>
          <w:highlight w:val="none"/>
        </w:rPr>
      </w:pPr>
    </w:p>
    <w:p>
      <w:pPr>
        <w:spacing w:line="480" w:lineRule="auto"/>
        <w:jc w:val="right"/>
        <w:rPr>
          <w:rFonts w:hint="eastAsia" w:ascii="宋体" w:hAnsi="宋体"/>
          <w:color w:val="auto"/>
          <w:sz w:val="24"/>
          <w:highlight w:val="none"/>
        </w:rPr>
      </w:pPr>
      <w:r>
        <w:rPr>
          <w:rFonts w:hint="eastAsia" w:ascii="宋体" w:hAnsi="宋体"/>
          <w:color w:val="auto"/>
          <w:sz w:val="24"/>
          <w:highlight w:val="none"/>
        </w:rPr>
        <w:t>投标人：</w:t>
      </w:r>
      <w:r>
        <w:rPr>
          <w:rFonts w:hint="eastAsia" w:ascii="宋体" w:hAnsi="宋体"/>
          <w:color w:val="auto"/>
          <w:sz w:val="24"/>
          <w:highlight w:val="none"/>
          <w:u w:val="single"/>
        </w:rPr>
        <w:t xml:space="preserve">                             </w:t>
      </w:r>
      <w:r>
        <w:rPr>
          <w:rFonts w:hint="eastAsia" w:ascii="宋体" w:hAnsi="宋体"/>
          <w:color w:val="auto"/>
          <w:sz w:val="24"/>
          <w:highlight w:val="none"/>
        </w:rPr>
        <w:t>（盖投标人电子公章）</w:t>
      </w:r>
    </w:p>
    <w:p>
      <w:pPr>
        <w:spacing w:line="480" w:lineRule="auto"/>
        <w:jc w:val="right"/>
        <w:rPr>
          <w:rFonts w:hint="eastAsia" w:ascii="宋体" w:hAnsi="宋体"/>
          <w:color w:val="auto"/>
          <w:sz w:val="24"/>
          <w:highlight w:val="none"/>
        </w:rPr>
      </w:pPr>
      <w:r>
        <w:rPr>
          <w:rFonts w:hint="eastAsia" w:ascii="宋体" w:hAnsi="宋体"/>
          <w:color w:val="auto"/>
          <w:sz w:val="24"/>
          <w:highlight w:val="none"/>
        </w:rPr>
        <w:t>法定代表人或其委托代理人：</w:t>
      </w:r>
      <w:r>
        <w:rPr>
          <w:rFonts w:hint="eastAsia" w:ascii="宋体" w:hAnsi="宋体"/>
          <w:color w:val="auto"/>
          <w:sz w:val="24"/>
          <w:highlight w:val="none"/>
          <w:u w:val="single"/>
        </w:rPr>
        <w:t xml:space="preserve">         </w:t>
      </w:r>
      <w:r>
        <w:rPr>
          <w:rFonts w:hint="eastAsia" w:ascii="宋体" w:hAnsi="宋体"/>
          <w:color w:val="auto"/>
          <w:sz w:val="24"/>
          <w:highlight w:val="none"/>
        </w:rPr>
        <w:t>（盖法定代表人电子印章）</w:t>
      </w:r>
    </w:p>
    <w:p>
      <w:pPr>
        <w:spacing w:line="480" w:lineRule="auto"/>
        <w:jc w:val="right"/>
        <w:rPr>
          <w:rFonts w:hint="eastAsia"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pPr>
        <w:spacing w:line="480" w:lineRule="auto"/>
        <w:rPr>
          <w:rFonts w:hint="eastAsia" w:ascii="宋体" w:hAnsi="宋体"/>
          <w:color w:val="auto"/>
          <w:sz w:val="24"/>
          <w:highlight w:val="none"/>
        </w:rPr>
      </w:pPr>
    </w:p>
    <w:p>
      <w:pPr>
        <w:spacing w:line="360" w:lineRule="auto"/>
        <w:rPr>
          <w:rFonts w:hint="eastAsia" w:ascii="宋体" w:hAnsi="宋体"/>
          <w:color w:val="auto"/>
          <w:sz w:val="24"/>
          <w:highlight w:val="none"/>
        </w:rPr>
      </w:pPr>
    </w:p>
    <w:p>
      <w:pPr>
        <w:spacing w:line="360" w:lineRule="auto"/>
        <w:rPr>
          <w:rFonts w:hint="eastAsia" w:ascii="宋体" w:hAnsi="宋体"/>
          <w:color w:val="auto"/>
          <w:sz w:val="24"/>
          <w:highlight w:val="none"/>
        </w:rPr>
      </w:pPr>
    </w:p>
    <w:p>
      <w:pPr>
        <w:spacing w:line="360" w:lineRule="auto"/>
        <w:rPr>
          <w:rFonts w:hint="eastAsia" w:ascii="宋体" w:hAnsi="宋体"/>
          <w:color w:val="auto"/>
          <w:sz w:val="24"/>
          <w:highlight w:val="none"/>
        </w:rPr>
      </w:pPr>
    </w:p>
    <w:p>
      <w:pPr>
        <w:spacing w:line="360" w:lineRule="auto"/>
        <w:rPr>
          <w:rFonts w:hint="eastAsia" w:ascii="宋体" w:hAnsi="宋体"/>
          <w:color w:val="auto"/>
          <w:sz w:val="24"/>
          <w:highlight w:val="none"/>
        </w:rPr>
      </w:pPr>
    </w:p>
    <w:p>
      <w:pPr>
        <w:spacing w:line="360" w:lineRule="auto"/>
        <w:rPr>
          <w:rFonts w:hint="eastAsia" w:ascii="宋体" w:hAnsi="宋体"/>
          <w:color w:val="auto"/>
          <w:sz w:val="24"/>
          <w:highlight w:val="none"/>
        </w:rPr>
      </w:pPr>
    </w:p>
    <w:p>
      <w:pPr>
        <w:spacing w:line="360" w:lineRule="auto"/>
        <w:rPr>
          <w:rFonts w:hint="eastAsia" w:ascii="宋体" w:hAnsi="宋体"/>
          <w:color w:val="auto"/>
          <w:sz w:val="24"/>
          <w:highlight w:val="none"/>
        </w:rPr>
      </w:pPr>
    </w:p>
    <w:p>
      <w:pPr>
        <w:spacing w:line="360" w:lineRule="auto"/>
        <w:rPr>
          <w:rFonts w:hint="eastAsia" w:ascii="宋体" w:hAnsi="宋体"/>
          <w:color w:val="auto"/>
          <w:sz w:val="24"/>
          <w:highlight w:val="none"/>
        </w:rPr>
      </w:pPr>
    </w:p>
    <w:p>
      <w:pPr>
        <w:pStyle w:val="2"/>
        <w:rPr>
          <w:rFonts w:hint="eastAsia"/>
          <w:color w:val="auto"/>
          <w:highlight w:val="none"/>
        </w:rPr>
      </w:pPr>
    </w:p>
    <w:p>
      <w:pPr>
        <w:spacing w:line="500" w:lineRule="exact"/>
        <w:rPr>
          <w:rFonts w:hint="eastAsia" w:ascii="宋体" w:hAnsi="宋体" w:eastAsia="宋体"/>
          <w:color w:val="auto"/>
          <w:sz w:val="24"/>
          <w:highlight w:val="none"/>
          <w:lang w:eastAsia="zh-CN"/>
        </w:rPr>
      </w:pPr>
      <w:r>
        <w:rPr>
          <w:rFonts w:hint="eastAsia" w:ascii="宋体" w:hAnsi="宋体"/>
          <w:color w:val="auto"/>
          <w:sz w:val="24"/>
          <w:highlight w:val="none"/>
        </w:rPr>
        <w:t>附件</w:t>
      </w:r>
      <w:r>
        <w:rPr>
          <w:rFonts w:hint="eastAsia" w:ascii="宋体" w:hAnsi="宋体"/>
          <w:color w:val="auto"/>
          <w:sz w:val="24"/>
          <w:highlight w:val="none"/>
          <w:lang w:val="en-US" w:eastAsia="zh-CN"/>
        </w:rPr>
        <w:t>六</w:t>
      </w:r>
    </w:p>
    <w:p>
      <w:pPr>
        <w:spacing w:line="500" w:lineRule="exact"/>
        <w:jc w:val="center"/>
        <w:rPr>
          <w:rFonts w:hint="eastAsia" w:ascii="宋体" w:hAnsi="宋体"/>
          <w:b/>
          <w:color w:val="auto"/>
          <w:sz w:val="28"/>
          <w:szCs w:val="28"/>
          <w:highlight w:val="none"/>
        </w:rPr>
      </w:pPr>
      <w:r>
        <w:rPr>
          <w:rFonts w:hint="eastAsia" w:ascii="宋体" w:hAnsi="宋体"/>
          <w:b/>
          <w:color w:val="auto"/>
          <w:sz w:val="28"/>
          <w:szCs w:val="28"/>
          <w:highlight w:val="none"/>
        </w:rPr>
        <w:t>项目负责人简历表</w:t>
      </w:r>
    </w:p>
    <w:p>
      <w:pPr>
        <w:spacing w:line="540" w:lineRule="exact"/>
        <w:jc w:val="center"/>
        <w:rPr>
          <w:rFonts w:hint="eastAsia" w:ascii="宋体" w:hAnsi="宋体"/>
          <w:color w:val="auto"/>
          <w:sz w:val="24"/>
          <w:highlight w:val="none"/>
        </w:rPr>
      </w:pPr>
    </w:p>
    <w:tbl>
      <w:tblPr>
        <w:tblStyle w:val="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1"/>
        <w:gridCol w:w="135"/>
        <w:gridCol w:w="1539"/>
        <w:gridCol w:w="629"/>
        <w:gridCol w:w="1045"/>
        <w:gridCol w:w="1525"/>
        <w:gridCol w:w="149"/>
        <w:gridCol w:w="16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2126" w:type="dxa"/>
            <w:gridSpan w:val="2"/>
            <w:noWrap w:val="0"/>
            <w:vAlign w:val="center"/>
          </w:tcPr>
          <w:p>
            <w:pPr>
              <w:spacing w:line="400" w:lineRule="exact"/>
              <w:jc w:val="center"/>
              <w:rPr>
                <w:rFonts w:hint="eastAsia" w:ascii="宋体" w:hAnsi="宋体"/>
                <w:color w:val="auto"/>
                <w:sz w:val="24"/>
                <w:highlight w:val="none"/>
              </w:rPr>
            </w:pPr>
            <w:r>
              <w:rPr>
                <w:rFonts w:hint="eastAsia" w:ascii="宋体" w:hAnsi="宋体"/>
                <w:color w:val="auto"/>
                <w:sz w:val="24"/>
                <w:highlight w:val="none"/>
              </w:rPr>
              <w:t>姓  名</w:t>
            </w:r>
          </w:p>
        </w:tc>
        <w:tc>
          <w:tcPr>
            <w:tcW w:w="2168" w:type="dxa"/>
            <w:gridSpan w:val="2"/>
            <w:noWrap w:val="0"/>
            <w:vAlign w:val="center"/>
          </w:tcPr>
          <w:p>
            <w:pPr>
              <w:spacing w:line="400" w:lineRule="exact"/>
              <w:jc w:val="center"/>
              <w:rPr>
                <w:rFonts w:hint="eastAsia" w:ascii="宋体" w:hAnsi="宋体"/>
                <w:color w:val="auto"/>
                <w:sz w:val="24"/>
                <w:highlight w:val="none"/>
              </w:rPr>
            </w:pPr>
          </w:p>
        </w:tc>
        <w:tc>
          <w:tcPr>
            <w:tcW w:w="2570" w:type="dxa"/>
            <w:gridSpan w:val="2"/>
            <w:noWrap w:val="0"/>
            <w:vAlign w:val="center"/>
          </w:tcPr>
          <w:p>
            <w:pPr>
              <w:spacing w:line="400" w:lineRule="exact"/>
              <w:jc w:val="center"/>
              <w:rPr>
                <w:rFonts w:hint="eastAsia" w:ascii="宋体" w:hAnsi="宋体"/>
                <w:color w:val="auto"/>
                <w:sz w:val="24"/>
                <w:highlight w:val="none"/>
              </w:rPr>
            </w:pPr>
            <w:r>
              <w:rPr>
                <w:rFonts w:hint="eastAsia" w:ascii="宋体" w:hAnsi="宋体"/>
                <w:color w:val="auto"/>
                <w:sz w:val="24"/>
                <w:highlight w:val="none"/>
              </w:rPr>
              <w:t>性  别</w:t>
            </w:r>
          </w:p>
        </w:tc>
        <w:tc>
          <w:tcPr>
            <w:tcW w:w="1825" w:type="dxa"/>
            <w:gridSpan w:val="2"/>
            <w:noWrap w:val="0"/>
            <w:vAlign w:val="top"/>
          </w:tcPr>
          <w:p>
            <w:pPr>
              <w:spacing w:line="400" w:lineRule="exact"/>
              <w:rPr>
                <w:rFonts w:hint="eastAsia"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2126" w:type="dxa"/>
            <w:gridSpan w:val="2"/>
            <w:noWrap w:val="0"/>
            <w:vAlign w:val="center"/>
          </w:tcPr>
          <w:p>
            <w:pPr>
              <w:spacing w:line="400" w:lineRule="exact"/>
              <w:jc w:val="center"/>
              <w:rPr>
                <w:rFonts w:hint="eastAsia" w:ascii="宋体" w:hAnsi="宋体"/>
                <w:color w:val="auto"/>
                <w:sz w:val="24"/>
                <w:highlight w:val="none"/>
              </w:rPr>
            </w:pPr>
            <w:r>
              <w:rPr>
                <w:rFonts w:hint="eastAsia" w:ascii="宋体" w:hAnsi="宋体"/>
                <w:color w:val="auto"/>
                <w:sz w:val="24"/>
                <w:highlight w:val="none"/>
              </w:rPr>
              <w:t>资  格</w:t>
            </w:r>
          </w:p>
        </w:tc>
        <w:tc>
          <w:tcPr>
            <w:tcW w:w="2168" w:type="dxa"/>
            <w:gridSpan w:val="2"/>
            <w:noWrap w:val="0"/>
            <w:vAlign w:val="center"/>
          </w:tcPr>
          <w:p>
            <w:pPr>
              <w:spacing w:line="400" w:lineRule="exact"/>
              <w:jc w:val="center"/>
              <w:rPr>
                <w:rFonts w:hint="eastAsia" w:ascii="宋体" w:hAnsi="宋体"/>
                <w:color w:val="auto"/>
                <w:sz w:val="24"/>
                <w:highlight w:val="none"/>
              </w:rPr>
            </w:pPr>
          </w:p>
        </w:tc>
        <w:tc>
          <w:tcPr>
            <w:tcW w:w="2570" w:type="dxa"/>
            <w:gridSpan w:val="2"/>
            <w:noWrap w:val="0"/>
            <w:vAlign w:val="center"/>
          </w:tcPr>
          <w:p>
            <w:pPr>
              <w:spacing w:line="400" w:lineRule="exact"/>
              <w:jc w:val="center"/>
              <w:rPr>
                <w:rFonts w:hint="eastAsia" w:ascii="宋体" w:hAnsi="宋体"/>
                <w:color w:val="auto"/>
                <w:sz w:val="24"/>
                <w:highlight w:val="none"/>
              </w:rPr>
            </w:pPr>
            <w:r>
              <w:rPr>
                <w:rFonts w:hint="eastAsia" w:ascii="宋体" w:hAnsi="宋体"/>
                <w:color w:val="auto"/>
                <w:sz w:val="24"/>
                <w:highlight w:val="none"/>
              </w:rPr>
              <w:t>职  称</w:t>
            </w:r>
          </w:p>
        </w:tc>
        <w:tc>
          <w:tcPr>
            <w:tcW w:w="1825" w:type="dxa"/>
            <w:gridSpan w:val="2"/>
            <w:noWrap w:val="0"/>
            <w:vAlign w:val="top"/>
          </w:tcPr>
          <w:p>
            <w:pPr>
              <w:spacing w:line="400" w:lineRule="exact"/>
              <w:rPr>
                <w:rFonts w:hint="eastAsia"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2126" w:type="dxa"/>
            <w:gridSpan w:val="2"/>
            <w:noWrap w:val="0"/>
            <w:vAlign w:val="center"/>
          </w:tcPr>
          <w:p>
            <w:pPr>
              <w:spacing w:line="400" w:lineRule="exact"/>
              <w:jc w:val="center"/>
              <w:rPr>
                <w:rFonts w:hint="eastAsia" w:ascii="宋体" w:hAnsi="宋体"/>
                <w:color w:val="auto"/>
                <w:sz w:val="24"/>
                <w:highlight w:val="none"/>
              </w:rPr>
            </w:pPr>
            <w:r>
              <w:rPr>
                <w:rFonts w:hint="eastAsia" w:ascii="宋体" w:hAnsi="宋体"/>
                <w:color w:val="auto"/>
                <w:sz w:val="24"/>
                <w:highlight w:val="none"/>
              </w:rPr>
              <w:t>学  历</w:t>
            </w:r>
          </w:p>
        </w:tc>
        <w:tc>
          <w:tcPr>
            <w:tcW w:w="2168" w:type="dxa"/>
            <w:gridSpan w:val="2"/>
            <w:noWrap w:val="0"/>
            <w:vAlign w:val="center"/>
          </w:tcPr>
          <w:p>
            <w:pPr>
              <w:spacing w:line="400" w:lineRule="exact"/>
              <w:jc w:val="center"/>
              <w:rPr>
                <w:rFonts w:hint="eastAsia" w:ascii="宋体" w:hAnsi="宋体"/>
                <w:color w:val="auto"/>
                <w:sz w:val="24"/>
                <w:highlight w:val="none"/>
              </w:rPr>
            </w:pPr>
          </w:p>
        </w:tc>
        <w:tc>
          <w:tcPr>
            <w:tcW w:w="2570" w:type="dxa"/>
            <w:gridSpan w:val="2"/>
            <w:noWrap w:val="0"/>
            <w:vAlign w:val="center"/>
          </w:tcPr>
          <w:p>
            <w:pPr>
              <w:spacing w:line="400" w:lineRule="exact"/>
              <w:jc w:val="center"/>
              <w:rPr>
                <w:rFonts w:hint="eastAsia" w:ascii="宋体" w:hAnsi="宋体"/>
                <w:color w:val="auto"/>
                <w:sz w:val="24"/>
                <w:highlight w:val="none"/>
              </w:rPr>
            </w:pPr>
            <w:r>
              <w:rPr>
                <w:rFonts w:hint="eastAsia" w:ascii="宋体" w:hAnsi="宋体"/>
                <w:color w:val="auto"/>
                <w:sz w:val="24"/>
                <w:highlight w:val="none"/>
              </w:rPr>
              <w:t>年  龄</w:t>
            </w:r>
          </w:p>
        </w:tc>
        <w:tc>
          <w:tcPr>
            <w:tcW w:w="1825" w:type="dxa"/>
            <w:gridSpan w:val="2"/>
            <w:noWrap w:val="0"/>
            <w:vAlign w:val="top"/>
          </w:tcPr>
          <w:p>
            <w:pPr>
              <w:spacing w:line="400" w:lineRule="exact"/>
              <w:rPr>
                <w:rFonts w:hint="eastAsia"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2126" w:type="dxa"/>
            <w:gridSpan w:val="2"/>
            <w:noWrap w:val="0"/>
            <w:vAlign w:val="center"/>
          </w:tcPr>
          <w:p>
            <w:pPr>
              <w:spacing w:line="400" w:lineRule="exact"/>
              <w:jc w:val="center"/>
              <w:rPr>
                <w:rFonts w:hint="eastAsia" w:ascii="宋体" w:hAnsi="宋体"/>
                <w:color w:val="auto"/>
                <w:sz w:val="24"/>
                <w:highlight w:val="none"/>
              </w:rPr>
            </w:pPr>
            <w:r>
              <w:rPr>
                <w:rFonts w:hint="eastAsia" w:ascii="宋体" w:hAnsi="宋体"/>
                <w:color w:val="auto"/>
                <w:sz w:val="24"/>
                <w:highlight w:val="none"/>
              </w:rPr>
              <w:t>参加工作时间</w:t>
            </w:r>
          </w:p>
        </w:tc>
        <w:tc>
          <w:tcPr>
            <w:tcW w:w="2168" w:type="dxa"/>
            <w:gridSpan w:val="2"/>
            <w:noWrap w:val="0"/>
            <w:vAlign w:val="center"/>
          </w:tcPr>
          <w:p>
            <w:pPr>
              <w:spacing w:line="400" w:lineRule="exact"/>
              <w:jc w:val="center"/>
              <w:rPr>
                <w:rFonts w:hint="eastAsia" w:ascii="宋体" w:hAnsi="宋体"/>
                <w:color w:val="auto"/>
                <w:sz w:val="24"/>
                <w:highlight w:val="none"/>
              </w:rPr>
            </w:pPr>
          </w:p>
        </w:tc>
        <w:tc>
          <w:tcPr>
            <w:tcW w:w="2570" w:type="dxa"/>
            <w:gridSpan w:val="2"/>
            <w:noWrap w:val="0"/>
            <w:vAlign w:val="center"/>
          </w:tcPr>
          <w:p>
            <w:pPr>
              <w:spacing w:line="400" w:lineRule="exact"/>
              <w:jc w:val="center"/>
              <w:rPr>
                <w:rFonts w:hint="eastAsia" w:ascii="宋体" w:hAnsi="宋体"/>
                <w:color w:val="auto"/>
                <w:sz w:val="24"/>
                <w:highlight w:val="none"/>
              </w:rPr>
            </w:pPr>
            <w:r>
              <w:rPr>
                <w:rFonts w:hint="eastAsia" w:ascii="宋体" w:hAnsi="宋体"/>
                <w:color w:val="auto"/>
                <w:sz w:val="24"/>
                <w:highlight w:val="none"/>
              </w:rPr>
              <w:t>从事项目负责人年限</w:t>
            </w:r>
          </w:p>
        </w:tc>
        <w:tc>
          <w:tcPr>
            <w:tcW w:w="1825" w:type="dxa"/>
            <w:gridSpan w:val="2"/>
            <w:noWrap w:val="0"/>
            <w:vAlign w:val="top"/>
          </w:tcPr>
          <w:p>
            <w:pPr>
              <w:spacing w:line="400" w:lineRule="exact"/>
              <w:rPr>
                <w:rFonts w:hint="eastAsia"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2" w:hRule="atLeast"/>
          <w:jc w:val="center"/>
        </w:trPr>
        <w:tc>
          <w:tcPr>
            <w:tcW w:w="8689" w:type="dxa"/>
            <w:gridSpan w:val="8"/>
            <w:noWrap w:val="0"/>
            <w:vAlign w:val="center"/>
          </w:tcPr>
          <w:p>
            <w:pPr>
              <w:spacing w:line="400" w:lineRule="exact"/>
              <w:jc w:val="center"/>
              <w:rPr>
                <w:rFonts w:hint="eastAsia" w:ascii="宋体" w:hAnsi="宋体"/>
                <w:color w:val="auto"/>
                <w:sz w:val="24"/>
                <w:highlight w:val="none"/>
              </w:rPr>
            </w:pPr>
            <w:r>
              <w:rPr>
                <w:rFonts w:hint="eastAsia" w:ascii="宋体" w:hAnsi="宋体"/>
                <w:color w:val="auto"/>
                <w:sz w:val="24"/>
                <w:highlight w:val="none"/>
              </w:rPr>
              <w:t>已完成在建工程项目情况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1991" w:type="dxa"/>
            <w:noWrap w:val="0"/>
            <w:vAlign w:val="center"/>
          </w:tcPr>
          <w:p>
            <w:pPr>
              <w:spacing w:line="400" w:lineRule="exact"/>
              <w:jc w:val="center"/>
              <w:rPr>
                <w:rFonts w:hint="eastAsia" w:ascii="宋体" w:hAnsi="宋体"/>
                <w:color w:val="auto"/>
                <w:sz w:val="24"/>
                <w:highlight w:val="none"/>
              </w:rPr>
            </w:pPr>
            <w:r>
              <w:rPr>
                <w:rFonts w:hint="eastAsia" w:ascii="宋体" w:hAnsi="宋体"/>
                <w:color w:val="auto"/>
                <w:sz w:val="24"/>
                <w:highlight w:val="none"/>
              </w:rPr>
              <w:t>建设单位</w:t>
            </w:r>
          </w:p>
        </w:tc>
        <w:tc>
          <w:tcPr>
            <w:tcW w:w="1674" w:type="dxa"/>
            <w:gridSpan w:val="2"/>
            <w:noWrap w:val="0"/>
            <w:vAlign w:val="center"/>
          </w:tcPr>
          <w:p>
            <w:pPr>
              <w:spacing w:line="400" w:lineRule="exact"/>
              <w:jc w:val="center"/>
              <w:rPr>
                <w:rFonts w:hint="eastAsia" w:ascii="宋体" w:hAnsi="宋体"/>
                <w:color w:val="auto"/>
                <w:sz w:val="24"/>
                <w:highlight w:val="none"/>
              </w:rPr>
            </w:pPr>
            <w:r>
              <w:rPr>
                <w:rFonts w:hint="eastAsia" w:ascii="宋体" w:hAnsi="宋体"/>
                <w:color w:val="auto"/>
                <w:sz w:val="24"/>
                <w:highlight w:val="none"/>
              </w:rPr>
              <w:t>项目名称</w:t>
            </w:r>
          </w:p>
        </w:tc>
        <w:tc>
          <w:tcPr>
            <w:tcW w:w="1674" w:type="dxa"/>
            <w:gridSpan w:val="2"/>
            <w:noWrap w:val="0"/>
            <w:vAlign w:val="center"/>
          </w:tcPr>
          <w:p>
            <w:pPr>
              <w:spacing w:line="400" w:lineRule="exact"/>
              <w:jc w:val="center"/>
              <w:rPr>
                <w:rFonts w:hint="eastAsia" w:ascii="宋体" w:hAnsi="宋体"/>
                <w:color w:val="auto"/>
                <w:sz w:val="24"/>
                <w:highlight w:val="none"/>
              </w:rPr>
            </w:pPr>
            <w:r>
              <w:rPr>
                <w:rFonts w:hint="eastAsia" w:ascii="宋体" w:hAnsi="宋体"/>
                <w:color w:val="auto"/>
                <w:sz w:val="24"/>
                <w:highlight w:val="none"/>
              </w:rPr>
              <w:t>建设规模</w:t>
            </w:r>
          </w:p>
        </w:tc>
        <w:tc>
          <w:tcPr>
            <w:tcW w:w="1674" w:type="dxa"/>
            <w:gridSpan w:val="2"/>
            <w:noWrap w:val="0"/>
            <w:vAlign w:val="center"/>
          </w:tcPr>
          <w:p>
            <w:pPr>
              <w:spacing w:line="400" w:lineRule="exact"/>
              <w:jc w:val="center"/>
              <w:rPr>
                <w:rFonts w:hint="eastAsia" w:ascii="宋体" w:hAnsi="宋体"/>
                <w:color w:val="auto"/>
                <w:sz w:val="24"/>
                <w:highlight w:val="none"/>
              </w:rPr>
            </w:pPr>
            <w:r>
              <w:rPr>
                <w:rFonts w:hint="eastAsia" w:ascii="宋体" w:hAnsi="宋体"/>
                <w:color w:val="auto"/>
                <w:sz w:val="24"/>
                <w:highlight w:val="none"/>
              </w:rPr>
              <w:t>开竣工日期</w:t>
            </w:r>
          </w:p>
        </w:tc>
        <w:tc>
          <w:tcPr>
            <w:tcW w:w="1676" w:type="dxa"/>
            <w:noWrap w:val="0"/>
            <w:vAlign w:val="center"/>
          </w:tcPr>
          <w:p>
            <w:pPr>
              <w:spacing w:line="400" w:lineRule="exact"/>
              <w:jc w:val="center"/>
              <w:rPr>
                <w:rFonts w:hint="eastAsia" w:ascii="宋体" w:hAnsi="宋体"/>
                <w:color w:val="auto"/>
                <w:sz w:val="24"/>
                <w:highlight w:val="none"/>
              </w:rPr>
            </w:pPr>
            <w:r>
              <w:rPr>
                <w:rFonts w:hint="eastAsia" w:ascii="宋体" w:hAnsi="宋体"/>
                <w:color w:val="auto"/>
                <w:sz w:val="24"/>
                <w:highlight w:val="none"/>
              </w:rPr>
              <w:t>工程质量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1991" w:type="dxa"/>
            <w:noWrap w:val="0"/>
            <w:vAlign w:val="top"/>
          </w:tcPr>
          <w:p>
            <w:pPr>
              <w:spacing w:line="620" w:lineRule="exact"/>
              <w:rPr>
                <w:rFonts w:hint="eastAsia" w:ascii="宋体" w:hAnsi="宋体"/>
                <w:color w:val="auto"/>
                <w:sz w:val="24"/>
                <w:highlight w:val="none"/>
              </w:rPr>
            </w:pPr>
          </w:p>
        </w:tc>
        <w:tc>
          <w:tcPr>
            <w:tcW w:w="1674" w:type="dxa"/>
            <w:gridSpan w:val="2"/>
            <w:noWrap w:val="0"/>
            <w:vAlign w:val="top"/>
          </w:tcPr>
          <w:p>
            <w:pPr>
              <w:spacing w:line="620" w:lineRule="exact"/>
              <w:rPr>
                <w:rFonts w:hint="eastAsia" w:ascii="宋体" w:hAnsi="宋体"/>
                <w:color w:val="auto"/>
                <w:sz w:val="24"/>
                <w:highlight w:val="none"/>
              </w:rPr>
            </w:pPr>
          </w:p>
        </w:tc>
        <w:tc>
          <w:tcPr>
            <w:tcW w:w="1674" w:type="dxa"/>
            <w:gridSpan w:val="2"/>
            <w:noWrap w:val="0"/>
            <w:vAlign w:val="top"/>
          </w:tcPr>
          <w:p>
            <w:pPr>
              <w:spacing w:line="620" w:lineRule="exact"/>
              <w:rPr>
                <w:rFonts w:hint="eastAsia" w:ascii="宋体" w:hAnsi="宋体"/>
                <w:color w:val="auto"/>
                <w:sz w:val="24"/>
                <w:highlight w:val="none"/>
              </w:rPr>
            </w:pPr>
          </w:p>
        </w:tc>
        <w:tc>
          <w:tcPr>
            <w:tcW w:w="1674" w:type="dxa"/>
            <w:gridSpan w:val="2"/>
            <w:noWrap w:val="0"/>
            <w:vAlign w:val="top"/>
          </w:tcPr>
          <w:p>
            <w:pPr>
              <w:spacing w:line="620" w:lineRule="exact"/>
              <w:rPr>
                <w:rFonts w:hint="eastAsia" w:ascii="宋体" w:hAnsi="宋体"/>
                <w:color w:val="auto"/>
                <w:sz w:val="24"/>
                <w:highlight w:val="none"/>
              </w:rPr>
            </w:pPr>
          </w:p>
        </w:tc>
        <w:tc>
          <w:tcPr>
            <w:tcW w:w="1676" w:type="dxa"/>
            <w:noWrap w:val="0"/>
            <w:vAlign w:val="top"/>
          </w:tcPr>
          <w:p>
            <w:pPr>
              <w:spacing w:line="620" w:lineRule="exact"/>
              <w:rPr>
                <w:rFonts w:hint="eastAsia"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1991" w:type="dxa"/>
            <w:noWrap w:val="0"/>
            <w:vAlign w:val="top"/>
          </w:tcPr>
          <w:p>
            <w:pPr>
              <w:spacing w:line="620" w:lineRule="exact"/>
              <w:rPr>
                <w:rFonts w:hint="eastAsia" w:ascii="宋体" w:hAnsi="宋体"/>
                <w:color w:val="auto"/>
                <w:sz w:val="24"/>
                <w:highlight w:val="none"/>
              </w:rPr>
            </w:pPr>
          </w:p>
        </w:tc>
        <w:tc>
          <w:tcPr>
            <w:tcW w:w="1674" w:type="dxa"/>
            <w:gridSpan w:val="2"/>
            <w:noWrap w:val="0"/>
            <w:vAlign w:val="top"/>
          </w:tcPr>
          <w:p>
            <w:pPr>
              <w:spacing w:line="620" w:lineRule="exact"/>
              <w:rPr>
                <w:rFonts w:hint="eastAsia" w:ascii="宋体" w:hAnsi="宋体"/>
                <w:color w:val="auto"/>
                <w:sz w:val="24"/>
                <w:highlight w:val="none"/>
              </w:rPr>
            </w:pPr>
          </w:p>
        </w:tc>
        <w:tc>
          <w:tcPr>
            <w:tcW w:w="1674" w:type="dxa"/>
            <w:gridSpan w:val="2"/>
            <w:noWrap w:val="0"/>
            <w:vAlign w:val="top"/>
          </w:tcPr>
          <w:p>
            <w:pPr>
              <w:spacing w:line="620" w:lineRule="exact"/>
              <w:rPr>
                <w:rFonts w:hint="eastAsia" w:ascii="宋体" w:hAnsi="宋体"/>
                <w:color w:val="auto"/>
                <w:sz w:val="24"/>
                <w:highlight w:val="none"/>
              </w:rPr>
            </w:pPr>
          </w:p>
        </w:tc>
        <w:tc>
          <w:tcPr>
            <w:tcW w:w="1674" w:type="dxa"/>
            <w:gridSpan w:val="2"/>
            <w:noWrap w:val="0"/>
            <w:vAlign w:val="top"/>
          </w:tcPr>
          <w:p>
            <w:pPr>
              <w:spacing w:line="620" w:lineRule="exact"/>
              <w:rPr>
                <w:rFonts w:hint="eastAsia" w:ascii="宋体" w:hAnsi="宋体"/>
                <w:color w:val="auto"/>
                <w:sz w:val="24"/>
                <w:highlight w:val="none"/>
              </w:rPr>
            </w:pPr>
          </w:p>
        </w:tc>
        <w:tc>
          <w:tcPr>
            <w:tcW w:w="1676" w:type="dxa"/>
            <w:noWrap w:val="0"/>
            <w:vAlign w:val="top"/>
          </w:tcPr>
          <w:p>
            <w:pPr>
              <w:spacing w:line="620" w:lineRule="exact"/>
              <w:rPr>
                <w:rFonts w:hint="eastAsia"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1991" w:type="dxa"/>
            <w:noWrap w:val="0"/>
            <w:vAlign w:val="top"/>
          </w:tcPr>
          <w:p>
            <w:pPr>
              <w:spacing w:line="620" w:lineRule="exact"/>
              <w:rPr>
                <w:rFonts w:hint="eastAsia" w:ascii="宋体" w:hAnsi="宋体"/>
                <w:color w:val="auto"/>
                <w:sz w:val="24"/>
                <w:highlight w:val="none"/>
              </w:rPr>
            </w:pPr>
          </w:p>
        </w:tc>
        <w:tc>
          <w:tcPr>
            <w:tcW w:w="1674" w:type="dxa"/>
            <w:gridSpan w:val="2"/>
            <w:noWrap w:val="0"/>
            <w:vAlign w:val="top"/>
          </w:tcPr>
          <w:p>
            <w:pPr>
              <w:spacing w:line="620" w:lineRule="exact"/>
              <w:rPr>
                <w:rFonts w:hint="eastAsia" w:ascii="宋体" w:hAnsi="宋体"/>
                <w:color w:val="auto"/>
                <w:sz w:val="24"/>
                <w:highlight w:val="none"/>
              </w:rPr>
            </w:pPr>
          </w:p>
        </w:tc>
        <w:tc>
          <w:tcPr>
            <w:tcW w:w="1674" w:type="dxa"/>
            <w:gridSpan w:val="2"/>
            <w:noWrap w:val="0"/>
            <w:vAlign w:val="top"/>
          </w:tcPr>
          <w:p>
            <w:pPr>
              <w:spacing w:line="620" w:lineRule="exact"/>
              <w:rPr>
                <w:rFonts w:hint="eastAsia" w:ascii="宋体" w:hAnsi="宋体"/>
                <w:color w:val="auto"/>
                <w:sz w:val="24"/>
                <w:highlight w:val="none"/>
              </w:rPr>
            </w:pPr>
          </w:p>
        </w:tc>
        <w:tc>
          <w:tcPr>
            <w:tcW w:w="1674" w:type="dxa"/>
            <w:gridSpan w:val="2"/>
            <w:noWrap w:val="0"/>
            <w:vAlign w:val="top"/>
          </w:tcPr>
          <w:p>
            <w:pPr>
              <w:spacing w:line="620" w:lineRule="exact"/>
              <w:rPr>
                <w:rFonts w:hint="eastAsia" w:ascii="宋体" w:hAnsi="宋体"/>
                <w:color w:val="auto"/>
                <w:sz w:val="24"/>
                <w:highlight w:val="none"/>
              </w:rPr>
            </w:pPr>
          </w:p>
        </w:tc>
        <w:tc>
          <w:tcPr>
            <w:tcW w:w="1676" w:type="dxa"/>
            <w:noWrap w:val="0"/>
            <w:vAlign w:val="top"/>
          </w:tcPr>
          <w:p>
            <w:pPr>
              <w:spacing w:line="620" w:lineRule="exact"/>
              <w:rPr>
                <w:rFonts w:hint="eastAsia"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1991" w:type="dxa"/>
            <w:noWrap w:val="0"/>
            <w:vAlign w:val="top"/>
          </w:tcPr>
          <w:p>
            <w:pPr>
              <w:spacing w:line="620" w:lineRule="exact"/>
              <w:rPr>
                <w:rFonts w:hint="eastAsia" w:ascii="宋体" w:hAnsi="宋体"/>
                <w:color w:val="auto"/>
                <w:sz w:val="24"/>
                <w:highlight w:val="none"/>
              </w:rPr>
            </w:pPr>
          </w:p>
        </w:tc>
        <w:tc>
          <w:tcPr>
            <w:tcW w:w="1674" w:type="dxa"/>
            <w:gridSpan w:val="2"/>
            <w:noWrap w:val="0"/>
            <w:vAlign w:val="top"/>
          </w:tcPr>
          <w:p>
            <w:pPr>
              <w:spacing w:line="620" w:lineRule="exact"/>
              <w:rPr>
                <w:rFonts w:hint="eastAsia" w:ascii="宋体" w:hAnsi="宋体"/>
                <w:color w:val="auto"/>
                <w:sz w:val="24"/>
                <w:highlight w:val="none"/>
              </w:rPr>
            </w:pPr>
          </w:p>
        </w:tc>
        <w:tc>
          <w:tcPr>
            <w:tcW w:w="1674" w:type="dxa"/>
            <w:gridSpan w:val="2"/>
            <w:noWrap w:val="0"/>
            <w:vAlign w:val="top"/>
          </w:tcPr>
          <w:p>
            <w:pPr>
              <w:spacing w:line="620" w:lineRule="exact"/>
              <w:rPr>
                <w:rFonts w:hint="eastAsia" w:ascii="宋体" w:hAnsi="宋体"/>
                <w:color w:val="auto"/>
                <w:sz w:val="24"/>
                <w:highlight w:val="none"/>
              </w:rPr>
            </w:pPr>
          </w:p>
        </w:tc>
        <w:tc>
          <w:tcPr>
            <w:tcW w:w="1674" w:type="dxa"/>
            <w:gridSpan w:val="2"/>
            <w:noWrap w:val="0"/>
            <w:vAlign w:val="top"/>
          </w:tcPr>
          <w:p>
            <w:pPr>
              <w:spacing w:line="620" w:lineRule="exact"/>
              <w:rPr>
                <w:rFonts w:hint="eastAsia" w:ascii="宋体" w:hAnsi="宋体"/>
                <w:color w:val="auto"/>
                <w:sz w:val="24"/>
                <w:highlight w:val="none"/>
              </w:rPr>
            </w:pPr>
          </w:p>
        </w:tc>
        <w:tc>
          <w:tcPr>
            <w:tcW w:w="1676" w:type="dxa"/>
            <w:noWrap w:val="0"/>
            <w:vAlign w:val="top"/>
          </w:tcPr>
          <w:p>
            <w:pPr>
              <w:spacing w:line="620" w:lineRule="exact"/>
              <w:rPr>
                <w:rFonts w:hint="eastAsia"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1991" w:type="dxa"/>
            <w:noWrap w:val="0"/>
            <w:vAlign w:val="top"/>
          </w:tcPr>
          <w:p>
            <w:pPr>
              <w:spacing w:line="620" w:lineRule="exact"/>
              <w:rPr>
                <w:rFonts w:hint="eastAsia" w:ascii="宋体" w:hAnsi="宋体"/>
                <w:color w:val="auto"/>
                <w:sz w:val="24"/>
                <w:highlight w:val="none"/>
              </w:rPr>
            </w:pPr>
          </w:p>
        </w:tc>
        <w:tc>
          <w:tcPr>
            <w:tcW w:w="1674" w:type="dxa"/>
            <w:gridSpan w:val="2"/>
            <w:noWrap w:val="0"/>
            <w:vAlign w:val="top"/>
          </w:tcPr>
          <w:p>
            <w:pPr>
              <w:spacing w:line="620" w:lineRule="exact"/>
              <w:rPr>
                <w:rFonts w:hint="eastAsia" w:ascii="宋体" w:hAnsi="宋体"/>
                <w:color w:val="auto"/>
                <w:sz w:val="24"/>
                <w:highlight w:val="none"/>
              </w:rPr>
            </w:pPr>
          </w:p>
        </w:tc>
        <w:tc>
          <w:tcPr>
            <w:tcW w:w="1674" w:type="dxa"/>
            <w:gridSpan w:val="2"/>
            <w:noWrap w:val="0"/>
            <w:vAlign w:val="top"/>
          </w:tcPr>
          <w:p>
            <w:pPr>
              <w:spacing w:line="620" w:lineRule="exact"/>
              <w:rPr>
                <w:rFonts w:hint="eastAsia" w:ascii="宋体" w:hAnsi="宋体"/>
                <w:color w:val="auto"/>
                <w:sz w:val="24"/>
                <w:highlight w:val="none"/>
              </w:rPr>
            </w:pPr>
          </w:p>
        </w:tc>
        <w:tc>
          <w:tcPr>
            <w:tcW w:w="1674" w:type="dxa"/>
            <w:gridSpan w:val="2"/>
            <w:noWrap w:val="0"/>
            <w:vAlign w:val="top"/>
          </w:tcPr>
          <w:p>
            <w:pPr>
              <w:spacing w:line="620" w:lineRule="exact"/>
              <w:rPr>
                <w:rFonts w:hint="eastAsia" w:ascii="宋体" w:hAnsi="宋体"/>
                <w:color w:val="auto"/>
                <w:sz w:val="24"/>
                <w:highlight w:val="none"/>
              </w:rPr>
            </w:pPr>
          </w:p>
        </w:tc>
        <w:tc>
          <w:tcPr>
            <w:tcW w:w="1676" w:type="dxa"/>
            <w:noWrap w:val="0"/>
            <w:vAlign w:val="top"/>
          </w:tcPr>
          <w:p>
            <w:pPr>
              <w:spacing w:line="620" w:lineRule="exact"/>
              <w:rPr>
                <w:rFonts w:hint="eastAsia"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1991" w:type="dxa"/>
            <w:noWrap w:val="0"/>
            <w:vAlign w:val="top"/>
          </w:tcPr>
          <w:p>
            <w:pPr>
              <w:spacing w:line="620" w:lineRule="exact"/>
              <w:rPr>
                <w:rFonts w:hint="eastAsia" w:ascii="宋体" w:hAnsi="宋体"/>
                <w:color w:val="auto"/>
                <w:sz w:val="24"/>
                <w:highlight w:val="none"/>
              </w:rPr>
            </w:pPr>
          </w:p>
        </w:tc>
        <w:tc>
          <w:tcPr>
            <w:tcW w:w="1674" w:type="dxa"/>
            <w:gridSpan w:val="2"/>
            <w:noWrap w:val="0"/>
            <w:vAlign w:val="top"/>
          </w:tcPr>
          <w:p>
            <w:pPr>
              <w:spacing w:line="620" w:lineRule="exact"/>
              <w:rPr>
                <w:rFonts w:hint="eastAsia" w:ascii="宋体" w:hAnsi="宋体"/>
                <w:color w:val="auto"/>
                <w:sz w:val="24"/>
                <w:highlight w:val="none"/>
              </w:rPr>
            </w:pPr>
          </w:p>
        </w:tc>
        <w:tc>
          <w:tcPr>
            <w:tcW w:w="1674" w:type="dxa"/>
            <w:gridSpan w:val="2"/>
            <w:noWrap w:val="0"/>
            <w:vAlign w:val="top"/>
          </w:tcPr>
          <w:p>
            <w:pPr>
              <w:spacing w:line="620" w:lineRule="exact"/>
              <w:rPr>
                <w:rFonts w:hint="eastAsia" w:ascii="宋体" w:hAnsi="宋体"/>
                <w:color w:val="auto"/>
                <w:sz w:val="24"/>
                <w:highlight w:val="none"/>
              </w:rPr>
            </w:pPr>
          </w:p>
        </w:tc>
        <w:tc>
          <w:tcPr>
            <w:tcW w:w="1674" w:type="dxa"/>
            <w:gridSpan w:val="2"/>
            <w:noWrap w:val="0"/>
            <w:vAlign w:val="top"/>
          </w:tcPr>
          <w:p>
            <w:pPr>
              <w:spacing w:line="620" w:lineRule="exact"/>
              <w:rPr>
                <w:rFonts w:hint="eastAsia" w:ascii="宋体" w:hAnsi="宋体"/>
                <w:color w:val="auto"/>
                <w:sz w:val="24"/>
                <w:highlight w:val="none"/>
              </w:rPr>
            </w:pPr>
          </w:p>
        </w:tc>
        <w:tc>
          <w:tcPr>
            <w:tcW w:w="1676" w:type="dxa"/>
            <w:noWrap w:val="0"/>
            <w:vAlign w:val="top"/>
          </w:tcPr>
          <w:p>
            <w:pPr>
              <w:spacing w:line="620" w:lineRule="exact"/>
              <w:rPr>
                <w:rFonts w:hint="eastAsia"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1991" w:type="dxa"/>
            <w:noWrap w:val="0"/>
            <w:vAlign w:val="top"/>
          </w:tcPr>
          <w:p>
            <w:pPr>
              <w:spacing w:line="620" w:lineRule="exact"/>
              <w:rPr>
                <w:rFonts w:hint="eastAsia" w:ascii="宋体" w:hAnsi="宋体"/>
                <w:color w:val="auto"/>
                <w:sz w:val="24"/>
                <w:highlight w:val="none"/>
              </w:rPr>
            </w:pPr>
          </w:p>
        </w:tc>
        <w:tc>
          <w:tcPr>
            <w:tcW w:w="1674" w:type="dxa"/>
            <w:gridSpan w:val="2"/>
            <w:noWrap w:val="0"/>
            <w:vAlign w:val="top"/>
          </w:tcPr>
          <w:p>
            <w:pPr>
              <w:spacing w:line="620" w:lineRule="exact"/>
              <w:rPr>
                <w:rFonts w:hint="eastAsia" w:ascii="宋体" w:hAnsi="宋体"/>
                <w:color w:val="auto"/>
                <w:sz w:val="24"/>
                <w:highlight w:val="none"/>
              </w:rPr>
            </w:pPr>
          </w:p>
        </w:tc>
        <w:tc>
          <w:tcPr>
            <w:tcW w:w="1674" w:type="dxa"/>
            <w:gridSpan w:val="2"/>
            <w:noWrap w:val="0"/>
            <w:vAlign w:val="top"/>
          </w:tcPr>
          <w:p>
            <w:pPr>
              <w:spacing w:line="620" w:lineRule="exact"/>
              <w:rPr>
                <w:rFonts w:hint="eastAsia" w:ascii="宋体" w:hAnsi="宋体"/>
                <w:color w:val="auto"/>
                <w:sz w:val="24"/>
                <w:highlight w:val="none"/>
              </w:rPr>
            </w:pPr>
          </w:p>
        </w:tc>
        <w:tc>
          <w:tcPr>
            <w:tcW w:w="1674" w:type="dxa"/>
            <w:gridSpan w:val="2"/>
            <w:noWrap w:val="0"/>
            <w:vAlign w:val="top"/>
          </w:tcPr>
          <w:p>
            <w:pPr>
              <w:spacing w:line="620" w:lineRule="exact"/>
              <w:rPr>
                <w:rFonts w:hint="eastAsia" w:ascii="宋体" w:hAnsi="宋体"/>
                <w:color w:val="auto"/>
                <w:sz w:val="24"/>
                <w:highlight w:val="none"/>
              </w:rPr>
            </w:pPr>
          </w:p>
        </w:tc>
        <w:tc>
          <w:tcPr>
            <w:tcW w:w="1676" w:type="dxa"/>
            <w:noWrap w:val="0"/>
            <w:vAlign w:val="top"/>
          </w:tcPr>
          <w:p>
            <w:pPr>
              <w:spacing w:line="620" w:lineRule="exact"/>
              <w:rPr>
                <w:rFonts w:hint="eastAsia"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75" w:hRule="atLeast"/>
          <w:jc w:val="center"/>
        </w:trPr>
        <w:tc>
          <w:tcPr>
            <w:tcW w:w="1991" w:type="dxa"/>
            <w:noWrap w:val="0"/>
            <w:vAlign w:val="center"/>
          </w:tcPr>
          <w:p>
            <w:pPr>
              <w:spacing w:line="620" w:lineRule="exact"/>
              <w:jc w:val="center"/>
              <w:rPr>
                <w:rFonts w:hint="eastAsia" w:ascii="宋体" w:hAnsi="宋体"/>
                <w:color w:val="auto"/>
                <w:sz w:val="24"/>
                <w:highlight w:val="none"/>
              </w:rPr>
            </w:pPr>
            <w:r>
              <w:rPr>
                <w:rFonts w:hint="eastAsia" w:ascii="宋体" w:hAnsi="宋体"/>
                <w:color w:val="auto"/>
                <w:sz w:val="24"/>
                <w:highlight w:val="none"/>
              </w:rPr>
              <w:t>备    注</w:t>
            </w:r>
          </w:p>
        </w:tc>
        <w:tc>
          <w:tcPr>
            <w:tcW w:w="6698" w:type="dxa"/>
            <w:gridSpan w:val="7"/>
            <w:noWrap w:val="0"/>
            <w:vAlign w:val="top"/>
          </w:tcPr>
          <w:p>
            <w:pPr>
              <w:spacing w:line="620" w:lineRule="exact"/>
              <w:rPr>
                <w:rFonts w:hint="eastAsia" w:ascii="宋体" w:hAnsi="宋体"/>
                <w:color w:val="auto"/>
                <w:sz w:val="24"/>
                <w:highlight w:val="none"/>
              </w:rPr>
            </w:pPr>
          </w:p>
        </w:tc>
      </w:tr>
    </w:tbl>
    <w:p>
      <w:pPr>
        <w:rPr>
          <w:rFonts w:hint="eastAsia" w:ascii="宋体" w:hAnsi="宋体"/>
          <w:color w:val="auto"/>
          <w:sz w:val="24"/>
          <w:highlight w:val="none"/>
        </w:rPr>
      </w:pPr>
    </w:p>
    <w:p>
      <w:pPr>
        <w:rPr>
          <w:rFonts w:hint="eastAsia" w:ascii="宋体" w:hAnsi="宋体"/>
          <w:color w:val="auto"/>
          <w:sz w:val="24"/>
          <w:highlight w:val="none"/>
        </w:rPr>
      </w:pPr>
    </w:p>
    <w:p>
      <w:pPr>
        <w:spacing w:before="312" w:beforeLines="100" w:after="156" w:afterLines="50"/>
        <w:rPr>
          <w:rFonts w:hint="eastAsia" w:ascii="宋体" w:hAnsi="宋体" w:eastAsia="宋体"/>
          <w:color w:val="auto"/>
          <w:sz w:val="24"/>
          <w:highlight w:val="none"/>
          <w:lang w:eastAsia="zh-CN"/>
        </w:rPr>
      </w:pPr>
      <w:r>
        <w:rPr>
          <w:rFonts w:hint="eastAsia" w:ascii="宋体" w:hAnsi="宋体"/>
          <w:color w:val="auto"/>
          <w:sz w:val="24"/>
          <w:highlight w:val="none"/>
        </w:rPr>
        <w:t>附件</w:t>
      </w:r>
      <w:r>
        <w:rPr>
          <w:rFonts w:hint="eastAsia" w:ascii="宋体" w:hAnsi="宋体"/>
          <w:color w:val="auto"/>
          <w:sz w:val="24"/>
          <w:highlight w:val="none"/>
          <w:lang w:val="en-US" w:eastAsia="zh-CN"/>
        </w:rPr>
        <w:t>七</w:t>
      </w:r>
    </w:p>
    <w:p>
      <w:pPr>
        <w:spacing w:line="500" w:lineRule="exact"/>
        <w:jc w:val="center"/>
        <w:rPr>
          <w:rFonts w:ascii="宋体" w:hAnsi="宋体"/>
          <w:b/>
          <w:color w:val="auto"/>
          <w:sz w:val="28"/>
          <w:szCs w:val="28"/>
          <w:highlight w:val="none"/>
        </w:rPr>
      </w:pPr>
      <w:r>
        <w:rPr>
          <w:rFonts w:hint="eastAsia" w:ascii="宋体" w:hAnsi="宋体"/>
          <w:b/>
          <w:color w:val="auto"/>
          <w:sz w:val="28"/>
          <w:szCs w:val="28"/>
          <w:highlight w:val="none"/>
        </w:rPr>
        <w:t>主要施工机械设备表</w:t>
      </w:r>
    </w:p>
    <w:p>
      <w:pPr>
        <w:jc w:val="center"/>
        <w:rPr>
          <w:rFonts w:ascii="宋体" w:hAnsi="宋体"/>
          <w:color w:val="auto"/>
          <w:sz w:val="24"/>
          <w:highlight w:val="none"/>
        </w:rPr>
      </w:pPr>
    </w:p>
    <w:tbl>
      <w:tblPr>
        <w:tblStyle w:val="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2086"/>
        <w:gridCol w:w="1252"/>
        <w:gridCol w:w="522"/>
        <w:gridCol w:w="1147"/>
        <w:gridCol w:w="1147"/>
        <w:gridCol w:w="1147"/>
        <w:gridCol w:w="8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733" w:type="dxa"/>
            <w:noWrap w:val="0"/>
            <w:vAlign w:val="center"/>
          </w:tcPr>
          <w:p>
            <w:pPr>
              <w:jc w:val="center"/>
              <w:rPr>
                <w:rFonts w:ascii="宋体" w:hAnsi="宋体"/>
                <w:color w:val="auto"/>
                <w:sz w:val="24"/>
                <w:highlight w:val="none"/>
              </w:rPr>
            </w:pPr>
            <w:r>
              <w:rPr>
                <w:rFonts w:hint="eastAsia" w:ascii="宋体" w:hAnsi="宋体"/>
                <w:color w:val="auto"/>
                <w:sz w:val="24"/>
                <w:highlight w:val="none"/>
              </w:rPr>
              <w:t>序号</w:t>
            </w:r>
          </w:p>
        </w:tc>
        <w:tc>
          <w:tcPr>
            <w:tcW w:w="2086" w:type="dxa"/>
            <w:noWrap w:val="0"/>
            <w:vAlign w:val="center"/>
          </w:tcPr>
          <w:p>
            <w:pPr>
              <w:jc w:val="center"/>
              <w:rPr>
                <w:rFonts w:ascii="宋体" w:hAnsi="宋体"/>
                <w:color w:val="auto"/>
                <w:sz w:val="24"/>
                <w:highlight w:val="none"/>
              </w:rPr>
            </w:pPr>
            <w:r>
              <w:rPr>
                <w:rFonts w:hint="eastAsia" w:ascii="宋体" w:hAnsi="宋体"/>
                <w:color w:val="auto"/>
                <w:sz w:val="24"/>
                <w:highlight w:val="none"/>
              </w:rPr>
              <w:t>机械或设备名称</w:t>
            </w:r>
          </w:p>
        </w:tc>
        <w:tc>
          <w:tcPr>
            <w:tcW w:w="1252" w:type="dxa"/>
            <w:noWrap w:val="0"/>
            <w:vAlign w:val="center"/>
          </w:tcPr>
          <w:p>
            <w:pPr>
              <w:jc w:val="center"/>
              <w:rPr>
                <w:rFonts w:ascii="宋体" w:hAnsi="宋体"/>
                <w:color w:val="auto"/>
                <w:sz w:val="24"/>
                <w:highlight w:val="none"/>
              </w:rPr>
            </w:pPr>
            <w:r>
              <w:rPr>
                <w:rFonts w:hint="eastAsia" w:ascii="宋体" w:hAnsi="宋体"/>
                <w:color w:val="auto"/>
                <w:sz w:val="24"/>
                <w:highlight w:val="none"/>
              </w:rPr>
              <w:t>规格型号</w:t>
            </w:r>
          </w:p>
        </w:tc>
        <w:tc>
          <w:tcPr>
            <w:tcW w:w="522" w:type="dxa"/>
            <w:noWrap w:val="0"/>
            <w:vAlign w:val="center"/>
          </w:tcPr>
          <w:p>
            <w:pPr>
              <w:jc w:val="center"/>
              <w:rPr>
                <w:rFonts w:ascii="宋体" w:hAnsi="宋体"/>
                <w:color w:val="auto"/>
                <w:sz w:val="24"/>
                <w:highlight w:val="none"/>
              </w:rPr>
            </w:pPr>
            <w:r>
              <w:rPr>
                <w:rFonts w:hint="eastAsia" w:ascii="宋体" w:hAnsi="宋体"/>
                <w:color w:val="auto"/>
                <w:sz w:val="24"/>
                <w:highlight w:val="none"/>
              </w:rPr>
              <w:t>数量</w:t>
            </w:r>
          </w:p>
        </w:tc>
        <w:tc>
          <w:tcPr>
            <w:tcW w:w="1147" w:type="dxa"/>
            <w:noWrap w:val="0"/>
            <w:vAlign w:val="center"/>
          </w:tcPr>
          <w:p>
            <w:pPr>
              <w:jc w:val="center"/>
              <w:rPr>
                <w:rFonts w:ascii="宋体" w:hAnsi="宋体"/>
                <w:color w:val="auto"/>
                <w:sz w:val="24"/>
                <w:highlight w:val="none"/>
              </w:rPr>
            </w:pPr>
            <w:r>
              <w:rPr>
                <w:rFonts w:hint="eastAsia" w:ascii="宋体" w:hAnsi="宋体"/>
                <w:color w:val="auto"/>
                <w:sz w:val="24"/>
                <w:highlight w:val="none"/>
              </w:rPr>
              <w:t>国别</w:t>
            </w:r>
          </w:p>
          <w:p>
            <w:pPr>
              <w:jc w:val="center"/>
              <w:rPr>
                <w:rFonts w:ascii="宋体" w:hAnsi="宋体"/>
                <w:color w:val="auto"/>
                <w:sz w:val="24"/>
                <w:highlight w:val="none"/>
              </w:rPr>
            </w:pPr>
            <w:r>
              <w:rPr>
                <w:rFonts w:hint="eastAsia" w:ascii="宋体" w:hAnsi="宋体"/>
                <w:color w:val="auto"/>
                <w:sz w:val="24"/>
                <w:highlight w:val="none"/>
              </w:rPr>
              <w:t>产地</w:t>
            </w:r>
          </w:p>
        </w:tc>
        <w:tc>
          <w:tcPr>
            <w:tcW w:w="1147" w:type="dxa"/>
            <w:noWrap w:val="0"/>
            <w:vAlign w:val="center"/>
          </w:tcPr>
          <w:p>
            <w:pPr>
              <w:jc w:val="center"/>
              <w:rPr>
                <w:rFonts w:ascii="宋体" w:hAnsi="宋体"/>
                <w:color w:val="auto"/>
                <w:sz w:val="24"/>
                <w:highlight w:val="none"/>
              </w:rPr>
            </w:pPr>
            <w:r>
              <w:rPr>
                <w:rFonts w:hint="eastAsia" w:ascii="宋体" w:hAnsi="宋体"/>
                <w:color w:val="auto"/>
                <w:sz w:val="24"/>
                <w:highlight w:val="none"/>
              </w:rPr>
              <w:t>制造</w:t>
            </w:r>
          </w:p>
          <w:p>
            <w:pPr>
              <w:jc w:val="center"/>
              <w:rPr>
                <w:rFonts w:ascii="宋体" w:hAnsi="宋体"/>
                <w:color w:val="auto"/>
                <w:sz w:val="24"/>
                <w:highlight w:val="none"/>
              </w:rPr>
            </w:pPr>
            <w:r>
              <w:rPr>
                <w:rFonts w:hint="eastAsia" w:ascii="宋体" w:hAnsi="宋体"/>
                <w:color w:val="auto"/>
                <w:sz w:val="24"/>
                <w:highlight w:val="none"/>
              </w:rPr>
              <w:t>年份</w:t>
            </w:r>
          </w:p>
        </w:tc>
        <w:tc>
          <w:tcPr>
            <w:tcW w:w="1147" w:type="dxa"/>
            <w:noWrap w:val="0"/>
            <w:vAlign w:val="center"/>
          </w:tcPr>
          <w:p>
            <w:pPr>
              <w:jc w:val="center"/>
              <w:rPr>
                <w:rFonts w:ascii="宋体" w:hAnsi="宋体"/>
                <w:color w:val="auto"/>
                <w:sz w:val="24"/>
                <w:highlight w:val="none"/>
              </w:rPr>
            </w:pPr>
            <w:r>
              <w:rPr>
                <w:rFonts w:hint="eastAsia" w:ascii="宋体" w:hAnsi="宋体"/>
                <w:color w:val="auto"/>
                <w:sz w:val="24"/>
                <w:highlight w:val="none"/>
              </w:rPr>
              <w:t>定额功率（KW）</w:t>
            </w:r>
          </w:p>
        </w:tc>
        <w:tc>
          <w:tcPr>
            <w:tcW w:w="801" w:type="dxa"/>
            <w:noWrap w:val="0"/>
            <w:vAlign w:val="center"/>
          </w:tcPr>
          <w:p>
            <w:pPr>
              <w:jc w:val="center"/>
              <w:rPr>
                <w:rFonts w:ascii="宋体" w:hAnsi="宋体"/>
                <w:color w:val="auto"/>
                <w:sz w:val="24"/>
                <w:highlight w:val="none"/>
              </w:rPr>
            </w:pPr>
            <w:r>
              <w:rPr>
                <w:rFonts w:hint="eastAsia" w:ascii="宋体" w:hAnsi="宋体"/>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exact"/>
          <w:jc w:val="center"/>
        </w:trPr>
        <w:tc>
          <w:tcPr>
            <w:tcW w:w="733" w:type="dxa"/>
            <w:noWrap w:val="0"/>
            <w:vAlign w:val="top"/>
          </w:tcPr>
          <w:p>
            <w:pPr>
              <w:spacing w:line="460" w:lineRule="exact"/>
              <w:rPr>
                <w:rFonts w:ascii="宋体" w:hAnsi="宋体"/>
                <w:color w:val="auto"/>
                <w:sz w:val="24"/>
                <w:highlight w:val="none"/>
              </w:rPr>
            </w:pPr>
          </w:p>
        </w:tc>
        <w:tc>
          <w:tcPr>
            <w:tcW w:w="2086" w:type="dxa"/>
            <w:noWrap w:val="0"/>
            <w:vAlign w:val="top"/>
          </w:tcPr>
          <w:p>
            <w:pPr>
              <w:spacing w:line="460" w:lineRule="exact"/>
              <w:rPr>
                <w:rFonts w:ascii="宋体" w:hAnsi="宋体"/>
                <w:color w:val="auto"/>
                <w:sz w:val="24"/>
                <w:highlight w:val="none"/>
              </w:rPr>
            </w:pPr>
          </w:p>
        </w:tc>
        <w:tc>
          <w:tcPr>
            <w:tcW w:w="1252" w:type="dxa"/>
            <w:noWrap w:val="0"/>
            <w:vAlign w:val="top"/>
          </w:tcPr>
          <w:p>
            <w:pPr>
              <w:spacing w:line="460" w:lineRule="exact"/>
              <w:rPr>
                <w:rFonts w:ascii="宋体" w:hAnsi="宋体"/>
                <w:color w:val="auto"/>
                <w:sz w:val="24"/>
                <w:highlight w:val="none"/>
              </w:rPr>
            </w:pPr>
          </w:p>
        </w:tc>
        <w:tc>
          <w:tcPr>
            <w:tcW w:w="522"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801" w:type="dxa"/>
            <w:noWrap w:val="0"/>
            <w:vAlign w:val="top"/>
          </w:tcPr>
          <w:p>
            <w:pPr>
              <w:spacing w:line="460" w:lineRule="exact"/>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exact"/>
          <w:jc w:val="center"/>
        </w:trPr>
        <w:tc>
          <w:tcPr>
            <w:tcW w:w="733" w:type="dxa"/>
            <w:noWrap w:val="0"/>
            <w:vAlign w:val="top"/>
          </w:tcPr>
          <w:p>
            <w:pPr>
              <w:spacing w:line="460" w:lineRule="exact"/>
              <w:rPr>
                <w:rFonts w:ascii="宋体" w:hAnsi="宋体"/>
                <w:color w:val="auto"/>
                <w:sz w:val="24"/>
                <w:highlight w:val="none"/>
              </w:rPr>
            </w:pPr>
          </w:p>
        </w:tc>
        <w:tc>
          <w:tcPr>
            <w:tcW w:w="2086" w:type="dxa"/>
            <w:noWrap w:val="0"/>
            <w:vAlign w:val="top"/>
          </w:tcPr>
          <w:p>
            <w:pPr>
              <w:spacing w:line="460" w:lineRule="exact"/>
              <w:rPr>
                <w:rFonts w:ascii="宋体" w:hAnsi="宋体"/>
                <w:color w:val="auto"/>
                <w:sz w:val="24"/>
                <w:highlight w:val="none"/>
              </w:rPr>
            </w:pPr>
          </w:p>
        </w:tc>
        <w:tc>
          <w:tcPr>
            <w:tcW w:w="1252" w:type="dxa"/>
            <w:noWrap w:val="0"/>
            <w:vAlign w:val="top"/>
          </w:tcPr>
          <w:p>
            <w:pPr>
              <w:spacing w:line="460" w:lineRule="exact"/>
              <w:rPr>
                <w:rFonts w:ascii="宋体" w:hAnsi="宋体"/>
                <w:color w:val="auto"/>
                <w:sz w:val="24"/>
                <w:highlight w:val="none"/>
              </w:rPr>
            </w:pPr>
          </w:p>
        </w:tc>
        <w:tc>
          <w:tcPr>
            <w:tcW w:w="522"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801" w:type="dxa"/>
            <w:noWrap w:val="0"/>
            <w:vAlign w:val="top"/>
          </w:tcPr>
          <w:p>
            <w:pPr>
              <w:spacing w:line="460" w:lineRule="exact"/>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exact"/>
          <w:jc w:val="center"/>
        </w:trPr>
        <w:tc>
          <w:tcPr>
            <w:tcW w:w="733" w:type="dxa"/>
            <w:noWrap w:val="0"/>
            <w:vAlign w:val="top"/>
          </w:tcPr>
          <w:p>
            <w:pPr>
              <w:spacing w:line="460" w:lineRule="exact"/>
              <w:rPr>
                <w:rFonts w:ascii="宋体" w:hAnsi="宋体"/>
                <w:color w:val="auto"/>
                <w:sz w:val="24"/>
                <w:highlight w:val="none"/>
              </w:rPr>
            </w:pPr>
          </w:p>
        </w:tc>
        <w:tc>
          <w:tcPr>
            <w:tcW w:w="2086" w:type="dxa"/>
            <w:noWrap w:val="0"/>
            <w:vAlign w:val="top"/>
          </w:tcPr>
          <w:p>
            <w:pPr>
              <w:spacing w:line="460" w:lineRule="exact"/>
              <w:rPr>
                <w:rFonts w:ascii="宋体" w:hAnsi="宋体"/>
                <w:color w:val="auto"/>
                <w:sz w:val="24"/>
                <w:highlight w:val="none"/>
              </w:rPr>
            </w:pPr>
          </w:p>
        </w:tc>
        <w:tc>
          <w:tcPr>
            <w:tcW w:w="1252" w:type="dxa"/>
            <w:noWrap w:val="0"/>
            <w:vAlign w:val="top"/>
          </w:tcPr>
          <w:p>
            <w:pPr>
              <w:spacing w:line="460" w:lineRule="exact"/>
              <w:rPr>
                <w:rFonts w:ascii="宋体" w:hAnsi="宋体"/>
                <w:color w:val="auto"/>
                <w:sz w:val="24"/>
                <w:highlight w:val="none"/>
              </w:rPr>
            </w:pPr>
          </w:p>
        </w:tc>
        <w:tc>
          <w:tcPr>
            <w:tcW w:w="522"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801" w:type="dxa"/>
            <w:noWrap w:val="0"/>
            <w:vAlign w:val="top"/>
          </w:tcPr>
          <w:p>
            <w:pPr>
              <w:spacing w:line="460" w:lineRule="exact"/>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exact"/>
          <w:jc w:val="center"/>
        </w:trPr>
        <w:tc>
          <w:tcPr>
            <w:tcW w:w="733" w:type="dxa"/>
            <w:noWrap w:val="0"/>
            <w:vAlign w:val="top"/>
          </w:tcPr>
          <w:p>
            <w:pPr>
              <w:spacing w:line="460" w:lineRule="exact"/>
              <w:rPr>
                <w:rFonts w:ascii="宋体" w:hAnsi="宋体"/>
                <w:color w:val="auto"/>
                <w:sz w:val="24"/>
                <w:highlight w:val="none"/>
              </w:rPr>
            </w:pPr>
          </w:p>
        </w:tc>
        <w:tc>
          <w:tcPr>
            <w:tcW w:w="2086" w:type="dxa"/>
            <w:noWrap w:val="0"/>
            <w:vAlign w:val="top"/>
          </w:tcPr>
          <w:p>
            <w:pPr>
              <w:spacing w:line="460" w:lineRule="exact"/>
              <w:rPr>
                <w:rFonts w:ascii="宋体" w:hAnsi="宋体"/>
                <w:color w:val="auto"/>
                <w:sz w:val="24"/>
                <w:highlight w:val="none"/>
              </w:rPr>
            </w:pPr>
          </w:p>
        </w:tc>
        <w:tc>
          <w:tcPr>
            <w:tcW w:w="1252" w:type="dxa"/>
            <w:noWrap w:val="0"/>
            <w:vAlign w:val="top"/>
          </w:tcPr>
          <w:p>
            <w:pPr>
              <w:spacing w:line="460" w:lineRule="exact"/>
              <w:rPr>
                <w:rFonts w:ascii="宋体" w:hAnsi="宋体"/>
                <w:color w:val="auto"/>
                <w:sz w:val="24"/>
                <w:highlight w:val="none"/>
              </w:rPr>
            </w:pPr>
          </w:p>
        </w:tc>
        <w:tc>
          <w:tcPr>
            <w:tcW w:w="522"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801" w:type="dxa"/>
            <w:noWrap w:val="0"/>
            <w:vAlign w:val="top"/>
          </w:tcPr>
          <w:p>
            <w:pPr>
              <w:spacing w:line="460" w:lineRule="exact"/>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exact"/>
          <w:jc w:val="center"/>
        </w:trPr>
        <w:tc>
          <w:tcPr>
            <w:tcW w:w="733" w:type="dxa"/>
            <w:noWrap w:val="0"/>
            <w:vAlign w:val="top"/>
          </w:tcPr>
          <w:p>
            <w:pPr>
              <w:spacing w:line="460" w:lineRule="exact"/>
              <w:rPr>
                <w:rFonts w:ascii="宋体" w:hAnsi="宋体"/>
                <w:color w:val="auto"/>
                <w:sz w:val="24"/>
                <w:highlight w:val="none"/>
              </w:rPr>
            </w:pPr>
          </w:p>
        </w:tc>
        <w:tc>
          <w:tcPr>
            <w:tcW w:w="2086" w:type="dxa"/>
            <w:noWrap w:val="0"/>
            <w:vAlign w:val="top"/>
          </w:tcPr>
          <w:p>
            <w:pPr>
              <w:spacing w:line="460" w:lineRule="exact"/>
              <w:rPr>
                <w:rFonts w:ascii="宋体" w:hAnsi="宋体"/>
                <w:color w:val="auto"/>
                <w:sz w:val="24"/>
                <w:highlight w:val="none"/>
              </w:rPr>
            </w:pPr>
          </w:p>
        </w:tc>
        <w:tc>
          <w:tcPr>
            <w:tcW w:w="1252" w:type="dxa"/>
            <w:noWrap w:val="0"/>
            <w:vAlign w:val="top"/>
          </w:tcPr>
          <w:p>
            <w:pPr>
              <w:spacing w:line="460" w:lineRule="exact"/>
              <w:rPr>
                <w:rFonts w:ascii="宋体" w:hAnsi="宋体"/>
                <w:color w:val="auto"/>
                <w:sz w:val="24"/>
                <w:highlight w:val="none"/>
              </w:rPr>
            </w:pPr>
          </w:p>
        </w:tc>
        <w:tc>
          <w:tcPr>
            <w:tcW w:w="522"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801" w:type="dxa"/>
            <w:noWrap w:val="0"/>
            <w:vAlign w:val="top"/>
          </w:tcPr>
          <w:p>
            <w:pPr>
              <w:spacing w:line="460" w:lineRule="exact"/>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exact"/>
          <w:jc w:val="center"/>
        </w:trPr>
        <w:tc>
          <w:tcPr>
            <w:tcW w:w="733" w:type="dxa"/>
            <w:noWrap w:val="0"/>
            <w:vAlign w:val="top"/>
          </w:tcPr>
          <w:p>
            <w:pPr>
              <w:spacing w:line="460" w:lineRule="exact"/>
              <w:rPr>
                <w:rFonts w:ascii="宋体" w:hAnsi="宋体"/>
                <w:color w:val="auto"/>
                <w:sz w:val="24"/>
                <w:highlight w:val="none"/>
              </w:rPr>
            </w:pPr>
          </w:p>
        </w:tc>
        <w:tc>
          <w:tcPr>
            <w:tcW w:w="2086" w:type="dxa"/>
            <w:noWrap w:val="0"/>
            <w:vAlign w:val="top"/>
          </w:tcPr>
          <w:p>
            <w:pPr>
              <w:spacing w:line="460" w:lineRule="exact"/>
              <w:rPr>
                <w:rFonts w:ascii="宋体" w:hAnsi="宋体"/>
                <w:color w:val="auto"/>
                <w:sz w:val="24"/>
                <w:highlight w:val="none"/>
              </w:rPr>
            </w:pPr>
          </w:p>
        </w:tc>
        <w:tc>
          <w:tcPr>
            <w:tcW w:w="1252" w:type="dxa"/>
            <w:noWrap w:val="0"/>
            <w:vAlign w:val="top"/>
          </w:tcPr>
          <w:p>
            <w:pPr>
              <w:spacing w:line="460" w:lineRule="exact"/>
              <w:rPr>
                <w:rFonts w:ascii="宋体" w:hAnsi="宋体"/>
                <w:color w:val="auto"/>
                <w:sz w:val="24"/>
                <w:highlight w:val="none"/>
              </w:rPr>
            </w:pPr>
          </w:p>
        </w:tc>
        <w:tc>
          <w:tcPr>
            <w:tcW w:w="522"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801" w:type="dxa"/>
            <w:noWrap w:val="0"/>
            <w:vAlign w:val="top"/>
          </w:tcPr>
          <w:p>
            <w:pPr>
              <w:spacing w:line="460" w:lineRule="exact"/>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exact"/>
          <w:jc w:val="center"/>
        </w:trPr>
        <w:tc>
          <w:tcPr>
            <w:tcW w:w="733" w:type="dxa"/>
            <w:noWrap w:val="0"/>
            <w:vAlign w:val="top"/>
          </w:tcPr>
          <w:p>
            <w:pPr>
              <w:spacing w:line="460" w:lineRule="exact"/>
              <w:rPr>
                <w:rFonts w:ascii="宋体" w:hAnsi="宋体"/>
                <w:color w:val="auto"/>
                <w:sz w:val="24"/>
                <w:highlight w:val="none"/>
              </w:rPr>
            </w:pPr>
          </w:p>
        </w:tc>
        <w:tc>
          <w:tcPr>
            <w:tcW w:w="2086" w:type="dxa"/>
            <w:noWrap w:val="0"/>
            <w:vAlign w:val="top"/>
          </w:tcPr>
          <w:p>
            <w:pPr>
              <w:spacing w:line="460" w:lineRule="exact"/>
              <w:rPr>
                <w:rFonts w:ascii="宋体" w:hAnsi="宋体"/>
                <w:color w:val="auto"/>
                <w:sz w:val="24"/>
                <w:highlight w:val="none"/>
              </w:rPr>
            </w:pPr>
          </w:p>
        </w:tc>
        <w:tc>
          <w:tcPr>
            <w:tcW w:w="1252" w:type="dxa"/>
            <w:noWrap w:val="0"/>
            <w:vAlign w:val="top"/>
          </w:tcPr>
          <w:p>
            <w:pPr>
              <w:spacing w:line="460" w:lineRule="exact"/>
              <w:rPr>
                <w:rFonts w:ascii="宋体" w:hAnsi="宋体"/>
                <w:color w:val="auto"/>
                <w:sz w:val="24"/>
                <w:highlight w:val="none"/>
              </w:rPr>
            </w:pPr>
          </w:p>
        </w:tc>
        <w:tc>
          <w:tcPr>
            <w:tcW w:w="522"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801" w:type="dxa"/>
            <w:noWrap w:val="0"/>
            <w:vAlign w:val="top"/>
          </w:tcPr>
          <w:p>
            <w:pPr>
              <w:spacing w:line="460" w:lineRule="exact"/>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exact"/>
          <w:jc w:val="center"/>
        </w:trPr>
        <w:tc>
          <w:tcPr>
            <w:tcW w:w="733" w:type="dxa"/>
            <w:noWrap w:val="0"/>
            <w:vAlign w:val="top"/>
          </w:tcPr>
          <w:p>
            <w:pPr>
              <w:spacing w:line="460" w:lineRule="exact"/>
              <w:rPr>
                <w:rFonts w:ascii="宋体" w:hAnsi="宋体"/>
                <w:color w:val="auto"/>
                <w:sz w:val="24"/>
                <w:highlight w:val="none"/>
              </w:rPr>
            </w:pPr>
          </w:p>
        </w:tc>
        <w:tc>
          <w:tcPr>
            <w:tcW w:w="2086" w:type="dxa"/>
            <w:noWrap w:val="0"/>
            <w:vAlign w:val="top"/>
          </w:tcPr>
          <w:p>
            <w:pPr>
              <w:spacing w:line="460" w:lineRule="exact"/>
              <w:rPr>
                <w:rFonts w:ascii="宋体" w:hAnsi="宋体"/>
                <w:color w:val="auto"/>
                <w:sz w:val="24"/>
                <w:highlight w:val="none"/>
              </w:rPr>
            </w:pPr>
          </w:p>
        </w:tc>
        <w:tc>
          <w:tcPr>
            <w:tcW w:w="1252" w:type="dxa"/>
            <w:noWrap w:val="0"/>
            <w:vAlign w:val="top"/>
          </w:tcPr>
          <w:p>
            <w:pPr>
              <w:spacing w:line="460" w:lineRule="exact"/>
              <w:rPr>
                <w:rFonts w:ascii="宋体" w:hAnsi="宋体"/>
                <w:color w:val="auto"/>
                <w:sz w:val="24"/>
                <w:highlight w:val="none"/>
              </w:rPr>
            </w:pPr>
          </w:p>
        </w:tc>
        <w:tc>
          <w:tcPr>
            <w:tcW w:w="522"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801" w:type="dxa"/>
            <w:noWrap w:val="0"/>
            <w:vAlign w:val="top"/>
          </w:tcPr>
          <w:p>
            <w:pPr>
              <w:spacing w:line="460" w:lineRule="exact"/>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exact"/>
          <w:jc w:val="center"/>
        </w:trPr>
        <w:tc>
          <w:tcPr>
            <w:tcW w:w="733" w:type="dxa"/>
            <w:noWrap w:val="0"/>
            <w:vAlign w:val="top"/>
          </w:tcPr>
          <w:p>
            <w:pPr>
              <w:spacing w:line="460" w:lineRule="exact"/>
              <w:rPr>
                <w:rFonts w:ascii="宋体" w:hAnsi="宋体"/>
                <w:color w:val="auto"/>
                <w:sz w:val="24"/>
                <w:highlight w:val="none"/>
              </w:rPr>
            </w:pPr>
          </w:p>
        </w:tc>
        <w:tc>
          <w:tcPr>
            <w:tcW w:w="2086" w:type="dxa"/>
            <w:noWrap w:val="0"/>
            <w:vAlign w:val="top"/>
          </w:tcPr>
          <w:p>
            <w:pPr>
              <w:spacing w:line="460" w:lineRule="exact"/>
              <w:rPr>
                <w:rFonts w:ascii="宋体" w:hAnsi="宋体"/>
                <w:color w:val="auto"/>
                <w:sz w:val="24"/>
                <w:highlight w:val="none"/>
              </w:rPr>
            </w:pPr>
          </w:p>
        </w:tc>
        <w:tc>
          <w:tcPr>
            <w:tcW w:w="1252" w:type="dxa"/>
            <w:noWrap w:val="0"/>
            <w:vAlign w:val="top"/>
          </w:tcPr>
          <w:p>
            <w:pPr>
              <w:spacing w:line="460" w:lineRule="exact"/>
              <w:rPr>
                <w:rFonts w:ascii="宋体" w:hAnsi="宋体"/>
                <w:color w:val="auto"/>
                <w:sz w:val="24"/>
                <w:highlight w:val="none"/>
              </w:rPr>
            </w:pPr>
          </w:p>
        </w:tc>
        <w:tc>
          <w:tcPr>
            <w:tcW w:w="522"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801" w:type="dxa"/>
            <w:noWrap w:val="0"/>
            <w:vAlign w:val="top"/>
          </w:tcPr>
          <w:p>
            <w:pPr>
              <w:spacing w:line="460" w:lineRule="exact"/>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exact"/>
          <w:jc w:val="center"/>
        </w:trPr>
        <w:tc>
          <w:tcPr>
            <w:tcW w:w="733" w:type="dxa"/>
            <w:noWrap w:val="0"/>
            <w:vAlign w:val="top"/>
          </w:tcPr>
          <w:p>
            <w:pPr>
              <w:spacing w:line="460" w:lineRule="exact"/>
              <w:rPr>
                <w:rFonts w:ascii="宋体" w:hAnsi="宋体"/>
                <w:color w:val="auto"/>
                <w:sz w:val="24"/>
                <w:highlight w:val="none"/>
              </w:rPr>
            </w:pPr>
          </w:p>
        </w:tc>
        <w:tc>
          <w:tcPr>
            <w:tcW w:w="2086" w:type="dxa"/>
            <w:noWrap w:val="0"/>
            <w:vAlign w:val="top"/>
          </w:tcPr>
          <w:p>
            <w:pPr>
              <w:spacing w:line="460" w:lineRule="exact"/>
              <w:rPr>
                <w:rFonts w:ascii="宋体" w:hAnsi="宋体"/>
                <w:color w:val="auto"/>
                <w:sz w:val="24"/>
                <w:highlight w:val="none"/>
              </w:rPr>
            </w:pPr>
          </w:p>
        </w:tc>
        <w:tc>
          <w:tcPr>
            <w:tcW w:w="1252" w:type="dxa"/>
            <w:noWrap w:val="0"/>
            <w:vAlign w:val="top"/>
          </w:tcPr>
          <w:p>
            <w:pPr>
              <w:spacing w:line="460" w:lineRule="exact"/>
              <w:rPr>
                <w:rFonts w:ascii="宋体" w:hAnsi="宋体"/>
                <w:color w:val="auto"/>
                <w:sz w:val="24"/>
                <w:highlight w:val="none"/>
              </w:rPr>
            </w:pPr>
          </w:p>
        </w:tc>
        <w:tc>
          <w:tcPr>
            <w:tcW w:w="522"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801" w:type="dxa"/>
            <w:noWrap w:val="0"/>
            <w:vAlign w:val="top"/>
          </w:tcPr>
          <w:p>
            <w:pPr>
              <w:spacing w:line="460" w:lineRule="exact"/>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exact"/>
          <w:jc w:val="center"/>
        </w:trPr>
        <w:tc>
          <w:tcPr>
            <w:tcW w:w="733" w:type="dxa"/>
            <w:noWrap w:val="0"/>
            <w:vAlign w:val="top"/>
          </w:tcPr>
          <w:p>
            <w:pPr>
              <w:spacing w:line="460" w:lineRule="exact"/>
              <w:rPr>
                <w:rFonts w:ascii="宋体" w:hAnsi="宋体"/>
                <w:color w:val="auto"/>
                <w:sz w:val="24"/>
                <w:highlight w:val="none"/>
              </w:rPr>
            </w:pPr>
          </w:p>
        </w:tc>
        <w:tc>
          <w:tcPr>
            <w:tcW w:w="2086" w:type="dxa"/>
            <w:noWrap w:val="0"/>
            <w:vAlign w:val="top"/>
          </w:tcPr>
          <w:p>
            <w:pPr>
              <w:spacing w:line="460" w:lineRule="exact"/>
              <w:rPr>
                <w:rFonts w:ascii="宋体" w:hAnsi="宋体"/>
                <w:color w:val="auto"/>
                <w:sz w:val="24"/>
                <w:highlight w:val="none"/>
              </w:rPr>
            </w:pPr>
          </w:p>
        </w:tc>
        <w:tc>
          <w:tcPr>
            <w:tcW w:w="1252" w:type="dxa"/>
            <w:noWrap w:val="0"/>
            <w:vAlign w:val="top"/>
          </w:tcPr>
          <w:p>
            <w:pPr>
              <w:spacing w:line="460" w:lineRule="exact"/>
              <w:rPr>
                <w:rFonts w:ascii="宋体" w:hAnsi="宋体"/>
                <w:color w:val="auto"/>
                <w:sz w:val="24"/>
                <w:highlight w:val="none"/>
              </w:rPr>
            </w:pPr>
          </w:p>
        </w:tc>
        <w:tc>
          <w:tcPr>
            <w:tcW w:w="522"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801" w:type="dxa"/>
            <w:noWrap w:val="0"/>
            <w:vAlign w:val="top"/>
          </w:tcPr>
          <w:p>
            <w:pPr>
              <w:spacing w:line="460" w:lineRule="exact"/>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exact"/>
          <w:jc w:val="center"/>
        </w:trPr>
        <w:tc>
          <w:tcPr>
            <w:tcW w:w="733" w:type="dxa"/>
            <w:noWrap w:val="0"/>
            <w:vAlign w:val="top"/>
          </w:tcPr>
          <w:p>
            <w:pPr>
              <w:spacing w:line="460" w:lineRule="exact"/>
              <w:rPr>
                <w:rFonts w:ascii="宋体" w:hAnsi="宋体"/>
                <w:color w:val="auto"/>
                <w:sz w:val="24"/>
                <w:highlight w:val="none"/>
              </w:rPr>
            </w:pPr>
          </w:p>
        </w:tc>
        <w:tc>
          <w:tcPr>
            <w:tcW w:w="2086" w:type="dxa"/>
            <w:noWrap w:val="0"/>
            <w:vAlign w:val="top"/>
          </w:tcPr>
          <w:p>
            <w:pPr>
              <w:spacing w:line="460" w:lineRule="exact"/>
              <w:rPr>
                <w:rFonts w:ascii="宋体" w:hAnsi="宋体"/>
                <w:color w:val="auto"/>
                <w:sz w:val="24"/>
                <w:highlight w:val="none"/>
              </w:rPr>
            </w:pPr>
          </w:p>
        </w:tc>
        <w:tc>
          <w:tcPr>
            <w:tcW w:w="1252" w:type="dxa"/>
            <w:noWrap w:val="0"/>
            <w:vAlign w:val="top"/>
          </w:tcPr>
          <w:p>
            <w:pPr>
              <w:spacing w:line="460" w:lineRule="exact"/>
              <w:rPr>
                <w:rFonts w:ascii="宋体" w:hAnsi="宋体"/>
                <w:color w:val="auto"/>
                <w:sz w:val="24"/>
                <w:highlight w:val="none"/>
              </w:rPr>
            </w:pPr>
          </w:p>
        </w:tc>
        <w:tc>
          <w:tcPr>
            <w:tcW w:w="522"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801" w:type="dxa"/>
            <w:noWrap w:val="0"/>
            <w:vAlign w:val="top"/>
          </w:tcPr>
          <w:p>
            <w:pPr>
              <w:spacing w:line="460" w:lineRule="exact"/>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exact"/>
          <w:jc w:val="center"/>
        </w:trPr>
        <w:tc>
          <w:tcPr>
            <w:tcW w:w="733" w:type="dxa"/>
            <w:noWrap w:val="0"/>
            <w:vAlign w:val="top"/>
          </w:tcPr>
          <w:p>
            <w:pPr>
              <w:spacing w:line="460" w:lineRule="exact"/>
              <w:rPr>
                <w:rFonts w:ascii="宋体" w:hAnsi="宋体"/>
                <w:color w:val="auto"/>
                <w:sz w:val="24"/>
                <w:highlight w:val="none"/>
              </w:rPr>
            </w:pPr>
          </w:p>
        </w:tc>
        <w:tc>
          <w:tcPr>
            <w:tcW w:w="2086" w:type="dxa"/>
            <w:noWrap w:val="0"/>
            <w:vAlign w:val="top"/>
          </w:tcPr>
          <w:p>
            <w:pPr>
              <w:spacing w:line="460" w:lineRule="exact"/>
              <w:rPr>
                <w:rFonts w:ascii="宋体" w:hAnsi="宋体"/>
                <w:color w:val="auto"/>
                <w:sz w:val="24"/>
                <w:highlight w:val="none"/>
              </w:rPr>
            </w:pPr>
          </w:p>
        </w:tc>
        <w:tc>
          <w:tcPr>
            <w:tcW w:w="1252" w:type="dxa"/>
            <w:noWrap w:val="0"/>
            <w:vAlign w:val="top"/>
          </w:tcPr>
          <w:p>
            <w:pPr>
              <w:spacing w:line="460" w:lineRule="exact"/>
              <w:rPr>
                <w:rFonts w:ascii="宋体" w:hAnsi="宋体"/>
                <w:color w:val="auto"/>
                <w:sz w:val="24"/>
                <w:highlight w:val="none"/>
              </w:rPr>
            </w:pPr>
          </w:p>
        </w:tc>
        <w:tc>
          <w:tcPr>
            <w:tcW w:w="522"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1147" w:type="dxa"/>
            <w:noWrap w:val="0"/>
            <w:vAlign w:val="top"/>
          </w:tcPr>
          <w:p>
            <w:pPr>
              <w:spacing w:line="460" w:lineRule="exact"/>
              <w:rPr>
                <w:rFonts w:ascii="宋体" w:hAnsi="宋体"/>
                <w:color w:val="auto"/>
                <w:sz w:val="24"/>
                <w:highlight w:val="none"/>
              </w:rPr>
            </w:pPr>
          </w:p>
        </w:tc>
        <w:tc>
          <w:tcPr>
            <w:tcW w:w="801" w:type="dxa"/>
            <w:noWrap w:val="0"/>
            <w:vAlign w:val="top"/>
          </w:tcPr>
          <w:p>
            <w:pPr>
              <w:spacing w:line="460" w:lineRule="exact"/>
              <w:rPr>
                <w:rFonts w:ascii="宋体" w:hAnsi="宋体"/>
                <w:color w:val="auto"/>
                <w:sz w:val="24"/>
                <w:highlight w:val="none"/>
              </w:rPr>
            </w:pPr>
          </w:p>
        </w:tc>
      </w:tr>
    </w:tbl>
    <w:p>
      <w:pPr>
        <w:spacing w:before="312" w:beforeLines="100" w:after="156" w:afterLines="50"/>
        <w:rPr>
          <w:rFonts w:ascii="宋体" w:hAnsi="宋体"/>
          <w:color w:val="auto"/>
          <w:sz w:val="24"/>
          <w:highlight w:val="none"/>
        </w:rPr>
      </w:pPr>
    </w:p>
    <w:p>
      <w:pPr>
        <w:spacing w:before="312" w:beforeLines="100" w:after="156" w:afterLines="50"/>
        <w:rPr>
          <w:rFonts w:hint="eastAsia" w:ascii="宋体" w:hAnsi="宋体" w:eastAsia="宋体"/>
          <w:color w:val="auto"/>
          <w:sz w:val="24"/>
          <w:highlight w:val="none"/>
          <w:lang w:eastAsia="zh-CN"/>
        </w:rPr>
      </w:pPr>
      <w:r>
        <w:rPr>
          <w:rFonts w:hint="eastAsia" w:ascii="宋体" w:hAnsi="宋体"/>
          <w:color w:val="auto"/>
          <w:sz w:val="24"/>
          <w:highlight w:val="none"/>
        </w:rPr>
        <w:t>附件</w:t>
      </w:r>
      <w:r>
        <w:rPr>
          <w:rFonts w:hint="eastAsia" w:ascii="宋体" w:hAnsi="宋体"/>
          <w:color w:val="auto"/>
          <w:sz w:val="24"/>
          <w:highlight w:val="none"/>
          <w:lang w:val="en-US" w:eastAsia="zh-CN"/>
        </w:rPr>
        <w:t>八</w:t>
      </w:r>
    </w:p>
    <w:p>
      <w:pPr>
        <w:spacing w:line="500" w:lineRule="exact"/>
        <w:jc w:val="center"/>
        <w:rPr>
          <w:rFonts w:ascii="宋体" w:hAnsi="宋体"/>
          <w:b/>
          <w:color w:val="auto"/>
          <w:sz w:val="28"/>
          <w:szCs w:val="28"/>
          <w:highlight w:val="none"/>
        </w:rPr>
      </w:pPr>
      <w:r>
        <w:rPr>
          <w:rFonts w:hint="eastAsia" w:ascii="宋体" w:hAnsi="宋体"/>
          <w:b/>
          <w:color w:val="auto"/>
          <w:sz w:val="28"/>
          <w:szCs w:val="28"/>
          <w:highlight w:val="none"/>
        </w:rPr>
        <w:t>临时设施情况表</w:t>
      </w:r>
    </w:p>
    <w:p>
      <w:pPr>
        <w:jc w:val="center"/>
        <w:rPr>
          <w:rFonts w:ascii="宋体" w:hAnsi="宋体"/>
          <w:color w:val="auto"/>
          <w:sz w:val="24"/>
          <w:highlight w:val="none"/>
        </w:rPr>
      </w:pPr>
    </w:p>
    <w:tbl>
      <w:tblPr>
        <w:tblStyle w:val="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81"/>
        <w:gridCol w:w="969"/>
        <w:gridCol w:w="1077"/>
        <w:gridCol w:w="1077"/>
        <w:gridCol w:w="19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3881" w:type="dxa"/>
            <w:noWrap w:val="0"/>
            <w:vAlign w:val="center"/>
          </w:tcPr>
          <w:p>
            <w:pPr>
              <w:spacing w:line="400" w:lineRule="exact"/>
              <w:jc w:val="center"/>
              <w:rPr>
                <w:rFonts w:ascii="宋体" w:hAnsi="宋体"/>
                <w:color w:val="auto"/>
                <w:sz w:val="24"/>
                <w:highlight w:val="none"/>
              </w:rPr>
            </w:pPr>
            <w:r>
              <w:rPr>
                <w:rFonts w:hint="eastAsia" w:ascii="宋体" w:hAnsi="宋体"/>
                <w:color w:val="auto"/>
                <w:sz w:val="24"/>
                <w:highlight w:val="none"/>
              </w:rPr>
              <w:t>用          途</w:t>
            </w:r>
          </w:p>
        </w:tc>
        <w:tc>
          <w:tcPr>
            <w:tcW w:w="969" w:type="dxa"/>
            <w:noWrap w:val="0"/>
            <w:vAlign w:val="center"/>
          </w:tcPr>
          <w:p>
            <w:pPr>
              <w:spacing w:line="400" w:lineRule="exact"/>
              <w:jc w:val="center"/>
              <w:rPr>
                <w:rFonts w:ascii="宋体" w:hAnsi="宋体"/>
                <w:color w:val="auto"/>
                <w:sz w:val="24"/>
                <w:highlight w:val="none"/>
              </w:rPr>
            </w:pPr>
            <w:r>
              <w:rPr>
                <w:rFonts w:hint="eastAsia" w:ascii="宋体" w:hAnsi="宋体"/>
                <w:color w:val="auto"/>
                <w:sz w:val="24"/>
                <w:highlight w:val="none"/>
              </w:rPr>
              <w:t>单位</w:t>
            </w:r>
          </w:p>
        </w:tc>
        <w:tc>
          <w:tcPr>
            <w:tcW w:w="1077" w:type="dxa"/>
            <w:noWrap w:val="0"/>
            <w:vAlign w:val="center"/>
          </w:tcPr>
          <w:p>
            <w:pPr>
              <w:spacing w:line="400" w:lineRule="exact"/>
              <w:jc w:val="center"/>
              <w:rPr>
                <w:rFonts w:ascii="宋体" w:hAnsi="宋体"/>
                <w:color w:val="auto"/>
                <w:sz w:val="24"/>
                <w:highlight w:val="none"/>
              </w:rPr>
            </w:pPr>
            <w:r>
              <w:rPr>
                <w:rFonts w:hint="eastAsia" w:ascii="宋体" w:hAnsi="宋体"/>
                <w:color w:val="auto"/>
                <w:sz w:val="24"/>
                <w:highlight w:val="none"/>
              </w:rPr>
              <w:t>数量</w:t>
            </w:r>
          </w:p>
        </w:tc>
        <w:tc>
          <w:tcPr>
            <w:tcW w:w="1077" w:type="dxa"/>
            <w:noWrap w:val="0"/>
            <w:vAlign w:val="center"/>
          </w:tcPr>
          <w:p>
            <w:pPr>
              <w:spacing w:line="400" w:lineRule="exact"/>
              <w:jc w:val="center"/>
              <w:rPr>
                <w:rFonts w:ascii="宋体" w:hAnsi="宋体"/>
                <w:color w:val="auto"/>
                <w:sz w:val="24"/>
                <w:highlight w:val="none"/>
              </w:rPr>
            </w:pPr>
            <w:r>
              <w:rPr>
                <w:rFonts w:hint="eastAsia" w:ascii="宋体" w:hAnsi="宋体"/>
                <w:color w:val="auto"/>
                <w:sz w:val="24"/>
                <w:highlight w:val="none"/>
              </w:rPr>
              <w:t>小计</w:t>
            </w:r>
          </w:p>
        </w:tc>
        <w:tc>
          <w:tcPr>
            <w:tcW w:w="1939" w:type="dxa"/>
            <w:noWrap w:val="0"/>
            <w:vAlign w:val="center"/>
          </w:tcPr>
          <w:p>
            <w:pPr>
              <w:spacing w:line="400" w:lineRule="exact"/>
              <w:jc w:val="center"/>
              <w:rPr>
                <w:rFonts w:ascii="宋体" w:hAnsi="宋体"/>
                <w:color w:val="auto"/>
                <w:sz w:val="24"/>
                <w:highlight w:val="none"/>
              </w:rPr>
            </w:pPr>
            <w:r>
              <w:rPr>
                <w:rFonts w:hint="eastAsia" w:ascii="宋体" w:hAnsi="宋体"/>
                <w:color w:val="auto"/>
                <w:sz w:val="24"/>
                <w:highlight w:val="none"/>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7" w:hRule="atLeast"/>
          <w:jc w:val="center"/>
        </w:trPr>
        <w:tc>
          <w:tcPr>
            <w:tcW w:w="3881" w:type="dxa"/>
            <w:noWrap w:val="0"/>
            <w:vAlign w:val="top"/>
          </w:tcPr>
          <w:p>
            <w:pPr>
              <w:numPr>
                <w:ilvl w:val="0"/>
                <w:numId w:val="17"/>
              </w:numPr>
              <w:spacing w:line="400" w:lineRule="exact"/>
              <w:rPr>
                <w:rFonts w:ascii="宋体" w:hAnsi="宋体"/>
                <w:color w:val="auto"/>
                <w:sz w:val="24"/>
                <w:highlight w:val="none"/>
              </w:rPr>
            </w:pPr>
            <w:r>
              <w:rPr>
                <w:rFonts w:hint="eastAsia" w:ascii="宋体" w:hAnsi="宋体"/>
                <w:color w:val="auto"/>
                <w:sz w:val="24"/>
                <w:highlight w:val="none"/>
              </w:rPr>
              <w:t>临时用电：</w:t>
            </w:r>
          </w:p>
          <w:p>
            <w:pPr>
              <w:spacing w:line="400" w:lineRule="exact"/>
              <w:ind w:left="420"/>
              <w:rPr>
                <w:rFonts w:ascii="宋体" w:hAnsi="宋体"/>
                <w:color w:val="auto"/>
                <w:sz w:val="24"/>
                <w:highlight w:val="none"/>
              </w:rPr>
            </w:pPr>
            <w:r>
              <w:rPr>
                <w:rFonts w:hint="eastAsia" w:ascii="宋体" w:hAnsi="宋体"/>
                <w:color w:val="auto"/>
                <w:sz w:val="24"/>
                <w:highlight w:val="none"/>
              </w:rPr>
              <w:t>施工</w:t>
            </w:r>
          </w:p>
          <w:p>
            <w:pPr>
              <w:spacing w:line="400" w:lineRule="exact"/>
              <w:ind w:left="420"/>
              <w:rPr>
                <w:rFonts w:ascii="宋体" w:hAnsi="宋体"/>
                <w:color w:val="auto"/>
                <w:sz w:val="24"/>
                <w:highlight w:val="none"/>
              </w:rPr>
            </w:pPr>
            <w:r>
              <w:rPr>
                <w:rFonts w:hint="eastAsia" w:ascii="宋体" w:hAnsi="宋体"/>
                <w:color w:val="auto"/>
                <w:sz w:val="24"/>
                <w:highlight w:val="none"/>
              </w:rPr>
              <w:t>生活</w:t>
            </w:r>
          </w:p>
          <w:p>
            <w:pPr>
              <w:spacing w:line="400" w:lineRule="exact"/>
              <w:ind w:firstLine="480" w:firstLineChars="200"/>
              <w:rPr>
                <w:rFonts w:ascii="宋体" w:hAnsi="宋体"/>
                <w:color w:val="auto"/>
                <w:sz w:val="24"/>
                <w:highlight w:val="none"/>
              </w:rPr>
            </w:pPr>
            <w:r>
              <w:rPr>
                <w:rFonts w:hint="eastAsia" w:ascii="宋体" w:hAnsi="宋体"/>
                <w:color w:val="auto"/>
                <w:sz w:val="24"/>
                <w:highlight w:val="none"/>
              </w:rPr>
              <w:t>合计</w:t>
            </w:r>
          </w:p>
        </w:tc>
        <w:tc>
          <w:tcPr>
            <w:tcW w:w="969" w:type="dxa"/>
            <w:noWrap w:val="0"/>
            <w:vAlign w:val="top"/>
          </w:tcPr>
          <w:p>
            <w:pPr>
              <w:spacing w:line="400" w:lineRule="exact"/>
              <w:rPr>
                <w:rFonts w:ascii="宋体" w:hAnsi="宋体"/>
                <w:color w:val="auto"/>
                <w:sz w:val="24"/>
                <w:highlight w:val="none"/>
              </w:rPr>
            </w:pPr>
          </w:p>
        </w:tc>
        <w:tc>
          <w:tcPr>
            <w:tcW w:w="1077" w:type="dxa"/>
            <w:noWrap w:val="0"/>
            <w:vAlign w:val="top"/>
          </w:tcPr>
          <w:p>
            <w:pPr>
              <w:spacing w:line="400" w:lineRule="exact"/>
              <w:rPr>
                <w:rFonts w:ascii="宋体" w:hAnsi="宋体"/>
                <w:color w:val="auto"/>
                <w:sz w:val="24"/>
                <w:highlight w:val="none"/>
              </w:rPr>
            </w:pPr>
          </w:p>
        </w:tc>
        <w:tc>
          <w:tcPr>
            <w:tcW w:w="1077" w:type="dxa"/>
            <w:noWrap w:val="0"/>
            <w:vAlign w:val="top"/>
          </w:tcPr>
          <w:p>
            <w:pPr>
              <w:spacing w:line="400" w:lineRule="exact"/>
              <w:rPr>
                <w:rFonts w:ascii="宋体" w:hAnsi="宋体"/>
                <w:color w:val="auto"/>
                <w:sz w:val="24"/>
                <w:highlight w:val="none"/>
              </w:rPr>
            </w:pPr>
          </w:p>
        </w:tc>
        <w:tc>
          <w:tcPr>
            <w:tcW w:w="1939" w:type="dxa"/>
            <w:noWrap w:val="0"/>
            <w:vAlign w:val="top"/>
          </w:tcPr>
          <w:p>
            <w:pPr>
              <w:spacing w:line="400" w:lineRule="exact"/>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1" w:hRule="atLeast"/>
          <w:jc w:val="center"/>
        </w:trPr>
        <w:tc>
          <w:tcPr>
            <w:tcW w:w="3881" w:type="dxa"/>
            <w:noWrap w:val="0"/>
            <w:vAlign w:val="top"/>
          </w:tcPr>
          <w:p>
            <w:pPr>
              <w:numPr>
                <w:ilvl w:val="0"/>
                <w:numId w:val="17"/>
              </w:numPr>
              <w:tabs>
                <w:tab w:val="left" w:pos="452"/>
              </w:tabs>
              <w:spacing w:line="400" w:lineRule="exact"/>
              <w:ind w:left="452" w:hanging="420"/>
              <w:rPr>
                <w:rFonts w:ascii="宋体" w:hAnsi="宋体"/>
                <w:color w:val="auto"/>
                <w:sz w:val="24"/>
                <w:highlight w:val="none"/>
              </w:rPr>
            </w:pPr>
            <w:r>
              <w:rPr>
                <w:rFonts w:hint="eastAsia" w:ascii="宋体" w:hAnsi="宋体"/>
                <w:color w:val="auto"/>
                <w:sz w:val="24"/>
                <w:highlight w:val="none"/>
              </w:rPr>
              <w:t>临时用水：</w:t>
            </w:r>
          </w:p>
          <w:p>
            <w:pPr>
              <w:spacing w:line="400" w:lineRule="exact"/>
              <w:ind w:left="420"/>
              <w:rPr>
                <w:rFonts w:ascii="宋体" w:hAnsi="宋体"/>
                <w:color w:val="auto"/>
                <w:sz w:val="24"/>
                <w:highlight w:val="none"/>
              </w:rPr>
            </w:pPr>
            <w:r>
              <w:rPr>
                <w:rFonts w:hint="eastAsia" w:ascii="宋体" w:hAnsi="宋体"/>
                <w:color w:val="auto"/>
                <w:sz w:val="24"/>
                <w:highlight w:val="none"/>
              </w:rPr>
              <w:t>施工</w:t>
            </w:r>
          </w:p>
          <w:p>
            <w:pPr>
              <w:spacing w:line="400" w:lineRule="exact"/>
              <w:ind w:left="420"/>
              <w:rPr>
                <w:rFonts w:ascii="宋体" w:hAnsi="宋体"/>
                <w:color w:val="auto"/>
                <w:sz w:val="24"/>
                <w:highlight w:val="none"/>
              </w:rPr>
            </w:pPr>
            <w:r>
              <w:rPr>
                <w:rFonts w:hint="eastAsia" w:ascii="宋体" w:hAnsi="宋体"/>
                <w:color w:val="auto"/>
                <w:sz w:val="24"/>
                <w:highlight w:val="none"/>
              </w:rPr>
              <w:t>生活</w:t>
            </w:r>
          </w:p>
          <w:p>
            <w:pPr>
              <w:spacing w:line="400" w:lineRule="exact"/>
              <w:ind w:firstLine="480" w:firstLineChars="200"/>
              <w:rPr>
                <w:rFonts w:ascii="宋体" w:hAnsi="宋体"/>
                <w:color w:val="auto"/>
                <w:sz w:val="24"/>
                <w:highlight w:val="none"/>
              </w:rPr>
            </w:pPr>
            <w:r>
              <w:rPr>
                <w:rFonts w:hint="eastAsia" w:ascii="宋体" w:hAnsi="宋体"/>
                <w:color w:val="auto"/>
                <w:sz w:val="24"/>
                <w:highlight w:val="none"/>
              </w:rPr>
              <w:t>合计</w:t>
            </w:r>
          </w:p>
        </w:tc>
        <w:tc>
          <w:tcPr>
            <w:tcW w:w="969" w:type="dxa"/>
            <w:noWrap w:val="0"/>
            <w:vAlign w:val="top"/>
          </w:tcPr>
          <w:p>
            <w:pPr>
              <w:spacing w:line="400" w:lineRule="exact"/>
              <w:rPr>
                <w:rFonts w:ascii="宋体" w:hAnsi="宋体"/>
                <w:color w:val="auto"/>
                <w:sz w:val="24"/>
                <w:highlight w:val="none"/>
              </w:rPr>
            </w:pPr>
          </w:p>
        </w:tc>
        <w:tc>
          <w:tcPr>
            <w:tcW w:w="1077" w:type="dxa"/>
            <w:noWrap w:val="0"/>
            <w:vAlign w:val="top"/>
          </w:tcPr>
          <w:p>
            <w:pPr>
              <w:spacing w:line="400" w:lineRule="exact"/>
              <w:rPr>
                <w:rFonts w:ascii="宋体" w:hAnsi="宋体"/>
                <w:color w:val="auto"/>
                <w:sz w:val="24"/>
                <w:highlight w:val="none"/>
              </w:rPr>
            </w:pPr>
          </w:p>
        </w:tc>
        <w:tc>
          <w:tcPr>
            <w:tcW w:w="1077" w:type="dxa"/>
            <w:noWrap w:val="0"/>
            <w:vAlign w:val="top"/>
          </w:tcPr>
          <w:p>
            <w:pPr>
              <w:spacing w:line="400" w:lineRule="exact"/>
              <w:rPr>
                <w:rFonts w:ascii="宋体" w:hAnsi="宋体"/>
                <w:color w:val="auto"/>
                <w:sz w:val="24"/>
                <w:highlight w:val="none"/>
              </w:rPr>
            </w:pPr>
          </w:p>
        </w:tc>
        <w:tc>
          <w:tcPr>
            <w:tcW w:w="1939" w:type="dxa"/>
            <w:noWrap w:val="0"/>
            <w:vAlign w:val="top"/>
          </w:tcPr>
          <w:p>
            <w:pPr>
              <w:spacing w:line="400" w:lineRule="exact"/>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1" w:hRule="atLeast"/>
          <w:jc w:val="center"/>
        </w:trPr>
        <w:tc>
          <w:tcPr>
            <w:tcW w:w="3881" w:type="dxa"/>
            <w:noWrap w:val="0"/>
            <w:vAlign w:val="top"/>
          </w:tcPr>
          <w:p>
            <w:pPr>
              <w:numPr>
                <w:ilvl w:val="0"/>
                <w:numId w:val="17"/>
              </w:numPr>
              <w:tabs>
                <w:tab w:val="left" w:pos="452"/>
              </w:tabs>
              <w:spacing w:line="400" w:lineRule="exact"/>
              <w:ind w:left="452" w:hanging="420"/>
              <w:rPr>
                <w:rFonts w:ascii="宋体" w:hAnsi="宋体"/>
                <w:color w:val="auto"/>
                <w:sz w:val="24"/>
                <w:highlight w:val="none"/>
              </w:rPr>
            </w:pPr>
            <w:r>
              <w:rPr>
                <w:rFonts w:hint="eastAsia" w:ascii="宋体" w:hAnsi="宋体"/>
                <w:color w:val="auto"/>
                <w:sz w:val="24"/>
                <w:highlight w:val="none"/>
              </w:rPr>
              <w:t>临时用地：</w:t>
            </w:r>
          </w:p>
          <w:p>
            <w:pPr>
              <w:spacing w:line="400" w:lineRule="exact"/>
              <w:ind w:firstLine="480" w:firstLineChars="200"/>
              <w:rPr>
                <w:rFonts w:ascii="宋体" w:hAnsi="宋体"/>
                <w:color w:val="auto"/>
                <w:sz w:val="24"/>
                <w:highlight w:val="none"/>
              </w:rPr>
            </w:pPr>
            <w:r>
              <w:rPr>
                <w:rFonts w:hint="eastAsia" w:ascii="宋体" w:hAnsi="宋体"/>
                <w:color w:val="auto"/>
                <w:sz w:val="24"/>
                <w:highlight w:val="none"/>
              </w:rPr>
              <w:t>办公管理</w:t>
            </w:r>
          </w:p>
          <w:p>
            <w:pPr>
              <w:spacing w:line="400" w:lineRule="exact"/>
              <w:ind w:firstLine="480" w:firstLineChars="200"/>
              <w:rPr>
                <w:rFonts w:ascii="宋体" w:hAnsi="宋体"/>
                <w:color w:val="auto"/>
                <w:sz w:val="24"/>
                <w:highlight w:val="none"/>
              </w:rPr>
            </w:pPr>
            <w:r>
              <w:rPr>
                <w:rFonts w:hint="eastAsia" w:ascii="宋体" w:hAnsi="宋体"/>
                <w:color w:val="auto"/>
                <w:sz w:val="24"/>
                <w:highlight w:val="none"/>
              </w:rPr>
              <w:t>材料放置</w:t>
            </w:r>
          </w:p>
          <w:p>
            <w:pPr>
              <w:spacing w:line="400" w:lineRule="exact"/>
              <w:ind w:firstLine="480" w:firstLineChars="200"/>
              <w:rPr>
                <w:rFonts w:ascii="宋体" w:hAnsi="宋体"/>
                <w:color w:val="auto"/>
                <w:sz w:val="24"/>
                <w:highlight w:val="none"/>
              </w:rPr>
            </w:pPr>
            <w:r>
              <w:rPr>
                <w:rFonts w:hint="eastAsia" w:ascii="宋体" w:hAnsi="宋体"/>
                <w:color w:val="auto"/>
                <w:sz w:val="24"/>
                <w:highlight w:val="none"/>
              </w:rPr>
              <w:t>生活</w:t>
            </w:r>
          </w:p>
          <w:p>
            <w:pPr>
              <w:spacing w:line="400" w:lineRule="exact"/>
              <w:ind w:firstLine="480" w:firstLineChars="200"/>
              <w:rPr>
                <w:rFonts w:ascii="宋体" w:hAnsi="宋体"/>
                <w:color w:val="auto"/>
                <w:sz w:val="24"/>
                <w:highlight w:val="none"/>
              </w:rPr>
            </w:pPr>
            <w:r>
              <w:rPr>
                <w:rFonts w:hint="eastAsia" w:ascii="宋体" w:hAnsi="宋体"/>
                <w:color w:val="auto"/>
                <w:sz w:val="24"/>
                <w:highlight w:val="none"/>
              </w:rPr>
              <w:t>加工</w:t>
            </w:r>
          </w:p>
        </w:tc>
        <w:tc>
          <w:tcPr>
            <w:tcW w:w="969" w:type="dxa"/>
            <w:noWrap w:val="0"/>
            <w:vAlign w:val="top"/>
          </w:tcPr>
          <w:p>
            <w:pPr>
              <w:spacing w:line="400" w:lineRule="exact"/>
              <w:rPr>
                <w:rFonts w:ascii="宋体" w:hAnsi="宋体"/>
                <w:color w:val="auto"/>
                <w:sz w:val="24"/>
                <w:highlight w:val="none"/>
              </w:rPr>
            </w:pPr>
          </w:p>
        </w:tc>
        <w:tc>
          <w:tcPr>
            <w:tcW w:w="1077" w:type="dxa"/>
            <w:noWrap w:val="0"/>
            <w:vAlign w:val="top"/>
          </w:tcPr>
          <w:p>
            <w:pPr>
              <w:spacing w:line="400" w:lineRule="exact"/>
              <w:rPr>
                <w:rFonts w:ascii="宋体" w:hAnsi="宋体"/>
                <w:color w:val="auto"/>
                <w:sz w:val="24"/>
                <w:highlight w:val="none"/>
              </w:rPr>
            </w:pPr>
          </w:p>
        </w:tc>
        <w:tc>
          <w:tcPr>
            <w:tcW w:w="1077" w:type="dxa"/>
            <w:noWrap w:val="0"/>
            <w:vAlign w:val="top"/>
          </w:tcPr>
          <w:p>
            <w:pPr>
              <w:spacing w:line="400" w:lineRule="exact"/>
              <w:rPr>
                <w:rFonts w:ascii="宋体" w:hAnsi="宋体"/>
                <w:color w:val="auto"/>
                <w:sz w:val="24"/>
                <w:highlight w:val="none"/>
              </w:rPr>
            </w:pPr>
          </w:p>
        </w:tc>
        <w:tc>
          <w:tcPr>
            <w:tcW w:w="1939" w:type="dxa"/>
            <w:noWrap w:val="0"/>
            <w:vAlign w:val="top"/>
          </w:tcPr>
          <w:p>
            <w:pPr>
              <w:spacing w:line="400" w:lineRule="exact"/>
              <w:rPr>
                <w:rFonts w:ascii="宋体" w:hAnsi="宋体"/>
                <w:color w:val="auto"/>
                <w:sz w:val="24"/>
                <w:highlight w:val="none"/>
              </w:rPr>
            </w:pPr>
          </w:p>
        </w:tc>
      </w:tr>
    </w:tbl>
    <w:p>
      <w:pPr>
        <w:spacing w:line="360" w:lineRule="auto"/>
        <w:rPr>
          <w:rFonts w:ascii="宋体" w:hAnsi="宋体"/>
          <w:color w:val="auto"/>
          <w:sz w:val="24"/>
          <w:highlight w:val="none"/>
        </w:rPr>
      </w:pPr>
    </w:p>
    <w:p>
      <w:pPr>
        <w:spacing w:after="120"/>
        <w:rPr>
          <w:rFonts w:hAnsi="宋体"/>
          <w:bCs/>
          <w:color w:val="auto"/>
          <w:szCs w:val="24"/>
          <w:highlight w:val="none"/>
        </w:rPr>
      </w:pPr>
    </w:p>
    <w:p>
      <w:pPr>
        <w:spacing w:after="120"/>
        <w:rPr>
          <w:rFonts w:hAnsi="宋体"/>
          <w:bCs/>
          <w:color w:val="auto"/>
          <w:szCs w:val="24"/>
          <w:highlight w:val="none"/>
        </w:rPr>
      </w:pPr>
    </w:p>
    <w:p>
      <w:pPr>
        <w:spacing w:after="120"/>
        <w:rPr>
          <w:color w:val="auto"/>
          <w:highlight w:val="none"/>
        </w:rPr>
      </w:pPr>
      <w:r>
        <w:rPr>
          <w:rFonts w:hAnsi="宋体"/>
          <w:bCs/>
          <w:color w:val="auto"/>
          <w:szCs w:val="24"/>
          <w:highlight w:val="none"/>
        </w:rPr>
        <w:br w:type="page"/>
      </w:r>
    </w:p>
    <w:p>
      <w:pPr>
        <w:jc w:val="center"/>
        <w:rPr>
          <w:rFonts w:cs="Arial"/>
          <w:color w:val="auto"/>
          <w:sz w:val="44"/>
          <w:szCs w:val="44"/>
          <w:highlight w:val="none"/>
        </w:rPr>
      </w:pPr>
      <w:r>
        <w:rPr>
          <w:rFonts w:hint="eastAsia" w:ascii="宋体" w:hAnsi="宋体"/>
          <w:color w:val="auto"/>
          <w:sz w:val="32"/>
          <w:szCs w:val="32"/>
          <w:highlight w:val="none"/>
          <w:u w:val="single"/>
        </w:rPr>
        <w:t xml:space="preserve">             </w:t>
      </w:r>
      <w:r>
        <w:rPr>
          <w:rFonts w:hint="eastAsia" w:ascii="宋体" w:hAnsi="宋体"/>
          <w:color w:val="auto"/>
          <w:sz w:val="28"/>
          <w:szCs w:val="28"/>
          <w:highlight w:val="none"/>
        </w:rPr>
        <w:t>（项目名称）招标</w:t>
      </w:r>
    </w:p>
    <w:p>
      <w:pPr>
        <w:jc w:val="center"/>
        <w:rPr>
          <w:rFonts w:cs="Arial"/>
          <w:color w:val="auto"/>
          <w:sz w:val="44"/>
          <w:szCs w:val="44"/>
          <w:highlight w:val="none"/>
        </w:rPr>
      </w:pPr>
    </w:p>
    <w:p>
      <w:pPr>
        <w:jc w:val="center"/>
        <w:rPr>
          <w:rFonts w:cs="Arial"/>
          <w:color w:val="auto"/>
          <w:sz w:val="44"/>
          <w:szCs w:val="44"/>
          <w:highlight w:val="none"/>
        </w:rPr>
      </w:pPr>
    </w:p>
    <w:p>
      <w:pPr>
        <w:jc w:val="center"/>
        <w:rPr>
          <w:color w:val="auto"/>
          <w:sz w:val="44"/>
          <w:szCs w:val="44"/>
          <w:highlight w:val="none"/>
        </w:rPr>
      </w:pPr>
      <w:r>
        <w:rPr>
          <w:rFonts w:hint="eastAsia" w:cs="Arial"/>
          <w:color w:val="auto"/>
          <w:sz w:val="44"/>
          <w:szCs w:val="44"/>
          <w:highlight w:val="none"/>
        </w:rPr>
        <w:t>资格审查资料</w:t>
      </w: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keepNext w:val="0"/>
        <w:keepLines w:val="0"/>
        <w:pageBreakBefore w:val="0"/>
        <w:widowControl w:val="0"/>
        <w:kinsoku/>
        <w:wordWrap/>
        <w:overflowPunct/>
        <w:topLinePunct w:val="0"/>
        <w:autoSpaceDE/>
        <w:autoSpaceDN/>
        <w:bidi w:val="0"/>
        <w:spacing w:before="157" w:beforeLines="50" w:after="157" w:afterLines="50" w:line="480" w:lineRule="auto"/>
        <w:jc w:val="center"/>
        <w:textAlignment w:val="auto"/>
        <w:rPr>
          <w:color w:val="auto"/>
          <w:sz w:val="18"/>
          <w:szCs w:val="18"/>
          <w:highlight w:val="none"/>
        </w:rPr>
      </w:pPr>
    </w:p>
    <w:p>
      <w:pPr>
        <w:keepNext w:val="0"/>
        <w:keepLines w:val="0"/>
        <w:pageBreakBefore w:val="0"/>
        <w:widowControl w:val="0"/>
        <w:kinsoku/>
        <w:wordWrap/>
        <w:overflowPunct/>
        <w:topLinePunct w:val="0"/>
        <w:autoSpaceDE/>
        <w:autoSpaceDN/>
        <w:bidi w:val="0"/>
        <w:spacing w:before="157" w:beforeLines="50" w:after="157" w:afterLines="50" w:line="480" w:lineRule="auto"/>
        <w:jc w:val="center"/>
        <w:textAlignment w:val="auto"/>
        <w:rPr>
          <w:color w:val="auto"/>
          <w:sz w:val="28"/>
          <w:szCs w:val="28"/>
          <w:highlight w:val="none"/>
        </w:rPr>
      </w:pPr>
      <w:r>
        <w:rPr>
          <w:rFonts w:hint="eastAsia"/>
          <w:color w:val="auto"/>
          <w:sz w:val="28"/>
          <w:szCs w:val="28"/>
          <w:highlight w:val="none"/>
        </w:rPr>
        <w:t>投标人：</w:t>
      </w:r>
      <w:r>
        <w:rPr>
          <w:rFonts w:hint="eastAsia"/>
          <w:color w:val="auto"/>
          <w:sz w:val="28"/>
          <w:szCs w:val="28"/>
          <w:highlight w:val="none"/>
          <w:u w:val="single"/>
        </w:rPr>
        <w:t xml:space="preserve">                             </w:t>
      </w:r>
      <w:r>
        <w:rPr>
          <w:rFonts w:hint="eastAsia"/>
          <w:color w:val="auto"/>
          <w:sz w:val="28"/>
          <w:szCs w:val="28"/>
          <w:highlight w:val="none"/>
        </w:rPr>
        <w:t>（盖投标人公章）</w:t>
      </w:r>
      <w:r>
        <w:rPr>
          <w:rFonts w:hint="eastAsia"/>
          <w:color w:val="auto"/>
          <w:sz w:val="28"/>
          <w:szCs w:val="28"/>
          <w:highlight w:val="none"/>
        </w:rPr>
        <w:cr/>
      </w:r>
      <w:r>
        <w:rPr>
          <w:rFonts w:hint="eastAsia"/>
          <w:color w:val="auto"/>
          <w:sz w:val="28"/>
          <w:szCs w:val="28"/>
          <w:highlight w:val="none"/>
        </w:rPr>
        <w:t>法定代表人：</w:t>
      </w:r>
      <w:r>
        <w:rPr>
          <w:rFonts w:hint="eastAsia"/>
          <w:color w:val="auto"/>
          <w:sz w:val="28"/>
          <w:szCs w:val="28"/>
          <w:highlight w:val="none"/>
          <w:u w:val="single"/>
        </w:rPr>
        <w:t xml:space="preserve">                      </w:t>
      </w:r>
      <w:r>
        <w:rPr>
          <w:rFonts w:hint="eastAsia"/>
          <w:color w:val="auto"/>
          <w:sz w:val="28"/>
          <w:szCs w:val="28"/>
          <w:highlight w:val="none"/>
        </w:rPr>
        <w:t>（盖法定代表人印章）</w:t>
      </w:r>
    </w:p>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480" w:lineRule="auto"/>
        <w:ind w:firstLine="2240" w:firstLineChars="800"/>
        <w:textAlignment w:val="auto"/>
        <w:rPr>
          <w:color w:val="auto"/>
          <w:sz w:val="28"/>
          <w:szCs w:val="28"/>
          <w:highlight w:val="none"/>
        </w:rPr>
      </w:pPr>
      <w:r>
        <w:rPr>
          <w:rFonts w:hint="eastAsia"/>
          <w:color w:val="auto"/>
          <w:sz w:val="28"/>
          <w:szCs w:val="28"/>
          <w:highlight w:val="none"/>
          <w:u w:val="single"/>
        </w:rPr>
        <w:t xml:space="preserve">        </w:t>
      </w:r>
      <w:r>
        <w:rPr>
          <w:rFonts w:hint="eastAsia"/>
          <w:color w:val="auto"/>
          <w:sz w:val="28"/>
          <w:szCs w:val="28"/>
          <w:highlight w:val="none"/>
        </w:rPr>
        <w:t>年</w:t>
      </w:r>
      <w:r>
        <w:rPr>
          <w:rFonts w:hint="eastAsia"/>
          <w:color w:val="auto"/>
          <w:sz w:val="28"/>
          <w:szCs w:val="28"/>
          <w:highlight w:val="none"/>
          <w:u w:val="single"/>
        </w:rPr>
        <w:t xml:space="preserve">        </w:t>
      </w:r>
      <w:r>
        <w:rPr>
          <w:rFonts w:hint="eastAsia"/>
          <w:color w:val="auto"/>
          <w:sz w:val="28"/>
          <w:szCs w:val="28"/>
          <w:highlight w:val="none"/>
        </w:rPr>
        <w:t>月</w:t>
      </w:r>
      <w:r>
        <w:rPr>
          <w:rFonts w:hint="eastAsia"/>
          <w:color w:val="auto"/>
          <w:sz w:val="28"/>
          <w:szCs w:val="28"/>
          <w:highlight w:val="none"/>
          <w:u w:val="single"/>
        </w:rPr>
        <w:t xml:space="preserve">         </w:t>
      </w:r>
      <w:r>
        <w:rPr>
          <w:rFonts w:hint="eastAsia"/>
          <w:color w:val="auto"/>
          <w:sz w:val="28"/>
          <w:szCs w:val="28"/>
          <w:highlight w:val="none"/>
        </w:rPr>
        <w:t>日</w:t>
      </w:r>
    </w:p>
    <w:p>
      <w:pPr>
        <w:adjustRightInd w:val="0"/>
        <w:snapToGrid w:val="0"/>
        <w:spacing w:line="360" w:lineRule="auto"/>
        <w:rPr>
          <w:rFonts w:hint="eastAsia"/>
          <w:b/>
          <w:color w:val="auto"/>
          <w:sz w:val="28"/>
          <w:szCs w:val="28"/>
          <w:highlight w:val="none"/>
        </w:rPr>
      </w:pPr>
      <w:r>
        <w:rPr>
          <w:color w:val="auto"/>
          <w:sz w:val="28"/>
          <w:szCs w:val="28"/>
          <w:highlight w:val="none"/>
        </w:rPr>
        <w:br w:type="page"/>
      </w:r>
      <w:r>
        <w:rPr>
          <w:rFonts w:hint="eastAsia"/>
          <w:b/>
          <w:color w:val="auto"/>
          <w:sz w:val="28"/>
          <w:szCs w:val="28"/>
          <w:highlight w:val="none"/>
        </w:rPr>
        <w:t>资格后审投标人必须提交的资料：</w:t>
      </w:r>
    </w:p>
    <w:p>
      <w:pPr>
        <w:pStyle w:val="2"/>
        <w:rPr>
          <w:rFonts w:hint="eastAsia"/>
          <w:b/>
          <w:color w:val="auto"/>
          <w:sz w:val="28"/>
          <w:szCs w:val="28"/>
          <w:highlight w:val="none"/>
        </w:rPr>
      </w:pPr>
    </w:p>
    <w:p>
      <w:pPr>
        <w:spacing w:line="500" w:lineRule="exact"/>
        <w:ind w:firstLine="480"/>
        <w:rPr>
          <w:rFonts w:hint="eastAsia" w:ascii="宋体" w:hAnsi="宋体" w:cs="宋体"/>
          <w:color w:val="auto"/>
          <w:sz w:val="24"/>
          <w:highlight w:val="none"/>
          <w:lang w:bidi="ar"/>
        </w:rPr>
      </w:pPr>
      <w:r>
        <w:rPr>
          <w:rFonts w:hint="eastAsia" w:ascii="宋体" w:hAnsi="宋体" w:cs="宋体"/>
          <w:color w:val="auto"/>
          <w:sz w:val="24"/>
          <w:highlight w:val="none"/>
          <w:lang w:bidi="ar"/>
        </w:rPr>
        <w:t>1、企业营业执照；</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bidi="ar"/>
        </w:rPr>
        <w:t>2、企业资质证书；</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bidi="ar"/>
        </w:rPr>
        <w:t>3、企业安全生产许可证；</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bidi="ar"/>
        </w:rPr>
        <w:t>4、浙江省外企业须提供浙江省住建厅核发的有效期内备案证明（浙江省内企业不作要求）；</w:t>
      </w:r>
    </w:p>
    <w:p>
      <w:pPr>
        <w:spacing w:line="500" w:lineRule="exact"/>
        <w:ind w:firstLine="480" w:firstLineChars="200"/>
        <w:rPr>
          <w:rFonts w:hint="eastAsia" w:ascii="宋体" w:hAnsi="宋体" w:cs="宋体"/>
          <w:color w:val="auto"/>
          <w:sz w:val="24"/>
          <w:highlight w:val="none"/>
          <w:lang w:bidi="ar"/>
        </w:rPr>
      </w:pPr>
      <w:r>
        <w:rPr>
          <w:rFonts w:hint="eastAsia" w:ascii="宋体" w:hAnsi="宋体" w:cs="宋体"/>
          <w:color w:val="auto"/>
          <w:sz w:val="24"/>
          <w:highlight w:val="none"/>
          <w:lang w:bidi="ar"/>
        </w:rPr>
        <w:t>5、</w:t>
      </w:r>
      <w:r>
        <w:rPr>
          <w:rFonts w:hint="eastAsia" w:ascii="宋体" w:hAnsi="宋体"/>
          <w:color w:val="auto"/>
          <w:sz w:val="24"/>
          <w:highlight w:val="none"/>
        </w:rPr>
        <w:t>项目负责人建造师注册证书、安全生产考核合格证B证、养老保险证明</w:t>
      </w:r>
      <w:r>
        <w:rPr>
          <w:rFonts w:hint="eastAsia" w:ascii="宋体" w:hAnsi="宋体" w:cs="宋体"/>
          <w:color w:val="auto"/>
          <w:sz w:val="24"/>
          <w:highlight w:val="none"/>
          <w:lang w:bidi="ar"/>
        </w:rPr>
        <w:t>；</w:t>
      </w:r>
    </w:p>
    <w:p>
      <w:pPr>
        <w:spacing w:line="500" w:lineRule="exact"/>
        <w:ind w:firstLine="480" w:firstLineChars="200"/>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6</w:t>
      </w:r>
      <w:r>
        <w:rPr>
          <w:rFonts w:hint="eastAsia" w:ascii="宋体" w:hAnsi="宋体" w:cs="宋体"/>
          <w:color w:val="auto"/>
          <w:sz w:val="24"/>
          <w:highlight w:val="none"/>
          <w:lang w:bidi="ar"/>
        </w:rPr>
        <w:t>、承诺书（承诺对资格审查资料所有提交的证明材料真实有效性负责，若发现其有伪造证书、业绩等行为的，同意招标人不接受其投标，其缴纳的投标保证金不予退还），格式自拟，电子投标文件中加盖投标人电子公章</w:t>
      </w:r>
      <w:r>
        <w:rPr>
          <w:rFonts w:ascii="宋体" w:hAnsi="宋体"/>
          <w:color w:val="auto"/>
          <w:sz w:val="24"/>
          <w:highlight w:val="none"/>
        </w:rPr>
        <w:t>。</w:t>
      </w:r>
    </w:p>
    <w:p>
      <w:pPr>
        <w:spacing w:line="500" w:lineRule="exact"/>
        <w:ind w:firstLine="480" w:firstLineChars="200"/>
        <w:rPr>
          <w:rFonts w:ascii="宋体" w:hAnsi="宋体"/>
          <w:b/>
          <w:color w:val="auto"/>
          <w:sz w:val="24"/>
          <w:highlight w:val="none"/>
        </w:rPr>
      </w:pPr>
      <w:r>
        <w:rPr>
          <w:rFonts w:hint="eastAsia" w:ascii="宋体" w:hAnsi="宋体"/>
          <w:color w:val="auto"/>
          <w:sz w:val="24"/>
          <w:highlight w:val="none"/>
        </w:rPr>
        <w:t>上述项资格审查资料，必须是原件（不含公证件及其他替代证明）的复印件加盖公章。</w:t>
      </w:r>
    </w:p>
    <w:p>
      <w:pPr>
        <w:pStyle w:val="2"/>
        <w:rPr>
          <w:rFonts w:hint="eastAsia"/>
          <w:b/>
          <w:color w:val="auto"/>
          <w:sz w:val="28"/>
          <w:szCs w:val="28"/>
          <w:highlight w:val="none"/>
        </w:rPr>
      </w:pPr>
      <w:r>
        <w:rPr>
          <w:rFonts w:hint="eastAsia" w:ascii="宋体" w:hAnsi="宋体"/>
          <w:b/>
          <w:color w:val="auto"/>
          <w:sz w:val="24"/>
          <w:highlight w:val="none"/>
        </w:rPr>
        <w:t>注：</w:t>
      </w:r>
      <w:r>
        <w:rPr>
          <w:rFonts w:ascii="宋体" w:hAnsi="宋体"/>
          <w:b/>
          <w:color w:val="auto"/>
          <w:sz w:val="24"/>
          <w:highlight w:val="none"/>
        </w:rPr>
        <w:t>不能提供上述材料任何一项或不符合审查要求的投标人为资格审查不合格。</w:t>
      </w:r>
    </w:p>
    <w:p>
      <w:pPr>
        <w:spacing w:line="360" w:lineRule="auto"/>
        <w:ind w:firstLine="562" w:firstLineChars="200"/>
        <w:jc w:val="left"/>
        <w:rPr>
          <w:rFonts w:cs="Arial"/>
          <w:color w:val="auto"/>
          <w:szCs w:val="21"/>
          <w:highlight w:val="none"/>
        </w:rPr>
      </w:pPr>
      <w:r>
        <w:rPr>
          <w:rFonts w:hint="eastAsia"/>
          <w:b/>
          <w:color w:val="auto"/>
          <w:sz w:val="28"/>
          <w:szCs w:val="28"/>
          <w:highlight w:val="none"/>
        </w:rPr>
        <w:t xml:space="preserve">  </w:t>
      </w:r>
    </w:p>
    <w:p>
      <w:pPr>
        <w:adjustRightInd w:val="0"/>
        <w:snapToGrid w:val="0"/>
        <w:spacing w:line="360" w:lineRule="auto"/>
        <w:rPr>
          <w:rFonts w:hint="eastAsia" w:ascii="宋体" w:hAnsi="宋体"/>
          <w:color w:val="auto"/>
          <w:sz w:val="24"/>
          <w:highlight w:val="none"/>
        </w:rPr>
      </w:pPr>
      <w:r>
        <w:rPr>
          <w:rFonts w:hint="eastAsia" w:ascii="宋体" w:hAnsi="宋体"/>
          <w:color w:val="auto"/>
          <w:sz w:val="24"/>
          <w:highlight w:val="none"/>
        </w:rPr>
        <w:t xml:space="preserve">  </w:t>
      </w:r>
    </w:p>
    <w:p>
      <w:pPr>
        <w:pStyle w:val="2"/>
        <w:rPr>
          <w:rFonts w:hint="eastAsia" w:ascii="宋体" w:hAnsi="宋体"/>
          <w:color w:val="auto"/>
          <w:sz w:val="24"/>
          <w:highlight w:val="none"/>
        </w:rPr>
      </w:pPr>
    </w:p>
    <w:p>
      <w:pPr>
        <w:pStyle w:val="2"/>
        <w:rPr>
          <w:rFonts w:hint="eastAsia" w:ascii="宋体" w:hAnsi="宋体"/>
          <w:color w:val="auto"/>
          <w:sz w:val="24"/>
          <w:highlight w:val="none"/>
        </w:rPr>
      </w:pPr>
    </w:p>
    <w:p>
      <w:pPr>
        <w:pStyle w:val="2"/>
        <w:rPr>
          <w:rFonts w:hint="eastAsia" w:ascii="宋体" w:hAnsi="宋体"/>
          <w:color w:val="auto"/>
          <w:sz w:val="24"/>
          <w:highlight w:val="none"/>
        </w:rPr>
      </w:pPr>
    </w:p>
    <w:p>
      <w:pPr>
        <w:pStyle w:val="2"/>
        <w:rPr>
          <w:rFonts w:hint="eastAsia" w:ascii="宋体" w:hAnsi="宋体"/>
          <w:color w:val="auto"/>
          <w:sz w:val="24"/>
          <w:highlight w:val="none"/>
        </w:rPr>
      </w:pPr>
    </w:p>
    <w:p>
      <w:pPr>
        <w:pStyle w:val="2"/>
        <w:rPr>
          <w:rFonts w:hint="eastAsia" w:ascii="宋体" w:hAnsi="宋体"/>
          <w:color w:val="auto"/>
          <w:sz w:val="24"/>
          <w:highlight w:val="none"/>
        </w:rPr>
      </w:pPr>
    </w:p>
    <w:p>
      <w:pPr>
        <w:pStyle w:val="2"/>
        <w:rPr>
          <w:rFonts w:hint="eastAsia" w:ascii="宋体" w:hAnsi="宋体"/>
          <w:color w:val="auto"/>
          <w:sz w:val="24"/>
          <w:highlight w:val="none"/>
        </w:rPr>
      </w:pPr>
    </w:p>
    <w:p>
      <w:pPr>
        <w:pStyle w:val="2"/>
        <w:rPr>
          <w:rFonts w:hint="eastAsia" w:ascii="宋体" w:hAnsi="宋体"/>
          <w:color w:val="auto"/>
          <w:sz w:val="24"/>
          <w:highlight w:val="none"/>
        </w:rPr>
      </w:pPr>
    </w:p>
    <w:p>
      <w:pPr>
        <w:pStyle w:val="2"/>
        <w:rPr>
          <w:rFonts w:hint="eastAsia" w:ascii="宋体" w:hAnsi="宋体"/>
          <w:color w:val="auto"/>
          <w:sz w:val="24"/>
          <w:highlight w:val="none"/>
        </w:rPr>
      </w:pPr>
    </w:p>
    <w:p>
      <w:pPr>
        <w:pStyle w:val="2"/>
        <w:rPr>
          <w:rFonts w:hint="eastAsia" w:ascii="宋体" w:hAnsi="宋体"/>
          <w:color w:val="auto"/>
          <w:sz w:val="24"/>
          <w:highlight w:val="none"/>
        </w:rPr>
      </w:pPr>
    </w:p>
    <w:p>
      <w:pPr>
        <w:pStyle w:val="2"/>
        <w:rPr>
          <w:rFonts w:hint="eastAsia" w:ascii="宋体" w:hAnsi="宋体"/>
          <w:color w:val="auto"/>
          <w:sz w:val="24"/>
          <w:highlight w:val="none"/>
        </w:rPr>
      </w:pPr>
    </w:p>
    <w:p>
      <w:pPr>
        <w:pStyle w:val="2"/>
        <w:rPr>
          <w:rFonts w:hint="eastAsia" w:ascii="宋体" w:hAnsi="宋体"/>
          <w:color w:val="auto"/>
          <w:sz w:val="24"/>
          <w:highlight w:val="none"/>
        </w:rPr>
      </w:pPr>
    </w:p>
    <w:p>
      <w:pPr>
        <w:pStyle w:val="2"/>
        <w:rPr>
          <w:rFonts w:hint="eastAsia" w:ascii="宋体" w:hAnsi="宋体"/>
          <w:color w:val="auto"/>
          <w:sz w:val="24"/>
          <w:highlight w:val="none"/>
        </w:rPr>
      </w:pPr>
    </w:p>
    <w:p>
      <w:pPr>
        <w:pStyle w:val="2"/>
        <w:rPr>
          <w:rFonts w:hint="eastAsia" w:ascii="宋体" w:hAnsi="宋体"/>
          <w:color w:val="auto"/>
          <w:szCs w:val="21"/>
          <w:highlight w:val="none"/>
          <w:lang w:eastAsia="zh-CN"/>
        </w:rPr>
      </w:pPr>
    </w:p>
    <w:p>
      <w:pPr>
        <w:pStyle w:val="2"/>
        <w:rPr>
          <w:rFonts w:hint="eastAsia" w:ascii="宋体" w:hAnsi="宋体"/>
          <w:color w:val="auto"/>
          <w:szCs w:val="21"/>
          <w:highlight w:val="none"/>
          <w:lang w:eastAsia="zh-CN"/>
        </w:rPr>
      </w:pPr>
    </w:p>
    <w:p>
      <w:pPr>
        <w:pStyle w:val="2"/>
        <w:rPr>
          <w:rFonts w:hint="eastAsia" w:ascii="宋体" w:hAnsi="宋体"/>
          <w:color w:val="auto"/>
          <w:szCs w:val="21"/>
          <w:highlight w:val="none"/>
          <w:lang w:eastAsia="zh-CN"/>
        </w:rPr>
      </w:pPr>
    </w:p>
    <w:p>
      <w:pPr>
        <w:pStyle w:val="2"/>
        <w:rPr>
          <w:rFonts w:hint="eastAsia" w:ascii="宋体" w:hAnsi="宋体"/>
          <w:color w:val="auto"/>
          <w:szCs w:val="21"/>
          <w:highlight w:val="none"/>
          <w:lang w:eastAsia="zh-CN"/>
        </w:rPr>
      </w:pPr>
    </w:p>
    <w:p>
      <w:pPr>
        <w:pStyle w:val="2"/>
        <w:rPr>
          <w:rFonts w:hint="eastAsia" w:ascii="宋体" w:hAnsi="宋体"/>
          <w:color w:val="auto"/>
          <w:szCs w:val="21"/>
          <w:highlight w:val="none"/>
          <w:lang w:eastAsia="zh-CN"/>
        </w:rPr>
      </w:pPr>
    </w:p>
    <w:p>
      <w:pPr>
        <w:pStyle w:val="2"/>
        <w:rPr>
          <w:rFonts w:hint="eastAsia" w:ascii="宋体" w:hAnsi="宋体"/>
          <w:color w:val="auto"/>
          <w:szCs w:val="21"/>
          <w:highlight w:val="none"/>
          <w:lang w:eastAsia="zh-CN"/>
        </w:rPr>
      </w:pPr>
    </w:p>
    <w:p>
      <w:pPr>
        <w:pStyle w:val="2"/>
        <w:rPr>
          <w:rFonts w:hint="eastAsia" w:ascii="宋体" w:hAnsi="宋体"/>
          <w:color w:val="auto"/>
          <w:szCs w:val="21"/>
          <w:highlight w:val="none"/>
          <w:lang w:eastAsia="zh-CN"/>
        </w:rPr>
      </w:pPr>
    </w:p>
    <w:p>
      <w:pPr>
        <w:pStyle w:val="2"/>
        <w:rPr>
          <w:rFonts w:hint="eastAsia" w:ascii="宋体" w:hAnsi="宋体"/>
          <w:color w:val="auto"/>
          <w:szCs w:val="21"/>
          <w:highlight w:val="none"/>
          <w:lang w:eastAsia="zh-CN"/>
        </w:rPr>
      </w:pPr>
    </w:p>
    <w:p>
      <w:pPr>
        <w:jc w:val="center"/>
        <w:rPr>
          <w:rFonts w:hint="eastAsia" w:ascii="宋体" w:hAnsi="宋体"/>
          <w:color w:val="auto"/>
          <w:sz w:val="28"/>
          <w:szCs w:val="28"/>
          <w:highlight w:val="none"/>
        </w:rPr>
      </w:pPr>
      <w:r>
        <w:rPr>
          <w:rFonts w:hint="eastAsia" w:ascii="宋体" w:hAnsi="宋体"/>
          <w:color w:val="auto"/>
          <w:sz w:val="32"/>
          <w:szCs w:val="32"/>
          <w:highlight w:val="none"/>
          <w:u w:val="single"/>
        </w:rPr>
        <w:t xml:space="preserve">             </w:t>
      </w:r>
      <w:r>
        <w:rPr>
          <w:rFonts w:hint="eastAsia" w:ascii="宋体" w:hAnsi="宋体"/>
          <w:color w:val="auto"/>
          <w:sz w:val="28"/>
          <w:szCs w:val="28"/>
          <w:highlight w:val="none"/>
        </w:rPr>
        <w:t>（项目名称）招标</w:t>
      </w:r>
    </w:p>
    <w:p>
      <w:pPr>
        <w:shd w:val="clear" w:color="auto" w:fill="FFFFFF"/>
        <w:spacing w:before="240" w:beforeLines="100"/>
        <w:jc w:val="center"/>
        <w:rPr>
          <w:rFonts w:ascii="黑体" w:eastAsia="黑体"/>
          <w:color w:val="auto"/>
          <w:sz w:val="44"/>
          <w:szCs w:val="44"/>
          <w:highlight w:val="none"/>
        </w:rPr>
      </w:pPr>
      <w:r>
        <w:rPr>
          <w:rFonts w:hint="eastAsia" w:ascii="黑体" w:eastAsia="黑体"/>
          <w:color w:val="auto"/>
          <w:sz w:val="44"/>
          <w:szCs w:val="44"/>
          <w:highlight w:val="none"/>
        </w:rPr>
        <w:t>投  标  文  件</w:t>
      </w:r>
    </w:p>
    <w:p>
      <w:pPr>
        <w:shd w:val="clear" w:color="auto" w:fill="FFFFFF"/>
        <w:jc w:val="center"/>
        <w:rPr>
          <w:rFonts w:hint="eastAsia" w:ascii="黑体" w:eastAsia="黑体"/>
          <w:color w:val="auto"/>
          <w:sz w:val="32"/>
          <w:szCs w:val="32"/>
          <w:highlight w:val="none"/>
          <w:lang w:eastAsia="zh-CN"/>
        </w:rPr>
      </w:pPr>
      <w:r>
        <w:rPr>
          <w:rFonts w:hint="eastAsia" w:ascii="黑体" w:eastAsia="黑体"/>
          <w:color w:val="auto"/>
          <w:sz w:val="32"/>
          <w:szCs w:val="32"/>
          <w:highlight w:val="none"/>
          <w:lang w:eastAsia="zh-CN"/>
        </w:rPr>
        <w:t>（</w:t>
      </w:r>
      <w:r>
        <w:rPr>
          <w:rFonts w:hint="eastAsia" w:ascii="黑体" w:eastAsia="黑体"/>
          <w:color w:val="auto"/>
          <w:sz w:val="32"/>
          <w:szCs w:val="32"/>
          <w:highlight w:val="none"/>
          <w:lang w:val="en-US" w:eastAsia="zh-CN"/>
        </w:rPr>
        <w:t>技术标</w:t>
      </w:r>
      <w:r>
        <w:rPr>
          <w:rFonts w:hint="eastAsia" w:ascii="黑体" w:eastAsia="黑体"/>
          <w:color w:val="auto"/>
          <w:sz w:val="32"/>
          <w:szCs w:val="32"/>
          <w:highlight w:val="none"/>
          <w:lang w:eastAsia="zh-CN"/>
        </w:rPr>
        <w:t>）</w:t>
      </w:r>
    </w:p>
    <w:p>
      <w:pPr>
        <w:shd w:val="clear" w:color="auto" w:fill="FFFFFF"/>
        <w:jc w:val="center"/>
        <w:rPr>
          <w:rFonts w:ascii="黑体" w:eastAsia="黑体"/>
          <w:color w:val="auto"/>
          <w:sz w:val="32"/>
          <w:szCs w:val="32"/>
          <w:highlight w:val="none"/>
        </w:rPr>
      </w:pPr>
    </w:p>
    <w:p>
      <w:pPr>
        <w:shd w:val="clear" w:color="auto" w:fill="FFFFFF"/>
        <w:jc w:val="center"/>
        <w:rPr>
          <w:rFonts w:ascii="黑体" w:eastAsia="黑体"/>
          <w:color w:val="auto"/>
          <w:sz w:val="32"/>
          <w:szCs w:val="32"/>
          <w:highlight w:val="none"/>
        </w:rPr>
      </w:pPr>
    </w:p>
    <w:p>
      <w:pPr>
        <w:shd w:val="clear" w:color="auto" w:fill="FFFFFF"/>
        <w:jc w:val="center"/>
        <w:rPr>
          <w:rFonts w:ascii="黑体" w:eastAsia="黑体"/>
          <w:color w:val="auto"/>
          <w:sz w:val="32"/>
          <w:szCs w:val="32"/>
          <w:highlight w:val="none"/>
        </w:rPr>
      </w:pPr>
    </w:p>
    <w:p>
      <w:pPr>
        <w:shd w:val="clear" w:color="auto" w:fill="FFFFFF"/>
        <w:jc w:val="center"/>
        <w:rPr>
          <w:rFonts w:ascii="黑体" w:eastAsia="黑体"/>
          <w:color w:val="auto"/>
          <w:sz w:val="32"/>
          <w:szCs w:val="32"/>
          <w:highlight w:val="none"/>
        </w:rPr>
      </w:pPr>
    </w:p>
    <w:p>
      <w:pPr>
        <w:shd w:val="clear" w:color="auto" w:fill="FFFFFF"/>
        <w:jc w:val="center"/>
        <w:rPr>
          <w:rFonts w:ascii="黑体" w:eastAsia="黑体"/>
          <w:color w:val="auto"/>
          <w:sz w:val="32"/>
          <w:szCs w:val="32"/>
          <w:highlight w:val="none"/>
        </w:rPr>
      </w:pPr>
    </w:p>
    <w:p>
      <w:pPr>
        <w:shd w:val="clear" w:color="auto" w:fill="FFFFFF"/>
        <w:jc w:val="center"/>
        <w:rPr>
          <w:rFonts w:ascii="黑体" w:eastAsia="黑体"/>
          <w:color w:val="auto"/>
          <w:sz w:val="32"/>
          <w:szCs w:val="32"/>
          <w:highlight w:val="none"/>
        </w:rPr>
      </w:pPr>
    </w:p>
    <w:p>
      <w:pPr>
        <w:shd w:val="clear" w:color="auto" w:fill="FFFFFF"/>
        <w:jc w:val="center"/>
        <w:rPr>
          <w:rFonts w:ascii="黑体" w:eastAsia="黑体"/>
          <w:color w:val="auto"/>
          <w:sz w:val="32"/>
          <w:szCs w:val="32"/>
          <w:highlight w:val="none"/>
        </w:rPr>
      </w:pPr>
    </w:p>
    <w:p>
      <w:pPr>
        <w:shd w:val="clear" w:color="auto" w:fill="FFFFFF"/>
        <w:jc w:val="center"/>
        <w:rPr>
          <w:rFonts w:ascii="黑体" w:eastAsia="黑体"/>
          <w:color w:val="auto"/>
          <w:sz w:val="32"/>
          <w:szCs w:val="32"/>
          <w:highlight w:val="none"/>
        </w:rPr>
      </w:pPr>
    </w:p>
    <w:p>
      <w:pPr>
        <w:shd w:val="clear" w:color="auto" w:fill="FFFFFF"/>
        <w:jc w:val="center"/>
        <w:rPr>
          <w:rFonts w:ascii="黑体" w:eastAsia="黑体"/>
          <w:color w:val="auto"/>
          <w:sz w:val="32"/>
          <w:szCs w:val="32"/>
          <w:highlight w:val="none"/>
        </w:rPr>
      </w:pPr>
    </w:p>
    <w:p>
      <w:pPr>
        <w:shd w:val="clear" w:color="auto" w:fill="FFFFFF"/>
        <w:jc w:val="center"/>
        <w:rPr>
          <w:rFonts w:ascii="黑体" w:eastAsia="黑体"/>
          <w:color w:val="auto"/>
          <w:sz w:val="32"/>
          <w:szCs w:val="32"/>
          <w:highlight w:val="none"/>
        </w:rPr>
      </w:pPr>
    </w:p>
    <w:p>
      <w:pPr>
        <w:shd w:val="clear" w:color="auto" w:fill="FFFFFF"/>
        <w:jc w:val="center"/>
        <w:rPr>
          <w:rFonts w:ascii="黑体" w:eastAsia="黑体"/>
          <w:color w:val="auto"/>
          <w:sz w:val="32"/>
          <w:szCs w:val="32"/>
          <w:highlight w:val="none"/>
        </w:rPr>
      </w:pPr>
    </w:p>
    <w:p>
      <w:pPr>
        <w:shd w:val="clear" w:color="auto" w:fill="FFFFFF"/>
        <w:spacing w:line="360" w:lineRule="auto"/>
        <w:jc w:val="center"/>
        <w:rPr>
          <w:rFonts w:ascii="黑体" w:eastAsia="黑体"/>
          <w:color w:val="auto"/>
          <w:sz w:val="28"/>
          <w:szCs w:val="28"/>
          <w:highlight w:val="none"/>
        </w:rPr>
      </w:pPr>
      <w:r>
        <w:rPr>
          <w:rFonts w:hint="eastAsia" w:ascii="黑体" w:eastAsia="黑体"/>
          <w:color w:val="auto"/>
          <w:sz w:val="28"/>
          <w:szCs w:val="28"/>
          <w:highlight w:val="none"/>
        </w:rPr>
        <w:t>投标人：</w:t>
      </w:r>
      <w:r>
        <w:rPr>
          <w:rFonts w:hint="eastAsia" w:ascii="宋体" w:hAnsi="宋体"/>
          <w:color w:val="auto"/>
          <w:sz w:val="28"/>
          <w:szCs w:val="28"/>
          <w:highlight w:val="none"/>
          <w:u w:val="single"/>
        </w:rPr>
        <w:t xml:space="preserve">                      </w:t>
      </w:r>
      <w:r>
        <w:rPr>
          <w:rFonts w:hint="eastAsia" w:ascii="黑体" w:eastAsia="黑体"/>
          <w:color w:val="auto"/>
          <w:sz w:val="28"/>
          <w:szCs w:val="28"/>
          <w:highlight w:val="none"/>
        </w:rPr>
        <w:t>（盖投标人公章）</w:t>
      </w:r>
    </w:p>
    <w:p>
      <w:pPr>
        <w:shd w:val="clear" w:color="auto" w:fill="FFFFFF"/>
        <w:spacing w:line="360" w:lineRule="auto"/>
        <w:jc w:val="center"/>
        <w:rPr>
          <w:rFonts w:ascii="黑体" w:eastAsia="黑体"/>
          <w:color w:val="auto"/>
          <w:sz w:val="28"/>
          <w:szCs w:val="28"/>
          <w:highlight w:val="none"/>
        </w:rPr>
      </w:pPr>
      <w:r>
        <w:rPr>
          <w:rFonts w:hint="eastAsia" w:ascii="黑体" w:eastAsia="黑体"/>
          <w:color w:val="auto"/>
          <w:sz w:val="28"/>
          <w:szCs w:val="28"/>
          <w:highlight w:val="none"/>
        </w:rPr>
        <w:t>法定代表人或其委托代理人：</w:t>
      </w:r>
      <w:r>
        <w:rPr>
          <w:rFonts w:hint="eastAsia" w:ascii="宋体" w:hAnsi="宋体"/>
          <w:color w:val="auto"/>
          <w:sz w:val="28"/>
          <w:szCs w:val="28"/>
          <w:highlight w:val="none"/>
          <w:u w:val="single"/>
        </w:rPr>
        <w:t xml:space="preserve">               </w:t>
      </w:r>
      <w:r>
        <w:rPr>
          <w:rFonts w:hint="eastAsia" w:ascii="黑体" w:eastAsia="黑体"/>
          <w:color w:val="auto"/>
          <w:sz w:val="28"/>
          <w:szCs w:val="28"/>
          <w:highlight w:val="none"/>
        </w:rPr>
        <w:t>（盖法定代表人印章）</w:t>
      </w:r>
    </w:p>
    <w:p>
      <w:pPr>
        <w:shd w:val="clear" w:color="auto" w:fill="FFFFFF"/>
        <w:jc w:val="center"/>
        <w:rPr>
          <w:rFonts w:ascii="黑体" w:eastAsia="黑体"/>
          <w:color w:val="auto"/>
          <w:sz w:val="28"/>
          <w:szCs w:val="28"/>
          <w:highlight w:val="none"/>
        </w:rPr>
      </w:pPr>
    </w:p>
    <w:p>
      <w:pPr>
        <w:shd w:val="clear" w:color="auto" w:fill="FFFFFF"/>
        <w:jc w:val="center"/>
        <w:rPr>
          <w:rFonts w:ascii="黑体" w:eastAsia="黑体"/>
          <w:color w:val="auto"/>
          <w:sz w:val="28"/>
          <w:szCs w:val="28"/>
          <w:highlight w:val="none"/>
        </w:rPr>
      </w:pPr>
    </w:p>
    <w:p>
      <w:pPr>
        <w:shd w:val="clear" w:color="auto" w:fill="FFFFFF"/>
        <w:jc w:val="center"/>
        <w:rPr>
          <w:rFonts w:ascii="黑体" w:eastAsia="黑体"/>
          <w:color w:val="auto"/>
          <w:sz w:val="28"/>
          <w:szCs w:val="28"/>
          <w:highlight w:val="none"/>
        </w:rPr>
      </w:pPr>
      <w:r>
        <w:rPr>
          <w:rFonts w:hint="eastAsia" w:ascii="宋体" w:hAnsi="宋体"/>
          <w:color w:val="auto"/>
          <w:sz w:val="28"/>
          <w:szCs w:val="28"/>
          <w:highlight w:val="none"/>
          <w:u w:val="single"/>
        </w:rPr>
        <w:t xml:space="preserve">       </w:t>
      </w:r>
      <w:r>
        <w:rPr>
          <w:rFonts w:hint="eastAsia" w:ascii="黑体" w:eastAsia="黑体"/>
          <w:color w:val="auto"/>
          <w:sz w:val="28"/>
          <w:szCs w:val="28"/>
          <w:highlight w:val="none"/>
        </w:rPr>
        <w:t>年</w:t>
      </w:r>
      <w:r>
        <w:rPr>
          <w:rFonts w:hint="eastAsia" w:ascii="宋体" w:hAnsi="宋体"/>
          <w:color w:val="auto"/>
          <w:sz w:val="28"/>
          <w:szCs w:val="28"/>
          <w:highlight w:val="none"/>
          <w:u w:val="single"/>
        </w:rPr>
        <w:t xml:space="preserve">       </w:t>
      </w:r>
      <w:r>
        <w:rPr>
          <w:rFonts w:hint="eastAsia" w:ascii="黑体" w:eastAsia="黑体"/>
          <w:color w:val="auto"/>
          <w:sz w:val="28"/>
          <w:szCs w:val="28"/>
          <w:highlight w:val="none"/>
        </w:rPr>
        <w:t>月</w:t>
      </w:r>
      <w:r>
        <w:rPr>
          <w:rFonts w:hint="eastAsia" w:ascii="宋体" w:hAnsi="宋体"/>
          <w:color w:val="auto"/>
          <w:sz w:val="28"/>
          <w:szCs w:val="28"/>
          <w:highlight w:val="none"/>
          <w:u w:val="single"/>
        </w:rPr>
        <w:t xml:space="preserve">       </w:t>
      </w:r>
      <w:r>
        <w:rPr>
          <w:rFonts w:hint="eastAsia" w:ascii="黑体" w:eastAsia="黑体"/>
          <w:color w:val="auto"/>
          <w:sz w:val="28"/>
          <w:szCs w:val="28"/>
          <w:highlight w:val="none"/>
        </w:rPr>
        <w:t>日</w:t>
      </w:r>
    </w:p>
    <w:p>
      <w:pPr>
        <w:pStyle w:val="2"/>
        <w:rPr>
          <w:rFonts w:hint="eastAsia" w:ascii="宋体" w:hAnsi="宋体"/>
          <w:color w:val="auto"/>
          <w:szCs w:val="21"/>
          <w:highlight w:val="none"/>
          <w:lang w:eastAsia="zh-CN"/>
        </w:rPr>
      </w:pPr>
      <w:r>
        <w:rPr>
          <w:rFonts w:ascii="宋体" w:hAnsi="宋体"/>
          <w:color w:val="auto"/>
          <w:szCs w:val="21"/>
          <w:highlight w:val="none"/>
        </w:rPr>
        <w:br w:type="page"/>
      </w:r>
    </w:p>
    <w:p>
      <w:pPr>
        <w:spacing w:line="360" w:lineRule="auto"/>
        <w:jc w:val="center"/>
        <w:rPr>
          <w:rFonts w:hint="eastAsia" w:ascii="宋体" w:hAnsi="宋体"/>
          <w:color w:val="auto"/>
          <w:sz w:val="44"/>
          <w:szCs w:val="44"/>
          <w:highlight w:val="none"/>
        </w:rPr>
      </w:pPr>
      <w:r>
        <w:rPr>
          <w:rFonts w:hint="eastAsia" w:ascii="宋体" w:hAnsi="宋体"/>
          <w:b/>
          <w:color w:val="auto"/>
          <w:sz w:val="44"/>
          <w:szCs w:val="44"/>
          <w:highlight w:val="none"/>
          <w:u w:val="single"/>
        </w:rPr>
        <w:t>根据技术标评标内容自拟（格式自拟）</w:t>
      </w:r>
    </w:p>
    <w:p>
      <w:pPr>
        <w:pStyle w:val="2"/>
        <w:rPr>
          <w:rFonts w:hint="eastAsia" w:ascii="宋体" w:hAnsi="宋体"/>
          <w:color w:val="auto"/>
          <w:sz w:val="24"/>
          <w:highlight w:val="none"/>
        </w:rPr>
      </w:pPr>
    </w:p>
    <w:p>
      <w:pPr>
        <w:adjustRightInd w:val="0"/>
        <w:snapToGrid w:val="0"/>
        <w:spacing w:line="360" w:lineRule="auto"/>
        <w:rPr>
          <w:rFonts w:cs="Arial"/>
          <w:color w:val="auto"/>
          <w:sz w:val="28"/>
          <w:szCs w:val="28"/>
          <w:highlight w:val="none"/>
        </w:rPr>
      </w:pPr>
    </w:p>
    <w:p>
      <w:pPr>
        <w:adjustRightInd w:val="0"/>
        <w:snapToGrid w:val="0"/>
        <w:spacing w:line="360" w:lineRule="auto"/>
        <w:rPr>
          <w:rFonts w:cs="Arial"/>
          <w:color w:val="auto"/>
          <w:sz w:val="28"/>
          <w:szCs w:val="28"/>
          <w:highlight w:val="none"/>
        </w:rPr>
      </w:pPr>
    </w:p>
    <w:p>
      <w:pPr>
        <w:adjustRightInd w:val="0"/>
        <w:snapToGrid w:val="0"/>
        <w:spacing w:line="360" w:lineRule="auto"/>
        <w:rPr>
          <w:rFonts w:cs="Arial"/>
          <w:color w:val="auto"/>
          <w:sz w:val="28"/>
          <w:szCs w:val="28"/>
          <w:highlight w:val="none"/>
        </w:rPr>
      </w:pPr>
    </w:p>
    <w:p>
      <w:pPr>
        <w:adjustRightInd w:val="0"/>
        <w:snapToGrid w:val="0"/>
        <w:spacing w:line="360" w:lineRule="auto"/>
        <w:rPr>
          <w:rFonts w:cs="Arial"/>
          <w:color w:val="auto"/>
          <w:sz w:val="28"/>
          <w:szCs w:val="28"/>
          <w:highlight w:val="none"/>
        </w:rPr>
      </w:pPr>
    </w:p>
    <w:p>
      <w:pPr>
        <w:adjustRightInd w:val="0"/>
        <w:snapToGrid w:val="0"/>
        <w:spacing w:line="360" w:lineRule="auto"/>
        <w:rPr>
          <w:rFonts w:cs="Arial"/>
          <w:color w:val="auto"/>
          <w:sz w:val="28"/>
          <w:szCs w:val="28"/>
          <w:highlight w:val="none"/>
        </w:rPr>
      </w:pPr>
    </w:p>
    <w:p>
      <w:pPr>
        <w:jc w:val="left"/>
        <w:rPr>
          <w:color w:val="auto"/>
          <w:szCs w:val="21"/>
          <w:highlight w:val="none"/>
        </w:rPr>
      </w:pPr>
    </w:p>
    <w:sectPr>
      <w:headerReference r:id="rId6" w:type="default"/>
      <w:footerReference r:id="rId7" w:type="default"/>
      <w:footerReference r:id="rId8" w:type="even"/>
      <w:pgSz w:w="11906" w:h="16838"/>
      <w:pgMar w:top="1440" w:right="1800" w:bottom="1440" w:left="1800"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隶书">
    <w:panose1 w:val="02010509060101010101"/>
    <w:charset w:val="86"/>
    <w:family w:val="modern"/>
    <w:pitch w:val="default"/>
    <w:sig w:usb0="00000001" w:usb1="080E0000" w:usb2="00000000" w:usb3="00000000" w:csb0="00040000" w:csb1="00000000"/>
  </w:font>
  <w:font w:name="Monospac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Lucida Sans">
    <w:panose1 w:val="020B0602030504020204"/>
    <w:charset w:val="00"/>
    <w:family w:val="swiss"/>
    <w:pitch w:val="default"/>
    <w:sig w:usb0="00000003" w:usb1="00000000" w:usb2="00000000" w:usb3="00000000" w:csb0="20000001" w:csb1="00000000"/>
  </w:font>
  <w:font w:name="Constantia">
    <w:panose1 w:val="02030602050306030303"/>
    <w:charset w:val="00"/>
    <w:family w:val="roman"/>
    <w:pitch w:val="default"/>
    <w:sig w:usb0="A00002EF" w:usb1="4000204B" w:usb2="00000000" w:usb3="00000000" w:csb0="2000019F"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Helvetica Neue">
    <w:altName w:val="Corbel"/>
    <w:panose1 w:val="00000000000000000000"/>
    <w:charset w:val="00"/>
    <w:family w:val="auto"/>
    <w:pitch w:val="default"/>
    <w:sig w:usb0="00000000" w:usb1="00000000" w:usb2="00000010" w:usb3="00000000" w:csb0="00000001" w:csb1="00000000"/>
  </w:font>
  <w:font w:name="Corbel">
    <w:panose1 w:val="020B0503020204020204"/>
    <w:charset w:val="00"/>
    <w:family w:val="auto"/>
    <w:pitch w:val="default"/>
    <w:sig w:usb0="A00002EF" w:usb1="4000A44B" w:usb2="00000000" w:usb3="00000000" w:csb0="2000019F"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 w:name="ModIcon">
    <w:altName w:val="Segoe Print"/>
    <w:panose1 w:val="00000000000000000000"/>
    <w:charset w:val="00"/>
    <w:family w:val="auto"/>
    <w:pitch w:val="default"/>
    <w:sig w:usb0="00000000" w:usb1="00000000" w:usb2="00000000" w:usb3="00000000" w:csb0="00000000" w:csb1="00000000"/>
  </w:font>
  <w:font w:name="ActionIcon">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r>
      <w:fldChar w:fldCharType="begin"/>
    </w:r>
    <w:r>
      <w:instrText xml:space="preserve"> PAGE   \* MERGEFORMAT </w:instrText>
    </w:r>
    <w:r>
      <w:fldChar w:fldCharType="separate"/>
    </w:r>
    <w:r>
      <w:rPr>
        <w:lang w:val="zh-CN"/>
      </w:rPr>
      <w:t>5</w:t>
    </w:r>
    <w:r>
      <w:rPr>
        <w:lang w:val="zh-CN"/>
      </w:rPr>
      <w:fldChar w:fldCharType="end"/>
    </w:r>
  </w:p>
  <w:p>
    <w:pPr>
      <w:pStyle w:val="3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rPr>
        <w:rStyle w:val="55"/>
      </w:rPr>
    </w:pPr>
    <w:r>
      <w:fldChar w:fldCharType="begin"/>
    </w:r>
    <w:r>
      <w:rPr>
        <w:rStyle w:val="55"/>
      </w:rPr>
      <w:instrText xml:space="preserve">PAGE  </w:instrText>
    </w:r>
    <w:r>
      <w:fldChar w:fldCharType="separate"/>
    </w:r>
    <w:r>
      <w:rPr>
        <w:rStyle w:val="55"/>
      </w:rPr>
      <w:t>1</w:t>
    </w:r>
    <w:r>
      <w:fldChar w:fldCharType="end"/>
    </w:r>
  </w:p>
  <w:p>
    <w:pPr>
      <w:pStyle w:val="3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r>
      <w:fldChar w:fldCharType="begin"/>
    </w:r>
    <w:r>
      <w:instrText xml:space="preserve"> PAGE   \* MERGEFORMAT </w:instrText>
    </w:r>
    <w:r>
      <w:fldChar w:fldCharType="separate"/>
    </w:r>
    <w:r>
      <w:rPr>
        <w:lang w:val="zh-CN"/>
      </w:rPr>
      <w:t>490</w:t>
    </w:r>
    <w:r>
      <w:rPr>
        <w:lang w:val="zh-CN"/>
      </w:rPr>
      <w:fldChar w:fldCharType="end"/>
    </w:r>
  </w:p>
  <w:p>
    <w:pPr>
      <w:pStyle w:val="3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rPr>
        <w:rStyle w:val="55"/>
      </w:rPr>
    </w:pPr>
    <w:r>
      <w:rPr>
        <w:rStyle w:val="55"/>
        <w:rFonts w:hint="eastAsia"/>
      </w:rPr>
      <w:t>-</w:t>
    </w:r>
    <w:r>
      <w:fldChar w:fldCharType="begin"/>
    </w:r>
    <w:r>
      <w:rPr>
        <w:rStyle w:val="55"/>
      </w:rPr>
      <w:instrText xml:space="preserve">PAGE  </w:instrText>
    </w:r>
    <w:r>
      <w:fldChar w:fldCharType="separate"/>
    </w:r>
    <w:r>
      <w:rPr>
        <w:rStyle w:val="55"/>
      </w:rPr>
      <w:t>496</w:t>
    </w:r>
    <w:r>
      <w:fldChar w:fldCharType="end"/>
    </w:r>
    <w:r>
      <w:rPr>
        <w:rStyle w:val="55"/>
        <w:rFonts w:hint="eastAsia"/>
      </w:rPr>
      <w:t>-</w:t>
    </w:r>
  </w:p>
  <w:p>
    <w:pPr>
      <w:pStyle w:val="3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rPr>
        <w:rStyle w:val="55"/>
      </w:rPr>
    </w:pPr>
    <w:r>
      <w:fldChar w:fldCharType="begin"/>
    </w:r>
    <w:r>
      <w:rPr>
        <w:rStyle w:val="55"/>
      </w:rPr>
      <w:instrText xml:space="preserve">PAGE  </w:instrText>
    </w:r>
    <w:r>
      <w:fldChar w:fldCharType="end"/>
    </w:r>
  </w:p>
  <w:p>
    <w:pPr>
      <w:pStyle w:val="3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99AB5A"/>
    <w:multiLevelType w:val="singleLevel"/>
    <w:tmpl w:val="8699AB5A"/>
    <w:lvl w:ilvl="0" w:tentative="0">
      <w:start w:val="6"/>
      <w:numFmt w:val="chineseCounting"/>
      <w:suff w:val="nothing"/>
      <w:lvlText w:val="%1、"/>
      <w:lvlJc w:val="left"/>
      <w:rPr>
        <w:rFonts w:hint="eastAsia"/>
      </w:rPr>
    </w:lvl>
  </w:abstractNum>
  <w:abstractNum w:abstractNumId="1">
    <w:nsid w:val="9715B896"/>
    <w:multiLevelType w:val="singleLevel"/>
    <w:tmpl w:val="9715B896"/>
    <w:lvl w:ilvl="0" w:tentative="0">
      <w:start w:val="1"/>
      <w:numFmt w:val="decimal"/>
      <w:suff w:val="nothing"/>
      <w:lvlText w:val="%1、"/>
      <w:lvlJc w:val="left"/>
    </w:lvl>
  </w:abstractNum>
  <w:abstractNum w:abstractNumId="2">
    <w:nsid w:val="EE0C4E02"/>
    <w:multiLevelType w:val="singleLevel"/>
    <w:tmpl w:val="EE0C4E02"/>
    <w:lvl w:ilvl="0" w:tentative="0">
      <w:start w:val="1"/>
      <w:numFmt w:val="decimal"/>
      <w:lvlText w:val="%1."/>
      <w:lvlJc w:val="left"/>
      <w:pPr>
        <w:tabs>
          <w:tab w:val="left" w:pos="312"/>
        </w:tabs>
        <w:ind w:left="481" w:firstLine="0"/>
      </w:pPr>
    </w:lvl>
  </w:abstractNum>
  <w:abstractNum w:abstractNumId="3">
    <w:nsid w:val="00000002"/>
    <w:multiLevelType w:val="multilevel"/>
    <w:tmpl w:val="00000002"/>
    <w:lvl w:ilvl="0" w:tentative="0">
      <w:start w:val="1"/>
      <w:numFmt w:val="decimal"/>
      <w:lvlText w:val="%1、"/>
      <w:lvlJc w:val="left"/>
      <w:pPr>
        <w:tabs>
          <w:tab w:val="left" w:pos="0"/>
        </w:tabs>
        <w:ind w:left="840" w:hanging="420"/>
      </w:pPr>
      <w:rPr>
        <w:rFonts w:hint="default" w:ascii="Cambria" w:hAnsi="Cambria" w:eastAsia="微软雅黑" w:cs="Times New Roman"/>
      </w:rPr>
    </w:lvl>
    <w:lvl w:ilvl="1" w:tentative="0">
      <w:start w:val="1"/>
      <w:numFmt w:val="lowerLetter"/>
      <w:lvlText w:val="%2)"/>
      <w:lvlJc w:val="left"/>
      <w:pPr>
        <w:tabs>
          <w:tab w:val="left" w:pos="0"/>
        </w:tabs>
        <w:ind w:left="1260" w:hanging="420"/>
      </w:pPr>
    </w:lvl>
    <w:lvl w:ilvl="2" w:tentative="0">
      <w:start w:val="1"/>
      <w:numFmt w:val="lowerRoman"/>
      <w:lvlText w:val="%3."/>
      <w:lvlJc w:val="right"/>
      <w:pPr>
        <w:tabs>
          <w:tab w:val="left" w:pos="0"/>
        </w:tabs>
        <w:ind w:left="1680" w:hanging="420"/>
      </w:pPr>
    </w:lvl>
    <w:lvl w:ilvl="3" w:tentative="0">
      <w:start w:val="1"/>
      <w:numFmt w:val="decimal"/>
      <w:lvlText w:val="%4."/>
      <w:lvlJc w:val="left"/>
      <w:pPr>
        <w:tabs>
          <w:tab w:val="left" w:pos="0"/>
        </w:tabs>
        <w:ind w:left="2100" w:hanging="420"/>
      </w:pPr>
    </w:lvl>
    <w:lvl w:ilvl="4" w:tentative="0">
      <w:start w:val="1"/>
      <w:numFmt w:val="lowerLetter"/>
      <w:lvlText w:val="%5)"/>
      <w:lvlJc w:val="left"/>
      <w:pPr>
        <w:tabs>
          <w:tab w:val="left" w:pos="0"/>
        </w:tabs>
        <w:ind w:left="2520" w:hanging="420"/>
      </w:pPr>
    </w:lvl>
    <w:lvl w:ilvl="5" w:tentative="0">
      <w:start w:val="1"/>
      <w:numFmt w:val="lowerRoman"/>
      <w:lvlText w:val="%6."/>
      <w:lvlJc w:val="right"/>
      <w:pPr>
        <w:tabs>
          <w:tab w:val="left" w:pos="0"/>
        </w:tabs>
        <w:ind w:left="2940" w:hanging="420"/>
      </w:pPr>
    </w:lvl>
    <w:lvl w:ilvl="6" w:tentative="0">
      <w:start w:val="1"/>
      <w:numFmt w:val="decimal"/>
      <w:pStyle w:val="240"/>
      <w:lvlText w:val="%7."/>
      <w:lvlJc w:val="left"/>
      <w:pPr>
        <w:tabs>
          <w:tab w:val="left" w:pos="0"/>
        </w:tabs>
        <w:ind w:left="3360" w:hanging="420"/>
      </w:pPr>
    </w:lvl>
    <w:lvl w:ilvl="7" w:tentative="0">
      <w:start w:val="1"/>
      <w:numFmt w:val="lowerLetter"/>
      <w:lvlText w:val="%8)"/>
      <w:lvlJc w:val="left"/>
      <w:pPr>
        <w:tabs>
          <w:tab w:val="left" w:pos="0"/>
        </w:tabs>
        <w:ind w:left="3780" w:hanging="420"/>
      </w:pPr>
    </w:lvl>
    <w:lvl w:ilvl="8" w:tentative="0">
      <w:start w:val="1"/>
      <w:numFmt w:val="lowerRoman"/>
      <w:lvlText w:val="%9."/>
      <w:lvlJc w:val="right"/>
      <w:pPr>
        <w:tabs>
          <w:tab w:val="left" w:pos="0"/>
        </w:tabs>
        <w:ind w:left="4200" w:hanging="420"/>
      </w:pPr>
    </w:lvl>
  </w:abstractNum>
  <w:abstractNum w:abstractNumId="4">
    <w:nsid w:val="06854E62"/>
    <w:multiLevelType w:val="multilevel"/>
    <w:tmpl w:val="06854E62"/>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5">
    <w:nsid w:val="0CFE12CA"/>
    <w:multiLevelType w:val="multilevel"/>
    <w:tmpl w:val="0CFE12CA"/>
    <w:lvl w:ilvl="0" w:tentative="0">
      <w:start w:val="1"/>
      <w:numFmt w:val="decimal"/>
      <w:pStyle w:val="256"/>
      <w:lvlText w:val="%1."/>
      <w:lvlJc w:val="left"/>
      <w:pPr>
        <w:tabs>
          <w:tab w:val="left" w:pos="420"/>
        </w:tabs>
        <w:ind w:left="420" w:hanging="420"/>
      </w:pPr>
      <w:rPr>
        <w:rFonts w:cs="Times New Roman"/>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upperLetter"/>
      <w:lvlText w:val="%3、"/>
      <w:lvlJc w:val="left"/>
      <w:pPr>
        <w:tabs>
          <w:tab w:val="left" w:pos="1260"/>
        </w:tabs>
        <w:ind w:left="1260" w:hanging="360"/>
      </w:pPr>
      <w:rPr>
        <w:rFonts w:hint="default" w:cs="Times New Roman"/>
      </w:rPr>
    </w:lvl>
    <w:lvl w:ilvl="3" w:tentative="0">
      <w:start w:val="1"/>
      <w:numFmt w:val="decimal"/>
      <w:lvlText w:val="%4．"/>
      <w:lvlJc w:val="left"/>
      <w:pPr>
        <w:tabs>
          <w:tab w:val="left" w:pos="1620"/>
        </w:tabs>
        <w:ind w:left="1620" w:hanging="360"/>
      </w:pPr>
      <w:rPr>
        <w:rFonts w:hint="default" w:cs="Times New Roman"/>
      </w:rPr>
    </w:lvl>
    <w:lvl w:ilvl="4" w:tentative="0">
      <w:start w:val="1"/>
      <w:numFmt w:val="decimal"/>
      <w:lvlText w:val="%5）"/>
      <w:lvlJc w:val="left"/>
      <w:pPr>
        <w:tabs>
          <w:tab w:val="left" w:pos="2040"/>
        </w:tabs>
        <w:ind w:left="2040" w:hanging="360"/>
      </w:pPr>
      <w:rPr>
        <w:rFonts w:hint="default"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1CBC7C3D"/>
    <w:multiLevelType w:val="multilevel"/>
    <w:tmpl w:val="1CBC7C3D"/>
    <w:lvl w:ilvl="0" w:tentative="0">
      <w:start w:val="1"/>
      <w:numFmt w:val="bullet"/>
      <w:lvlText w:val=""/>
      <w:lvlJc w:val="left"/>
      <w:pPr>
        <w:ind w:left="980" w:hanging="420"/>
      </w:pPr>
      <w:rPr>
        <w:rFonts w:hint="default" w:ascii="Wingdings" w:hAnsi="Wingdings"/>
      </w:rPr>
    </w:lvl>
    <w:lvl w:ilvl="1" w:tentative="0">
      <w:start w:val="1"/>
      <w:numFmt w:val="bullet"/>
      <w:lvlText w:val=""/>
      <w:lvlJc w:val="left"/>
      <w:pPr>
        <w:ind w:left="1400" w:hanging="420"/>
      </w:pPr>
      <w:rPr>
        <w:rFonts w:hint="default" w:ascii="Wingdings" w:hAnsi="Wingdings"/>
      </w:rPr>
    </w:lvl>
    <w:lvl w:ilvl="2" w:tentative="0">
      <w:start w:val="1"/>
      <w:numFmt w:val="bullet"/>
      <w:lvlText w:val=""/>
      <w:lvlJc w:val="left"/>
      <w:pPr>
        <w:ind w:left="1820" w:hanging="420"/>
      </w:pPr>
      <w:rPr>
        <w:rFonts w:hint="default" w:ascii="Wingdings" w:hAnsi="Wingdings"/>
      </w:rPr>
    </w:lvl>
    <w:lvl w:ilvl="3" w:tentative="0">
      <w:start w:val="1"/>
      <w:numFmt w:val="bullet"/>
      <w:lvlText w:val=""/>
      <w:lvlJc w:val="left"/>
      <w:pPr>
        <w:ind w:left="2240" w:hanging="420"/>
      </w:pPr>
      <w:rPr>
        <w:rFonts w:hint="default" w:ascii="Wingdings" w:hAnsi="Wingdings"/>
      </w:rPr>
    </w:lvl>
    <w:lvl w:ilvl="4" w:tentative="0">
      <w:start w:val="1"/>
      <w:numFmt w:val="bullet"/>
      <w:lvlText w:val=""/>
      <w:lvlJc w:val="left"/>
      <w:pPr>
        <w:ind w:left="2660" w:hanging="420"/>
      </w:pPr>
      <w:rPr>
        <w:rFonts w:hint="default" w:ascii="Wingdings" w:hAnsi="Wingdings"/>
      </w:rPr>
    </w:lvl>
    <w:lvl w:ilvl="5" w:tentative="0">
      <w:start w:val="1"/>
      <w:numFmt w:val="bullet"/>
      <w:lvlText w:val=""/>
      <w:lvlJc w:val="left"/>
      <w:pPr>
        <w:ind w:left="3080" w:hanging="420"/>
      </w:pPr>
      <w:rPr>
        <w:rFonts w:hint="default" w:ascii="Wingdings" w:hAnsi="Wingdings"/>
      </w:rPr>
    </w:lvl>
    <w:lvl w:ilvl="6" w:tentative="0">
      <w:start w:val="1"/>
      <w:numFmt w:val="bullet"/>
      <w:lvlText w:val=""/>
      <w:lvlJc w:val="left"/>
      <w:pPr>
        <w:ind w:left="3500" w:hanging="420"/>
      </w:pPr>
      <w:rPr>
        <w:rFonts w:hint="default" w:ascii="Wingdings" w:hAnsi="Wingdings"/>
      </w:rPr>
    </w:lvl>
    <w:lvl w:ilvl="7" w:tentative="0">
      <w:start w:val="1"/>
      <w:numFmt w:val="bullet"/>
      <w:lvlText w:val=""/>
      <w:lvlJc w:val="left"/>
      <w:pPr>
        <w:ind w:left="3920" w:hanging="420"/>
      </w:pPr>
      <w:rPr>
        <w:rFonts w:hint="default" w:ascii="Wingdings" w:hAnsi="Wingdings"/>
      </w:rPr>
    </w:lvl>
    <w:lvl w:ilvl="8" w:tentative="0">
      <w:start w:val="1"/>
      <w:numFmt w:val="bullet"/>
      <w:lvlText w:val=""/>
      <w:lvlJc w:val="left"/>
      <w:pPr>
        <w:ind w:left="4340" w:hanging="420"/>
      </w:pPr>
      <w:rPr>
        <w:rFonts w:hint="default" w:ascii="Wingdings" w:hAnsi="Wingdings"/>
      </w:rPr>
    </w:lvl>
  </w:abstractNum>
  <w:abstractNum w:abstractNumId="7">
    <w:nsid w:val="24880409"/>
    <w:multiLevelType w:val="singleLevel"/>
    <w:tmpl w:val="24880409"/>
    <w:lvl w:ilvl="0" w:tentative="0">
      <w:start w:val="1"/>
      <w:numFmt w:val="decimal"/>
      <w:suff w:val="nothing"/>
      <w:lvlText w:val="%1、"/>
      <w:lvlJc w:val="left"/>
    </w:lvl>
  </w:abstractNum>
  <w:abstractNum w:abstractNumId="8">
    <w:nsid w:val="40F25418"/>
    <w:multiLevelType w:val="multilevel"/>
    <w:tmpl w:val="40F25418"/>
    <w:lvl w:ilvl="0" w:tentative="0">
      <w:start w:val="1"/>
      <w:numFmt w:val="decimal"/>
      <w:pStyle w:val="409"/>
      <w:lvlText w:val="%1、"/>
      <w:lvlJc w:val="left"/>
      <w:pPr>
        <w:ind w:left="360" w:hanging="360"/>
      </w:pPr>
      <w:rPr>
        <w:rFonts w:hint="default"/>
      </w:rPr>
    </w:lvl>
    <w:lvl w:ilvl="1" w:tentative="0">
      <w:start w:val="1"/>
      <w:numFmt w:val="lowerLetter"/>
      <w:pStyle w:val="340"/>
      <w:lvlText w:val="%2)"/>
      <w:lvlJc w:val="left"/>
      <w:pPr>
        <w:ind w:left="840" w:hanging="420"/>
      </w:pPr>
    </w:lvl>
    <w:lvl w:ilvl="2" w:tentative="0">
      <w:start w:val="1"/>
      <w:numFmt w:val="lowerRoman"/>
      <w:pStyle w:val="331"/>
      <w:lvlText w:val="%3."/>
      <w:lvlJc w:val="right"/>
      <w:pPr>
        <w:ind w:left="1260" w:hanging="420"/>
      </w:pPr>
    </w:lvl>
    <w:lvl w:ilvl="3" w:tentative="0">
      <w:start w:val="1"/>
      <w:numFmt w:val="decimal"/>
      <w:pStyle w:val="347"/>
      <w:lvlText w:val="%4."/>
      <w:lvlJc w:val="left"/>
      <w:pPr>
        <w:ind w:left="1680" w:hanging="420"/>
      </w:pPr>
    </w:lvl>
    <w:lvl w:ilvl="4" w:tentative="0">
      <w:start w:val="1"/>
      <w:numFmt w:val="lowerLetter"/>
      <w:lvlText w:val="%5)"/>
      <w:lvlJc w:val="left"/>
      <w:pPr>
        <w:ind w:left="2100" w:hanging="420"/>
      </w:pPr>
    </w:lvl>
    <w:lvl w:ilvl="5" w:tentative="0">
      <w:start w:val="1"/>
      <w:numFmt w:val="lowerRoman"/>
      <w:pStyle w:val="315"/>
      <w:lvlText w:val="%6."/>
      <w:lvlJc w:val="right"/>
      <w:pPr>
        <w:ind w:left="2520" w:hanging="420"/>
      </w:pPr>
    </w:lvl>
    <w:lvl w:ilvl="6" w:tentative="0">
      <w:start w:val="1"/>
      <w:numFmt w:val="decimal"/>
      <w:pStyle w:val="456"/>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4844160D"/>
    <w:multiLevelType w:val="multilevel"/>
    <w:tmpl w:val="4844160D"/>
    <w:lvl w:ilvl="0" w:tentative="0">
      <w:start w:val="1"/>
      <w:numFmt w:val="decimal"/>
      <w:pStyle w:val="402"/>
      <w:lvlText w:val="（%1）"/>
      <w:lvlJc w:val="left"/>
      <w:pPr>
        <w:ind w:left="1503" w:hanging="720"/>
      </w:pPr>
      <w:rPr>
        <w:rFonts w:hint="default"/>
      </w:rPr>
    </w:lvl>
    <w:lvl w:ilvl="1" w:tentative="0">
      <w:start w:val="1"/>
      <w:numFmt w:val="lowerLetter"/>
      <w:lvlText w:val="%2)"/>
      <w:lvlJc w:val="left"/>
      <w:pPr>
        <w:ind w:left="1617" w:hanging="420"/>
      </w:pPr>
    </w:lvl>
    <w:lvl w:ilvl="2" w:tentative="0">
      <w:start w:val="1"/>
      <w:numFmt w:val="lowerRoman"/>
      <w:lvlText w:val="%3."/>
      <w:lvlJc w:val="right"/>
      <w:pPr>
        <w:ind w:left="2037" w:hanging="420"/>
      </w:pPr>
    </w:lvl>
    <w:lvl w:ilvl="3" w:tentative="0">
      <w:start w:val="1"/>
      <w:numFmt w:val="decimal"/>
      <w:lvlText w:val="%4."/>
      <w:lvlJc w:val="left"/>
      <w:pPr>
        <w:ind w:left="2457" w:hanging="420"/>
      </w:pPr>
    </w:lvl>
    <w:lvl w:ilvl="4" w:tentative="0">
      <w:start w:val="1"/>
      <w:numFmt w:val="lowerLetter"/>
      <w:lvlText w:val="%5)"/>
      <w:lvlJc w:val="left"/>
      <w:pPr>
        <w:ind w:left="2877" w:hanging="420"/>
      </w:pPr>
    </w:lvl>
    <w:lvl w:ilvl="5" w:tentative="0">
      <w:start w:val="1"/>
      <w:numFmt w:val="lowerRoman"/>
      <w:lvlText w:val="%6."/>
      <w:lvlJc w:val="right"/>
      <w:pPr>
        <w:ind w:left="3297" w:hanging="420"/>
      </w:pPr>
    </w:lvl>
    <w:lvl w:ilvl="6" w:tentative="0">
      <w:start w:val="1"/>
      <w:numFmt w:val="decimal"/>
      <w:lvlText w:val="%7."/>
      <w:lvlJc w:val="left"/>
      <w:pPr>
        <w:ind w:left="3717" w:hanging="420"/>
      </w:pPr>
    </w:lvl>
    <w:lvl w:ilvl="7" w:tentative="0">
      <w:start w:val="1"/>
      <w:numFmt w:val="lowerLetter"/>
      <w:lvlText w:val="%8)"/>
      <w:lvlJc w:val="left"/>
      <w:pPr>
        <w:ind w:left="4137" w:hanging="420"/>
      </w:pPr>
    </w:lvl>
    <w:lvl w:ilvl="8" w:tentative="0">
      <w:start w:val="1"/>
      <w:numFmt w:val="lowerRoman"/>
      <w:lvlText w:val="%9."/>
      <w:lvlJc w:val="right"/>
      <w:pPr>
        <w:ind w:left="4557" w:hanging="420"/>
      </w:pPr>
    </w:lvl>
  </w:abstractNum>
  <w:abstractNum w:abstractNumId="10">
    <w:nsid w:val="49FF6E60"/>
    <w:multiLevelType w:val="multilevel"/>
    <w:tmpl w:val="49FF6E60"/>
    <w:lvl w:ilvl="0" w:tentative="0">
      <w:start w:val="1"/>
      <w:numFmt w:val="bullet"/>
      <w:lvlText w:val=""/>
      <w:lvlJc w:val="left"/>
      <w:pPr>
        <w:tabs>
          <w:tab w:val="left" w:pos="945"/>
        </w:tabs>
        <w:ind w:left="945" w:hanging="420"/>
      </w:pPr>
      <w:rPr>
        <w:rFonts w:hint="default" w:ascii="Wingdings" w:hAnsi="Wingdings"/>
      </w:rPr>
    </w:lvl>
    <w:lvl w:ilvl="1" w:tentative="0">
      <w:start w:val="1"/>
      <w:numFmt w:val="bullet"/>
      <w:lvlText w:val=""/>
      <w:lvlJc w:val="left"/>
      <w:pPr>
        <w:tabs>
          <w:tab w:val="left" w:pos="1365"/>
        </w:tabs>
        <w:ind w:left="1365" w:hanging="420"/>
      </w:pPr>
      <w:rPr>
        <w:rFonts w:hint="default" w:ascii="Wingdings" w:hAnsi="Wingdings"/>
      </w:rPr>
    </w:lvl>
    <w:lvl w:ilvl="2" w:tentative="0">
      <w:start w:val="1"/>
      <w:numFmt w:val="bullet"/>
      <w:lvlText w:val=""/>
      <w:lvlJc w:val="left"/>
      <w:pPr>
        <w:tabs>
          <w:tab w:val="left" w:pos="1785"/>
        </w:tabs>
        <w:ind w:left="1785" w:hanging="420"/>
      </w:pPr>
      <w:rPr>
        <w:rFonts w:hint="default" w:ascii="Wingdings" w:hAnsi="Wingdings"/>
      </w:rPr>
    </w:lvl>
    <w:lvl w:ilvl="3" w:tentative="0">
      <w:start w:val="1"/>
      <w:numFmt w:val="bullet"/>
      <w:lvlText w:val=""/>
      <w:lvlJc w:val="left"/>
      <w:pPr>
        <w:tabs>
          <w:tab w:val="left" w:pos="2205"/>
        </w:tabs>
        <w:ind w:left="2205" w:hanging="420"/>
      </w:pPr>
      <w:rPr>
        <w:rFonts w:hint="default" w:ascii="Wingdings" w:hAnsi="Wingdings"/>
      </w:rPr>
    </w:lvl>
    <w:lvl w:ilvl="4" w:tentative="0">
      <w:start w:val="1"/>
      <w:numFmt w:val="bullet"/>
      <w:lvlText w:val=""/>
      <w:lvlJc w:val="left"/>
      <w:pPr>
        <w:tabs>
          <w:tab w:val="left" w:pos="2625"/>
        </w:tabs>
        <w:ind w:left="2625" w:hanging="420"/>
      </w:pPr>
      <w:rPr>
        <w:rFonts w:hint="default" w:ascii="Wingdings" w:hAnsi="Wingdings"/>
      </w:rPr>
    </w:lvl>
    <w:lvl w:ilvl="5" w:tentative="0">
      <w:start w:val="1"/>
      <w:numFmt w:val="bullet"/>
      <w:lvlText w:val=""/>
      <w:lvlJc w:val="left"/>
      <w:pPr>
        <w:tabs>
          <w:tab w:val="left" w:pos="3045"/>
        </w:tabs>
        <w:ind w:left="3045" w:hanging="420"/>
      </w:pPr>
      <w:rPr>
        <w:rFonts w:hint="default" w:ascii="Wingdings" w:hAnsi="Wingdings"/>
      </w:rPr>
    </w:lvl>
    <w:lvl w:ilvl="6" w:tentative="0">
      <w:start w:val="1"/>
      <w:numFmt w:val="bullet"/>
      <w:lvlText w:val=""/>
      <w:lvlJc w:val="left"/>
      <w:pPr>
        <w:tabs>
          <w:tab w:val="left" w:pos="3465"/>
        </w:tabs>
        <w:ind w:left="3465" w:hanging="420"/>
      </w:pPr>
      <w:rPr>
        <w:rFonts w:hint="default" w:ascii="Wingdings" w:hAnsi="Wingdings"/>
      </w:rPr>
    </w:lvl>
    <w:lvl w:ilvl="7" w:tentative="0">
      <w:start w:val="1"/>
      <w:numFmt w:val="bullet"/>
      <w:lvlText w:val=""/>
      <w:lvlJc w:val="left"/>
      <w:pPr>
        <w:tabs>
          <w:tab w:val="left" w:pos="3885"/>
        </w:tabs>
        <w:ind w:left="3885" w:hanging="420"/>
      </w:pPr>
      <w:rPr>
        <w:rFonts w:hint="default" w:ascii="Wingdings" w:hAnsi="Wingdings"/>
      </w:rPr>
    </w:lvl>
    <w:lvl w:ilvl="8" w:tentative="0">
      <w:start w:val="1"/>
      <w:numFmt w:val="bullet"/>
      <w:lvlText w:val=""/>
      <w:lvlJc w:val="left"/>
      <w:pPr>
        <w:tabs>
          <w:tab w:val="left" w:pos="4305"/>
        </w:tabs>
        <w:ind w:left="4305" w:hanging="420"/>
      </w:pPr>
      <w:rPr>
        <w:rFonts w:hint="default" w:ascii="Wingdings" w:hAnsi="Wingdings"/>
      </w:rPr>
    </w:lvl>
  </w:abstractNum>
  <w:abstractNum w:abstractNumId="11">
    <w:nsid w:val="4DB96C00"/>
    <w:multiLevelType w:val="multilevel"/>
    <w:tmpl w:val="4DB96C00"/>
    <w:lvl w:ilvl="0" w:tentative="0">
      <w:start w:val="1"/>
      <w:numFmt w:val="decimal"/>
      <w:lvlText w:val="%1)"/>
      <w:lvlJc w:val="left"/>
      <w:pPr>
        <w:tabs>
          <w:tab w:val="left" w:pos="840"/>
        </w:tabs>
        <w:ind w:left="840" w:hanging="420"/>
      </w:p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2">
    <w:nsid w:val="5A9E1A7D"/>
    <w:multiLevelType w:val="multilevel"/>
    <w:tmpl w:val="5A9E1A7D"/>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3">
    <w:nsid w:val="5DD45D5D"/>
    <w:multiLevelType w:val="multilevel"/>
    <w:tmpl w:val="5DD45D5D"/>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4">
    <w:nsid w:val="633409C8"/>
    <w:multiLevelType w:val="multilevel"/>
    <w:tmpl w:val="633409C8"/>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68833F5E"/>
    <w:multiLevelType w:val="singleLevel"/>
    <w:tmpl w:val="68833F5E"/>
    <w:lvl w:ilvl="0" w:tentative="0">
      <w:start w:val="1"/>
      <w:numFmt w:val="decimal"/>
      <w:lvlText w:val="%1."/>
      <w:lvlJc w:val="left"/>
      <w:pPr>
        <w:tabs>
          <w:tab w:val="left" w:pos="312"/>
        </w:tabs>
        <w:ind w:left="481" w:firstLine="0"/>
      </w:pPr>
    </w:lvl>
  </w:abstractNum>
  <w:abstractNum w:abstractNumId="16">
    <w:nsid w:val="79E06325"/>
    <w:multiLevelType w:val="multilevel"/>
    <w:tmpl w:val="79E06325"/>
    <w:lvl w:ilvl="0" w:tentative="0">
      <w:start w:val="1"/>
      <w:numFmt w:val="japaneseCounting"/>
      <w:lvlText w:val="%1、"/>
      <w:lvlJc w:val="left"/>
      <w:pPr>
        <w:ind w:left="420" w:hanging="420"/>
      </w:pPr>
      <w:rPr>
        <w:rFonts w:hint="default"/>
      </w:rPr>
    </w:lvl>
    <w:lvl w:ilvl="1" w:tentative="0">
      <w:start w:val="1"/>
      <w:numFmt w:val="lowerLetter"/>
      <w:pStyle w:val="413"/>
      <w:lvlText w:val="%2)"/>
      <w:lvlJc w:val="left"/>
      <w:pPr>
        <w:ind w:left="840" w:hanging="420"/>
      </w:pPr>
    </w:lvl>
    <w:lvl w:ilvl="2" w:tentative="0">
      <w:start w:val="1"/>
      <w:numFmt w:val="lowerRoman"/>
      <w:pStyle w:val="365"/>
      <w:lvlText w:val="%3."/>
      <w:lvlJc w:val="right"/>
      <w:pPr>
        <w:ind w:left="1260" w:hanging="420"/>
      </w:pPr>
    </w:lvl>
    <w:lvl w:ilvl="3" w:tentative="0">
      <w:start w:val="1"/>
      <w:numFmt w:val="decimal"/>
      <w:pStyle w:val="337"/>
      <w:lvlText w:val="%4."/>
      <w:lvlJc w:val="left"/>
      <w:pPr>
        <w:ind w:left="1680" w:hanging="420"/>
      </w:pPr>
    </w:lvl>
    <w:lvl w:ilvl="4" w:tentative="0">
      <w:start w:val="1"/>
      <w:numFmt w:val="lowerLetter"/>
      <w:pStyle w:val="304"/>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5"/>
  </w:num>
  <w:num w:numId="3">
    <w:abstractNumId w:val="16"/>
  </w:num>
  <w:num w:numId="4">
    <w:abstractNumId w:val="8"/>
  </w:num>
  <w:num w:numId="5">
    <w:abstractNumId w:val="9"/>
  </w:num>
  <w:num w:numId="6">
    <w:abstractNumId w:val="1"/>
  </w:num>
  <w:num w:numId="7">
    <w:abstractNumId w:val="7"/>
  </w:num>
  <w:num w:numId="8">
    <w:abstractNumId w:val="6"/>
  </w:num>
  <w:num w:numId="9">
    <w:abstractNumId w:val="4"/>
  </w:num>
  <w:num w:numId="10">
    <w:abstractNumId w:val="12"/>
  </w:num>
  <w:num w:numId="11">
    <w:abstractNumId w:val="11"/>
  </w:num>
  <w:num w:numId="12">
    <w:abstractNumId w:val="10"/>
  </w:num>
  <w:num w:numId="13">
    <w:abstractNumId w:val="13"/>
  </w:num>
  <w:num w:numId="14">
    <w:abstractNumId w:val="0"/>
  </w:num>
  <w:num w:numId="15">
    <w:abstractNumId w:val="2"/>
  </w:num>
  <w:num w:numId="16">
    <w:abstractNumId w:val="15"/>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172A27"/>
    <w:rsid w:val="0000047E"/>
    <w:rsid w:val="000036BA"/>
    <w:rsid w:val="000048EB"/>
    <w:rsid w:val="00004BD5"/>
    <w:rsid w:val="00011517"/>
    <w:rsid w:val="000140ED"/>
    <w:rsid w:val="00015C6D"/>
    <w:rsid w:val="000170A5"/>
    <w:rsid w:val="00027DA2"/>
    <w:rsid w:val="0003365D"/>
    <w:rsid w:val="00034F8C"/>
    <w:rsid w:val="00035DD4"/>
    <w:rsid w:val="00041E1C"/>
    <w:rsid w:val="000432EF"/>
    <w:rsid w:val="000444E0"/>
    <w:rsid w:val="000470FD"/>
    <w:rsid w:val="0005008F"/>
    <w:rsid w:val="0005018C"/>
    <w:rsid w:val="00051C1B"/>
    <w:rsid w:val="00054384"/>
    <w:rsid w:val="00057CD2"/>
    <w:rsid w:val="0006572C"/>
    <w:rsid w:val="00066B72"/>
    <w:rsid w:val="000670F9"/>
    <w:rsid w:val="00071117"/>
    <w:rsid w:val="000712F9"/>
    <w:rsid w:val="00072952"/>
    <w:rsid w:val="00074709"/>
    <w:rsid w:val="00076ED4"/>
    <w:rsid w:val="0007799F"/>
    <w:rsid w:val="00084323"/>
    <w:rsid w:val="000948AA"/>
    <w:rsid w:val="00096244"/>
    <w:rsid w:val="00096945"/>
    <w:rsid w:val="000A03B0"/>
    <w:rsid w:val="000A10D8"/>
    <w:rsid w:val="000A3F3D"/>
    <w:rsid w:val="000A7A65"/>
    <w:rsid w:val="000B1C20"/>
    <w:rsid w:val="000B637D"/>
    <w:rsid w:val="000B6A74"/>
    <w:rsid w:val="000B7515"/>
    <w:rsid w:val="000C052E"/>
    <w:rsid w:val="000C0C3D"/>
    <w:rsid w:val="000C4BCD"/>
    <w:rsid w:val="000C7648"/>
    <w:rsid w:val="000D5539"/>
    <w:rsid w:val="000D5E62"/>
    <w:rsid w:val="000D6D0F"/>
    <w:rsid w:val="000D7570"/>
    <w:rsid w:val="000E0783"/>
    <w:rsid w:val="000E221E"/>
    <w:rsid w:val="000E26DA"/>
    <w:rsid w:val="000E3298"/>
    <w:rsid w:val="000E36A2"/>
    <w:rsid w:val="000E389B"/>
    <w:rsid w:val="000E3DFD"/>
    <w:rsid w:val="000E4F71"/>
    <w:rsid w:val="000E6F58"/>
    <w:rsid w:val="000F708A"/>
    <w:rsid w:val="001003A8"/>
    <w:rsid w:val="001004E3"/>
    <w:rsid w:val="00101954"/>
    <w:rsid w:val="00103FDC"/>
    <w:rsid w:val="0011106B"/>
    <w:rsid w:val="00111CFA"/>
    <w:rsid w:val="0011237D"/>
    <w:rsid w:val="00116229"/>
    <w:rsid w:val="0011772A"/>
    <w:rsid w:val="00120581"/>
    <w:rsid w:val="00123772"/>
    <w:rsid w:val="001240F0"/>
    <w:rsid w:val="00126ECD"/>
    <w:rsid w:val="00126FBE"/>
    <w:rsid w:val="00127364"/>
    <w:rsid w:val="00133611"/>
    <w:rsid w:val="001353EB"/>
    <w:rsid w:val="00142A47"/>
    <w:rsid w:val="00142F1C"/>
    <w:rsid w:val="00151A2E"/>
    <w:rsid w:val="0015238B"/>
    <w:rsid w:val="0015463F"/>
    <w:rsid w:val="00160D5D"/>
    <w:rsid w:val="0016211F"/>
    <w:rsid w:val="00163B1E"/>
    <w:rsid w:val="00171E65"/>
    <w:rsid w:val="00172A27"/>
    <w:rsid w:val="00172D19"/>
    <w:rsid w:val="00173EA1"/>
    <w:rsid w:val="00174A9C"/>
    <w:rsid w:val="00177F31"/>
    <w:rsid w:val="001811AF"/>
    <w:rsid w:val="00181DC8"/>
    <w:rsid w:val="001826A6"/>
    <w:rsid w:val="00182C3B"/>
    <w:rsid w:val="00183D3B"/>
    <w:rsid w:val="001944F5"/>
    <w:rsid w:val="00196D81"/>
    <w:rsid w:val="001A119A"/>
    <w:rsid w:val="001A1F8A"/>
    <w:rsid w:val="001A3FD1"/>
    <w:rsid w:val="001A56C8"/>
    <w:rsid w:val="001A7AB5"/>
    <w:rsid w:val="001B05CF"/>
    <w:rsid w:val="001C1337"/>
    <w:rsid w:val="001C30A3"/>
    <w:rsid w:val="001C3658"/>
    <w:rsid w:val="001C624D"/>
    <w:rsid w:val="001D0F17"/>
    <w:rsid w:val="001D2478"/>
    <w:rsid w:val="001D3B1A"/>
    <w:rsid w:val="001D675E"/>
    <w:rsid w:val="001E564B"/>
    <w:rsid w:val="001E6D4A"/>
    <w:rsid w:val="001F014E"/>
    <w:rsid w:val="001F078C"/>
    <w:rsid w:val="001F0F9C"/>
    <w:rsid w:val="001F2540"/>
    <w:rsid w:val="001F2589"/>
    <w:rsid w:val="001F72DA"/>
    <w:rsid w:val="00200CD3"/>
    <w:rsid w:val="00200DC1"/>
    <w:rsid w:val="00205687"/>
    <w:rsid w:val="00211962"/>
    <w:rsid w:val="002130DD"/>
    <w:rsid w:val="00213123"/>
    <w:rsid w:val="002154D3"/>
    <w:rsid w:val="00215AB2"/>
    <w:rsid w:val="002200D6"/>
    <w:rsid w:val="00220411"/>
    <w:rsid w:val="00223BFC"/>
    <w:rsid w:val="002245A0"/>
    <w:rsid w:val="00224E1B"/>
    <w:rsid w:val="0022641F"/>
    <w:rsid w:val="00231722"/>
    <w:rsid w:val="0023247F"/>
    <w:rsid w:val="0023638C"/>
    <w:rsid w:val="002373E5"/>
    <w:rsid w:val="00240683"/>
    <w:rsid w:val="00241989"/>
    <w:rsid w:val="00243422"/>
    <w:rsid w:val="00246615"/>
    <w:rsid w:val="0025046E"/>
    <w:rsid w:val="00252075"/>
    <w:rsid w:val="002551DD"/>
    <w:rsid w:val="002552DF"/>
    <w:rsid w:val="00257F9D"/>
    <w:rsid w:val="00263AB4"/>
    <w:rsid w:val="002658FD"/>
    <w:rsid w:val="00272984"/>
    <w:rsid w:val="00272DF0"/>
    <w:rsid w:val="0027464A"/>
    <w:rsid w:val="00275FEA"/>
    <w:rsid w:val="00276339"/>
    <w:rsid w:val="00282D8B"/>
    <w:rsid w:val="00283318"/>
    <w:rsid w:val="002907B0"/>
    <w:rsid w:val="00291AD0"/>
    <w:rsid w:val="00296AC8"/>
    <w:rsid w:val="00297A7C"/>
    <w:rsid w:val="002A16DE"/>
    <w:rsid w:val="002A1D1F"/>
    <w:rsid w:val="002A2AEE"/>
    <w:rsid w:val="002A3FDC"/>
    <w:rsid w:val="002A4882"/>
    <w:rsid w:val="002A6C5C"/>
    <w:rsid w:val="002A7134"/>
    <w:rsid w:val="002B271E"/>
    <w:rsid w:val="002B3854"/>
    <w:rsid w:val="002B6981"/>
    <w:rsid w:val="002B7842"/>
    <w:rsid w:val="002C1187"/>
    <w:rsid w:val="002C4B86"/>
    <w:rsid w:val="002C4EC3"/>
    <w:rsid w:val="002C4F68"/>
    <w:rsid w:val="002C673D"/>
    <w:rsid w:val="002D27FA"/>
    <w:rsid w:val="002D51A8"/>
    <w:rsid w:val="002D5D6D"/>
    <w:rsid w:val="002D6FBE"/>
    <w:rsid w:val="002E19BC"/>
    <w:rsid w:val="002E2DA3"/>
    <w:rsid w:val="002E393B"/>
    <w:rsid w:val="002E3BCB"/>
    <w:rsid w:val="002E3E2D"/>
    <w:rsid w:val="002E5142"/>
    <w:rsid w:val="002E6577"/>
    <w:rsid w:val="002F1709"/>
    <w:rsid w:val="00302543"/>
    <w:rsid w:val="003066CB"/>
    <w:rsid w:val="00306A4B"/>
    <w:rsid w:val="0031275F"/>
    <w:rsid w:val="003133CE"/>
    <w:rsid w:val="003152FE"/>
    <w:rsid w:val="003173A0"/>
    <w:rsid w:val="00320FF8"/>
    <w:rsid w:val="00321A57"/>
    <w:rsid w:val="00322ED7"/>
    <w:rsid w:val="00325E65"/>
    <w:rsid w:val="00327F79"/>
    <w:rsid w:val="00330D7F"/>
    <w:rsid w:val="00335F8B"/>
    <w:rsid w:val="00340C8B"/>
    <w:rsid w:val="003445A9"/>
    <w:rsid w:val="003475C5"/>
    <w:rsid w:val="00350D26"/>
    <w:rsid w:val="003513A7"/>
    <w:rsid w:val="00351AD5"/>
    <w:rsid w:val="003524B6"/>
    <w:rsid w:val="00353BFE"/>
    <w:rsid w:val="00355EA4"/>
    <w:rsid w:val="003659C4"/>
    <w:rsid w:val="00365BFA"/>
    <w:rsid w:val="00373243"/>
    <w:rsid w:val="003766D7"/>
    <w:rsid w:val="00380B6F"/>
    <w:rsid w:val="00383AB2"/>
    <w:rsid w:val="003847DC"/>
    <w:rsid w:val="00386AB7"/>
    <w:rsid w:val="00390D30"/>
    <w:rsid w:val="00391B12"/>
    <w:rsid w:val="0039276A"/>
    <w:rsid w:val="00395681"/>
    <w:rsid w:val="00397D6D"/>
    <w:rsid w:val="003A40EA"/>
    <w:rsid w:val="003A6F7A"/>
    <w:rsid w:val="003B0749"/>
    <w:rsid w:val="003B0CE0"/>
    <w:rsid w:val="003B121D"/>
    <w:rsid w:val="003B1D89"/>
    <w:rsid w:val="003B38DD"/>
    <w:rsid w:val="003B7B39"/>
    <w:rsid w:val="003C275A"/>
    <w:rsid w:val="003C6784"/>
    <w:rsid w:val="003C6DE2"/>
    <w:rsid w:val="003D3EC1"/>
    <w:rsid w:val="003D54AC"/>
    <w:rsid w:val="003D5C68"/>
    <w:rsid w:val="003D7104"/>
    <w:rsid w:val="003E1E0D"/>
    <w:rsid w:val="003E393D"/>
    <w:rsid w:val="003E395A"/>
    <w:rsid w:val="003F20E8"/>
    <w:rsid w:val="003F27EB"/>
    <w:rsid w:val="003F410C"/>
    <w:rsid w:val="003F5DBE"/>
    <w:rsid w:val="00400A4F"/>
    <w:rsid w:val="00401CF2"/>
    <w:rsid w:val="00402149"/>
    <w:rsid w:val="00403D12"/>
    <w:rsid w:val="00403F78"/>
    <w:rsid w:val="00404380"/>
    <w:rsid w:val="00404C14"/>
    <w:rsid w:val="0040621E"/>
    <w:rsid w:val="00411942"/>
    <w:rsid w:val="00411C09"/>
    <w:rsid w:val="0041305B"/>
    <w:rsid w:val="00413DDD"/>
    <w:rsid w:val="00414033"/>
    <w:rsid w:val="00414769"/>
    <w:rsid w:val="00417707"/>
    <w:rsid w:val="0041778E"/>
    <w:rsid w:val="00421710"/>
    <w:rsid w:val="00422472"/>
    <w:rsid w:val="004228F1"/>
    <w:rsid w:val="004237C6"/>
    <w:rsid w:val="00423FE5"/>
    <w:rsid w:val="004246EC"/>
    <w:rsid w:val="004316A8"/>
    <w:rsid w:val="004330F3"/>
    <w:rsid w:val="004357B2"/>
    <w:rsid w:val="00436062"/>
    <w:rsid w:val="004413D5"/>
    <w:rsid w:val="0044748A"/>
    <w:rsid w:val="00452182"/>
    <w:rsid w:val="00454AE7"/>
    <w:rsid w:val="004576A2"/>
    <w:rsid w:val="0046390A"/>
    <w:rsid w:val="00464C1C"/>
    <w:rsid w:val="00465FC4"/>
    <w:rsid w:val="00466E8C"/>
    <w:rsid w:val="004729A2"/>
    <w:rsid w:val="0047728D"/>
    <w:rsid w:val="004801B6"/>
    <w:rsid w:val="00482178"/>
    <w:rsid w:val="00491B07"/>
    <w:rsid w:val="004945E3"/>
    <w:rsid w:val="00495131"/>
    <w:rsid w:val="004A4FE1"/>
    <w:rsid w:val="004A4FEA"/>
    <w:rsid w:val="004B0D48"/>
    <w:rsid w:val="004B76AC"/>
    <w:rsid w:val="004C108B"/>
    <w:rsid w:val="004C79AB"/>
    <w:rsid w:val="004E037F"/>
    <w:rsid w:val="004E1E20"/>
    <w:rsid w:val="004E2351"/>
    <w:rsid w:val="004E39A5"/>
    <w:rsid w:val="004E4630"/>
    <w:rsid w:val="004E63F0"/>
    <w:rsid w:val="004E6BA4"/>
    <w:rsid w:val="004F232A"/>
    <w:rsid w:val="004F5F43"/>
    <w:rsid w:val="00502670"/>
    <w:rsid w:val="00506A30"/>
    <w:rsid w:val="0051022C"/>
    <w:rsid w:val="0051455F"/>
    <w:rsid w:val="005155BF"/>
    <w:rsid w:val="00516D2D"/>
    <w:rsid w:val="0052171A"/>
    <w:rsid w:val="00524482"/>
    <w:rsid w:val="0052625F"/>
    <w:rsid w:val="005304FB"/>
    <w:rsid w:val="00531EF2"/>
    <w:rsid w:val="00532EB5"/>
    <w:rsid w:val="00532F53"/>
    <w:rsid w:val="005339E5"/>
    <w:rsid w:val="005356E1"/>
    <w:rsid w:val="00535830"/>
    <w:rsid w:val="0054020D"/>
    <w:rsid w:val="00541250"/>
    <w:rsid w:val="005445C9"/>
    <w:rsid w:val="00550836"/>
    <w:rsid w:val="00560F66"/>
    <w:rsid w:val="00561FF9"/>
    <w:rsid w:val="00562B97"/>
    <w:rsid w:val="0056447B"/>
    <w:rsid w:val="0056547E"/>
    <w:rsid w:val="00575C90"/>
    <w:rsid w:val="005919B7"/>
    <w:rsid w:val="00592E48"/>
    <w:rsid w:val="00595653"/>
    <w:rsid w:val="00596A85"/>
    <w:rsid w:val="005971FE"/>
    <w:rsid w:val="005A0E00"/>
    <w:rsid w:val="005A15CF"/>
    <w:rsid w:val="005A20C9"/>
    <w:rsid w:val="005A40BA"/>
    <w:rsid w:val="005A4916"/>
    <w:rsid w:val="005B0B1B"/>
    <w:rsid w:val="005B27B0"/>
    <w:rsid w:val="005B320F"/>
    <w:rsid w:val="005B7826"/>
    <w:rsid w:val="005C3B9B"/>
    <w:rsid w:val="005C4D6E"/>
    <w:rsid w:val="005C69AF"/>
    <w:rsid w:val="005D4670"/>
    <w:rsid w:val="005E0419"/>
    <w:rsid w:val="005E1428"/>
    <w:rsid w:val="005E5B44"/>
    <w:rsid w:val="005F1318"/>
    <w:rsid w:val="005F2F2D"/>
    <w:rsid w:val="005F5067"/>
    <w:rsid w:val="005F7C29"/>
    <w:rsid w:val="00601B3E"/>
    <w:rsid w:val="00605CFD"/>
    <w:rsid w:val="00607483"/>
    <w:rsid w:val="00613FC3"/>
    <w:rsid w:val="0061652A"/>
    <w:rsid w:val="00617789"/>
    <w:rsid w:val="00620E0A"/>
    <w:rsid w:val="00621122"/>
    <w:rsid w:val="006220B7"/>
    <w:rsid w:val="0062512A"/>
    <w:rsid w:val="00626EA6"/>
    <w:rsid w:val="00632BBE"/>
    <w:rsid w:val="00636137"/>
    <w:rsid w:val="0064034D"/>
    <w:rsid w:val="0064092B"/>
    <w:rsid w:val="00645070"/>
    <w:rsid w:val="00650E08"/>
    <w:rsid w:val="00651B01"/>
    <w:rsid w:val="00651B99"/>
    <w:rsid w:val="00652DA1"/>
    <w:rsid w:val="00655532"/>
    <w:rsid w:val="006563F5"/>
    <w:rsid w:val="00662BA8"/>
    <w:rsid w:val="00664788"/>
    <w:rsid w:val="00664B21"/>
    <w:rsid w:val="006673D5"/>
    <w:rsid w:val="00671E27"/>
    <w:rsid w:val="006740D7"/>
    <w:rsid w:val="00674D19"/>
    <w:rsid w:val="00675746"/>
    <w:rsid w:val="00677B9C"/>
    <w:rsid w:val="00681745"/>
    <w:rsid w:val="00684C17"/>
    <w:rsid w:val="00685F89"/>
    <w:rsid w:val="006873D4"/>
    <w:rsid w:val="00687A01"/>
    <w:rsid w:val="0069474D"/>
    <w:rsid w:val="006A0B49"/>
    <w:rsid w:val="006A0B61"/>
    <w:rsid w:val="006A1C2C"/>
    <w:rsid w:val="006A5E58"/>
    <w:rsid w:val="006A6E4C"/>
    <w:rsid w:val="006A76B8"/>
    <w:rsid w:val="006B0E68"/>
    <w:rsid w:val="006B1664"/>
    <w:rsid w:val="006B1B6C"/>
    <w:rsid w:val="006C0CAB"/>
    <w:rsid w:val="006C0E23"/>
    <w:rsid w:val="006C0F57"/>
    <w:rsid w:val="006C115E"/>
    <w:rsid w:val="006C49E7"/>
    <w:rsid w:val="006C79F0"/>
    <w:rsid w:val="006D2817"/>
    <w:rsid w:val="006D5A11"/>
    <w:rsid w:val="006D61DB"/>
    <w:rsid w:val="006D6252"/>
    <w:rsid w:val="006E131D"/>
    <w:rsid w:val="006E1FC3"/>
    <w:rsid w:val="006E2F04"/>
    <w:rsid w:val="006E3571"/>
    <w:rsid w:val="006F60E2"/>
    <w:rsid w:val="0070558B"/>
    <w:rsid w:val="00706D48"/>
    <w:rsid w:val="00712260"/>
    <w:rsid w:val="00713C14"/>
    <w:rsid w:val="0071422F"/>
    <w:rsid w:val="0071681E"/>
    <w:rsid w:val="00720F63"/>
    <w:rsid w:val="00723416"/>
    <w:rsid w:val="007249DD"/>
    <w:rsid w:val="007258EC"/>
    <w:rsid w:val="00727500"/>
    <w:rsid w:val="007277F8"/>
    <w:rsid w:val="0073526A"/>
    <w:rsid w:val="00735948"/>
    <w:rsid w:val="00736F84"/>
    <w:rsid w:val="007370F7"/>
    <w:rsid w:val="007371B6"/>
    <w:rsid w:val="0074090C"/>
    <w:rsid w:val="00746AB1"/>
    <w:rsid w:val="007502AE"/>
    <w:rsid w:val="00750AA3"/>
    <w:rsid w:val="00750B52"/>
    <w:rsid w:val="00752914"/>
    <w:rsid w:val="007537D5"/>
    <w:rsid w:val="007550C3"/>
    <w:rsid w:val="00756CB3"/>
    <w:rsid w:val="0076186A"/>
    <w:rsid w:val="007619FC"/>
    <w:rsid w:val="00761AB3"/>
    <w:rsid w:val="00767D2F"/>
    <w:rsid w:val="00773F1E"/>
    <w:rsid w:val="007746EB"/>
    <w:rsid w:val="00774799"/>
    <w:rsid w:val="007800FA"/>
    <w:rsid w:val="007804F0"/>
    <w:rsid w:val="00780B22"/>
    <w:rsid w:val="007820EA"/>
    <w:rsid w:val="00783837"/>
    <w:rsid w:val="00783EF3"/>
    <w:rsid w:val="007840D0"/>
    <w:rsid w:val="007849EB"/>
    <w:rsid w:val="00787343"/>
    <w:rsid w:val="007879C0"/>
    <w:rsid w:val="00795433"/>
    <w:rsid w:val="00795790"/>
    <w:rsid w:val="007A11A0"/>
    <w:rsid w:val="007A38A1"/>
    <w:rsid w:val="007A441E"/>
    <w:rsid w:val="007A4A60"/>
    <w:rsid w:val="007A4D3E"/>
    <w:rsid w:val="007A75A2"/>
    <w:rsid w:val="007B0030"/>
    <w:rsid w:val="007B0484"/>
    <w:rsid w:val="007B0FB2"/>
    <w:rsid w:val="007B17F0"/>
    <w:rsid w:val="007B474F"/>
    <w:rsid w:val="007B65E4"/>
    <w:rsid w:val="007B6B49"/>
    <w:rsid w:val="007C39A0"/>
    <w:rsid w:val="007C3FD4"/>
    <w:rsid w:val="007D0280"/>
    <w:rsid w:val="007D306A"/>
    <w:rsid w:val="007D30E2"/>
    <w:rsid w:val="007D41B3"/>
    <w:rsid w:val="007D7EBA"/>
    <w:rsid w:val="007E3C9D"/>
    <w:rsid w:val="007E46E5"/>
    <w:rsid w:val="007E4A62"/>
    <w:rsid w:val="007E7420"/>
    <w:rsid w:val="007F139D"/>
    <w:rsid w:val="007F30A4"/>
    <w:rsid w:val="007F3324"/>
    <w:rsid w:val="007F5A9C"/>
    <w:rsid w:val="007F78A4"/>
    <w:rsid w:val="00800C7A"/>
    <w:rsid w:val="008011A6"/>
    <w:rsid w:val="00801B10"/>
    <w:rsid w:val="008020D6"/>
    <w:rsid w:val="0080264B"/>
    <w:rsid w:val="008051FD"/>
    <w:rsid w:val="008060CE"/>
    <w:rsid w:val="008078ED"/>
    <w:rsid w:val="0081152B"/>
    <w:rsid w:val="008121CC"/>
    <w:rsid w:val="0081311E"/>
    <w:rsid w:val="00815AFB"/>
    <w:rsid w:val="0081728E"/>
    <w:rsid w:val="00822035"/>
    <w:rsid w:val="008235B2"/>
    <w:rsid w:val="00825232"/>
    <w:rsid w:val="00832068"/>
    <w:rsid w:val="008325DC"/>
    <w:rsid w:val="00832687"/>
    <w:rsid w:val="00832A5E"/>
    <w:rsid w:val="008406C2"/>
    <w:rsid w:val="00843538"/>
    <w:rsid w:val="008465C8"/>
    <w:rsid w:val="00846668"/>
    <w:rsid w:val="00847F2A"/>
    <w:rsid w:val="00850DB0"/>
    <w:rsid w:val="00852413"/>
    <w:rsid w:val="00852F4D"/>
    <w:rsid w:val="00856670"/>
    <w:rsid w:val="008578FC"/>
    <w:rsid w:val="00864559"/>
    <w:rsid w:val="008662D6"/>
    <w:rsid w:val="00866F0E"/>
    <w:rsid w:val="0087058A"/>
    <w:rsid w:val="00870FA7"/>
    <w:rsid w:val="00871B67"/>
    <w:rsid w:val="00871FC8"/>
    <w:rsid w:val="00875F89"/>
    <w:rsid w:val="00876973"/>
    <w:rsid w:val="00877D6A"/>
    <w:rsid w:val="00880F50"/>
    <w:rsid w:val="00882B4A"/>
    <w:rsid w:val="00892F96"/>
    <w:rsid w:val="008946BB"/>
    <w:rsid w:val="00894F34"/>
    <w:rsid w:val="008950DE"/>
    <w:rsid w:val="0089541B"/>
    <w:rsid w:val="008956B5"/>
    <w:rsid w:val="008A1372"/>
    <w:rsid w:val="008A20A8"/>
    <w:rsid w:val="008B0AE4"/>
    <w:rsid w:val="008B26AD"/>
    <w:rsid w:val="008B3AEA"/>
    <w:rsid w:val="008B509E"/>
    <w:rsid w:val="008B5196"/>
    <w:rsid w:val="008C026F"/>
    <w:rsid w:val="008C0A64"/>
    <w:rsid w:val="008C2304"/>
    <w:rsid w:val="008C4B6C"/>
    <w:rsid w:val="008D5201"/>
    <w:rsid w:val="008E21DC"/>
    <w:rsid w:val="008E2AEB"/>
    <w:rsid w:val="008E3C10"/>
    <w:rsid w:val="008F4BD8"/>
    <w:rsid w:val="008F674E"/>
    <w:rsid w:val="008F7946"/>
    <w:rsid w:val="009015B2"/>
    <w:rsid w:val="00903BD2"/>
    <w:rsid w:val="00904CB9"/>
    <w:rsid w:val="0090710F"/>
    <w:rsid w:val="00910A82"/>
    <w:rsid w:val="009132BC"/>
    <w:rsid w:val="009142B9"/>
    <w:rsid w:val="00916291"/>
    <w:rsid w:val="009215D4"/>
    <w:rsid w:val="00921687"/>
    <w:rsid w:val="00922794"/>
    <w:rsid w:val="009232EB"/>
    <w:rsid w:val="00925BF2"/>
    <w:rsid w:val="00926F3A"/>
    <w:rsid w:val="0093039E"/>
    <w:rsid w:val="009336E7"/>
    <w:rsid w:val="00934A0A"/>
    <w:rsid w:val="00937084"/>
    <w:rsid w:val="00940501"/>
    <w:rsid w:val="00940A1F"/>
    <w:rsid w:val="00950495"/>
    <w:rsid w:val="00950B20"/>
    <w:rsid w:val="009531D6"/>
    <w:rsid w:val="00956631"/>
    <w:rsid w:val="009576D2"/>
    <w:rsid w:val="00957A92"/>
    <w:rsid w:val="00960518"/>
    <w:rsid w:val="009646C7"/>
    <w:rsid w:val="009662EA"/>
    <w:rsid w:val="00966776"/>
    <w:rsid w:val="00971327"/>
    <w:rsid w:val="00971DE0"/>
    <w:rsid w:val="00973443"/>
    <w:rsid w:val="00974E6D"/>
    <w:rsid w:val="00975F7E"/>
    <w:rsid w:val="00977BD8"/>
    <w:rsid w:val="0098405B"/>
    <w:rsid w:val="00984573"/>
    <w:rsid w:val="00984F03"/>
    <w:rsid w:val="009877B2"/>
    <w:rsid w:val="00990872"/>
    <w:rsid w:val="0099322B"/>
    <w:rsid w:val="0099510F"/>
    <w:rsid w:val="00995599"/>
    <w:rsid w:val="00997299"/>
    <w:rsid w:val="009A0F68"/>
    <w:rsid w:val="009A1F33"/>
    <w:rsid w:val="009A2F72"/>
    <w:rsid w:val="009A4FA7"/>
    <w:rsid w:val="009A66D7"/>
    <w:rsid w:val="009B2BCF"/>
    <w:rsid w:val="009B69A6"/>
    <w:rsid w:val="009B7835"/>
    <w:rsid w:val="009C185F"/>
    <w:rsid w:val="009C261B"/>
    <w:rsid w:val="009C554F"/>
    <w:rsid w:val="009C6FDC"/>
    <w:rsid w:val="009C7F00"/>
    <w:rsid w:val="009D0698"/>
    <w:rsid w:val="009D153C"/>
    <w:rsid w:val="009D7046"/>
    <w:rsid w:val="009D767D"/>
    <w:rsid w:val="009E521E"/>
    <w:rsid w:val="009E680C"/>
    <w:rsid w:val="009F0A5B"/>
    <w:rsid w:val="009F1C34"/>
    <w:rsid w:val="009F22BF"/>
    <w:rsid w:val="009F250E"/>
    <w:rsid w:val="009F3B80"/>
    <w:rsid w:val="009F4377"/>
    <w:rsid w:val="009F5E43"/>
    <w:rsid w:val="009F733D"/>
    <w:rsid w:val="00A00BEA"/>
    <w:rsid w:val="00A00C81"/>
    <w:rsid w:val="00A01C1D"/>
    <w:rsid w:val="00A02AA5"/>
    <w:rsid w:val="00A0682F"/>
    <w:rsid w:val="00A06CDD"/>
    <w:rsid w:val="00A23D3D"/>
    <w:rsid w:val="00A23D61"/>
    <w:rsid w:val="00A2482C"/>
    <w:rsid w:val="00A275D0"/>
    <w:rsid w:val="00A31F33"/>
    <w:rsid w:val="00A33C1E"/>
    <w:rsid w:val="00A348E8"/>
    <w:rsid w:val="00A34E26"/>
    <w:rsid w:val="00A34F49"/>
    <w:rsid w:val="00A352D1"/>
    <w:rsid w:val="00A37621"/>
    <w:rsid w:val="00A43E5E"/>
    <w:rsid w:val="00A442EE"/>
    <w:rsid w:val="00A45741"/>
    <w:rsid w:val="00A47E2C"/>
    <w:rsid w:val="00A50352"/>
    <w:rsid w:val="00A510CC"/>
    <w:rsid w:val="00A52C72"/>
    <w:rsid w:val="00A55635"/>
    <w:rsid w:val="00A679CE"/>
    <w:rsid w:val="00A72FB1"/>
    <w:rsid w:val="00A735E1"/>
    <w:rsid w:val="00A736E1"/>
    <w:rsid w:val="00A7714D"/>
    <w:rsid w:val="00A80F9C"/>
    <w:rsid w:val="00A81484"/>
    <w:rsid w:val="00A86957"/>
    <w:rsid w:val="00A87F69"/>
    <w:rsid w:val="00A87FCE"/>
    <w:rsid w:val="00A91EEA"/>
    <w:rsid w:val="00AA0DC2"/>
    <w:rsid w:val="00AA19B4"/>
    <w:rsid w:val="00AA4C1A"/>
    <w:rsid w:val="00AA4CD9"/>
    <w:rsid w:val="00AA6351"/>
    <w:rsid w:val="00AB05DE"/>
    <w:rsid w:val="00AB4898"/>
    <w:rsid w:val="00AB63FE"/>
    <w:rsid w:val="00AB685A"/>
    <w:rsid w:val="00AB6BFA"/>
    <w:rsid w:val="00AC015B"/>
    <w:rsid w:val="00AC06C3"/>
    <w:rsid w:val="00AC071B"/>
    <w:rsid w:val="00AC1D74"/>
    <w:rsid w:val="00AC3809"/>
    <w:rsid w:val="00AC5DF4"/>
    <w:rsid w:val="00AD054D"/>
    <w:rsid w:val="00AD2FC1"/>
    <w:rsid w:val="00AD363D"/>
    <w:rsid w:val="00AD3BDF"/>
    <w:rsid w:val="00AD3F4D"/>
    <w:rsid w:val="00AD409C"/>
    <w:rsid w:val="00AD6381"/>
    <w:rsid w:val="00AD7379"/>
    <w:rsid w:val="00AE08FA"/>
    <w:rsid w:val="00AE393F"/>
    <w:rsid w:val="00AE47C9"/>
    <w:rsid w:val="00AE4EE6"/>
    <w:rsid w:val="00AE7FF1"/>
    <w:rsid w:val="00AF0784"/>
    <w:rsid w:val="00AF0EC8"/>
    <w:rsid w:val="00AF4736"/>
    <w:rsid w:val="00AF5250"/>
    <w:rsid w:val="00B12503"/>
    <w:rsid w:val="00B14F99"/>
    <w:rsid w:val="00B20F5B"/>
    <w:rsid w:val="00B210B9"/>
    <w:rsid w:val="00B219D0"/>
    <w:rsid w:val="00B25D46"/>
    <w:rsid w:val="00B2631B"/>
    <w:rsid w:val="00B26DA1"/>
    <w:rsid w:val="00B270FC"/>
    <w:rsid w:val="00B27E03"/>
    <w:rsid w:val="00B31DDD"/>
    <w:rsid w:val="00B336F7"/>
    <w:rsid w:val="00B349E3"/>
    <w:rsid w:val="00B355A3"/>
    <w:rsid w:val="00B3637F"/>
    <w:rsid w:val="00B42D50"/>
    <w:rsid w:val="00B44624"/>
    <w:rsid w:val="00B47F45"/>
    <w:rsid w:val="00B50610"/>
    <w:rsid w:val="00B509B0"/>
    <w:rsid w:val="00B513E2"/>
    <w:rsid w:val="00B53F35"/>
    <w:rsid w:val="00B60809"/>
    <w:rsid w:val="00B6248C"/>
    <w:rsid w:val="00B653CB"/>
    <w:rsid w:val="00B65BB5"/>
    <w:rsid w:val="00B70448"/>
    <w:rsid w:val="00B71E0C"/>
    <w:rsid w:val="00B72F2E"/>
    <w:rsid w:val="00B80846"/>
    <w:rsid w:val="00B8195A"/>
    <w:rsid w:val="00B823E3"/>
    <w:rsid w:val="00B8403A"/>
    <w:rsid w:val="00B8465A"/>
    <w:rsid w:val="00B8491B"/>
    <w:rsid w:val="00B8537D"/>
    <w:rsid w:val="00B85DEF"/>
    <w:rsid w:val="00B8631C"/>
    <w:rsid w:val="00B9066B"/>
    <w:rsid w:val="00B90C03"/>
    <w:rsid w:val="00B91DA8"/>
    <w:rsid w:val="00B92FE1"/>
    <w:rsid w:val="00B93588"/>
    <w:rsid w:val="00B948CB"/>
    <w:rsid w:val="00B962A2"/>
    <w:rsid w:val="00BA01BB"/>
    <w:rsid w:val="00BA38C2"/>
    <w:rsid w:val="00BA4C9C"/>
    <w:rsid w:val="00BA5E05"/>
    <w:rsid w:val="00BA634A"/>
    <w:rsid w:val="00BA708D"/>
    <w:rsid w:val="00BB0174"/>
    <w:rsid w:val="00BB0A19"/>
    <w:rsid w:val="00BB4AD4"/>
    <w:rsid w:val="00BB4FDD"/>
    <w:rsid w:val="00BB6AFB"/>
    <w:rsid w:val="00BC0B56"/>
    <w:rsid w:val="00BC2E33"/>
    <w:rsid w:val="00BC2F9E"/>
    <w:rsid w:val="00BC3692"/>
    <w:rsid w:val="00BC66B4"/>
    <w:rsid w:val="00BC699A"/>
    <w:rsid w:val="00BC7147"/>
    <w:rsid w:val="00BD0395"/>
    <w:rsid w:val="00BD0506"/>
    <w:rsid w:val="00BD05DF"/>
    <w:rsid w:val="00BD15DE"/>
    <w:rsid w:val="00BD3E84"/>
    <w:rsid w:val="00BD49DD"/>
    <w:rsid w:val="00BD5863"/>
    <w:rsid w:val="00BD6912"/>
    <w:rsid w:val="00BD7C42"/>
    <w:rsid w:val="00BE0F3C"/>
    <w:rsid w:val="00BF05B6"/>
    <w:rsid w:val="00BF0E66"/>
    <w:rsid w:val="00BF2D00"/>
    <w:rsid w:val="00BF6356"/>
    <w:rsid w:val="00BF751C"/>
    <w:rsid w:val="00BF79D6"/>
    <w:rsid w:val="00C02F72"/>
    <w:rsid w:val="00C073F1"/>
    <w:rsid w:val="00C10FC9"/>
    <w:rsid w:val="00C13E75"/>
    <w:rsid w:val="00C14B38"/>
    <w:rsid w:val="00C157A8"/>
    <w:rsid w:val="00C20880"/>
    <w:rsid w:val="00C20A1B"/>
    <w:rsid w:val="00C24385"/>
    <w:rsid w:val="00C2660F"/>
    <w:rsid w:val="00C32820"/>
    <w:rsid w:val="00C3497C"/>
    <w:rsid w:val="00C3500C"/>
    <w:rsid w:val="00C3671F"/>
    <w:rsid w:val="00C36E74"/>
    <w:rsid w:val="00C374CB"/>
    <w:rsid w:val="00C37D11"/>
    <w:rsid w:val="00C444CB"/>
    <w:rsid w:val="00C4565D"/>
    <w:rsid w:val="00C4684F"/>
    <w:rsid w:val="00C500BD"/>
    <w:rsid w:val="00C50484"/>
    <w:rsid w:val="00C50696"/>
    <w:rsid w:val="00C510CE"/>
    <w:rsid w:val="00C516A0"/>
    <w:rsid w:val="00C53194"/>
    <w:rsid w:val="00C532BA"/>
    <w:rsid w:val="00C53597"/>
    <w:rsid w:val="00C54B2C"/>
    <w:rsid w:val="00C60E3C"/>
    <w:rsid w:val="00C61875"/>
    <w:rsid w:val="00C618E7"/>
    <w:rsid w:val="00C65E66"/>
    <w:rsid w:val="00C65E76"/>
    <w:rsid w:val="00C6735F"/>
    <w:rsid w:val="00C70161"/>
    <w:rsid w:val="00C70DE3"/>
    <w:rsid w:val="00C70F11"/>
    <w:rsid w:val="00C73AA6"/>
    <w:rsid w:val="00C74A83"/>
    <w:rsid w:val="00C77DC2"/>
    <w:rsid w:val="00C807FA"/>
    <w:rsid w:val="00C80D95"/>
    <w:rsid w:val="00C80E04"/>
    <w:rsid w:val="00C814CE"/>
    <w:rsid w:val="00C8199A"/>
    <w:rsid w:val="00C83C90"/>
    <w:rsid w:val="00C84E4B"/>
    <w:rsid w:val="00C8536F"/>
    <w:rsid w:val="00C86641"/>
    <w:rsid w:val="00C868AE"/>
    <w:rsid w:val="00C90832"/>
    <w:rsid w:val="00C930E8"/>
    <w:rsid w:val="00C93CA5"/>
    <w:rsid w:val="00C949BB"/>
    <w:rsid w:val="00C9586B"/>
    <w:rsid w:val="00CB0D9D"/>
    <w:rsid w:val="00CB3390"/>
    <w:rsid w:val="00CB548D"/>
    <w:rsid w:val="00CB68B0"/>
    <w:rsid w:val="00CC4AAA"/>
    <w:rsid w:val="00CC5411"/>
    <w:rsid w:val="00CC5C1A"/>
    <w:rsid w:val="00CC7CC1"/>
    <w:rsid w:val="00CD41BC"/>
    <w:rsid w:val="00CD4DAF"/>
    <w:rsid w:val="00CE33D2"/>
    <w:rsid w:val="00CF234C"/>
    <w:rsid w:val="00CF3E86"/>
    <w:rsid w:val="00CF4E84"/>
    <w:rsid w:val="00CF4ED1"/>
    <w:rsid w:val="00CF6000"/>
    <w:rsid w:val="00CF7B08"/>
    <w:rsid w:val="00D002EB"/>
    <w:rsid w:val="00D00B5A"/>
    <w:rsid w:val="00D00F73"/>
    <w:rsid w:val="00D017F0"/>
    <w:rsid w:val="00D01B8B"/>
    <w:rsid w:val="00D039EE"/>
    <w:rsid w:val="00D0409F"/>
    <w:rsid w:val="00D04364"/>
    <w:rsid w:val="00D066D7"/>
    <w:rsid w:val="00D06D69"/>
    <w:rsid w:val="00D07116"/>
    <w:rsid w:val="00D10590"/>
    <w:rsid w:val="00D13980"/>
    <w:rsid w:val="00D15CE7"/>
    <w:rsid w:val="00D163B1"/>
    <w:rsid w:val="00D166AE"/>
    <w:rsid w:val="00D16B81"/>
    <w:rsid w:val="00D1735B"/>
    <w:rsid w:val="00D2253A"/>
    <w:rsid w:val="00D23E35"/>
    <w:rsid w:val="00D2434F"/>
    <w:rsid w:val="00D2466A"/>
    <w:rsid w:val="00D24E7C"/>
    <w:rsid w:val="00D27C64"/>
    <w:rsid w:val="00D30F67"/>
    <w:rsid w:val="00D316A2"/>
    <w:rsid w:val="00D33377"/>
    <w:rsid w:val="00D400BB"/>
    <w:rsid w:val="00D43E09"/>
    <w:rsid w:val="00D440EB"/>
    <w:rsid w:val="00D4416F"/>
    <w:rsid w:val="00D454FC"/>
    <w:rsid w:val="00D4577D"/>
    <w:rsid w:val="00D470CB"/>
    <w:rsid w:val="00D474D5"/>
    <w:rsid w:val="00D50E14"/>
    <w:rsid w:val="00D5229E"/>
    <w:rsid w:val="00D538A1"/>
    <w:rsid w:val="00D557F9"/>
    <w:rsid w:val="00D60450"/>
    <w:rsid w:val="00D61FC5"/>
    <w:rsid w:val="00D6244A"/>
    <w:rsid w:val="00D6432E"/>
    <w:rsid w:val="00D67433"/>
    <w:rsid w:val="00D716E2"/>
    <w:rsid w:val="00D779BD"/>
    <w:rsid w:val="00D8418C"/>
    <w:rsid w:val="00D846D2"/>
    <w:rsid w:val="00D86578"/>
    <w:rsid w:val="00D90291"/>
    <w:rsid w:val="00D92C97"/>
    <w:rsid w:val="00D952AD"/>
    <w:rsid w:val="00D952EA"/>
    <w:rsid w:val="00DA7CB3"/>
    <w:rsid w:val="00DB0A91"/>
    <w:rsid w:val="00DB2413"/>
    <w:rsid w:val="00DB513A"/>
    <w:rsid w:val="00DB536C"/>
    <w:rsid w:val="00DB6811"/>
    <w:rsid w:val="00DC105D"/>
    <w:rsid w:val="00DC1CF0"/>
    <w:rsid w:val="00DC2745"/>
    <w:rsid w:val="00DC2D9F"/>
    <w:rsid w:val="00DC32B9"/>
    <w:rsid w:val="00DC4FF7"/>
    <w:rsid w:val="00DD26E2"/>
    <w:rsid w:val="00DD583C"/>
    <w:rsid w:val="00DD5A71"/>
    <w:rsid w:val="00DD5F7A"/>
    <w:rsid w:val="00DD694D"/>
    <w:rsid w:val="00DD74D7"/>
    <w:rsid w:val="00DE261D"/>
    <w:rsid w:val="00DE2D1E"/>
    <w:rsid w:val="00DE4923"/>
    <w:rsid w:val="00DE5545"/>
    <w:rsid w:val="00DE63A9"/>
    <w:rsid w:val="00DF651D"/>
    <w:rsid w:val="00DF672D"/>
    <w:rsid w:val="00E0221C"/>
    <w:rsid w:val="00E041F9"/>
    <w:rsid w:val="00E04ABF"/>
    <w:rsid w:val="00E05280"/>
    <w:rsid w:val="00E060EE"/>
    <w:rsid w:val="00E07089"/>
    <w:rsid w:val="00E16398"/>
    <w:rsid w:val="00E16AF7"/>
    <w:rsid w:val="00E2013D"/>
    <w:rsid w:val="00E2031E"/>
    <w:rsid w:val="00E21292"/>
    <w:rsid w:val="00E22C3A"/>
    <w:rsid w:val="00E23511"/>
    <w:rsid w:val="00E23EE8"/>
    <w:rsid w:val="00E25987"/>
    <w:rsid w:val="00E31601"/>
    <w:rsid w:val="00E33685"/>
    <w:rsid w:val="00E33829"/>
    <w:rsid w:val="00E339CD"/>
    <w:rsid w:val="00E34BA3"/>
    <w:rsid w:val="00E37CEA"/>
    <w:rsid w:val="00E42AA9"/>
    <w:rsid w:val="00E45104"/>
    <w:rsid w:val="00E46A7D"/>
    <w:rsid w:val="00E46B6B"/>
    <w:rsid w:val="00E4720D"/>
    <w:rsid w:val="00E51A5A"/>
    <w:rsid w:val="00E62898"/>
    <w:rsid w:val="00E62F88"/>
    <w:rsid w:val="00E65F29"/>
    <w:rsid w:val="00E675A0"/>
    <w:rsid w:val="00E7027B"/>
    <w:rsid w:val="00E761E5"/>
    <w:rsid w:val="00E76D3B"/>
    <w:rsid w:val="00E779E9"/>
    <w:rsid w:val="00E813E4"/>
    <w:rsid w:val="00E8405A"/>
    <w:rsid w:val="00E85A77"/>
    <w:rsid w:val="00E8644D"/>
    <w:rsid w:val="00E925EE"/>
    <w:rsid w:val="00E95C49"/>
    <w:rsid w:val="00E9757A"/>
    <w:rsid w:val="00E978A3"/>
    <w:rsid w:val="00EA19D9"/>
    <w:rsid w:val="00EA1E0D"/>
    <w:rsid w:val="00EA4F5E"/>
    <w:rsid w:val="00EA5246"/>
    <w:rsid w:val="00EB0661"/>
    <w:rsid w:val="00EB36AB"/>
    <w:rsid w:val="00EB64E3"/>
    <w:rsid w:val="00EC0899"/>
    <w:rsid w:val="00EC21DB"/>
    <w:rsid w:val="00EC333A"/>
    <w:rsid w:val="00EC649D"/>
    <w:rsid w:val="00EC7E92"/>
    <w:rsid w:val="00EE127B"/>
    <w:rsid w:val="00EE18CE"/>
    <w:rsid w:val="00EE2750"/>
    <w:rsid w:val="00EE52D2"/>
    <w:rsid w:val="00EE712C"/>
    <w:rsid w:val="00EF1762"/>
    <w:rsid w:val="00EF186F"/>
    <w:rsid w:val="00EF509F"/>
    <w:rsid w:val="00EF6737"/>
    <w:rsid w:val="00F02F45"/>
    <w:rsid w:val="00F06892"/>
    <w:rsid w:val="00F11F36"/>
    <w:rsid w:val="00F138F6"/>
    <w:rsid w:val="00F14256"/>
    <w:rsid w:val="00F14948"/>
    <w:rsid w:val="00F14EFF"/>
    <w:rsid w:val="00F16C05"/>
    <w:rsid w:val="00F16D17"/>
    <w:rsid w:val="00F16DE4"/>
    <w:rsid w:val="00F178C9"/>
    <w:rsid w:val="00F206C7"/>
    <w:rsid w:val="00F22461"/>
    <w:rsid w:val="00F24CA7"/>
    <w:rsid w:val="00F30741"/>
    <w:rsid w:val="00F31F3E"/>
    <w:rsid w:val="00F361FF"/>
    <w:rsid w:val="00F42920"/>
    <w:rsid w:val="00F42FA3"/>
    <w:rsid w:val="00F43430"/>
    <w:rsid w:val="00F46038"/>
    <w:rsid w:val="00F52A0C"/>
    <w:rsid w:val="00F554F2"/>
    <w:rsid w:val="00F60131"/>
    <w:rsid w:val="00F62004"/>
    <w:rsid w:val="00F7047B"/>
    <w:rsid w:val="00F70581"/>
    <w:rsid w:val="00F7088D"/>
    <w:rsid w:val="00F7184F"/>
    <w:rsid w:val="00F71C97"/>
    <w:rsid w:val="00F71D4E"/>
    <w:rsid w:val="00F71DBB"/>
    <w:rsid w:val="00F72CCD"/>
    <w:rsid w:val="00F738AA"/>
    <w:rsid w:val="00F73E99"/>
    <w:rsid w:val="00F74B1B"/>
    <w:rsid w:val="00F75FB6"/>
    <w:rsid w:val="00F77423"/>
    <w:rsid w:val="00F80C1F"/>
    <w:rsid w:val="00F8169A"/>
    <w:rsid w:val="00F81763"/>
    <w:rsid w:val="00F84DEB"/>
    <w:rsid w:val="00F9305C"/>
    <w:rsid w:val="00F950E4"/>
    <w:rsid w:val="00F95115"/>
    <w:rsid w:val="00F96EBA"/>
    <w:rsid w:val="00FA19DF"/>
    <w:rsid w:val="00FA32CA"/>
    <w:rsid w:val="00FA34C1"/>
    <w:rsid w:val="00FA40BE"/>
    <w:rsid w:val="00FA5A80"/>
    <w:rsid w:val="00FA7D37"/>
    <w:rsid w:val="00FB1D6A"/>
    <w:rsid w:val="00FC2704"/>
    <w:rsid w:val="00FC3591"/>
    <w:rsid w:val="00FC50AC"/>
    <w:rsid w:val="00FC597B"/>
    <w:rsid w:val="00FC7B20"/>
    <w:rsid w:val="00FD6FC2"/>
    <w:rsid w:val="00FE47BB"/>
    <w:rsid w:val="00FE7304"/>
    <w:rsid w:val="00FF0212"/>
    <w:rsid w:val="00FF3472"/>
    <w:rsid w:val="00FF34A3"/>
    <w:rsid w:val="00FF473B"/>
    <w:rsid w:val="00FF550D"/>
    <w:rsid w:val="01331DA2"/>
    <w:rsid w:val="01A2139F"/>
    <w:rsid w:val="01EB6724"/>
    <w:rsid w:val="022674DB"/>
    <w:rsid w:val="023C7B55"/>
    <w:rsid w:val="02A87E68"/>
    <w:rsid w:val="02A97A17"/>
    <w:rsid w:val="02CA5751"/>
    <w:rsid w:val="03A215CD"/>
    <w:rsid w:val="042B3FE4"/>
    <w:rsid w:val="04651E0E"/>
    <w:rsid w:val="05021D3C"/>
    <w:rsid w:val="05032CC8"/>
    <w:rsid w:val="05B35387"/>
    <w:rsid w:val="05BD298C"/>
    <w:rsid w:val="05D25F62"/>
    <w:rsid w:val="05EF16F7"/>
    <w:rsid w:val="06857F20"/>
    <w:rsid w:val="068B5508"/>
    <w:rsid w:val="069F11DB"/>
    <w:rsid w:val="06D4398E"/>
    <w:rsid w:val="06F8585E"/>
    <w:rsid w:val="07036199"/>
    <w:rsid w:val="0704479B"/>
    <w:rsid w:val="073A6DCF"/>
    <w:rsid w:val="07977475"/>
    <w:rsid w:val="07A40458"/>
    <w:rsid w:val="07D256DD"/>
    <w:rsid w:val="08391F29"/>
    <w:rsid w:val="084374C9"/>
    <w:rsid w:val="08F74ED7"/>
    <w:rsid w:val="090C5228"/>
    <w:rsid w:val="09283777"/>
    <w:rsid w:val="092E2D72"/>
    <w:rsid w:val="094E26E1"/>
    <w:rsid w:val="095F37F5"/>
    <w:rsid w:val="09852671"/>
    <w:rsid w:val="09A443DF"/>
    <w:rsid w:val="09E46017"/>
    <w:rsid w:val="0B04156F"/>
    <w:rsid w:val="0BD3511B"/>
    <w:rsid w:val="0C191507"/>
    <w:rsid w:val="0C335712"/>
    <w:rsid w:val="0C3D67B3"/>
    <w:rsid w:val="0C9F5263"/>
    <w:rsid w:val="0CBC77B9"/>
    <w:rsid w:val="0CE87E44"/>
    <w:rsid w:val="0D021D9D"/>
    <w:rsid w:val="0D09644F"/>
    <w:rsid w:val="0D501693"/>
    <w:rsid w:val="0E9C10AA"/>
    <w:rsid w:val="0FDA0F71"/>
    <w:rsid w:val="104347FD"/>
    <w:rsid w:val="104C25CB"/>
    <w:rsid w:val="104E746A"/>
    <w:rsid w:val="10DA05A2"/>
    <w:rsid w:val="11973CDB"/>
    <w:rsid w:val="12332B99"/>
    <w:rsid w:val="124E1E91"/>
    <w:rsid w:val="12E64220"/>
    <w:rsid w:val="12EE7C62"/>
    <w:rsid w:val="131F2959"/>
    <w:rsid w:val="13371D6F"/>
    <w:rsid w:val="13C96AF8"/>
    <w:rsid w:val="13D1203D"/>
    <w:rsid w:val="146067CE"/>
    <w:rsid w:val="14AE7358"/>
    <w:rsid w:val="14F45659"/>
    <w:rsid w:val="15136323"/>
    <w:rsid w:val="158B2182"/>
    <w:rsid w:val="15AD5572"/>
    <w:rsid w:val="16552EF2"/>
    <w:rsid w:val="16D254BA"/>
    <w:rsid w:val="17851D50"/>
    <w:rsid w:val="17DB6C94"/>
    <w:rsid w:val="188710D8"/>
    <w:rsid w:val="194D520B"/>
    <w:rsid w:val="1A877854"/>
    <w:rsid w:val="1BCF4E75"/>
    <w:rsid w:val="1C752199"/>
    <w:rsid w:val="1D78560E"/>
    <w:rsid w:val="1F4E731D"/>
    <w:rsid w:val="1F5126CF"/>
    <w:rsid w:val="1F8D1E78"/>
    <w:rsid w:val="1FD95CE2"/>
    <w:rsid w:val="220F2907"/>
    <w:rsid w:val="225163D2"/>
    <w:rsid w:val="23535B8E"/>
    <w:rsid w:val="24221796"/>
    <w:rsid w:val="24422045"/>
    <w:rsid w:val="249A704E"/>
    <w:rsid w:val="24DB6666"/>
    <w:rsid w:val="25057055"/>
    <w:rsid w:val="25987476"/>
    <w:rsid w:val="26620B04"/>
    <w:rsid w:val="26A37234"/>
    <w:rsid w:val="276E22E4"/>
    <w:rsid w:val="27EC62ED"/>
    <w:rsid w:val="28C12746"/>
    <w:rsid w:val="291833C3"/>
    <w:rsid w:val="291F365B"/>
    <w:rsid w:val="294E0811"/>
    <w:rsid w:val="2A4C575B"/>
    <w:rsid w:val="2A9C1A24"/>
    <w:rsid w:val="2AE17C80"/>
    <w:rsid w:val="2AE54445"/>
    <w:rsid w:val="2B664A40"/>
    <w:rsid w:val="2C721E7A"/>
    <w:rsid w:val="2DA239D7"/>
    <w:rsid w:val="2DFE3C65"/>
    <w:rsid w:val="2ED15BAA"/>
    <w:rsid w:val="2EE05038"/>
    <w:rsid w:val="2EE220A8"/>
    <w:rsid w:val="2EF96D73"/>
    <w:rsid w:val="2FC04F89"/>
    <w:rsid w:val="305260AE"/>
    <w:rsid w:val="31342FFF"/>
    <w:rsid w:val="3172647F"/>
    <w:rsid w:val="318B0D48"/>
    <w:rsid w:val="31AE4535"/>
    <w:rsid w:val="31B60067"/>
    <w:rsid w:val="31C610C0"/>
    <w:rsid w:val="329A450B"/>
    <w:rsid w:val="332F0FA7"/>
    <w:rsid w:val="33743B4B"/>
    <w:rsid w:val="337F68C1"/>
    <w:rsid w:val="340C3CC5"/>
    <w:rsid w:val="341312C5"/>
    <w:rsid w:val="346F477E"/>
    <w:rsid w:val="35524AD0"/>
    <w:rsid w:val="355C4B65"/>
    <w:rsid w:val="35DB6353"/>
    <w:rsid w:val="364368F3"/>
    <w:rsid w:val="36614730"/>
    <w:rsid w:val="368B1379"/>
    <w:rsid w:val="36E22F48"/>
    <w:rsid w:val="36E6521E"/>
    <w:rsid w:val="36EA32F4"/>
    <w:rsid w:val="372C11ED"/>
    <w:rsid w:val="373E510F"/>
    <w:rsid w:val="38900977"/>
    <w:rsid w:val="38A8765A"/>
    <w:rsid w:val="395C1D90"/>
    <w:rsid w:val="39DE6E1E"/>
    <w:rsid w:val="3A2D7DA5"/>
    <w:rsid w:val="3AEB1F42"/>
    <w:rsid w:val="3BA66CD2"/>
    <w:rsid w:val="3BD670DA"/>
    <w:rsid w:val="3BE96E63"/>
    <w:rsid w:val="3C47099A"/>
    <w:rsid w:val="3C836716"/>
    <w:rsid w:val="3CB5015C"/>
    <w:rsid w:val="3CC20C24"/>
    <w:rsid w:val="3E65779A"/>
    <w:rsid w:val="3F0330E0"/>
    <w:rsid w:val="3F0D53E2"/>
    <w:rsid w:val="3F3906AA"/>
    <w:rsid w:val="3FAA768A"/>
    <w:rsid w:val="3FAA7FB5"/>
    <w:rsid w:val="3FD93EE3"/>
    <w:rsid w:val="40142567"/>
    <w:rsid w:val="401807B6"/>
    <w:rsid w:val="401F575B"/>
    <w:rsid w:val="405B268E"/>
    <w:rsid w:val="40EF0CBF"/>
    <w:rsid w:val="411D3D76"/>
    <w:rsid w:val="4123517D"/>
    <w:rsid w:val="41297DEC"/>
    <w:rsid w:val="414C1D4F"/>
    <w:rsid w:val="41BC67E2"/>
    <w:rsid w:val="41D33354"/>
    <w:rsid w:val="41E753F6"/>
    <w:rsid w:val="421868F1"/>
    <w:rsid w:val="42AF1EB2"/>
    <w:rsid w:val="433F033C"/>
    <w:rsid w:val="435D34C6"/>
    <w:rsid w:val="43604139"/>
    <w:rsid w:val="43804FFB"/>
    <w:rsid w:val="438B3642"/>
    <w:rsid w:val="438C0F19"/>
    <w:rsid w:val="43D34DE4"/>
    <w:rsid w:val="448A2E04"/>
    <w:rsid w:val="44915B64"/>
    <w:rsid w:val="44DC6E3E"/>
    <w:rsid w:val="453469D2"/>
    <w:rsid w:val="45BC3928"/>
    <w:rsid w:val="45CC036A"/>
    <w:rsid w:val="4611558E"/>
    <w:rsid w:val="46906645"/>
    <w:rsid w:val="46FE010D"/>
    <w:rsid w:val="47D509FA"/>
    <w:rsid w:val="481A4D3C"/>
    <w:rsid w:val="484F6B60"/>
    <w:rsid w:val="486A43C6"/>
    <w:rsid w:val="4A28112A"/>
    <w:rsid w:val="4A704EC0"/>
    <w:rsid w:val="4B4A51A7"/>
    <w:rsid w:val="4B641E53"/>
    <w:rsid w:val="4B7E326C"/>
    <w:rsid w:val="4C583E32"/>
    <w:rsid w:val="4D0C2275"/>
    <w:rsid w:val="4E0A2D34"/>
    <w:rsid w:val="4E1F75DE"/>
    <w:rsid w:val="4E2A523D"/>
    <w:rsid w:val="4E3D385A"/>
    <w:rsid w:val="4E4B0670"/>
    <w:rsid w:val="4EA93086"/>
    <w:rsid w:val="4FB55150"/>
    <w:rsid w:val="4FBB2180"/>
    <w:rsid w:val="4FFA6DC9"/>
    <w:rsid w:val="500D0835"/>
    <w:rsid w:val="50150D8B"/>
    <w:rsid w:val="50153744"/>
    <w:rsid w:val="50640D99"/>
    <w:rsid w:val="507269FB"/>
    <w:rsid w:val="50DB4537"/>
    <w:rsid w:val="51835D2F"/>
    <w:rsid w:val="51DF4FF0"/>
    <w:rsid w:val="51FA1DDE"/>
    <w:rsid w:val="539358F5"/>
    <w:rsid w:val="53FB7B1C"/>
    <w:rsid w:val="54100E22"/>
    <w:rsid w:val="555B45F8"/>
    <w:rsid w:val="555B4677"/>
    <w:rsid w:val="557663E3"/>
    <w:rsid w:val="56040C4B"/>
    <w:rsid w:val="561D569C"/>
    <w:rsid w:val="5635142D"/>
    <w:rsid w:val="565E007A"/>
    <w:rsid w:val="56A5366A"/>
    <w:rsid w:val="56D6767B"/>
    <w:rsid w:val="57273141"/>
    <w:rsid w:val="57E81FC9"/>
    <w:rsid w:val="58510D31"/>
    <w:rsid w:val="58543826"/>
    <w:rsid w:val="58B67531"/>
    <w:rsid w:val="59801229"/>
    <w:rsid w:val="598A7744"/>
    <w:rsid w:val="59B92441"/>
    <w:rsid w:val="59DC1EE2"/>
    <w:rsid w:val="59E91842"/>
    <w:rsid w:val="59EF36DF"/>
    <w:rsid w:val="5B066AFE"/>
    <w:rsid w:val="5B4E3B07"/>
    <w:rsid w:val="5B511EFE"/>
    <w:rsid w:val="5BC01DC1"/>
    <w:rsid w:val="5C891E0A"/>
    <w:rsid w:val="5CC859DE"/>
    <w:rsid w:val="5CE50D0E"/>
    <w:rsid w:val="5D30370C"/>
    <w:rsid w:val="5DD85CE9"/>
    <w:rsid w:val="5E145946"/>
    <w:rsid w:val="5E18259F"/>
    <w:rsid w:val="5E987F84"/>
    <w:rsid w:val="60563FA1"/>
    <w:rsid w:val="60F20447"/>
    <w:rsid w:val="61734B79"/>
    <w:rsid w:val="618C0F79"/>
    <w:rsid w:val="62012382"/>
    <w:rsid w:val="628C563D"/>
    <w:rsid w:val="62EF22AA"/>
    <w:rsid w:val="64234805"/>
    <w:rsid w:val="64B17170"/>
    <w:rsid w:val="64DD7748"/>
    <w:rsid w:val="64E00AB2"/>
    <w:rsid w:val="65DD58E5"/>
    <w:rsid w:val="660A1E9C"/>
    <w:rsid w:val="66761BDA"/>
    <w:rsid w:val="66A97843"/>
    <w:rsid w:val="66CF59D3"/>
    <w:rsid w:val="67FD2C36"/>
    <w:rsid w:val="68885750"/>
    <w:rsid w:val="68DC2ECE"/>
    <w:rsid w:val="690C3423"/>
    <w:rsid w:val="69603A0A"/>
    <w:rsid w:val="69B46EC3"/>
    <w:rsid w:val="69BD571C"/>
    <w:rsid w:val="6A3F617C"/>
    <w:rsid w:val="6AA46504"/>
    <w:rsid w:val="6B387808"/>
    <w:rsid w:val="6BAE7C57"/>
    <w:rsid w:val="6BC9752C"/>
    <w:rsid w:val="6C1D0881"/>
    <w:rsid w:val="6C1F56BB"/>
    <w:rsid w:val="6C8F1966"/>
    <w:rsid w:val="6CD00972"/>
    <w:rsid w:val="6D0107BF"/>
    <w:rsid w:val="6F0649B4"/>
    <w:rsid w:val="6F371AC3"/>
    <w:rsid w:val="6FA13221"/>
    <w:rsid w:val="6FD35E2A"/>
    <w:rsid w:val="70D57D8E"/>
    <w:rsid w:val="710C18AA"/>
    <w:rsid w:val="712106B7"/>
    <w:rsid w:val="714F2DB0"/>
    <w:rsid w:val="720773C5"/>
    <w:rsid w:val="72CC24F5"/>
    <w:rsid w:val="73061DA4"/>
    <w:rsid w:val="737E5213"/>
    <w:rsid w:val="73D24A26"/>
    <w:rsid w:val="74E90AF5"/>
    <w:rsid w:val="75842B2F"/>
    <w:rsid w:val="760C79DA"/>
    <w:rsid w:val="7643515C"/>
    <w:rsid w:val="77486AD5"/>
    <w:rsid w:val="775907C1"/>
    <w:rsid w:val="783A6CAC"/>
    <w:rsid w:val="79AF38E6"/>
    <w:rsid w:val="79D0014E"/>
    <w:rsid w:val="79F653FC"/>
    <w:rsid w:val="7A2C7704"/>
    <w:rsid w:val="7AA95092"/>
    <w:rsid w:val="7B164B9D"/>
    <w:rsid w:val="7B346FE8"/>
    <w:rsid w:val="7BC64FAE"/>
    <w:rsid w:val="7CAE473E"/>
    <w:rsid w:val="7CC71F5C"/>
    <w:rsid w:val="7CD17600"/>
    <w:rsid w:val="7DB04325"/>
    <w:rsid w:val="7DB070F0"/>
    <w:rsid w:val="7E3B0503"/>
    <w:rsid w:val="7EAC7922"/>
    <w:rsid w:val="7FDA10BA"/>
    <w:rsid w:val="7FEB2B0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99" w:semiHidden="0" w:name="HTML Acronym"/>
    <w:lsdException w:uiPriority="99"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qFormat="1" w:unhideWhenUsed="0" w:uiPriority="0" w:semiHidden="0" w:name="HTML Preformatted"/>
    <w:lsdException w:qFormat="1" w:unhideWhenUsed="0" w:uiPriority="99" w:semiHidden="0" w:name="HTML Sample"/>
    <w:lsdException w:qFormat="1" w:unhideWhenUsed="0" w:uiPriority="99" w:semiHidden="0" w:name="HTML Typewriter"/>
    <w:lsdException w:qFormat="1" w:unhideWhenUsed="0" w:uiPriority="99"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70"/>
    <w:qFormat/>
    <w:uiPriority w:val="0"/>
    <w:pPr>
      <w:keepNext/>
      <w:keepLines/>
      <w:spacing w:before="340" w:after="330" w:line="576" w:lineRule="auto"/>
      <w:outlineLvl w:val="0"/>
    </w:pPr>
    <w:rPr>
      <w:b/>
      <w:bCs/>
      <w:kern w:val="44"/>
      <w:sz w:val="44"/>
      <w:szCs w:val="44"/>
    </w:rPr>
  </w:style>
  <w:style w:type="paragraph" w:styleId="5">
    <w:name w:val="heading 2"/>
    <w:basedOn w:val="1"/>
    <w:next w:val="1"/>
    <w:link w:val="71"/>
    <w:qFormat/>
    <w:uiPriority w:val="0"/>
    <w:pPr>
      <w:keepNext/>
      <w:keepLines/>
      <w:spacing w:before="260" w:after="260" w:line="413" w:lineRule="auto"/>
      <w:outlineLvl w:val="1"/>
    </w:pPr>
    <w:rPr>
      <w:rFonts w:ascii="Arial" w:hAnsi="Arial" w:eastAsia="黑体"/>
      <w:b/>
      <w:bCs/>
      <w:sz w:val="32"/>
      <w:szCs w:val="32"/>
    </w:rPr>
  </w:style>
  <w:style w:type="paragraph" w:styleId="6">
    <w:name w:val="heading 3"/>
    <w:basedOn w:val="1"/>
    <w:next w:val="1"/>
    <w:link w:val="72"/>
    <w:qFormat/>
    <w:uiPriority w:val="0"/>
    <w:pPr>
      <w:keepNext/>
      <w:keepLines/>
      <w:spacing w:before="260" w:after="260" w:line="413" w:lineRule="auto"/>
      <w:outlineLvl w:val="2"/>
    </w:pPr>
    <w:rPr>
      <w:b/>
      <w:bCs/>
      <w:sz w:val="32"/>
      <w:szCs w:val="32"/>
    </w:rPr>
  </w:style>
  <w:style w:type="paragraph" w:styleId="7">
    <w:name w:val="heading 4"/>
    <w:basedOn w:val="1"/>
    <w:next w:val="1"/>
    <w:link w:val="73"/>
    <w:qFormat/>
    <w:uiPriority w:val="0"/>
    <w:pPr>
      <w:keepNext/>
      <w:keepLines/>
      <w:spacing w:before="280" w:after="290" w:line="372" w:lineRule="auto"/>
      <w:outlineLvl w:val="3"/>
    </w:pPr>
    <w:rPr>
      <w:rFonts w:ascii="Arial" w:hAnsi="Arial" w:eastAsia="黑体"/>
      <w:b/>
      <w:bCs/>
      <w:sz w:val="28"/>
      <w:szCs w:val="28"/>
    </w:rPr>
  </w:style>
  <w:style w:type="paragraph" w:styleId="8">
    <w:name w:val="heading 5"/>
    <w:basedOn w:val="1"/>
    <w:next w:val="1"/>
    <w:link w:val="74"/>
    <w:qFormat/>
    <w:uiPriority w:val="0"/>
    <w:pPr>
      <w:keepNext/>
      <w:keepLines/>
      <w:spacing w:before="280" w:after="290" w:line="372" w:lineRule="auto"/>
      <w:outlineLvl w:val="4"/>
    </w:pPr>
    <w:rPr>
      <w:rFonts w:ascii="Calibri" w:hAnsi="Calibri"/>
      <w:b/>
      <w:bCs/>
      <w:sz w:val="28"/>
      <w:szCs w:val="28"/>
    </w:rPr>
  </w:style>
  <w:style w:type="paragraph" w:styleId="9">
    <w:name w:val="heading 6"/>
    <w:basedOn w:val="1"/>
    <w:next w:val="1"/>
    <w:link w:val="75"/>
    <w:qFormat/>
    <w:uiPriority w:val="0"/>
    <w:pPr>
      <w:keepNext/>
      <w:keepLines/>
      <w:widowControl/>
      <w:tabs>
        <w:tab w:val="left" w:pos="1440"/>
      </w:tabs>
      <w:spacing w:before="240" w:after="64" w:line="317" w:lineRule="auto"/>
      <w:ind w:left="1152" w:hanging="1152"/>
      <w:jc w:val="left"/>
      <w:outlineLvl w:val="5"/>
    </w:pPr>
    <w:rPr>
      <w:rFonts w:ascii="Arial" w:hAnsi="Arial" w:eastAsia="黑体"/>
      <w:b/>
      <w:bCs/>
      <w:kern w:val="0"/>
      <w:sz w:val="24"/>
    </w:rPr>
  </w:style>
  <w:style w:type="paragraph" w:styleId="10">
    <w:name w:val="heading 7"/>
    <w:basedOn w:val="1"/>
    <w:next w:val="1"/>
    <w:link w:val="76"/>
    <w:qFormat/>
    <w:uiPriority w:val="0"/>
    <w:pPr>
      <w:keepNext/>
      <w:keepLines/>
      <w:widowControl/>
      <w:tabs>
        <w:tab w:val="left" w:pos="2520"/>
      </w:tabs>
      <w:spacing w:before="240" w:after="64" w:line="317" w:lineRule="auto"/>
      <w:ind w:left="1296" w:hanging="1296"/>
      <w:jc w:val="left"/>
      <w:outlineLvl w:val="6"/>
    </w:pPr>
    <w:rPr>
      <w:b/>
      <w:bCs/>
      <w:kern w:val="0"/>
      <w:sz w:val="24"/>
    </w:rPr>
  </w:style>
  <w:style w:type="paragraph" w:styleId="11">
    <w:name w:val="heading 8"/>
    <w:basedOn w:val="1"/>
    <w:next w:val="1"/>
    <w:link w:val="77"/>
    <w:qFormat/>
    <w:uiPriority w:val="0"/>
    <w:pPr>
      <w:keepNext/>
      <w:keepLines/>
      <w:widowControl/>
      <w:tabs>
        <w:tab w:val="left" w:pos="1440"/>
      </w:tabs>
      <w:spacing w:before="240" w:after="64" w:line="317" w:lineRule="auto"/>
      <w:ind w:left="1440" w:hanging="1440"/>
      <w:jc w:val="left"/>
      <w:outlineLvl w:val="7"/>
    </w:pPr>
    <w:rPr>
      <w:rFonts w:ascii="Arial" w:hAnsi="Arial" w:eastAsia="黑体"/>
      <w:kern w:val="0"/>
      <w:sz w:val="24"/>
    </w:rPr>
  </w:style>
  <w:style w:type="paragraph" w:styleId="12">
    <w:name w:val="heading 9"/>
    <w:basedOn w:val="1"/>
    <w:next w:val="1"/>
    <w:link w:val="78"/>
    <w:qFormat/>
    <w:uiPriority w:val="0"/>
    <w:pPr>
      <w:keepNext/>
      <w:keepLines/>
      <w:widowControl/>
      <w:tabs>
        <w:tab w:val="left" w:pos="1584"/>
      </w:tabs>
      <w:spacing w:before="240" w:after="64" w:line="317" w:lineRule="auto"/>
      <w:ind w:left="1584" w:hanging="1584"/>
      <w:jc w:val="left"/>
      <w:outlineLvl w:val="8"/>
    </w:pPr>
    <w:rPr>
      <w:rFonts w:ascii="Arial" w:hAnsi="Arial" w:eastAsia="黑体"/>
      <w:kern w:val="0"/>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link w:val="152"/>
    <w:qFormat/>
    <w:uiPriority w:val="0"/>
    <w:pPr>
      <w:ind w:firstLine="420" w:firstLineChars="100"/>
    </w:pPr>
  </w:style>
  <w:style w:type="paragraph" w:styleId="3">
    <w:name w:val="Body Text"/>
    <w:basedOn w:val="1"/>
    <w:next w:val="1"/>
    <w:link w:val="83"/>
    <w:qFormat/>
    <w:uiPriority w:val="0"/>
    <w:pPr>
      <w:spacing w:after="120"/>
    </w:pPr>
  </w:style>
  <w:style w:type="paragraph" w:styleId="13">
    <w:name w:val="toc 7"/>
    <w:basedOn w:val="1"/>
    <w:next w:val="1"/>
    <w:qFormat/>
    <w:uiPriority w:val="0"/>
    <w:pPr>
      <w:ind w:left="2520" w:leftChars="1200"/>
    </w:pPr>
    <w:rPr>
      <w:rFonts w:ascii="Calibri" w:hAnsi="Calibri"/>
      <w:szCs w:val="22"/>
    </w:rPr>
  </w:style>
  <w:style w:type="paragraph" w:styleId="14">
    <w:name w:val="List Number 2"/>
    <w:basedOn w:val="1"/>
    <w:qFormat/>
    <w:uiPriority w:val="0"/>
    <w:pPr>
      <w:widowControl/>
      <w:tabs>
        <w:tab w:val="left" w:pos="1697"/>
      </w:tabs>
      <w:spacing w:afterLines="50"/>
      <w:ind w:left="1697" w:hanging="420"/>
      <w:jc w:val="left"/>
    </w:pPr>
    <w:rPr>
      <w:kern w:val="0"/>
      <w:sz w:val="24"/>
      <w:szCs w:val="20"/>
    </w:rPr>
  </w:style>
  <w:style w:type="paragraph" w:styleId="15">
    <w:name w:val="List Number"/>
    <w:basedOn w:val="1"/>
    <w:qFormat/>
    <w:uiPriority w:val="0"/>
    <w:pPr>
      <w:widowControl/>
      <w:tabs>
        <w:tab w:val="left" w:pos="454"/>
      </w:tabs>
      <w:spacing w:afterLines="50"/>
      <w:ind w:left="454" w:hanging="284"/>
      <w:jc w:val="left"/>
    </w:pPr>
    <w:rPr>
      <w:kern w:val="0"/>
      <w:sz w:val="24"/>
      <w:szCs w:val="20"/>
    </w:rPr>
  </w:style>
  <w:style w:type="paragraph" w:styleId="16">
    <w:name w:val="Normal Indent"/>
    <w:basedOn w:val="1"/>
    <w:link w:val="79"/>
    <w:qFormat/>
    <w:uiPriority w:val="0"/>
    <w:pPr>
      <w:ind w:firstLine="420" w:firstLineChars="200"/>
    </w:pPr>
  </w:style>
  <w:style w:type="paragraph" w:styleId="17">
    <w:name w:val="caption"/>
    <w:basedOn w:val="1"/>
    <w:next w:val="1"/>
    <w:link w:val="80"/>
    <w:qFormat/>
    <w:uiPriority w:val="0"/>
    <w:rPr>
      <w:rFonts w:ascii="Cambria" w:hAnsi="Cambria" w:eastAsia="黑体"/>
      <w:sz w:val="20"/>
      <w:szCs w:val="20"/>
    </w:rPr>
  </w:style>
  <w:style w:type="paragraph" w:styleId="18">
    <w:name w:val="Document Map"/>
    <w:basedOn w:val="1"/>
    <w:link w:val="81"/>
    <w:qFormat/>
    <w:uiPriority w:val="0"/>
    <w:pPr>
      <w:shd w:val="clear" w:color="auto" w:fill="000080"/>
    </w:pPr>
    <w:rPr>
      <w:kern w:val="0"/>
      <w:sz w:val="20"/>
      <w:shd w:val="clear" w:color="auto" w:fill="000080"/>
    </w:rPr>
  </w:style>
  <w:style w:type="paragraph" w:styleId="19">
    <w:name w:val="annotation text"/>
    <w:basedOn w:val="1"/>
    <w:link w:val="82"/>
    <w:qFormat/>
    <w:uiPriority w:val="0"/>
    <w:pPr>
      <w:jc w:val="left"/>
    </w:pPr>
    <w:rPr>
      <w:szCs w:val="22"/>
    </w:rPr>
  </w:style>
  <w:style w:type="paragraph" w:styleId="20">
    <w:name w:val="Body Text 3"/>
    <w:basedOn w:val="1"/>
    <w:qFormat/>
    <w:uiPriority w:val="0"/>
    <w:rPr>
      <w:rFonts w:ascii="宋体"/>
      <w:sz w:val="24"/>
      <w:szCs w:val="20"/>
    </w:rPr>
  </w:style>
  <w:style w:type="paragraph" w:styleId="21">
    <w:name w:val="Body Text Indent"/>
    <w:basedOn w:val="1"/>
    <w:link w:val="84"/>
    <w:qFormat/>
    <w:uiPriority w:val="0"/>
    <w:pPr>
      <w:spacing w:after="120"/>
      <w:ind w:left="420" w:leftChars="200"/>
    </w:pPr>
  </w:style>
  <w:style w:type="paragraph" w:styleId="22">
    <w:name w:val="List Number 3"/>
    <w:basedOn w:val="1"/>
    <w:qFormat/>
    <w:uiPriority w:val="0"/>
    <w:pPr>
      <w:widowControl/>
      <w:tabs>
        <w:tab w:val="left" w:pos="482"/>
      </w:tabs>
      <w:spacing w:afterLines="50"/>
      <w:ind w:left="482" w:hanging="340"/>
      <w:jc w:val="left"/>
    </w:pPr>
    <w:rPr>
      <w:kern w:val="0"/>
      <w:sz w:val="24"/>
      <w:szCs w:val="20"/>
    </w:rPr>
  </w:style>
  <w:style w:type="paragraph" w:styleId="23">
    <w:name w:val="List 2"/>
    <w:basedOn w:val="1"/>
    <w:qFormat/>
    <w:uiPriority w:val="0"/>
    <w:pPr>
      <w:ind w:left="100" w:leftChars="200" w:hanging="200" w:hangingChars="200"/>
      <w:contextualSpacing/>
    </w:pPr>
  </w:style>
  <w:style w:type="paragraph" w:styleId="24">
    <w:name w:val="Block Text"/>
    <w:basedOn w:val="1"/>
    <w:qFormat/>
    <w:uiPriority w:val="0"/>
    <w:pPr>
      <w:spacing w:before="120" w:line="360" w:lineRule="auto"/>
      <w:ind w:left="824" w:right="202"/>
    </w:pPr>
    <w:rPr>
      <w:rFonts w:ascii="宋体" w:hAnsi="宋体"/>
      <w:sz w:val="24"/>
      <w:szCs w:val="21"/>
    </w:rPr>
  </w:style>
  <w:style w:type="paragraph" w:styleId="25">
    <w:name w:val="index 4"/>
    <w:basedOn w:val="1"/>
    <w:next w:val="1"/>
    <w:qFormat/>
    <w:uiPriority w:val="0"/>
    <w:pPr>
      <w:ind w:left="600" w:leftChars="600"/>
    </w:pPr>
  </w:style>
  <w:style w:type="paragraph" w:styleId="26">
    <w:name w:val="toc 5"/>
    <w:basedOn w:val="1"/>
    <w:next w:val="1"/>
    <w:qFormat/>
    <w:uiPriority w:val="0"/>
    <w:pPr>
      <w:tabs>
        <w:tab w:val="right" w:leader="dot" w:pos="8296"/>
      </w:tabs>
      <w:ind w:left="1050" w:leftChars="500"/>
    </w:pPr>
    <w:rPr>
      <w:rFonts w:ascii="Calibri" w:hAnsi="Calibri"/>
      <w:szCs w:val="22"/>
    </w:rPr>
  </w:style>
  <w:style w:type="paragraph" w:styleId="27">
    <w:name w:val="toc 3"/>
    <w:basedOn w:val="1"/>
    <w:next w:val="1"/>
    <w:qFormat/>
    <w:uiPriority w:val="0"/>
    <w:pPr>
      <w:ind w:left="840" w:leftChars="400"/>
    </w:pPr>
  </w:style>
  <w:style w:type="paragraph" w:styleId="28">
    <w:name w:val="Plain Text"/>
    <w:basedOn w:val="1"/>
    <w:link w:val="139"/>
    <w:qFormat/>
    <w:uiPriority w:val="0"/>
    <w:rPr>
      <w:rFonts w:ascii="宋体" w:hAnsi="Courier New"/>
      <w:kern w:val="0"/>
      <w:sz w:val="20"/>
      <w:szCs w:val="20"/>
    </w:rPr>
  </w:style>
  <w:style w:type="paragraph" w:styleId="29">
    <w:name w:val="toc 8"/>
    <w:basedOn w:val="1"/>
    <w:next w:val="1"/>
    <w:qFormat/>
    <w:uiPriority w:val="0"/>
    <w:pPr>
      <w:ind w:left="2940" w:leftChars="1400"/>
    </w:pPr>
    <w:rPr>
      <w:rFonts w:ascii="Calibri" w:hAnsi="Calibri"/>
      <w:szCs w:val="22"/>
    </w:rPr>
  </w:style>
  <w:style w:type="paragraph" w:styleId="30">
    <w:name w:val="Date"/>
    <w:basedOn w:val="1"/>
    <w:next w:val="1"/>
    <w:link w:val="85"/>
    <w:qFormat/>
    <w:uiPriority w:val="0"/>
    <w:pPr>
      <w:ind w:left="100" w:leftChars="2500"/>
    </w:pPr>
  </w:style>
  <w:style w:type="paragraph" w:styleId="31">
    <w:name w:val="Body Text Indent 2"/>
    <w:basedOn w:val="1"/>
    <w:link w:val="188"/>
    <w:qFormat/>
    <w:uiPriority w:val="0"/>
    <w:pPr>
      <w:spacing w:after="120" w:line="480" w:lineRule="auto"/>
      <w:ind w:left="420" w:leftChars="200"/>
    </w:pPr>
    <w:rPr>
      <w:kern w:val="0"/>
      <w:sz w:val="24"/>
      <w:szCs w:val="20"/>
    </w:rPr>
  </w:style>
  <w:style w:type="paragraph" w:styleId="32">
    <w:name w:val="Balloon Text"/>
    <w:basedOn w:val="1"/>
    <w:link w:val="86"/>
    <w:unhideWhenUsed/>
    <w:qFormat/>
    <w:uiPriority w:val="0"/>
    <w:rPr>
      <w:sz w:val="18"/>
      <w:szCs w:val="18"/>
    </w:rPr>
  </w:style>
  <w:style w:type="paragraph" w:styleId="33">
    <w:name w:val="footer"/>
    <w:basedOn w:val="1"/>
    <w:link w:val="87"/>
    <w:qFormat/>
    <w:uiPriority w:val="99"/>
    <w:pPr>
      <w:tabs>
        <w:tab w:val="center" w:pos="4153"/>
        <w:tab w:val="right" w:pos="8306"/>
      </w:tabs>
      <w:snapToGrid w:val="0"/>
      <w:jc w:val="center"/>
    </w:pPr>
    <w:rPr>
      <w:sz w:val="18"/>
      <w:szCs w:val="18"/>
    </w:rPr>
  </w:style>
  <w:style w:type="paragraph" w:styleId="34">
    <w:name w:val="header"/>
    <w:basedOn w:val="1"/>
    <w:link w:val="88"/>
    <w:qFormat/>
    <w:uiPriority w:val="0"/>
    <w:pPr>
      <w:pBdr>
        <w:bottom w:val="single" w:color="auto" w:sz="6" w:space="1"/>
      </w:pBdr>
      <w:tabs>
        <w:tab w:val="center" w:pos="4153"/>
        <w:tab w:val="right" w:pos="8306"/>
      </w:tabs>
      <w:snapToGrid w:val="0"/>
      <w:jc w:val="center"/>
    </w:pPr>
    <w:rPr>
      <w:sz w:val="18"/>
      <w:szCs w:val="18"/>
    </w:rPr>
  </w:style>
  <w:style w:type="paragraph" w:styleId="35">
    <w:name w:val="toc 1"/>
    <w:basedOn w:val="1"/>
    <w:next w:val="1"/>
    <w:qFormat/>
    <w:uiPriority w:val="0"/>
    <w:pPr>
      <w:tabs>
        <w:tab w:val="right" w:leader="dot" w:pos="8296"/>
      </w:tabs>
      <w:outlineLvl w:val="0"/>
    </w:pPr>
    <w:rPr>
      <w:rFonts w:eastAsia="仿宋_GB2312"/>
      <w:b/>
      <w:sz w:val="24"/>
      <w:szCs w:val="20"/>
    </w:rPr>
  </w:style>
  <w:style w:type="paragraph" w:styleId="36">
    <w:name w:val="toc 4"/>
    <w:basedOn w:val="1"/>
    <w:next w:val="1"/>
    <w:qFormat/>
    <w:uiPriority w:val="0"/>
    <w:pPr>
      <w:tabs>
        <w:tab w:val="left" w:pos="1890"/>
        <w:tab w:val="right" w:leader="dot" w:pos="8296"/>
      </w:tabs>
      <w:ind w:left="630" w:leftChars="300"/>
    </w:pPr>
    <w:rPr>
      <w:rFonts w:ascii="Calibri" w:hAnsi="Calibri"/>
      <w:szCs w:val="22"/>
    </w:rPr>
  </w:style>
  <w:style w:type="paragraph" w:styleId="37">
    <w:name w:val="Subtitle"/>
    <w:basedOn w:val="1"/>
    <w:next w:val="1"/>
    <w:link w:val="89"/>
    <w:qFormat/>
    <w:uiPriority w:val="11"/>
    <w:pPr>
      <w:spacing w:before="240" w:after="60" w:line="312" w:lineRule="auto"/>
      <w:jc w:val="center"/>
      <w:outlineLvl w:val="1"/>
    </w:pPr>
    <w:rPr>
      <w:rFonts w:ascii="Cambria" w:hAnsi="Cambria"/>
      <w:b/>
      <w:bCs/>
      <w:kern w:val="28"/>
      <w:sz w:val="32"/>
      <w:szCs w:val="32"/>
    </w:rPr>
  </w:style>
  <w:style w:type="paragraph" w:styleId="38">
    <w:name w:val="List"/>
    <w:basedOn w:val="1"/>
    <w:qFormat/>
    <w:uiPriority w:val="0"/>
    <w:pPr>
      <w:ind w:left="200" w:hanging="200" w:hangingChars="200"/>
      <w:contextualSpacing/>
    </w:pPr>
  </w:style>
  <w:style w:type="paragraph" w:styleId="39">
    <w:name w:val="toc 6"/>
    <w:basedOn w:val="1"/>
    <w:next w:val="1"/>
    <w:qFormat/>
    <w:uiPriority w:val="0"/>
    <w:pPr>
      <w:ind w:left="2100" w:leftChars="1000"/>
    </w:pPr>
    <w:rPr>
      <w:rFonts w:ascii="Calibri" w:hAnsi="Calibri"/>
      <w:szCs w:val="22"/>
    </w:rPr>
  </w:style>
  <w:style w:type="paragraph" w:styleId="40">
    <w:name w:val="Body Text Indent 3"/>
    <w:basedOn w:val="1"/>
    <w:link w:val="90"/>
    <w:qFormat/>
    <w:uiPriority w:val="0"/>
    <w:pPr>
      <w:spacing w:after="120"/>
      <w:ind w:left="420" w:leftChars="200"/>
    </w:pPr>
    <w:rPr>
      <w:sz w:val="16"/>
      <w:szCs w:val="16"/>
    </w:rPr>
  </w:style>
  <w:style w:type="paragraph" w:styleId="41">
    <w:name w:val="toc 2"/>
    <w:basedOn w:val="1"/>
    <w:next w:val="1"/>
    <w:qFormat/>
    <w:uiPriority w:val="0"/>
    <w:pPr>
      <w:ind w:left="420" w:leftChars="200"/>
    </w:pPr>
    <w:rPr>
      <w:rFonts w:eastAsia="仿宋_GB2312"/>
      <w:sz w:val="24"/>
    </w:rPr>
  </w:style>
  <w:style w:type="paragraph" w:styleId="42">
    <w:name w:val="toc 9"/>
    <w:basedOn w:val="1"/>
    <w:next w:val="1"/>
    <w:qFormat/>
    <w:uiPriority w:val="0"/>
    <w:pPr>
      <w:ind w:left="3360" w:leftChars="1600"/>
    </w:pPr>
    <w:rPr>
      <w:rFonts w:ascii="Calibri" w:hAnsi="Calibri"/>
      <w:szCs w:val="22"/>
    </w:rPr>
  </w:style>
  <w:style w:type="paragraph" w:styleId="43">
    <w:name w:val="Body Text 2"/>
    <w:basedOn w:val="1"/>
    <w:link w:val="201"/>
    <w:qFormat/>
    <w:uiPriority w:val="0"/>
    <w:pPr>
      <w:widowControl/>
      <w:spacing w:afterLines="50" w:line="216" w:lineRule="auto"/>
      <w:jc w:val="center"/>
    </w:pPr>
    <w:rPr>
      <w:rFonts w:ascii="隶书" w:eastAsia="隶书"/>
      <w:kern w:val="0"/>
      <w:sz w:val="84"/>
      <w:szCs w:val="20"/>
    </w:rPr>
  </w:style>
  <w:style w:type="paragraph" w:styleId="44">
    <w:name w:val="List Continue 2"/>
    <w:basedOn w:val="1"/>
    <w:qFormat/>
    <w:uiPriority w:val="0"/>
    <w:pPr>
      <w:spacing w:after="120"/>
      <w:ind w:left="840" w:leftChars="400"/>
    </w:pPr>
  </w:style>
  <w:style w:type="paragraph" w:styleId="45">
    <w:name w:val="HTML Preformatted"/>
    <w:basedOn w:val="1"/>
    <w:link w:val="16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kern w:val="0"/>
      <w:sz w:val="20"/>
      <w:szCs w:val="20"/>
    </w:rPr>
  </w:style>
  <w:style w:type="paragraph" w:styleId="46">
    <w:name w:val="Normal (Web)"/>
    <w:basedOn w:val="1"/>
    <w:qFormat/>
    <w:uiPriority w:val="0"/>
    <w:pPr>
      <w:widowControl/>
      <w:spacing w:before="100" w:beforeAutospacing="1" w:after="100" w:afterAutospacing="1" w:line="320" w:lineRule="atLeast"/>
      <w:jc w:val="left"/>
    </w:pPr>
    <w:rPr>
      <w:rFonts w:ascii="宋体" w:hAnsi="宋体"/>
      <w:kern w:val="0"/>
      <w:sz w:val="18"/>
      <w:szCs w:val="18"/>
    </w:rPr>
  </w:style>
  <w:style w:type="paragraph" w:styleId="47">
    <w:name w:val="index 1"/>
    <w:basedOn w:val="1"/>
    <w:next w:val="1"/>
    <w:qFormat/>
    <w:uiPriority w:val="0"/>
    <w:pPr>
      <w:spacing w:line="220" w:lineRule="exact"/>
      <w:jc w:val="center"/>
    </w:pPr>
    <w:rPr>
      <w:rFonts w:ascii="仿宋_GB2312" w:eastAsia="仿宋_GB2312"/>
      <w:szCs w:val="21"/>
    </w:rPr>
  </w:style>
  <w:style w:type="paragraph" w:styleId="48">
    <w:name w:val="Title"/>
    <w:basedOn w:val="1"/>
    <w:link w:val="91"/>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9">
    <w:name w:val="annotation subject"/>
    <w:basedOn w:val="19"/>
    <w:next w:val="19"/>
    <w:link w:val="92"/>
    <w:qFormat/>
    <w:uiPriority w:val="0"/>
    <w:rPr>
      <w:rFonts w:ascii="宋体"/>
      <w:b/>
      <w:bCs/>
      <w:kern w:val="0"/>
      <w:sz w:val="28"/>
      <w:szCs w:val="20"/>
    </w:rPr>
  </w:style>
  <w:style w:type="paragraph" w:styleId="50">
    <w:name w:val="Body Text First Indent 2"/>
    <w:basedOn w:val="21"/>
    <w:link w:val="155"/>
    <w:qFormat/>
    <w:uiPriority w:val="0"/>
    <w:pPr>
      <w:ind w:firstLine="420" w:firstLineChars="200"/>
    </w:pPr>
    <w:rPr>
      <w:kern w:val="0"/>
      <w:sz w:val="24"/>
    </w:rPr>
  </w:style>
  <w:style w:type="table" w:styleId="52">
    <w:name w:val="Table Grid"/>
    <w:basedOn w:val="51"/>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54">
    <w:name w:val="Strong"/>
    <w:qFormat/>
    <w:uiPriority w:val="22"/>
    <w:rPr>
      <w:b/>
      <w:bCs/>
    </w:rPr>
  </w:style>
  <w:style w:type="character" w:styleId="55">
    <w:name w:val="page number"/>
    <w:basedOn w:val="53"/>
    <w:qFormat/>
    <w:uiPriority w:val="0"/>
  </w:style>
  <w:style w:type="character" w:styleId="56">
    <w:name w:val="FollowedHyperlink"/>
    <w:basedOn w:val="53"/>
    <w:qFormat/>
    <w:uiPriority w:val="99"/>
    <w:rPr>
      <w:color w:val="800080"/>
      <w:u w:val="none"/>
    </w:rPr>
  </w:style>
  <w:style w:type="character" w:styleId="57">
    <w:name w:val="Emphasis"/>
    <w:qFormat/>
    <w:uiPriority w:val="0"/>
    <w:rPr>
      <w:i/>
      <w:iCs/>
    </w:rPr>
  </w:style>
  <w:style w:type="character" w:styleId="58">
    <w:name w:val="HTML Definition"/>
    <w:qFormat/>
    <w:uiPriority w:val="99"/>
    <w:rPr>
      <w:rFonts w:cs="Times New Roman"/>
    </w:rPr>
  </w:style>
  <w:style w:type="character" w:styleId="59">
    <w:name w:val="HTML Typewriter"/>
    <w:qFormat/>
    <w:uiPriority w:val="99"/>
    <w:rPr>
      <w:rFonts w:ascii="Monospace" w:hAnsi="Monospace" w:eastAsia="Times New Roman" w:cs="Times New Roman"/>
      <w:sz w:val="20"/>
    </w:rPr>
  </w:style>
  <w:style w:type="character" w:styleId="60">
    <w:name w:val="HTML Acronym"/>
    <w:qFormat/>
    <w:uiPriority w:val="99"/>
    <w:rPr>
      <w:rFonts w:cs="Times New Roman"/>
    </w:rPr>
  </w:style>
  <w:style w:type="character" w:styleId="61">
    <w:name w:val="HTML Variable"/>
    <w:qFormat/>
    <w:uiPriority w:val="99"/>
    <w:rPr>
      <w:rFonts w:cs="Times New Roman"/>
    </w:rPr>
  </w:style>
  <w:style w:type="character" w:styleId="62">
    <w:name w:val="Hyperlink"/>
    <w:basedOn w:val="53"/>
    <w:qFormat/>
    <w:uiPriority w:val="99"/>
    <w:rPr>
      <w:color w:val="0000FF"/>
      <w:u w:val="none"/>
    </w:rPr>
  </w:style>
  <w:style w:type="character" w:styleId="63">
    <w:name w:val="HTML Code"/>
    <w:qFormat/>
    <w:uiPriority w:val="99"/>
    <w:rPr>
      <w:rFonts w:ascii="Monospace" w:hAnsi="Monospace" w:eastAsia="Times New Roman" w:cs="Times New Roman"/>
      <w:sz w:val="20"/>
    </w:rPr>
  </w:style>
  <w:style w:type="character" w:styleId="64">
    <w:name w:val="annotation reference"/>
    <w:qFormat/>
    <w:uiPriority w:val="99"/>
    <w:rPr>
      <w:rFonts w:cs="Times New Roman"/>
      <w:sz w:val="21"/>
      <w:szCs w:val="21"/>
    </w:rPr>
  </w:style>
  <w:style w:type="character" w:styleId="65">
    <w:name w:val="HTML Cite"/>
    <w:qFormat/>
    <w:uiPriority w:val="99"/>
    <w:rPr>
      <w:rFonts w:cs="Times New Roman"/>
    </w:rPr>
  </w:style>
  <w:style w:type="character" w:styleId="66">
    <w:name w:val="HTML Keyboard"/>
    <w:qFormat/>
    <w:uiPriority w:val="99"/>
    <w:rPr>
      <w:rFonts w:ascii="Monospace" w:hAnsi="Monospace" w:eastAsia="Times New Roman" w:cs="Times New Roman"/>
      <w:sz w:val="20"/>
    </w:rPr>
  </w:style>
  <w:style w:type="character" w:styleId="67">
    <w:name w:val="HTML Sample"/>
    <w:qFormat/>
    <w:uiPriority w:val="99"/>
    <w:rPr>
      <w:rFonts w:ascii="Monospace" w:hAnsi="Monospace" w:eastAsia="Times New Roman" w:cs="Times New Roman"/>
    </w:rPr>
  </w:style>
  <w:style w:type="paragraph" w:customStyle="1" w:styleId="68">
    <w:name w:val="三级无标题条"/>
    <w:basedOn w:val="1"/>
    <w:qFormat/>
    <w:uiPriority w:val="0"/>
    <w:pPr>
      <w:ind w:left="432"/>
    </w:pPr>
    <w:rPr>
      <w:szCs w:val="20"/>
    </w:rPr>
  </w:style>
  <w:style w:type="paragraph" w:customStyle="1" w:styleId="69">
    <w:name w:val="Heading1"/>
    <w:basedOn w:val="1"/>
    <w:next w:val="1"/>
    <w:qFormat/>
    <w:uiPriority w:val="0"/>
    <w:pPr>
      <w:keepNext/>
      <w:keepLines/>
      <w:spacing w:before="340" w:after="330" w:line="576" w:lineRule="auto"/>
      <w:textAlignment w:val="baseline"/>
    </w:pPr>
    <w:rPr>
      <w:b/>
      <w:bCs/>
      <w:kern w:val="44"/>
      <w:sz w:val="44"/>
      <w:szCs w:val="44"/>
    </w:rPr>
  </w:style>
  <w:style w:type="character" w:customStyle="1" w:styleId="70">
    <w:name w:val="标题 1 字符"/>
    <w:link w:val="4"/>
    <w:qFormat/>
    <w:uiPriority w:val="0"/>
    <w:rPr>
      <w:b/>
      <w:bCs/>
      <w:kern w:val="44"/>
      <w:sz w:val="44"/>
      <w:szCs w:val="44"/>
    </w:rPr>
  </w:style>
  <w:style w:type="character" w:customStyle="1" w:styleId="71">
    <w:name w:val="标题 2 字符"/>
    <w:link w:val="5"/>
    <w:qFormat/>
    <w:uiPriority w:val="0"/>
    <w:rPr>
      <w:rFonts w:ascii="Arial" w:hAnsi="Arial" w:eastAsia="黑体"/>
      <w:b/>
      <w:bCs/>
      <w:kern w:val="2"/>
      <w:sz w:val="32"/>
      <w:szCs w:val="32"/>
      <w:lang w:val="en-US" w:eastAsia="zh-CN" w:bidi="ar-SA"/>
    </w:rPr>
  </w:style>
  <w:style w:type="character" w:customStyle="1" w:styleId="72">
    <w:name w:val="标题 3 字符"/>
    <w:link w:val="6"/>
    <w:qFormat/>
    <w:uiPriority w:val="0"/>
    <w:rPr>
      <w:b/>
      <w:bCs/>
      <w:kern w:val="2"/>
      <w:sz w:val="32"/>
      <w:szCs w:val="32"/>
    </w:rPr>
  </w:style>
  <w:style w:type="character" w:customStyle="1" w:styleId="73">
    <w:name w:val="标题 4 字符"/>
    <w:link w:val="7"/>
    <w:qFormat/>
    <w:uiPriority w:val="0"/>
    <w:rPr>
      <w:rFonts w:ascii="Arial" w:hAnsi="Arial" w:eastAsia="黑体"/>
      <w:b/>
      <w:bCs/>
      <w:kern w:val="2"/>
      <w:sz w:val="28"/>
      <w:szCs w:val="28"/>
    </w:rPr>
  </w:style>
  <w:style w:type="character" w:customStyle="1" w:styleId="74">
    <w:name w:val="标题 5 字符"/>
    <w:link w:val="8"/>
    <w:qFormat/>
    <w:uiPriority w:val="0"/>
    <w:rPr>
      <w:rFonts w:ascii="Calibri" w:hAnsi="Calibri"/>
      <w:b/>
      <w:bCs/>
      <w:kern w:val="2"/>
      <w:sz w:val="28"/>
      <w:szCs w:val="28"/>
    </w:rPr>
  </w:style>
  <w:style w:type="character" w:customStyle="1" w:styleId="75">
    <w:name w:val="标题 6 字符"/>
    <w:link w:val="9"/>
    <w:qFormat/>
    <w:uiPriority w:val="0"/>
    <w:rPr>
      <w:rFonts w:ascii="Arial" w:hAnsi="Arial" w:eastAsia="黑体"/>
      <w:b/>
      <w:bCs/>
      <w:sz w:val="24"/>
      <w:szCs w:val="24"/>
    </w:rPr>
  </w:style>
  <w:style w:type="character" w:customStyle="1" w:styleId="76">
    <w:name w:val="标题 7 字符"/>
    <w:link w:val="10"/>
    <w:qFormat/>
    <w:uiPriority w:val="0"/>
    <w:rPr>
      <w:b/>
      <w:bCs/>
      <w:sz w:val="24"/>
      <w:szCs w:val="24"/>
    </w:rPr>
  </w:style>
  <w:style w:type="character" w:customStyle="1" w:styleId="77">
    <w:name w:val="标题 8 字符"/>
    <w:link w:val="11"/>
    <w:qFormat/>
    <w:uiPriority w:val="0"/>
    <w:rPr>
      <w:rFonts w:ascii="Arial" w:hAnsi="Arial" w:eastAsia="黑体"/>
      <w:sz w:val="24"/>
      <w:szCs w:val="24"/>
    </w:rPr>
  </w:style>
  <w:style w:type="character" w:customStyle="1" w:styleId="78">
    <w:name w:val="标题 9 字符"/>
    <w:link w:val="12"/>
    <w:qFormat/>
    <w:uiPriority w:val="0"/>
    <w:rPr>
      <w:rFonts w:ascii="Arial" w:hAnsi="Arial" w:eastAsia="黑体"/>
      <w:sz w:val="21"/>
      <w:szCs w:val="21"/>
    </w:rPr>
  </w:style>
  <w:style w:type="character" w:customStyle="1" w:styleId="79">
    <w:name w:val="正文缩进 字符"/>
    <w:link w:val="16"/>
    <w:qFormat/>
    <w:locked/>
    <w:uiPriority w:val="0"/>
    <w:rPr>
      <w:kern w:val="2"/>
      <w:sz w:val="21"/>
      <w:szCs w:val="24"/>
    </w:rPr>
  </w:style>
  <w:style w:type="character" w:customStyle="1" w:styleId="80">
    <w:name w:val="题注 字符1"/>
    <w:link w:val="17"/>
    <w:qFormat/>
    <w:locked/>
    <w:uiPriority w:val="0"/>
    <w:rPr>
      <w:rFonts w:ascii="Cambria" w:hAnsi="Cambria" w:eastAsia="黑体"/>
      <w:kern w:val="2"/>
    </w:rPr>
  </w:style>
  <w:style w:type="character" w:customStyle="1" w:styleId="81">
    <w:name w:val="文档结构图 字符"/>
    <w:link w:val="18"/>
    <w:qFormat/>
    <w:uiPriority w:val="0"/>
    <w:rPr>
      <w:szCs w:val="24"/>
      <w:shd w:val="clear" w:color="auto" w:fill="000080"/>
    </w:rPr>
  </w:style>
  <w:style w:type="character" w:customStyle="1" w:styleId="82">
    <w:name w:val="批注文字 字符"/>
    <w:link w:val="19"/>
    <w:qFormat/>
    <w:uiPriority w:val="0"/>
    <w:rPr>
      <w:kern w:val="2"/>
      <w:sz w:val="21"/>
      <w:szCs w:val="22"/>
    </w:rPr>
  </w:style>
  <w:style w:type="character" w:customStyle="1" w:styleId="83">
    <w:name w:val="正文文本 字符"/>
    <w:link w:val="3"/>
    <w:qFormat/>
    <w:uiPriority w:val="0"/>
    <w:rPr>
      <w:kern w:val="2"/>
      <w:sz w:val="21"/>
      <w:szCs w:val="24"/>
    </w:rPr>
  </w:style>
  <w:style w:type="character" w:customStyle="1" w:styleId="84">
    <w:name w:val="正文文本缩进 字符"/>
    <w:basedOn w:val="53"/>
    <w:link w:val="21"/>
    <w:qFormat/>
    <w:uiPriority w:val="0"/>
    <w:rPr>
      <w:kern w:val="2"/>
      <w:sz w:val="21"/>
      <w:szCs w:val="24"/>
    </w:rPr>
  </w:style>
  <w:style w:type="character" w:customStyle="1" w:styleId="85">
    <w:name w:val="日期 字符"/>
    <w:link w:val="30"/>
    <w:qFormat/>
    <w:uiPriority w:val="0"/>
    <w:rPr>
      <w:kern w:val="2"/>
      <w:sz w:val="21"/>
      <w:szCs w:val="24"/>
    </w:rPr>
  </w:style>
  <w:style w:type="character" w:customStyle="1" w:styleId="86">
    <w:name w:val="批注框文本 字符"/>
    <w:link w:val="32"/>
    <w:qFormat/>
    <w:uiPriority w:val="0"/>
    <w:rPr>
      <w:kern w:val="2"/>
      <w:sz w:val="18"/>
      <w:szCs w:val="18"/>
    </w:rPr>
  </w:style>
  <w:style w:type="character" w:customStyle="1" w:styleId="87">
    <w:name w:val="页脚 字符"/>
    <w:link w:val="33"/>
    <w:qFormat/>
    <w:uiPriority w:val="99"/>
    <w:rPr>
      <w:kern w:val="2"/>
      <w:sz w:val="18"/>
      <w:szCs w:val="18"/>
    </w:rPr>
  </w:style>
  <w:style w:type="character" w:customStyle="1" w:styleId="88">
    <w:name w:val="页眉 字符"/>
    <w:link w:val="34"/>
    <w:qFormat/>
    <w:uiPriority w:val="0"/>
    <w:rPr>
      <w:kern w:val="2"/>
      <w:sz w:val="18"/>
      <w:szCs w:val="18"/>
    </w:rPr>
  </w:style>
  <w:style w:type="character" w:customStyle="1" w:styleId="89">
    <w:name w:val="副标题 字符"/>
    <w:link w:val="37"/>
    <w:qFormat/>
    <w:uiPriority w:val="11"/>
    <w:rPr>
      <w:rFonts w:ascii="Cambria" w:hAnsi="Cambria"/>
      <w:b/>
      <w:bCs/>
      <w:kern w:val="28"/>
      <w:sz w:val="32"/>
      <w:szCs w:val="32"/>
    </w:rPr>
  </w:style>
  <w:style w:type="character" w:customStyle="1" w:styleId="90">
    <w:name w:val="正文文本缩进 3 字符"/>
    <w:basedOn w:val="53"/>
    <w:link w:val="40"/>
    <w:qFormat/>
    <w:uiPriority w:val="0"/>
    <w:rPr>
      <w:kern w:val="2"/>
      <w:sz w:val="16"/>
      <w:szCs w:val="16"/>
    </w:rPr>
  </w:style>
  <w:style w:type="character" w:customStyle="1" w:styleId="91">
    <w:name w:val="标题 字符"/>
    <w:link w:val="48"/>
    <w:qFormat/>
    <w:uiPriority w:val="0"/>
    <w:rPr>
      <w:rFonts w:ascii="Arial" w:hAnsi="Arial"/>
      <w:b/>
      <w:sz w:val="32"/>
    </w:rPr>
  </w:style>
  <w:style w:type="character" w:customStyle="1" w:styleId="92">
    <w:name w:val="批注主题 字符"/>
    <w:link w:val="49"/>
    <w:qFormat/>
    <w:uiPriority w:val="0"/>
    <w:rPr>
      <w:rFonts w:ascii="宋体"/>
      <w:b/>
      <w:bCs/>
      <w:sz w:val="28"/>
    </w:rPr>
  </w:style>
  <w:style w:type="character" w:customStyle="1" w:styleId="93">
    <w:name w:val="批注主题 Char2"/>
    <w:semiHidden/>
    <w:qFormat/>
    <w:uiPriority w:val="99"/>
    <w:rPr>
      <w:b/>
      <w:bCs/>
      <w:kern w:val="2"/>
      <w:sz w:val="21"/>
      <w:szCs w:val="24"/>
    </w:rPr>
  </w:style>
  <w:style w:type="character" w:customStyle="1" w:styleId="94">
    <w:name w:val="不明显强调1"/>
    <w:qFormat/>
    <w:uiPriority w:val="0"/>
    <w:rPr>
      <w:i/>
      <w:iCs/>
      <w:color w:val="808080"/>
    </w:rPr>
  </w:style>
  <w:style w:type="character" w:customStyle="1" w:styleId="95">
    <w:name w:val="textcontents"/>
    <w:qFormat/>
    <w:uiPriority w:val="0"/>
    <w:rPr>
      <w:rFonts w:cs="Times New Roman"/>
    </w:rPr>
  </w:style>
  <w:style w:type="character" w:customStyle="1" w:styleId="96">
    <w:name w:val="正文文本 Char1"/>
    <w:qFormat/>
    <w:uiPriority w:val="99"/>
    <w:rPr>
      <w:kern w:val="2"/>
      <w:sz w:val="21"/>
      <w:szCs w:val="22"/>
    </w:rPr>
  </w:style>
  <w:style w:type="character" w:customStyle="1" w:styleId="97">
    <w:name w:val="日期 Char1"/>
    <w:qFormat/>
    <w:uiPriority w:val="0"/>
    <w:rPr>
      <w:kern w:val="2"/>
      <w:sz w:val="21"/>
      <w:szCs w:val="22"/>
    </w:rPr>
  </w:style>
  <w:style w:type="character" w:customStyle="1" w:styleId="98">
    <w:name w:val="批注框文本 Char1"/>
    <w:qFormat/>
    <w:uiPriority w:val="0"/>
    <w:rPr>
      <w:kern w:val="2"/>
      <w:sz w:val="18"/>
      <w:szCs w:val="18"/>
    </w:rPr>
  </w:style>
  <w:style w:type="character" w:customStyle="1" w:styleId="99">
    <w:name w:val="标题5 Char Char"/>
    <w:link w:val="100"/>
    <w:qFormat/>
    <w:uiPriority w:val="0"/>
    <w:rPr>
      <w:rFonts w:ascii="Arial" w:hAnsi="Arial"/>
      <w:b/>
      <w:bCs/>
      <w:sz w:val="24"/>
      <w:szCs w:val="32"/>
    </w:rPr>
  </w:style>
  <w:style w:type="paragraph" w:customStyle="1" w:styleId="100">
    <w:name w:val="标题5"/>
    <w:basedOn w:val="6"/>
    <w:link w:val="99"/>
    <w:qFormat/>
    <w:uiPriority w:val="0"/>
    <w:rPr>
      <w:rFonts w:ascii="Arial" w:hAnsi="Arial"/>
      <w:kern w:val="0"/>
      <w:sz w:val="24"/>
    </w:rPr>
  </w:style>
  <w:style w:type="character" w:customStyle="1" w:styleId="101">
    <w:name w:val="批注文字 Char1"/>
    <w:semiHidden/>
    <w:qFormat/>
    <w:uiPriority w:val="99"/>
    <w:rPr>
      <w:kern w:val="2"/>
      <w:sz w:val="21"/>
      <w:szCs w:val="24"/>
    </w:rPr>
  </w:style>
  <w:style w:type="character" w:customStyle="1" w:styleId="102">
    <w:name w:val="明显参考1"/>
    <w:qFormat/>
    <w:uiPriority w:val="0"/>
    <w:rPr>
      <w:b/>
      <w:bCs/>
      <w:smallCaps/>
      <w:color w:val="C0504D"/>
      <w:spacing w:val="5"/>
      <w:u w:val="single"/>
    </w:rPr>
  </w:style>
  <w:style w:type="character" w:customStyle="1" w:styleId="103">
    <w:name w:val="批注主题 Char1"/>
    <w:qFormat/>
    <w:uiPriority w:val="99"/>
    <w:rPr>
      <w:b/>
      <w:bCs/>
      <w:kern w:val="2"/>
      <w:sz w:val="21"/>
      <w:szCs w:val="22"/>
    </w:rPr>
  </w:style>
  <w:style w:type="character" w:customStyle="1" w:styleId="104">
    <w:name w:val="标题4 Char Char"/>
    <w:link w:val="105"/>
    <w:qFormat/>
    <w:uiPriority w:val="0"/>
    <w:rPr>
      <w:rFonts w:ascii="Arial" w:hAnsi="Arial"/>
      <w:b/>
      <w:bCs/>
      <w:sz w:val="24"/>
      <w:szCs w:val="32"/>
    </w:rPr>
  </w:style>
  <w:style w:type="paragraph" w:customStyle="1" w:styleId="105">
    <w:name w:val="标题4"/>
    <w:basedOn w:val="5"/>
    <w:next w:val="25"/>
    <w:link w:val="104"/>
    <w:qFormat/>
    <w:uiPriority w:val="0"/>
    <w:rPr>
      <w:rFonts w:eastAsia="宋体"/>
      <w:kern w:val="0"/>
      <w:sz w:val="24"/>
    </w:rPr>
  </w:style>
  <w:style w:type="character" w:customStyle="1" w:styleId="106">
    <w:name w:val="明显引用 字符"/>
    <w:link w:val="107"/>
    <w:qFormat/>
    <w:uiPriority w:val="0"/>
    <w:rPr>
      <w:b/>
      <w:bCs/>
      <w:i/>
      <w:iCs/>
      <w:color w:val="4F81BD"/>
      <w:kern w:val="2"/>
      <w:sz w:val="21"/>
      <w:szCs w:val="22"/>
    </w:rPr>
  </w:style>
  <w:style w:type="paragraph" w:styleId="107">
    <w:name w:val="Intense Quote"/>
    <w:basedOn w:val="1"/>
    <w:next w:val="1"/>
    <w:link w:val="106"/>
    <w:qFormat/>
    <w:uiPriority w:val="0"/>
    <w:pPr>
      <w:pBdr>
        <w:bottom w:val="single" w:color="4F81BD" w:sz="4" w:space="4"/>
      </w:pBdr>
      <w:spacing w:before="200" w:after="280"/>
      <w:ind w:left="936" w:right="936"/>
    </w:pPr>
    <w:rPr>
      <w:b/>
      <w:bCs/>
      <w:i/>
      <w:iCs/>
      <w:color w:val="4F81BD"/>
      <w:szCs w:val="22"/>
    </w:rPr>
  </w:style>
  <w:style w:type="character" w:customStyle="1" w:styleId="108">
    <w:name w:val="副标题 Char1"/>
    <w:qFormat/>
    <w:uiPriority w:val="11"/>
    <w:rPr>
      <w:rFonts w:ascii="Cambria" w:hAnsi="Cambria" w:cs="Times New Roman"/>
      <w:b/>
      <w:bCs/>
      <w:kern w:val="28"/>
      <w:sz w:val="32"/>
      <w:szCs w:val="32"/>
    </w:rPr>
  </w:style>
  <w:style w:type="character" w:customStyle="1" w:styleId="109">
    <w:name w:val="引用 Char1"/>
    <w:qFormat/>
    <w:uiPriority w:val="29"/>
    <w:rPr>
      <w:i/>
      <w:iCs/>
      <w:color w:val="000000"/>
      <w:kern w:val="2"/>
      <w:sz w:val="21"/>
      <w:szCs w:val="24"/>
    </w:rPr>
  </w:style>
  <w:style w:type="character" w:customStyle="1" w:styleId="110">
    <w:name w:val="批注文字 Char Char"/>
    <w:qFormat/>
    <w:uiPriority w:val="0"/>
    <w:rPr>
      <w:rFonts w:ascii="宋体" w:hAnsi="Times New Roman" w:eastAsia="宋体" w:cs="Times New Roman"/>
      <w:sz w:val="28"/>
      <w:szCs w:val="20"/>
    </w:rPr>
  </w:style>
  <w:style w:type="character" w:customStyle="1" w:styleId="111">
    <w:name w:val="明显强调1"/>
    <w:qFormat/>
    <w:uiPriority w:val="0"/>
    <w:rPr>
      <w:b/>
      <w:bCs/>
      <w:i/>
      <w:iCs/>
      <w:color w:val="4F81BD"/>
    </w:rPr>
  </w:style>
  <w:style w:type="character" w:customStyle="1" w:styleId="112">
    <w:name w:val="文档结构图 Char2"/>
    <w:semiHidden/>
    <w:qFormat/>
    <w:uiPriority w:val="99"/>
    <w:rPr>
      <w:rFonts w:ascii="宋体"/>
      <w:kern w:val="2"/>
      <w:sz w:val="18"/>
      <w:szCs w:val="18"/>
    </w:rPr>
  </w:style>
  <w:style w:type="character" w:customStyle="1" w:styleId="113">
    <w:name w:val="书籍标题1"/>
    <w:qFormat/>
    <w:uiPriority w:val="0"/>
    <w:rPr>
      <w:b/>
      <w:bCs/>
      <w:smallCaps/>
      <w:spacing w:val="5"/>
    </w:rPr>
  </w:style>
  <w:style w:type="character" w:customStyle="1" w:styleId="114">
    <w:name w:val="font161"/>
    <w:qFormat/>
    <w:uiPriority w:val="0"/>
    <w:rPr>
      <w:b/>
      <w:bCs/>
      <w:sz w:val="32"/>
      <w:szCs w:val="32"/>
    </w:rPr>
  </w:style>
  <w:style w:type="character" w:customStyle="1" w:styleId="115">
    <w:name w:val="引用 字符"/>
    <w:link w:val="116"/>
    <w:qFormat/>
    <w:uiPriority w:val="0"/>
    <w:rPr>
      <w:i/>
      <w:iCs/>
      <w:color w:val="000000"/>
      <w:kern w:val="2"/>
      <w:sz w:val="21"/>
      <w:szCs w:val="22"/>
    </w:rPr>
  </w:style>
  <w:style w:type="paragraph" w:styleId="116">
    <w:name w:val="Quote"/>
    <w:basedOn w:val="1"/>
    <w:next w:val="1"/>
    <w:link w:val="115"/>
    <w:qFormat/>
    <w:uiPriority w:val="0"/>
    <w:rPr>
      <w:i/>
      <w:iCs/>
      <w:color w:val="000000"/>
      <w:szCs w:val="22"/>
    </w:rPr>
  </w:style>
  <w:style w:type="character" w:customStyle="1" w:styleId="117">
    <w:name w:val="明显引用 Char1"/>
    <w:qFormat/>
    <w:uiPriority w:val="30"/>
    <w:rPr>
      <w:b/>
      <w:bCs/>
      <w:i/>
      <w:iCs/>
      <w:color w:val="4F81BD"/>
      <w:kern w:val="2"/>
      <w:sz w:val="21"/>
      <w:szCs w:val="24"/>
    </w:rPr>
  </w:style>
  <w:style w:type="character" w:customStyle="1" w:styleId="118">
    <w:name w:val="不明显参考1"/>
    <w:qFormat/>
    <w:uiPriority w:val="0"/>
    <w:rPr>
      <w:smallCaps/>
      <w:color w:val="C0504D"/>
      <w:u w:val="single"/>
    </w:rPr>
  </w:style>
  <w:style w:type="character" w:customStyle="1" w:styleId="119">
    <w:name w:val="文档结构图 Char1"/>
    <w:qFormat/>
    <w:uiPriority w:val="99"/>
    <w:rPr>
      <w:rFonts w:ascii="宋体"/>
      <w:kern w:val="2"/>
      <w:sz w:val="18"/>
      <w:szCs w:val="18"/>
    </w:rPr>
  </w:style>
  <w:style w:type="paragraph" w:customStyle="1" w:styleId="120">
    <w:name w:val="TOC 标题1"/>
    <w:basedOn w:val="4"/>
    <w:next w:val="1"/>
    <w:qFormat/>
    <w:uiPriority w:val="0"/>
    <w:pPr>
      <w:outlineLvl w:val="9"/>
    </w:pPr>
    <w:rPr>
      <w:rFonts w:ascii="Calibri" w:hAnsi="Calibri"/>
    </w:rPr>
  </w:style>
  <w:style w:type="paragraph" w:customStyle="1" w:styleId="121">
    <w:name w:val="标题二"/>
    <w:basedOn w:val="1"/>
    <w:qFormat/>
    <w:uiPriority w:val="0"/>
    <w:pPr>
      <w:jc w:val="center"/>
    </w:pPr>
    <w:rPr>
      <w:b/>
      <w:kern w:val="0"/>
      <w:sz w:val="32"/>
      <w:szCs w:val="20"/>
    </w:rPr>
  </w:style>
  <w:style w:type="paragraph" w:customStyle="1" w:styleId="122">
    <w:name w:val="p0"/>
    <w:basedOn w:val="1"/>
    <w:qFormat/>
    <w:uiPriority w:val="0"/>
    <w:pPr>
      <w:widowControl/>
    </w:pPr>
    <w:rPr>
      <w:kern w:val="0"/>
      <w:szCs w:val="21"/>
    </w:rPr>
  </w:style>
  <w:style w:type="paragraph" w:styleId="123">
    <w:name w:val="No Spacing"/>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24">
    <w:name w:val="样式 标题 3 + (中文) 黑体 小四 非加粗 段前: 7.8 磅 段后: 0 磅 行距: 固定值 20 磅"/>
    <w:basedOn w:val="6"/>
    <w:qFormat/>
    <w:uiPriority w:val="0"/>
    <w:pPr>
      <w:spacing w:before="0" w:after="0" w:line="400" w:lineRule="exact"/>
    </w:pPr>
    <w:rPr>
      <w:rFonts w:eastAsia="黑体" w:cs="宋体"/>
      <w:b w:val="0"/>
      <w:bCs w:val="0"/>
      <w:sz w:val="24"/>
      <w:szCs w:val="20"/>
    </w:rPr>
  </w:style>
  <w:style w:type="paragraph" w:customStyle="1" w:styleId="125">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126">
    <w:name w:val="表格"/>
    <w:basedOn w:val="1"/>
    <w:link w:val="127"/>
    <w:qFormat/>
    <w:uiPriority w:val="0"/>
    <w:pPr>
      <w:jc w:val="center"/>
      <w:textAlignment w:val="center"/>
    </w:pPr>
    <w:rPr>
      <w:rFonts w:ascii="华文细黑" w:hAnsi="华文细黑"/>
      <w:kern w:val="0"/>
      <w:szCs w:val="20"/>
    </w:rPr>
  </w:style>
  <w:style w:type="character" w:customStyle="1" w:styleId="127">
    <w:name w:val="表格 Char Char"/>
    <w:link w:val="126"/>
    <w:qFormat/>
    <w:locked/>
    <w:uiPriority w:val="0"/>
    <w:rPr>
      <w:rFonts w:ascii="华文细黑" w:hAnsi="华文细黑"/>
      <w:sz w:val="21"/>
    </w:rPr>
  </w:style>
  <w:style w:type="paragraph" w:customStyle="1" w:styleId="128">
    <w:name w:val="修订1"/>
    <w:qFormat/>
    <w:uiPriority w:val="0"/>
    <w:rPr>
      <w:rFonts w:ascii="Times New Roman" w:hAnsi="Times New Roman" w:eastAsia="宋体" w:cs="Times New Roman"/>
      <w:kern w:val="2"/>
      <w:sz w:val="21"/>
      <w:szCs w:val="24"/>
      <w:lang w:val="en-US" w:eastAsia="zh-CN" w:bidi="ar-SA"/>
    </w:rPr>
  </w:style>
  <w:style w:type="paragraph" w:customStyle="1" w:styleId="129">
    <w:name w:val="样式 标题 2 + Times New Roman 四号 非加粗 段前: 5 磅 段后: 0 磅 行距: 固定值 20..."/>
    <w:basedOn w:val="5"/>
    <w:qFormat/>
    <w:uiPriority w:val="0"/>
    <w:pPr>
      <w:spacing w:before="100" w:after="0" w:line="400" w:lineRule="exact"/>
    </w:pPr>
    <w:rPr>
      <w:rFonts w:ascii="Times New Roman" w:hAnsi="Times New Roman" w:cs="宋体"/>
      <w:b w:val="0"/>
      <w:bCs w:val="0"/>
      <w:sz w:val="28"/>
      <w:szCs w:val="20"/>
    </w:rPr>
  </w:style>
  <w:style w:type="paragraph" w:styleId="130">
    <w:name w:val="List Paragraph"/>
    <w:basedOn w:val="1"/>
    <w:qFormat/>
    <w:uiPriority w:val="34"/>
    <w:pPr>
      <w:ind w:firstLine="420" w:firstLineChars="200"/>
    </w:pPr>
    <w:rPr>
      <w:rFonts w:ascii="Calibri" w:hAnsi="Calibri"/>
      <w:szCs w:val="22"/>
    </w:rPr>
  </w:style>
  <w:style w:type="paragraph" w:customStyle="1" w:styleId="131">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132">
    <w:name w:val="默认段落字体 Para Char Char Char Char Char Char Char Char Char1 Char Char Char Char"/>
    <w:basedOn w:val="1"/>
    <w:qFormat/>
    <w:uiPriority w:val="0"/>
    <w:rPr>
      <w:szCs w:val="20"/>
    </w:rPr>
  </w:style>
  <w:style w:type="paragraph" w:customStyle="1" w:styleId="133">
    <w:name w:val="样式 标题 1 + 黑体 三号 非加粗 居中 段前: 6 磅 段后: 6 磅 行距: 固定值 20 磅"/>
    <w:basedOn w:val="4"/>
    <w:qFormat/>
    <w:uiPriority w:val="0"/>
    <w:pPr>
      <w:spacing w:before="120" w:after="120" w:line="400" w:lineRule="exact"/>
      <w:jc w:val="center"/>
    </w:pPr>
    <w:rPr>
      <w:rFonts w:ascii="黑体" w:hAnsi="黑体" w:eastAsia="黑体" w:cs="宋体"/>
      <w:b w:val="0"/>
      <w:bCs w:val="0"/>
      <w:sz w:val="32"/>
      <w:szCs w:val="20"/>
    </w:rPr>
  </w:style>
  <w:style w:type="paragraph" w:customStyle="1" w:styleId="134">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135">
    <w:name w:val="表格文字"/>
    <w:basedOn w:val="1"/>
    <w:qFormat/>
    <w:uiPriority w:val="0"/>
    <w:pPr>
      <w:adjustRightInd w:val="0"/>
      <w:spacing w:line="420" w:lineRule="atLeast"/>
      <w:jc w:val="left"/>
      <w:textAlignment w:val="baseline"/>
    </w:pPr>
    <w:rPr>
      <w:kern w:val="0"/>
      <w:szCs w:val="20"/>
    </w:rPr>
  </w:style>
  <w:style w:type="paragraph" w:customStyle="1" w:styleId="136">
    <w:name w:val="1"/>
    <w:basedOn w:val="1"/>
    <w:next w:val="1"/>
    <w:qFormat/>
    <w:uiPriority w:val="0"/>
  </w:style>
  <w:style w:type="paragraph" w:customStyle="1" w:styleId="137">
    <w:name w:val="列表段落1"/>
    <w:basedOn w:val="1"/>
    <w:qFormat/>
    <w:uiPriority w:val="34"/>
    <w:pPr>
      <w:ind w:firstLine="420" w:firstLineChars="200"/>
    </w:pPr>
    <w:rPr>
      <w:rFonts w:ascii="Calibri" w:hAnsi="Calibri"/>
      <w:szCs w:val="22"/>
    </w:rPr>
  </w:style>
  <w:style w:type="paragraph" w:customStyle="1" w:styleId="138">
    <w:name w:val="修订2"/>
    <w:hidden/>
    <w:semiHidden/>
    <w:qFormat/>
    <w:uiPriority w:val="99"/>
    <w:rPr>
      <w:rFonts w:ascii="Times New Roman" w:hAnsi="Times New Roman" w:eastAsia="宋体" w:cs="Times New Roman"/>
      <w:kern w:val="2"/>
      <w:sz w:val="21"/>
      <w:szCs w:val="24"/>
      <w:lang w:val="en-US" w:eastAsia="zh-CN" w:bidi="ar-SA"/>
    </w:rPr>
  </w:style>
  <w:style w:type="character" w:customStyle="1" w:styleId="139">
    <w:name w:val="纯文本 字符"/>
    <w:link w:val="28"/>
    <w:qFormat/>
    <w:locked/>
    <w:uiPriority w:val="0"/>
    <w:rPr>
      <w:rFonts w:ascii="宋体" w:hAnsi="Courier New"/>
    </w:rPr>
  </w:style>
  <w:style w:type="character" w:customStyle="1" w:styleId="140">
    <w:name w:val="纯文本 Char1"/>
    <w:basedOn w:val="53"/>
    <w:qFormat/>
    <w:uiPriority w:val="0"/>
    <w:rPr>
      <w:rFonts w:ascii="宋体" w:hAnsi="Courier New" w:cs="Courier New"/>
      <w:kern w:val="2"/>
      <w:sz w:val="21"/>
      <w:szCs w:val="21"/>
    </w:rPr>
  </w:style>
  <w:style w:type="paragraph" w:customStyle="1" w:styleId="141">
    <w:name w:val="表正文"/>
    <w:basedOn w:val="1"/>
    <w:next w:val="28"/>
    <w:link w:val="142"/>
    <w:qFormat/>
    <w:uiPriority w:val="0"/>
    <w:rPr>
      <w:rFonts w:ascii="宋体" w:hAnsi="Courier New"/>
      <w:szCs w:val="20"/>
    </w:rPr>
  </w:style>
  <w:style w:type="character" w:customStyle="1" w:styleId="142">
    <w:name w:val="表正文 字符"/>
    <w:link w:val="141"/>
    <w:qFormat/>
    <w:uiPriority w:val="0"/>
    <w:rPr>
      <w:rFonts w:ascii="宋体" w:hAnsi="Courier New"/>
      <w:kern w:val="2"/>
      <w:sz w:val="21"/>
    </w:rPr>
  </w:style>
  <w:style w:type="character" w:customStyle="1" w:styleId="143">
    <w:name w:val="不明显强调2"/>
    <w:qFormat/>
    <w:uiPriority w:val="0"/>
    <w:rPr>
      <w:i/>
      <w:iCs/>
      <w:color w:val="808080"/>
    </w:rPr>
  </w:style>
  <w:style w:type="character" w:customStyle="1" w:styleId="144">
    <w:name w:val="明显强调2"/>
    <w:qFormat/>
    <w:uiPriority w:val="0"/>
    <w:rPr>
      <w:b/>
      <w:bCs/>
      <w:i/>
      <w:iCs/>
      <w:color w:val="4F81BD"/>
    </w:rPr>
  </w:style>
  <w:style w:type="character" w:customStyle="1" w:styleId="145">
    <w:name w:val="明显参考2"/>
    <w:qFormat/>
    <w:uiPriority w:val="0"/>
    <w:rPr>
      <w:b/>
      <w:bCs/>
      <w:smallCaps/>
      <w:color w:val="C0504D"/>
      <w:spacing w:val="5"/>
      <w:u w:val="single"/>
    </w:rPr>
  </w:style>
  <w:style w:type="character" w:customStyle="1" w:styleId="146">
    <w:name w:val="书籍标题2"/>
    <w:qFormat/>
    <w:uiPriority w:val="0"/>
    <w:rPr>
      <w:b/>
      <w:bCs/>
      <w:smallCaps/>
      <w:spacing w:val="5"/>
    </w:rPr>
  </w:style>
  <w:style w:type="character" w:customStyle="1" w:styleId="147">
    <w:name w:val="不明显参考2"/>
    <w:qFormat/>
    <w:uiPriority w:val="0"/>
    <w:rPr>
      <w:smallCaps/>
      <w:color w:val="C0504D"/>
      <w:u w:val="single"/>
    </w:rPr>
  </w:style>
  <w:style w:type="character" w:customStyle="1" w:styleId="148">
    <w:name w:val="正文文本缩进 Char2"/>
    <w:basedOn w:val="53"/>
    <w:qFormat/>
    <w:uiPriority w:val="0"/>
    <w:rPr>
      <w:kern w:val="2"/>
      <w:sz w:val="21"/>
      <w:szCs w:val="24"/>
    </w:rPr>
  </w:style>
  <w:style w:type="paragraph" w:customStyle="1" w:styleId="149">
    <w:name w:val="TOC 标题2"/>
    <w:basedOn w:val="4"/>
    <w:next w:val="1"/>
    <w:qFormat/>
    <w:uiPriority w:val="0"/>
    <w:pPr>
      <w:outlineLvl w:val="9"/>
    </w:pPr>
    <w:rPr>
      <w:rFonts w:ascii="Calibri" w:hAnsi="Calibri"/>
    </w:rPr>
  </w:style>
  <w:style w:type="paragraph" w:customStyle="1" w:styleId="150">
    <w:name w:val="修订3"/>
    <w:qFormat/>
    <w:uiPriority w:val="99"/>
    <w:rPr>
      <w:rFonts w:ascii="Times New Roman" w:hAnsi="Times New Roman" w:eastAsia="宋体" w:cs="Times New Roman"/>
      <w:kern w:val="2"/>
      <w:sz w:val="21"/>
      <w:szCs w:val="24"/>
      <w:lang w:val="en-US" w:eastAsia="zh-CN" w:bidi="ar-SA"/>
    </w:rPr>
  </w:style>
  <w:style w:type="paragraph" w:customStyle="1" w:styleId="151">
    <w:name w:val="Char Char Char Char Char Char Char"/>
    <w:basedOn w:val="1"/>
    <w:qFormat/>
    <w:uiPriority w:val="0"/>
  </w:style>
  <w:style w:type="character" w:customStyle="1" w:styleId="152">
    <w:name w:val="正文文本首行缩进 字符"/>
    <w:link w:val="2"/>
    <w:qFormat/>
    <w:uiPriority w:val="0"/>
    <w:rPr>
      <w:rFonts w:eastAsia="仿宋_GB2312"/>
      <w:sz w:val="24"/>
      <w:szCs w:val="24"/>
    </w:rPr>
  </w:style>
  <w:style w:type="character" w:customStyle="1" w:styleId="153">
    <w:name w:val="正文首行缩进 Char1"/>
    <w:basedOn w:val="83"/>
    <w:semiHidden/>
    <w:qFormat/>
    <w:uiPriority w:val="99"/>
    <w:rPr>
      <w:kern w:val="2"/>
      <w:sz w:val="21"/>
      <w:szCs w:val="24"/>
    </w:rPr>
  </w:style>
  <w:style w:type="character" w:customStyle="1" w:styleId="154">
    <w:name w:val="apple-style-span"/>
    <w:qFormat/>
    <w:uiPriority w:val="0"/>
    <w:rPr>
      <w:rFonts w:cs="Times New Roman"/>
    </w:rPr>
  </w:style>
  <w:style w:type="character" w:customStyle="1" w:styleId="155">
    <w:name w:val="正文文本首行缩进 2 字符"/>
    <w:link w:val="50"/>
    <w:qFormat/>
    <w:uiPriority w:val="0"/>
    <w:rPr>
      <w:sz w:val="24"/>
      <w:szCs w:val="24"/>
    </w:rPr>
  </w:style>
  <w:style w:type="character" w:customStyle="1" w:styleId="156">
    <w:name w:val="正文首行缩进 2 Char1"/>
    <w:basedOn w:val="84"/>
    <w:qFormat/>
    <w:uiPriority w:val="99"/>
    <w:rPr>
      <w:kern w:val="2"/>
      <w:sz w:val="21"/>
      <w:szCs w:val="24"/>
    </w:rPr>
  </w:style>
  <w:style w:type="character" w:customStyle="1" w:styleId="157">
    <w:name w:val="style21"/>
    <w:qFormat/>
    <w:uiPriority w:val="0"/>
    <w:rPr>
      <w:sz w:val="15"/>
    </w:rPr>
  </w:style>
  <w:style w:type="character" w:customStyle="1" w:styleId="158">
    <w:name w:val="style51"/>
    <w:qFormat/>
    <w:uiPriority w:val="0"/>
    <w:rPr>
      <w:sz w:val="21"/>
    </w:rPr>
  </w:style>
  <w:style w:type="character" w:customStyle="1" w:styleId="159">
    <w:name w:val="Char Char7"/>
    <w:qFormat/>
    <w:uiPriority w:val="0"/>
    <w:rPr>
      <w:rFonts w:eastAsia="仿宋_GB2312"/>
      <w:kern w:val="2"/>
      <w:sz w:val="24"/>
      <w:lang w:val="en-US" w:eastAsia="zh-CN"/>
    </w:rPr>
  </w:style>
  <w:style w:type="character" w:customStyle="1" w:styleId="160">
    <w:name w:val="HTML 预设格式 字符"/>
    <w:link w:val="45"/>
    <w:qFormat/>
    <w:uiPriority w:val="0"/>
    <w:rPr>
      <w:rFonts w:ascii="Courier New" w:hAnsi="Courier New" w:cs="Courier New"/>
    </w:rPr>
  </w:style>
  <w:style w:type="character" w:customStyle="1" w:styleId="161">
    <w:name w:val="HTML 预设格式 Char1"/>
    <w:basedOn w:val="53"/>
    <w:semiHidden/>
    <w:qFormat/>
    <w:uiPriority w:val="99"/>
    <w:rPr>
      <w:rFonts w:ascii="Courier New" w:hAnsi="Courier New" w:cs="Courier New"/>
      <w:kern w:val="2"/>
    </w:rPr>
  </w:style>
  <w:style w:type="character" w:customStyle="1" w:styleId="162">
    <w:name w:val="style11"/>
    <w:qFormat/>
    <w:uiPriority w:val="0"/>
    <w:rPr>
      <w:b/>
      <w:color w:val="FF0000"/>
    </w:rPr>
  </w:style>
  <w:style w:type="character" w:customStyle="1" w:styleId="163">
    <w:name w:val="自定义正文 Char"/>
    <w:link w:val="164"/>
    <w:qFormat/>
    <w:locked/>
    <w:uiPriority w:val="0"/>
    <w:rPr>
      <w:rFonts w:ascii="仿宋_GB2312" w:eastAsia="仿宋_GB2312"/>
      <w:sz w:val="24"/>
    </w:rPr>
  </w:style>
  <w:style w:type="paragraph" w:customStyle="1" w:styleId="164">
    <w:name w:val="自定义正文"/>
    <w:basedOn w:val="1"/>
    <w:link w:val="163"/>
    <w:qFormat/>
    <w:uiPriority w:val="0"/>
    <w:pPr>
      <w:spacing w:line="480" w:lineRule="exact"/>
      <w:ind w:firstLine="200" w:firstLineChars="200"/>
      <w:jc w:val="left"/>
    </w:pPr>
    <w:rPr>
      <w:rFonts w:ascii="仿宋_GB2312" w:eastAsia="仿宋_GB2312"/>
      <w:kern w:val="0"/>
      <w:sz w:val="24"/>
      <w:szCs w:val="20"/>
    </w:rPr>
  </w:style>
  <w:style w:type="character" w:customStyle="1" w:styleId="165">
    <w:name w:val="font11"/>
    <w:qFormat/>
    <w:uiPriority w:val="0"/>
    <w:rPr>
      <w:rFonts w:ascii="Times New Roman" w:hAnsi="Times New Roman"/>
      <w:color w:val="000000"/>
      <w:sz w:val="20"/>
      <w:u w:val="none"/>
    </w:rPr>
  </w:style>
  <w:style w:type="character" w:customStyle="1" w:styleId="166">
    <w:name w:val="正文文本 2 Char1"/>
    <w:qFormat/>
    <w:uiPriority w:val="0"/>
    <w:rPr>
      <w:rFonts w:ascii="隶书" w:eastAsia="隶书"/>
      <w:bCs/>
      <w:sz w:val="72"/>
      <w:szCs w:val="84"/>
      <w:lang w:val="en-US" w:eastAsia="zh-CN" w:bidi="ar-SA"/>
    </w:rPr>
  </w:style>
  <w:style w:type="character" w:customStyle="1" w:styleId="167">
    <w:name w:val="H5 Char"/>
    <w:qFormat/>
    <w:uiPriority w:val="0"/>
    <w:rPr>
      <w:rFonts w:ascii="Arial" w:hAnsi="Arial" w:eastAsia="宋体"/>
      <w:sz w:val="24"/>
      <w:lang w:val="en-US" w:eastAsia="zh-CN"/>
    </w:rPr>
  </w:style>
  <w:style w:type="character" w:customStyle="1" w:styleId="168">
    <w:name w:val="Char Char3"/>
    <w:qFormat/>
    <w:uiPriority w:val="0"/>
    <w:rPr>
      <w:rFonts w:eastAsia="仿宋_GB2312"/>
      <w:kern w:val="2"/>
      <w:sz w:val="24"/>
      <w:lang w:val="en-US" w:eastAsia="zh-CN"/>
    </w:rPr>
  </w:style>
  <w:style w:type="character" w:customStyle="1" w:styleId="169">
    <w:name w:val="样式 正文缩进 + 首行缩进:  2 字符 Char"/>
    <w:link w:val="170"/>
    <w:qFormat/>
    <w:locked/>
    <w:uiPriority w:val="0"/>
    <w:rPr>
      <w:rFonts w:ascii="宋体" w:hAnsi="宋体"/>
      <w:color w:val="000000"/>
      <w:sz w:val="24"/>
    </w:rPr>
  </w:style>
  <w:style w:type="paragraph" w:customStyle="1" w:styleId="170">
    <w:name w:val="样式 正文缩进 + 首行缩进:  2 字符"/>
    <w:basedOn w:val="16"/>
    <w:link w:val="169"/>
    <w:qFormat/>
    <w:uiPriority w:val="0"/>
    <w:pPr>
      <w:spacing w:line="360" w:lineRule="auto"/>
      <w:ind w:firstLine="480"/>
    </w:pPr>
    <w:rPr>
      <w:rFonts w:ascii="宋体" w:hAnsi="宋体"/>
      <w:color w:val="000000"/>
      <w:kern w:val="0"/>
      <w:sz w:val="24"/>
      <w:szCs w:val="20"/>
    </w:rPr>
  </w:style>
  <w:style w:type="character" w:customStyle="1" w:styleId="171">
    <w:name w:val="Table Text Char1"/>
    <w:link w:val="172"/>
    <w:qFormat/>
    <w:locked/>
    <w:uiPriority w:val="0"/>
    <w:rPr>
      <w:rFonts w:ascii="Arial" w:hAnsi="Arial"/>
      <w:sz w:val="18"/>
    </w:rPr>
  </w:style>
  <w:style w:type="paragraph" w:customStyle="1" w:styleId="172">
    <w:name w:val="Table Text"/>
    <w:link w:val="171"/>
    <w:qFormat/>
    <w:uiPriority w:val="0"/>
    <w:pPr>
      <w:snapToGrid w:val="0"/>
      <w:spacing w:before="80" w:after="80"/>
    </w:pPr>
    <w:rPr>
      <w:rFonts w:ascii="Arial" w:hAnsi="Arial" w:eastAsia="宋体" w:cs="Times New Roman"/>
      <w:sz w:val="18"/>
      <w:lang w:val="en-US" w:eastAsia="zh-CN" w:bidi="ar-SA"/>
    </w:rPr>
  </w:style>
  <w:style w:type="character" w:customStyle="1" w:styleId="173">
    <w:name w:val="bulletintext1"/>
    <w:qFormat/>
    <w:uiPriority w:val="0"/>
    <w:rPr>
      <w:rFonts w:ascii="宋体" w:hAnsi="宋体" w:eastAsia="宋体"/>
      <w:sz w:val="18"/>
    </w:rPr>
  </w:style>
  <w:style w:type="character" w:customStyle="1" w:styleId="174">
    <w:name w:val="Char Char"/>
    <w:qFormat/>
    <w:uiPriority w:val="0"/>
    <w:rPr>
      <w:rFonts w:ascii="宋体" w:hAnsi="Courier New" w:eastAsia="宋体"/>
      <w:kern w:val="2"/>
      <w:sz w:val="21"/>
      <w:lang w:val="en-US" w:eastAsia="zh-CN"/>
    </w:rPr>
  </w:style>
  <w:style w:type="character" w:customStyle="1" w:styleId="175">
    <w:name w:val="项目排列 Char"/>
    <w:link w:val="176"/>
    <w:qFormat/>
    <w:locked/>
    <w:uiPriority w:val="0"/>
    <w:rPr>
      <w:sz w:val="24"/>
      <w:szCs w:val="24"/>
    </w:rPr>
  </w:style>
  <w:style w:type="paragraph" w:customStyle="1" w:styleId="176">
    <w:name w:val="项目排列"/>
    <w:basedOn w:val="1"/>
    <w:link w:val="175"/>
    <w:qFormat/>
    <w:uiPriority w:val="0"/>
    <w:pPr>
      <w:tabs>
        <w:tab w:val="left" w:pos="420"/>
      </w:tabs>
      <w:spacing w:beforeLines="50" w:afterLines="50" w:line="300" w:lineRule="auto"/>
      <w:ind w:left="1146" w:hanging="720"/>
    </w:pPr>
    <w:rPr>
      <w:kern w:val="0"/>
      <w:sz w:val="24"/>
    </w:rPr>
  </w:style>
  <w:style w:type="character" w:customStyle="1" w:styleId="177">
    <w:name w:val="正文段 Char"/>
    <w:link w:val="178"/>
    <w:qFormat/>
    <w:locked/>
    <w:uiPriority w:val="0"/>
    <w:rPr>
      <w:sz w:val="24"/>
    </w:rPr>
  </w:style>
  <w:style w:type="paragraph" w:customStyle="1" w:styleId="178">
    <w:name w:val="正文段"/>
    <w:basedOn w:val="1"/>
    <w:link w:val="177"/>
    <w:qFormat/>
    <w:uiPriority w:val="0"/>
    <w:pPr>
      <w:widowControl/>
      <w:snapToGrid w:val="0"/>
      <w:spacing w:afterLines="50"/>
      <w:ind w:firstLine="200" w:firstLineChars="200"/>
    </w:pPr>
    <w:rPr>
      <w:kern w:val="0"/>
      <w:sz w:val="24"/>
      <w:szCs w:val="20"/>
    </w:rPr>
  </w:style>
  <w:style w:type="character" w:customStyle="1" w:styleId="179">
    <w:name w:val="Char Char8"/>
    <w:qFormat/>
    <w:uiPriority w:val="0"/>
    <w:rPr>
      <w:rFonts w:ascii="宋体" w:eastAsia="宋体"/>
      <w:kern w:val="2"/>
      <w:sz w:val="28"/>
      <w:lang w:val="en-US" w:eastAsia="zh-CN"/>
    </w:rPr>
  </w:style>
  <w:style w:type="character" w:customStyle="1" w:styleId="180">
    <w:name w:val="正文无缩进 Char"/>
    <w:link w:val="181"/>
    <w:qFormat/>
    <w:locked/>
    <w:uiPriority w:val="0"/>
    <w:rPr>
      <w:rFonts w:ascii="宋体"/>
      <w:color w:val="000000"/>
      <w:sz w:val="24"/>
    </w:rPr>
  </w:style>
  <w:style w:type="paragraph" w:customStyle="1" w:styleId="181">
    <w:name w:val="正文无缩进"/>
    <w:basedOn w:val="1"/>
    <w:link w:val="180"/>
    <w:qFormat/>
    <w:uiPriority w:val="0"/>
    <w:pPr>
      <w:spacing w:line="360" w:lineRule="auto"/>
    </w:pPr>
    <w:rPr>
      <w:rFonts w:ascii="宋体"/>
      <w:color w:val="000000"/>
      <w:kern w:val="0"/>
      <w:sz w:val="24"/>
      <w:szCs w:val="20"/>
    </w:rPr>
  </w:style>
  <w:style w:type="character" w:customStyle="1" w:styleId="182">
    <w:name w:val="标准文本 Char"/>
    <w:link w:val="183"/>
    <w:qFormat/>
    <w:locked/>
    <w:uiPriority w:val="0"/>
    <w:rPr>
      <w:sz w:val="24"/>
    </w:rPr>
  </w:style>
  <w:style w:type="paragraph" w:customStyle="1" w:styleId="183">
    <w:name w:val="标准文本"/>
    <w:basedOn w:val="1"/>
    <w:link w:val="182"/>
    <w:qFormat/>
    <w:uiPriority w:val="0"/>
    <w:pPr>
      <w:spacing w:line="360" w:lineRule="auto"/>
      <w:ind w:firstLine="480" w:firstLineChars="200"/>
    </w:pPr>
    <w:rPr>
      <w:kern w:val="0"/>
      <w:sz w:val="24"/>
      <w:szCs w:val="20"/>
    </w:rPr>
  </w:style>
  <w:style w:type="character" w:customStyle="1" w:styleId="184">
    <w:name w:val="font21"/>
    <w:qFormat/>
    <w:uiPriority w:val="0"/>
    <w:rPr>
      <w:rFonts w:ascii="宋体" w:hAnsi="宋体" w:eastAsia="宋体"/>
      <w:color w:val="000000"/>
      <w:sz w:val="21"/>
      <w:u w:val="none"/>
    </w:rPr>
  </w:style>
  <w:style w:type="character" w:customStyle="1" w:styleId="185">
    <w:name w:val="tpc_content1"/>
    <w:qFormat/>
    <w:uiPriority w:val="0"/>
    <w:rPr>
      <w:sz w:val="20"/>
    </w:rPr>
  </w:style>
  <w:style w:type="character" w:customStyle="1" w:styleId="186">
    <w:name w:val="Char Char11"/>
    <w:qFormat/>
    <w:uiPriority w:val="0"/>
    <w:rPr>
      <w:b/>
      <w:kern w:val="44"/>
      <w:sz w:val="44"/>
    </w:rPr>
  </w:style>
  <w:style w:type="character" w:customStyle="1" w:styleId="187">
    <w:name w:val="普通文字 Char Char1"/>
    <w:qFormat/>
    <w:uiPriority w:val="99"/>
    <w:rPr>
      <w:rFonts w:ascii="宋体" w:hAnsi="Courier New" w:eastAsia="宋体"/>
      <w:kern w:val="2"/>
      <w:sz w:val="21"/>
      <w:lang w:val="en-US" w:eastAsia="zh-CN"/>
    </w:rPr>
  </w:style>
  <w:style w:type="character" w:customStyle="1" w:styleId="188">
    <w:name w:val="正文文本缩进 2 字符"/>
    <w:link w:val="31"/>
    <w:qFormat/>
    <w:locked/>
    <w:uiPriority w:val="0"/>
    <w:rPr>
      <w:sz w:val="24"/>
    </w:rPr>
  </w:style>
  <w:style w:type="character" w:customStyle="1" w:styleId="189">
    <w:name w:val="正文文本缩进 2 Char1"/>
    <w:basedOn w:val="53"/>
    <w:semiHidden/>
    <w:qFormat/>
    <w:uiPriority w:val="99"/>
    <w:rPr>
      <w:kern w:val="2"/>
      <w:sz w:val="21"/>
      <w:szCs w:val="24"/>
    </w:rPr>
  </w:style>
  <w:style w:type="character" w:customStyle="1" w:styleId="190">
    <w:name w:val="H4 Char"/>
    <w:qFormat/>
    <w:uiPriority w:val="0"/>
    <w:rPr>
      <w:rFonts w:ascii="宋体" w:hAnsi="宋体" w:eastAsia="黑体"/>
      <w:b/>
      <w:color w:val="000000"/>
      <w:spacing w:val="-4"/>
      <w:kern w:val="2"/>
      <w:sz w:val="30"/>
      <w:lang w:val="en-US" w:eastAsia="zh-CN"/>
    </w:rPr>
  </w:style>
  <w:style w:type="character" w:customStyle="1" w:styleId="191">
    <w:name w:val="ca-3"/>
    <w:qFormat/>
    <w:uiPriority w:val="0"/>
    <w:rPr>
      <w:rFonts w:cs="Times New Roman"/>
    </w:rPr>
  </w:style>
  <w:style w:type="character" w:customStyle="1" w:styleId="192">
    <w:name w:val="无间隔 Char"/>
    <w:link w:val="193"/>
    <w:qFormat/>
    <w:locked/>
    <w:uiPriority w:val="99"/>
    <w:rPr>
      <w:rFonts w:ascii="等线" w:hAnsi="等线" w:eastAsia="等线"/>
      <w:sz w:val="22"/>
    </w:rPr>
  </w:style>
  <w:style w:type="paragraph" w:customStyle="1" w:styleId="193">
    <w:name w:val="无间隔1"/>
    <w:link w:val="192"/>
    <w:qFormat/>
    <w:uiPriority w:val="99"/>
    <w:rPr>
      <w:rFonts w:ascii="等线" w:hAnsi="等线" w:eastAsia="等线" w:cs="Times New Roman"/>
      <w:sz w:val="22"/>
      <w:lang w:val="en-US" w:eastAsia="zh-CN" w:bidi="ar-SA"/>
    </w:rPr>
  </w:style>
  <w:style w:type="character" w:customStyle="1" w:styleId="194">
    <w:name w:val="info"/>
    <w:qFormat/>
    <w:uiPriority w:val="0"/>
    <w:rPr>
      <w:rFonts w:cs="Times New Roman"/>
    </w:rPr>
  </w:style>
  <w:style w:type="character" w:customStyle="1" w:styleId="195">
    <w:name w:val="Char Char9"/>
    <w:qFormat/>
    <w:uiPriority w:val="0"/>
    <w:rPr>
      <w:b/>
      <w:kern w:val="2"/>
      <w:sz w:val="24"/>
    </w:rPr>
  </w:style>
  <w:style w:type="character" w:customStyle="1" w:styleId="196">
    <w:name w:val="正文（缩进2汉字） Char"/>
    <w:link w:val="197"/>
    <w:qFormat/>
    <w:locked/>
    <w:uiPriority w:val="0"/>
    <w:rPr>
      <w:rFonts w:ascii="宋体"/>
    </w:rPr>
  </w:style>
  <w:style w:type="paragraph" w:customStyle="1" w:styleId="197">
    <w:name w:val="正文（缩进2汉字）"/>
    <w:basedOn w:val="1"/>
    <w:link w:val="196"/>
    <w:qFormat/>
    <w:uiPriority w:val="0"/>
    <w:pPr>
      <w:tabs>
        <w:tab w:val="left" w:pos="525"/>
      </w:tabs>
      <w:spacing w:before="100" w:beforeAutospacing="1" w:after="100" w:afterAutospacing="1"/>
      <w:ind w:left="120" w:leftChars="50" w:firstLine="494" w:firstLineChars="206"/>
    </w:pPr>
    <w:rPr>
      <w:rFonts w:ascii="宋体"/>
      <w:kern w:val="0"/>
      <w:sz w:val="20"/>
      <w:szCs w:val="20"/>
    </w:rPr>
  </w:style>
  <w:style w:type="character" w:customStyle="1" w:styleId="198">
    <w:name w:val="Char Char1"/>
    <w:qFormat/>
    <w:uiPriority w:val="0"/>
    <w:rPr>
      <w:rFonts w:ascii="宋体" w:hAnsi="Courier New" w:eastAsia="宋体"/>
      <w:kern w:val="2"/>
      <w:sz w:val="21"/>
      <w:lang w:val="en-US" w:eastAsia="zh-CN"/>
    </w:rPr>
  </w:style>
  <w:style w:type="character" w:customStyle="1" w:styleId="199">
    <w:name w:val="font01"/>
    <w:basedOn w:val="53"/>
    <w:qFormat/>
    <w:uiPriority w:val="0"/>
    <w:rPr>
      <w:rFonts w:ascii="宋体" w:hAnsi="宋体" w:eastAsia="宋体"/>
      <w:color w:val="000000"/>
      <w:sz w:val="20"/>
      <w:u w:val="none"/>
    </w:rPr>
  </w:style>
  <w:style w:type="character" w:customStyle="1" w:styleId="200">
    <w:name w:val="Char Char10"/>
    <w:qFormat/>
    <w:uiPriority w:val="0"/>
    <w:rPr>
      <w:b/>
      <w:kern w:val="2"/>
      <w:sz w:val="28"/>
    </w:rPr>
  </w:style>
  <w:style w:type="character" w:customStyle="1" w:styleId="201">
    <w:name w:val="正文文本 2 字符"/>
    <w:link w:val="43"/>
    <w:qFormat/>
    <w:locked/>
    <w:uiPriority w:val="0"/>
    <w:rPr>
      <w:rFonts w:ascii="隶书" w:eastAsia="隶书"/>
      <w:sz w:val="84"/>
    </w:rPr>
  </w:style>
  <w:style w:type="character" w:customStyle="1" w:styleId="202">
    <w:name w:val="正文文本 2 Char2"/>
    <w:basedOn w:val="53"/>
    <w:semiHidden/>
    <w:qFormat/>
    <w:uiPriority w:val="99"/>
    <w:rPr>
      <w:kern w:val="2"/>
      <w:sz w:val="21"/>
      <w:szCs w:val="24"/>
    </w:rPr>
  </w:style>
  <w:style w:type="character" w:customStyle="1" w:styleId="203">
    <w:name w:val="页码1"/>
    <w:qFormat/>
    <w:uiPriority w:val="99"/>
    <w:rPr>
      <w:rFonts w:cs="Times New Roman"/>
    </w:rPr>
  </w:style>
  <w:style w:type="character" w:customStyle="1" w:styleId="204">
    <w:name w:val="font1"/>
    <w:qFormat/>
    <w:uiPriority w:val="0"/>
    <w:rPr>
      <w:color w:val="999999"/>
      <w:sz w:val="18"/>
      <w:u w:val="none"/>
    </w:rPr>
  </w:style>
  <w:style w:type="character" w:customStyle="1" w:styleId="205">
    <w:name w:val="bsharetext"/>
    <w:qFormat/>
    <w:uiPriority w:val="99"/>
    <w:rPr>
      <w:rFonts w:cs="Times New Roman"/>
    </w:rPr>
  </w:style>
  <w:style w:type="character" w:customStyle="1" w:styleId="206">
    <w:name w:val="正文2 Char"/>
    <w:link w:val="207"/>
    <w:qFormat/>
    <w:locked/>
    <w:uiPriority w:val="0"/>
    <w:rPr>
      <w:sz w:val="24"/>
    </w:rPr>
  </w:style>
  <w:style w:type="paragraph" w:customStyle="1" w:styleId="207">
    <w:name w:val="正文2"/>
    <w:basedOn w:val="1"/>
    <w:link w:val="206"/>
    <w:qFormat/>
    <w:uiPriority w:val="0"/>
    <w:pPr>
      <w:spacing w:before="156" w:line="360" w:lineRule="auto"/>
      <w:ind w:firstLine="510" w:firstLineChars="200"/>
    </w:pPr>
    <w:rPr>
      <w:kern w:val="0"/>
      <w:sz w:val="24"/>
      <w:szCs w:val="20"/>
    </w:rPr>
  </w:style>
  <w:style w:type="paragraph" w:customStyle="1" w:styleId="208">
    <w:name w:val="列出段落2"/>
    <w:basedOn w:val="1"/>
    <w:qFormat/>
    <w:uiPriority w:val="0"/>
    <w:pPr>
      <w:widowControl/>
      <w:spacing w:after="200" w:line="276" w:lineRule="auto"/>
      <w:ind w:left="720"/>
      <w:contextualSpacing/>
      <w:jc w:val="left"/>
    </w:pPr>
    <w:rPr>
      <w:rFonts w:ascii="Calibri" w:hAnsi="Calibri"/>
      <w:kern w:val="0"/>
      <w:sz w:val="22"/>
      <w:szCs w:val="22"/>
    </w:rPr>
  </w:style>
  <w:style w:type="paragraph" w:customStyle="1" w:styleId="209">
    <w:name w:val="Char Char Char Char1"/>
    <w:basedOn w:val="1"/>
    <w:qFormat/>
    <w:uiPriority w:val="0"/>
    <w:rPr>
      <w:rFonts w:ascii="Tahoma" w:hAnsi="Tahoma"/>
      <w:sz w:val="24"/>
      <w:szCs w:val="20"/>
    </w:rPr>
  </w:style>
  <w:style w:type="paragraph" w:customStyle="1" w:styleId="210">
    <w:name w:val="font5"/>
    <w:basedOn w:val="1"/>
    <w:qFormat/>
    <w:uiPriority w:val="0"/>
    <w:pPr>
      <w:widowControl/>
      <w:spacing w:before="100" w:beforeAutospacing="1" w:after="100" w:afterAutospacing="1"/>
      <w:jc w:val="left"/>
    </w:pPr>
    <w:rPr>
      <w:rFonts w:ascii="宋体" w:hAnsi="宋体"/>
      <w:kern w:val="0"/>
      <w:sz w:val="24"/>
    </w:rPr>
  </w:style>
  <w:style w:type="paragraph" w:customStyle="1" w:styleId="211">
    <w:name w:val="Char Char1 Char Char Char Char1 Char Char Char"/>
    <w:basedOn w:val="1"/>
    <w:qFormat/>
    <w:uiPriority w:val="0"/>
    <w:pPr>
      <w:adjustRightInd w:val="0"/>
      <w:spacing w:line="360" w:lineRule="atLeast"/>
    </w:pPr>
    <w:rPr>
      <w:rFonts w:ascii="Tahoma" w:hAnsi="Tahoma"/>
      <w:sz w:val="24"/>
      <w:szCs w:val="20"/>
    </w:rPr>
  </w:style>
  <w:style w:type="paragraph" w:customStyle="1" w:styleId="212">
    <w:name w:val="样式 列表编号 + 段后: 0.5 行"/>
    <w:basedOn w:val="15"/>
    <w:qFormat/>
    <w:uiPriority w:val="0"/>
  </w:style>
  <w:style w:type="paragraph" w:customStyle="1" w:styleId="213">
    <w:name w:val="列出段落1"/>
    <w:basedOn w:val="1"/>
    <w:qFormat/>
    <w:uiPriority w:val="0"/>
    <w:pPr>
      <w:ind w:firstLine="420" w:firstLineChars="200"/>
    </w:pPr>
    <w:rPr>
      <w:rFonts w:ascii="Calibri" w:hAnsi="Calibri"/>
      <w:szCs w:val="22"/>
    </w:rPr>
  </w:style>
  <w:style w:type="paragraph" w:customStyle="1" w:styleId="214">
    <w:name w:val="blue"/>
    <w:basedOn w:val="1"/>
    <w:qFormat/>
    <w:uiPriority w:val="0"/>
    <w:pPr>
      <w:widowControl/>
      <w:spacing w:before="100" w:beforeAutospacing="1" w:after="100" w:afterAutospacing="1"/>
      <w:jc w:val="left"/>
    </w:pPr>
    <w:rPr>
      <w:rFonts w:ascii="Arial Unicode MS" w:hAnsi="Arial Unicode MS"/>
      <w:kern w:val="0"/>
      <w:sz w:val="24"/>
      <w:szCs w:val="20"/>
    </w:rPr>
  </w:style>
  <w:style w:type="paragraph" w:customStyle="1" w:styleId="215">
    <w:name w:val="Char Char Char1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6">
    <w:name w:val="Char"/>
    <w:basedOn w:val="1"/>
    <w:qFormat/>
    <w:uiPriority w:val="0"/>
    <w:rPr>
      <w:rFonts w:ascii="仿宋_GB2312" w:eastAsia="仿宋_GB2312"/>
      <w:b/>
      <w:sz w:val="32"/>
      <w:szCs w:val="32"/>
    </w:rPr>
  </w:style>
  <w:style w:type="paragraph" w:customStyle="1" w:styleId="217">
    <w:name w:val="Char11"/>
    <w:basedOn w:val="1"/>
    <w:qFormat/>
    <w:uiPriority w:val="0"/>
    <w:pPr>
      <w:tabs>
        <w:tab w:val="left" w:pos="432"/>
      </w:tabs>
      <w:spacing w:beforeLines="50" w:afterLines="50"/>
      <w:ind w:left="432" w:hanging="432"/>
      <w:jc w:val="center"/>
    </w:pPr>
    <w:rPr>
      <w:sz w:val="24"/>
    </w:rPr>
  </w:style>
  <w:style w:type="paragraph" w:customStyle="1" w:styleId="218">
    <w:name w:val="缺省文本"/>
    <w:basedOn w:val="1"/>
    <w:qFormat/>
    <w:uiPriority w:val="0"/>
    <w:pPr>
      <w:autoSpaceDE w:val="0"/>
      <w:autoSpaceDN w:val="0"/>
      <w:adjustRightInd w:val="0"/>
      <w:jc w:val="left"/>
    </w:pPr>
    <w:rPr>
      <w:kern w:val="0"/>
      <w:sz w:val="24"/>
    </w:rPr>
  </w:style>
  <w:style w:type="paragraph" w:customStyle="1" w:styleId="219">
    <w:name w:val="font7"/>
    <w:basedOn w:val="1"/>
    <w:qFormat/>
    <w:uiPriority w:val="0"/>
    <w:pPr>
      <w:widowControl/>
      <w:spacing w:before="100" w:beforeAutospacing="1" w:after="100" w:afterAutospacing="1"/>
      <w:jc w:val="left"/>
    </w:pPr>
    <w:rPr>
      <w:rFonts w:ascii="宋体" w:hAnsi="宋体"/>
      <w:kern w:val="0"/>
      <w:szCs w:val="21"/>
    </w:rPr>
  </w:style>
  <w:style w:type="paragraph" w:customStyle="1" w:styleId="220">
    <w:name w:val="_Style 41"/>
    <w:basedOn w:val="1"/>
    <w:qFormat/>
    <w:uiPriority w:val="99"/>
    <w:rPr>
      <w:rFonts w:ascii="Tahoma" w:hAnsi="Tahoma"/>
      <w:sz w:val="24"/>
      <w:szCs w:val="20"/>
    </w:rPr>
  </w:style>
  <w:style w:type="paragraph" w:customStyle="1" w:styleId="221">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222">
    <w:name w:val="模板普通正文"/>
    <w:basedOn w:val="21"/>
    <w:qFormat/>
    <w:uiPriority w:val="0"/>
    <w:pPr>
      <w:spacing w:beforeLines="50" w:after="10" w:line="360" w:lineRule="auto"/>
      <w:ind w:left="0" w:leftChars="0" w:firstLine="175" w:firstLineChars="175"/>
      <w:jc w:val="left"/>
    </w:pPr>
    <w:rPr>
      <w:sz w:val="24"/>
      <w:szCs w:val="20"/>
    </w:rPr>
  </w:style>
  <w:style w:type="paragraph" w:customStyle="1" w:styleId="223">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224">
    <w:name w:val="项目1"/>
    <w:basedOn w:val="1"/>
    <w:qFormat/>
    <w:uiPriority w:val="0"/>
    <w:pPr>
      <w:tabs>
        <w:tab w:val="left" w:pos="840"/>
      </w:tabs>
      <w:spacing w:after="60"/>
      <w:ind w:left="840" w:hanging="420"/>
    </w:pPr>
    <w:rPr>
      <w:rFonts w:ascii="宋体"/>
      <w:spacing w:val="4"/>
      <w:szCs w:val="20"/>
    </w:rPr>
  </w:style>
  <w:style w:type="paragraph" w:customStyle="1" w:styleId="225">
    <w:name w:val="招标文件－表格用正文"/>
    <w:basedOn w:val="1"/>
    <w:qFormat/>
    <w:uiPriority w:val="0"/>
    <w:pPr>
      <w:spacing w:beforeLines="50"/>
      <w:jc w:val="left"/>
    </w:pPr>
    <w:rPr>
      <w:rFonts w:ascii="Calibri" w:hAnsi="Calibri" w:cs="宋体"/>
      <w:sz w:val="24"/>
    </w:rPr>
  </w:style>
  <w:style w:type="character" w:customStyle="1" w:styleId="226">
    <w:name w:val="纯文本 Char2"/>
    <w:basedOn w:val="53"/>
    <w:semiHidden/>
    <w:qFormat/>
    <w:uiPriority w:val="99"/>
    <w:rPr>
      <w:rFonts w:ascii="宋体" w:hAnsi="Courier New" w:cs="Courier New"/>
      <w:kern w:val="2"/>
      <w:sz w:val="21"/>
      <w:szCs w:val="21"/>
    </w:rPr>
  </w:style>
  <w:style w:type="paragraph" w:customStyle="1" w:styleId="227">
    <w:name w:val="xiao b"/>
    <w:basedOn w:val="1"/>
    <w:qFormat/>
    <w:uiPriority w:val="99"/>
    <w:pPr>
      <w:jc w:val="center"/>
    </w:pPr>
    <w:rPr>
      <w:rFonts w:eastAsia="黑体"/>
      <w:sz w:val="24"/>
      <w:szCs w:val="20"/>
    </w:rPr>
  </w:style>
  <w:style w:type="paragraph" w:customStyle="1" w:styleId="228">
    <w:name w:val="Char Char1 Char Char Char 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9">
    <w:name w:val="标题1"/>
    <w:basedOn w:val="28"/>
    <w:qFormat/>
    <w:uiPriority w:val="99"/>
    <w:pPr>
      <w:spacing w:beforeLines="100" w:afterLines="100" w:line="360" w:lineRule="exact"/>
      <w:jc w:val="center"/>
    </w:pPr>
    <w:rPr>
      <w:rFonts w:eastAsia="楷体_GB2312"/>
      <w:b/>
      <w:sz w:val="44"/>
    </w:rPr>
  </w:style>
  <w:style w:type="paragraph" w:customStyle="1" w:styleId="230">
    <w:name w:val="Char Char Char1 Char Char Char1 Char Char Char Char"/>
    <w:basedOn w:val="1"/>
    <w:qFormat/>
    <w:uiPriority w:val="0"/>
  </w:style>
  <w:style w:type="paragraph" w:customStyle="1" w:styleId="231">
    <w:name w:val="纯文本1"/>
    <w:basedOn w:val="1"/>
    <w:qFormat/>
    <w:uiPriority w:val="99"/>
    <w:rPr>
      <w:rFonts w:ascii="宋体" w:hAnsi="Courier New" w:cs="Courier New"/>
      <w:szCs w:val="21"/>
    </w:rPr>
  </w:style>
  <w:style w:type="paragraph" w:customStyle="1" w:styleId="232">
    <w:name w:val="Char Char Char Char Char Char Char Char Char Char"/>
    <w:basedOn w:val="1"/>
    <w:qFormat/>
    <w:uiPriority w:val="0"/>
    <w:rPr>
      <w:rFonts w:ascii="Tahoma" w:hAnsi="Tahoma"/>
      <w:sz w:val="24"/>
      <w:szCs w:val="20"/>
    </w:rPr>
  </w:style>
  <w:style w:type="paragraph" w:customStyle="1" w:styleId="233">
    <w:name w:val="xl25"/>
    <w:basedOn w:val="1"/>
    <w:qFormat/>
    <w:uiPriority w:val="0"/>
    <w:pPr>
      <w:widowControl/>
      <w:tabs>
        <w:tab w:val="left" w:pos="420"/>
      </w:tabs>
      <w:spacing w:before="100" w:beforeAutospacing="1" w:after="100" w:afterAutospacing="1"/>
      <w:jc w:val="center"/>
      <w:textAlignment w:val="center"/>
    </w:pPr>
    <w:rPr>
      <w:rFonts w:ascii="宋体" w:hAnsi="宋体"/>
      <w:kern w:val="0"/>
      <w:sz w:val="20"/>
      <w:szCs w:val="20"/>
    </w:rPr>
  </w:style>
  <w:style w:type="paragraph" w:customStyle="1" w:styleId="234">
    <w:name w:val="列出段落3"/>
    <w:basedOn w:val="1"/>
    <w:qFormat/>
    <w:uiPriority w:val="99"/>
    <w:pPr>
      <w:ind w:firstLine="420" w:firstLineChars="200"/>
    </w:pPr>
  </w:style>
  <w:style w:type="paragraph" w:customStyle="1" w:styleId="235">
    <w:name w:val="编10号"/>
    <w:basedOn w:val="1"/>
    <w:qFormat/>
    <w:uiPriority w:val="0"/>
    <w:pPr>
      <w:tabs>
        <w:tab w:val="left" w:pos="1620"/>
      </w:tabs>
      <w:ind w:left="2100" w:hanging="420"/>
    </w:pPr>
  </w:style>
  <w:style w:type="paragraph" w:customStyle="1" w:styleId="236">
    <w:name w:val="样式 小四 行距: 1.5 倍行距 首行缩进:  2 字符"/>
    <w:basedOn w:val="1"/>
    <w:qFormat/>
    <w:uiPriority w:val="0"/>
    <w:pPr>
      <w:spacing w:line="360" w:lineRule="auto"/>
      <w:ind w:firstLine="480" w:firstLineChars="200"/>
    </w:pPr>
    <w:rPr>
      <w:rFonts w:cs="宋体"/>
      <w:sz w:val="24"/>
      <w:szCs w:val="20"/>
    </w:rPr>
  </w:style>
  <w:style w:type="paragraph" w:customStyle="1" w:styleId="237">
    <w:name w:val="Char1 Char Char Char Char Char Char"/>
    <w:basedOn w:val="1"/>
    <w:qFormat/>
    <w:uiPriority w:val="0"/>
    <w:rPr>
      <w:rFonts w:ascii="Tahoma" w:hAnsi="Tahoma"/>
      <w:sz w:val="24"/>
      <w:szCs w:val="20"/>
    </w:rPr>
  </w:style>
  <w:style w:type="paragraph" w:customStyle="1" w:styleId="238">
    <w:name w:val="正文缩进 New"/>
    <w:basedOn w:val="1"/>
    <w:qFormat/>
    <w:uiPriority w:val="0"/>
    <w:pPr>
      <w:ind w:firstLine="420" w:firstLineChars="200"/>
    </w:pPr>
    <w:rPr>
      <w:szCs w:val="20"/>
    </w:rPr>
  </w:style>
  <w:style w:type="paragraph" w:customStyle="1" w:styleId="239">
    <w:name w:val="部分1"/>
    <w:basedOn w:val="1"/>
    <w:qFormat/>
    <w:uiPriority w:val="0"/>
    <w:pPr>
      <w:keepNext/>
      <w:pageBreakBefore/>
      <w:tabs>
        <w:tab w:val="left" w:pos="720"/>
      </w:tabs>
      <w:spacing w:line="360" w:lineRule="auto"/>
      <w:jc w:val="center"/>
      <w:outlineLvl w:val="0"/>
    </w:pPr>
    <w:rPr>
      <w:rFonts w:ascii="Calibri" w:hAnsi="Calibri" w:eastAsia="黑体"/>
      <w:b/>
      <w:kern w:val="44"/>
      <w:sz w:val="36"/>
      <w:szCs w:val="20"/>
    </w:rPr>
  </w:style>
  <w:style w:type="paragraph" w:customStyle="1" w:styleId="240">
    <w:name w:val="表内文字"/>
    <w:basedOn w:val="1"/>
    <w:qFormat/>
    <w:uiPriority w:val="0"/>
    <w:pPr>
      <w:numPr>
        <w:ilvl w:val="6"/>
        <w:numId w:val="1"/>
      </w:numPr>
      <w:tabs>
        <w:tab w:val="clear" w:pos="0"/>
      </w:tabs>
      <w:ind w:left="0" w:firstLine="0"/>
      <w:jc w:val="center"/>
    </w:pPr>
    <w:rPr>
      <w:color w:val="FF0000"/>
      <w:kern w:val="0"/>
      <w:sz w:val="24"/>
    </w:rPr>
  </w:style>
  <w:style w:type="paragraph" w:customStyle="1" w:styleId="241">
    <w:name w:val="段"/>
    <w:basedOn w:val="1"/>
    <w:qFormat/>
    <w:uiPriority w:val="0"/>
    <w:pPr>
      <w:ind w:firstLine="425"/>
    </w:pPr>
    <w:rPr>
      <w:rFonts w:ascii="宋体"/>
      <w:szCs w:val="20"/>
    </w:rPr>
  </w:style>
  <w:style w:type="paragraph" w:customStyle="1" w:styleId="242">
    <w:name w:val="首行缩进"/>
    <w:basedOn w:val="1"/>
    <w:qFormat/>
    <w:uiPriority w:val="99"/>
    <w:pPr>
      <w:widowControl/>
      <w:tabs>
        <w:tab w:val="left" w:pos="0"/>
        <w:tab w:val="left" w:pos="360"/>
        <w:tab w:val="left" w:pos="822"/>
      </w:tabs>
      <w:snapToGrid w:val="0"/>
      <w:spacing w:before="40" w:after="40" w:line="300" w:lineRule="atLeast"/>
      <w:ind w:left="2940" w:hanging="420"/>
    </w:pPr>
    <w:rPr>
      <w:rFonts w:ascii="Arial" w:hAnsi="Arial"/>
    </w:rPr>
  </w:style>
  <w:style w:type="paragraph" w:customStyle="1" w:styleId="243">
    <w:name w:val="SJ2"/>
    <w:basedOn w:val="40"/>
    <w:qFormat/>
    <w:uiPriority w:val="0"/>
    <w:pPr>
      <w:spacing w:after="0" w:line="300" w:lineRule="auto"/>
      <w:ind w:left="0" w:leftChars="0" w:firstLine="420" w:firstLineChars="200"/>
    </w:pPr>
    <w:rPr>
      <w:rFonts w:ascii="Calibri" w:hAnsi="Calibri"/>
      <w:kern w:val="16"/>
      <w:sz w:val="21"/>
      <w:szCs w:val="20"/>
    </w:rPr>
  </w:style>
  <w:style w:type="paragraph" w:customStyle="1" w:styleId="244">
    <w:name w:val="正文 New New New New New New New New New New New New New New New New New New New New New New New New New"/>
    <w:qFormat/>
    <w:uiPriority w:val="0"/>
    <w:pPr>
      <w:widowControl w:val="0"/>
      <w:spacing w:line="440" w:lineRule="exact"/>
      <w:jc w:val="both"/>
    </w:pPr>
    <w:rPr>
      <w:rFonts w:ascii="Times New Roman" w:hAnsi="Times New Roman" w:eastAsia="宋体" w:cs="Times New Roman"/>
      <w:kern w:val="2"/>
      <w:sz w:val="28"/>
      <w:szCs w:val="24"/>
      <w:lang w:val="en-US" w:eastAsia="zh-CN" w:bidi="ar-SA"/>
    </w:rPr>
  </w:style>
  <w:style w:type="paragraph" w:customStyle="1" w:styleId="245">
    <w:name w:val="自定义表格文字"/>
    <w:basedOn w:val="1"/>
    <w:qFormat/>
    <w:uiPriority w:val="0"/>
    <w:pPr>
      <w:spacing w:before="60" w:after="60" w:line="320" w:lineRule="exact"/>
      <w:jc w:val="left"/>
    </w:pPr>
    <w:rPr>
      <w:rFonts w:ascii="宋体" w:eastAsia="楷体_GB2312"/>
    </w:rPr>
  </w:style>
  <w:style w:type="paragraph" w:customStyle="1" w:styleId="246">
    <w:name w:val="默认段落字体 Para Char Char Char Char"/>
    <w:basedOn w:val="1"/>
    <w:qFormat/>
    <w:uiPriority w:val="0"/>
  </w:style>
  <w:style w:type="paragraph" w:customStyle="1" w:styleId="247">
    <w:name w:val="WW-正文文字缩进 2"/>
    <w:basedOn w:val="1"/>
    <w:qFormat/>
    <w:uiPriority w:val="0"/>
    <w:pPr>
      <w:suppressAutoHyphens/>
      <w:ind w:firstLine="420"/>
    </w:pPr>
    <w:rPr>
      <w:kern w:val="1"/>
      <w:szCs w:val="20"/>
    </w:rPr>
  </w:style>
  <w:style w:type="paragraph" w:customStyle="1" w:styleId="248">
    <w:name w:val="Char Char1 Char Char Char Char Char Char"/>
    <w:basedOn w:val="1"/>
    <w:qFormat/>
    <w:uiPriority w:val="0"/>
    <w:pPr>
      <w:widowControl/>
      <w:spacing w:after="160" w:line="240" w:lineRule="exact"/>
      <w:jc w:val="left"/>
    </w:pPr>
  </w:style>
  <w:style w:type="paragraph" w:customStyle="1" w:styleId="249">
    <w:name w:val="font6"/>
    <w:basedOn w:val="1"/>
    <w:qFormat/>
    <w:uiPriority w:val="0"/>
    <w:pPr>
      <w:widowControl/>
      <w:spacing w:before="100" w:beforeAutospacing="1" w:after="100" w:afterAutospacing="1"/>
      <w:jc w:val="left"/>
    </w:pPr>
    <w:rPr>
      <w:rFonts w:ascii="宋体" w:hAnsi="宋体"/>
      <w:kern w:val="0"/>
      <w:sz w:val="18"/>
      <w:szCs w:val="18"/>
    </w:rPr>
  </w:style>
  <w:style w:type="paragraph" w:customStyle="1" w:styleId="250">
    <w:name w:val="标书_正文"/>
    <w:basedOn w:val="1"/>
    <w:qFormat/>
    <w:uiPriority w:val="0"/>
    <w:pPr>
      <w:adjustRightInd w:val="0"/>
      <w:snapToGrid w:val="0"/>
      <w:spacing w:line="400" w:lineRule="exact"/>
      <w:ind w:firstLine="560" w:firstLineChars="200"/>
    </w:pPr>
    <w:rPr>
      <w:rFonts w:ascii="仿宋_GB2312" w:eastAsia="仿宋_GB2312" w:cs="宋体"/>
      <w:bCs/>
      <w:color w:val="000000"/>
      <w:kern w:val="0"/>
      <w:sz w:val="28"/>
      <w:szCs w:val="28"/>
    </w:rPr>
  </w:style>
  <w:style w:type="paragraph" w:customStyle="1" w:styleId="251">
    <w:name w:val="Char Char Char Char"/>
    <w:basedOn w:val="1"/>
    <w:qFormat/>
    <w:uiPriority w:val="0"/>
    <w:pPr>
      <w:widowControl/>
      <w:spacing w:after="160" w:line="240" w:lineRule="exact"/>
      <w:jc w:val="left"/>
    </w:pPr>
    <w:rPr>
      <w:kern w:val="0"/>
      <w:sz w:val="24"/>
    </w:rPr>
  </w:style>
  <w:style w:type="paragraph" w:customStyle="1" w:styleId="252">
    <w:name w:val="Char Char2 Char Char Char Char"/>
    <w:basedOn w:val="18"/>
    <w:qFormat/>
    <w:uiPriority w:val="0"/>
    <w:rPr>
      <w:rFonts w:ascii="Tahoma" w:hAnsi="Tahoma"/>
      <w:kern w:val="2"/>
      <w:sz w:val="24"/>
      <w:szCs w:val="22"/>
      <w:shd w:val="clear" w:color="auto" w:fill="auto"/>
    </w:rPr>
  </w:style>
  <w:style w:type="paragraph" w:customStyle="1" w:styleId="253">
    <w:name w:val="正文1"/>
    <w:qFormat/>
    <w:uiPriority w:val="0"/>
    <w:pPr>
      <w:widowControl w:val="0"/>
      <w:adjustRightInd w:val="0"/>
      <w:spacing w:line="312" w:lineRule="atLeast"/>
      <w:jc w:val="both"/>
    </w:pPr>
    <w:rPr>
      <w:rFonts w:ascii="宋体" w:hAnsi="Times New Roman" w:eastAsia="宋体" w:cs="Times New Roman"/>
      <w:sz w:val="34"/>
      <w:lang w:val="en-US" w:eastAsia="zh-CN" w:bidi="ar-SA"/>
    </w:rPr>
  </w:style>
  <w:style w:type="paragraph" w:customStyle="1" w:styleId="254">
    <w:name w:val="正文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5">
    <w:name w:val="xl32"/>
    <w:basedOn w:val="1"/>
    <w:qFormat/>
    <w:uiPriority w:val="0"/>
    <w:pPr>
      <w:widowControl/>
      <w:pBdr>
        <w:left w:val="single" w:color="auto" w:sz="4" w:space="0"/>
        <w:right w:val="single" w:color="auto" w:sz="4" w:space="0"/>
      </w:pBdr>
      <w:spacing w:before="100" w:beforeAutospacing="1" w:after="100" w:afterAutospacing="1"/>
    </w:pPr>
    <w:rPr>
      <w:kern w:val="0"/>
      <w:szCs w:val="21"/>
    </w:rPr>
  </w:style>
  <w:style w:type="paragraph" w:customStyle="1" w:styleId="256">
    <w:name w:val="Char Char Char"/>
    <w:basedOn w:val="18"/>
    <w:qFormat/>
    <w:uiPriority w:val="0"/>
    <w:pPr>
      <w:numPr>
        <w:ilvl w:val="0"/>
        <w:numId w:val="2"/>
      </w:numPr>
      <w:tabs>
        <w:tab w:val="clear" w:pos="420"/>
      </w:tabs>
      <w:ind w:left="0" w:firstLine="0"/>
    </w:pPr>
    <w:rPr>
      <w:rFonts w:ascii="Tahoma" w:hAnsi="Tahoma"/>
      <w:kern w:val="2"/>
      <w:sz w:val="24"/>
      <w:szCs w:val="22"/>
      <w:shd w:val="clear" w:color="auto" w:fill="auto"/>
    </w:rPr>
  </w:style>
  <w:style w:type="paragraph" w:customStyle="1" w:styleId="257">
    <w:name w:val="Char Char Char1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58">
    <w:name w:val="标书正文"/>
    <w:basedOn w:val="1"/>
    <w:qFormat/>
    <w:uiPriority w:val="0"/>
    <w:pPr>
      <w:adjustRightInd w:val="0"/>
      <w:snapToGrid w:val="0"/>
      <w:spacing w:before="120" w:after="120" w:line="360" w:lineRule="auto"/>
      <w:ind w:firstLine="540" w:firstLineChars="192"/>
    </w:pPr>
    <w:rPr>
      <w:rFonts w:ascii="华文中宋" w:hAnsi="宋体" w:cs="宋体"/>
      <w:color w:val="000000"/>
      <w:kern w:val="0"/>
      <w:sz w:val="28"/>
      <w:szCs w:val="28"/>
    </w:rPr>
  </w:style>
  <w:style w:type="paragraph" w:customStyle="1" w:styleId="259">
    <w:name w:val="Char Char Char 字元 字元"/>
    <w:basedOn w:val="1"/>
    <w:qFormat/>
    <w:uiPriority w:val="0"/>
    <w:pPr>
      <w:spacing w:line="360" w:lineRule="auto"/>
      <w:ind w:firstLine="200" w:firstLineChars="200"/>
    </w:pPr>
    <w:rPr>
      <w:szCs w:val="20"/>
    </w:rPr>
  </w:style>
  <w:style w:type="paragraph" w:customStyle="1" w:styleId="260">
    <w:name w:val="Char1"/>
    <w:basedOn w:val="1"/>
    <w:qFormat/>
    <w:uiPriority w:val="0"/>
    <w:rPr>
      <w:szCs w:val="20"/>
    </w:rPr>
  </w:style>
  <w:style w:type="paragraph" w:customStyle="1" w:styleId="261">
    <w:name w:val="正文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62">
    <w:name w:val="表格标题"/>
    <w:basedOn w:val="135"/>
    <w:qFormat/>
    <w:uiPriority w:val="0"/>
    <w:pPr>
      <w:keepNext/>
      <w:adjustRightInd/>
      <w:spacing w:line="240" w:lineRule="auto"/>
      <w:jc w:val="center"/>
      <w:textAlignment w:val="auto"/>
    </w:pPr>
    <w:rPr>
      <w:rFonts w:ascii="宋体" w:hAnsi="Courier New"/>
      <w:b/>
      <w:bCs/>
      <w:kern w:val="2"/>
      <w:sz w:val="24"/>
      <w:szCs w:val="22"/>
    </w:rPr>
  </w:style>
  <w:style w:type="paragraph" w:customStyle="1" w:styleId="263">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264">
    <w:name w:val="Table Paragraph"/>
    <w:basedOn w:val="1"/>
    <w:qFormat/>
    <w:uiPriority w:val="1"/>
  </w:style>
  <w:style w:type="paragraph" w:customStyle="1" w:styleId="265">
    <w:name w:val="Char Char1 Char Char Char Char"/>
    <w:basedOn w:val="1"/>
    <w:qFormat/>
    <w:uiPriority w:val="0"/>
    <w:rPr>
      <w:rFonts w:ascii="仿宋_GB2312" w:eastAsia="仿宋_GB2312"/>
      <w:b/>
      <w:sz w:val="32"/>
      <w:szCs w:val="32"/>
    </w:rPr>
  </w:style>
  <w:style w:type="paragraph" w:customStyle="1" w:styleId="266">
    <w:name w:val="Char Char1 Char Char Char Char1"/>
    <w:basedOn w:val="1"/>
    <w:qFormat/>
    <w:uiPriority w:val="0"/>
    <w:rPr>
      <w:rFonts w:ascii="仿宋_GB2312" w:eastAsia="仿宋_GB2312"/>
      <w:b/>
      <w:sz w:val="32"/>
      <w:szCs w:val="32"/>
    </w:rPr>
  </w:style>
  <w:style w:type="character" w:customStyle="1" w:styleId="267">
    <w:name w:val="正文文本 字符2"/>
    <w:qFormat/>
    <w:locked/>
    <w:uiPriority w:val="0"/>
    <w:rPr>
      <w:rFonts w:eastAsia="仿宋_GB2312"/>
      <w:kern w:val="2"/>
      <w:sz w:val="28"/>
      <w:szCs w:val="24"/>
      <w:lang w:val="en-US" w:eastAsia="zh-CN" w:bidi="ar-SA"/>
    </w:rPr>
  </w:style>
  <w:style w:type="character" w:customStyle="1" w:styleId="268">
    <w:name w:val="正文文本首行缩进 字符1"/>
    <w:qFormat/>
    <w:uiPriority w:val="0"/>
    <w:rPr>
      <w:rFonts w:eastAsia="仿宋_GB2312"/>
      <w:kern w:val="2"/>
      <w:sz w:val="21"/>
      <w:szCs w:val="24"/>
      <w:lang w:val="en-US" w:eastAsia="zh-CN" w:bidi="ar-SA"/>
    </w:rPr>
  </w:style>
  <w:style w:type="character" w:customStyle="1" w:styleId="269">
    <w:name w:val="标题 1 字符1"/>
    <w:qFormat/>
    <w:uiPriority w:val="0"/>
    <w:rPr>
      <w:rFonts w:eastAsia="仿宋_GB2312"/>
      <w:b/>
      <w:kern w:val="44"/>
      <w:sz w:val="44"/>
    </w:rPr>
  </w:style>
  <w:style w:type="character" w:customStyle="1" w:styleId="270">
    <w:name w:val="标题 2 字符1"/>
    <w:qFormat/>
    <w:uiPriority w:val="0"/>
    <w:rPr>
      <w:rFonts w:ascii="Arial" w:hAnsi="Arial" w:eastAsia="黑体"/>
      <w:b/>
      <w:kern w:val="2"/>
      <w:sz w:val="32"/>
    </w:rPr>
  </w:style>
  <w:style w:type="character" w:customStyle="1" w:styleId="271">
    <w:name w:val="标题 3 字符1"/>
    <w:qFormat/>
    <w:uiPriority w:val="0"/>
    <w:rPr>
      <w:rFonts w:eastAsia="仿宋_GB2312"/>
      <w:b/>
      <w:kern w:val="2"/>
      <w:sz w:val="32"/>
    </w:rPr>
  </w:style>
  <w:style w:type="character" w:customStyle="1" w:styleId="272">
    <w:name w:val="标题 4 字符1"/>
    <w:qFormat/>
    <w:uiPriority w:val="0"/>
    <w:rPr>
      <w:rFonts w:ascii="Arial" w:hAnsi="Arial" w:eastAsia="黑体"/>
      <w:b/>
      <w:kern w:val="2"/>
      <w:sz w:val="28"/>
      <w:lang w:val="en-US" w:eastAsia="zh-CN" w:bidi="ar-SA"/>
    </w:rPr>
  </w:style>
  <w:style w:type="character" w:customStyle="1" w:styleId="273">
    <w:name w:val="标题 5 字符2"/>
    <w:qFormat/>
    <w:uiPriority w:val="0"/>
    <w:rPr>
      <w:sz w:val="24"/>
    </w:rPr>
  </w:style>
  <w:style w:type="character" w:customStyle="1" w:styleId="274">
    <w:name w:val="标题 6 字符1"/>
    <w:qFormat/>
    <w:uiPriority w:val="0"/>
    <w:rPr>
      <w:rFonts w:ascii="宋体" w:hAnsi="Arial" w:eastAsia="宋体"/>
      <w:sz w:val="24"/>
      <w:lang w:val="en-US" w:eastAsia="zh-CN" w:bidi="ar-SA"/>
    </w:rPr>
  </w:style>
  <w:style w:type="character" w:customStyle="1" w:styleId="275">
    <w:name w:val="标题 7 字符1"/>
    <w:qFormat/>
    <w:uiPriority w:val="0"/>
    <w:rPr>
      <w:rFonts w:ascii="宋体" w:hAnsi="Arial" w:eastAsia="宋体"/>
      <w:b/>
      <w:sz w:val="24"/>
      <w:lang w:val="en-US" w:eastAsia="zh-CN" w:bidi="ar-SA"/>
    </w:rPr>
  </w:style>
  <w:style w:type="character" w:customStyle="1" w:styleId="276">
    <w:name w:val="标题 8 字符1"/>
    <w:qFormat/>
    <w:uiPriority w:val="0"/>
    <w:rPr>
      <w:rFonts w:ascii="Arial" w:hAnsi="Arial" w:eastAsia="黑体"/>
      <w:sz w:val="24"/>
      <w:lang w:val="en-US" w:eastAsia="zh-CN" w:bidi="ar-SA"/>
    </w:rPr>
  </w:style>
  <w:style w:type="character" w:customStyle="1" w:styleId="277">
    <w:name w:val="标题 9 字符1"/>
    <w:qFormat/>
    <w:uiPriority w:val="0"/>
    <w:rPr>
      <w:rFonts w:ascii="Arial" w:hAnsi="Arial" w:eastAsia="黑体"/>
      <w:sz w:val="24"/>
      <w:lang w:val="en-US" w:eastAsia="zh-CN" w:bidi="ar-SA"/>
    </w:rPr>
  </w:style>
  <w:style w:type="character" w:customStyle="1" w:styleId="278">
    <w:name w:val="正文缩进 字符2"/>
    <w:qFormat/>
    <w:uiPriority w:val="0"/>
    <w:rPr>
      <w:rFonts w:eastAsia="宋体"/>
      <w:kern w:val="2"/>
      <w:sz w:val="21"/>
      <w:szCs w:val="24"/>
      <w:lang w:val="en-US" w:eastAsia="zh-CN" w:bidi="ar-SA"/>
    </w:rPr>
  </w:style>
  <w:style w:type="character" w:customStyle="1" w:styleId="279">
    <w:name w:val="批注文字 字符2"/>
    <w:qFormat/>
    <w:uiPriority w:val="0"/>
    <w:rPr>
      <w:rFonts w:eastAsia="宋体"/>
      <w:kern w:val="2"/>
      <w:sz w:val="21"/>
      <w:szCs w:val="24"/>
      <w:lang w:val="en-US" w:eastAsia="zh-CN" w:bidi="ar-SA"/>
    </w:rPr>
  </w:style>
  <w:style w:type="character" w:customStyle="1" w:styleId="280">
    <w:name w:val="正文文本缩进 字符3"/>
    <w:qFormat/>
    <w:uiPriority w:val="0"/>
    <w:rPr>
      <w:rFonts w:eastAsia="宋体"/>
      <w:kern w:val="2"/>
      <w:sz w:val="21"/>
      <w:szCs w:val="24"/>
      <w:lang w:val="en-US" w:eastAsia="zh-CN" w:bidi="ar-SA"/>
    </w:rPr>
  </w:style>
  <w:style w:type="character" w:customStyle="1" w:styleId="281">
    <w:name w:val="纯文本 字符3"/>
    <w:qFormat/>
    <w:uiPriority w:val="0"/>
    <w:rPr>
      <w:rFonts w:ascii="宋体" w:hAnsi="Courier New" w:eastAsia="宋体"/>
      <w:kern w:val="2"/>
      <w:sz w:val="21"/>
      <w:lang w:val="en-US" w:eastAsia="zh-CN" w:bidi="ar-SA"/>
    </w:rPr>
  </w:style>
  <w:style w:type="character" w:customStyle="1" w:styleId="282">
    <w:name w:val="正文文本缩进 2 字符2"/>
    <w:qFormat/>
    <w:locked/>
    <w:uiPriority w:val="0"/>
    <w:rPr>
      <w:rFonts w:eastAsia="宋体"/>
      <w:kern w:val="2"/>
      <w:sz w:val="21"/>
      <w:szCs w:val="24"/>
      <w:lang w:val="en-US" w:eastAsia="zh-CN" w:bidi="ar-SA"/>
    </w:rPr>
  </w:style>
  <w:style w:type="character" w:customStyle="1" w:styleId="283">
    <w:name w:val="批注框文本 字符2"/>
    <w:qFormat/>
    <w:uiPriority w:val="0"/>
    <w:rPr>
      <w:kern w:val="2"/>
      <w:sz w:val="18"/>
      <w:szCs w:val="18"/>
    </w:rPr>
  </w:style>
  <w:style w:type="character" w:customStyle="1" w:styleId="284">
    <w:name w:val="页脚 字符1"/>
    <w:qFormat/>
    <w:locked/>
    <w:uiPriority w:val="99"/>
    <w:rPr>
      <w:rFonts w:eastAsia="宋体"/>
      <w:kern w:val="2"/>
      <w:sz w:val="18"/>
      <w:szCs w:val="18"/>
      <w:lang w:val="en-US" w:eastAsia="zh-CN" w:bidi="ar-SA"/>
    </w:rPr>
  </w:style>
  <w:style w:type="character" w:customStyle="1" w:styleId="285">
    <w:name w:val="页眉 字符1"/>
    <w:qFormat/>
    <w:uiPriority w:val="0"/>
    <w:rPr>
      <w:rFonts w:eastAsia="宋体"/>
      <w:kern w:val="2"/>
      <w:sz w:val="18"/>
      <w:szCs w:val="18"/>
      <w:lang w:val="en-US" w:eastAsia="zh-CN" w:bidi="ar-SA"/>
    </w:rPr>
  </w:style>
  <w:style w:type="character" w:customStyle="1" w:styleId="286">
    <w:name w:val="正文文本缩进 3 字符1"/>
    <w:qFormat/>
    <w:uiPriority w:val="0"/>
    <w:rPr>
      <w:kern w:val="2"/>
      <w:sz w:val="16"/>
      <w:szCs w:val="16"/>
    </w:rPr>
  </w:style>
  <w:style w:type="character" w:customStyle="1" w:styleId="287">
    <w:name w:val="正文文本 2 字符2"/>
    <w:qFormat/>
    <w:uiPriority w:val="0"/>
    <w:rPr>
      <w:rFonts w:ascii="隶书" w:eastAsia="隶书"/>
      <w:bCs/>
      <w:sz w:val="72"/>
      <w:szCs w:val="84"/>
      <w:lang w:val="en-US" w:eastAsia="zh-CN" w:bidi="ar-SA"/>
    </w:rPr>
  </w:style>
  <w:style w:type="character" w:customStyle="1" w:styleId="288">
    <w:name w:val="HTML 预设格式 字符1"/>
    <w:qFormat/>
    <w:uiPriority w:val="0"/>
    <w:rPr>
      <w:rFonts w:ascii="黑体" w:hAnsi="Courier New" w:eastAsia="黑体" w:cs="Courier New"/>
    </w:rPr>
  </w:style>
  <w:style w:type="character" w:customStyle="1" w:styleId="289">
    <w:name w:val="标题 字符2"/>
    <w:qFormat/>
    <w:locked/>
    <w:uiPriority w:val="0"/>
    <w:rPr>
      <w:rFonts w:ascii="Calibri Light" w:hAnsi="Calibri Light" w:eastAsia="宋体"/>
      <w:b/>
      <w:bCs/>
      <w:kern w:val="2"/>
      <w:sz w:val="32"/>
      <w:szCs w:val="32"/>
      <w:lang w:val="en-US" w:eastAsia="zh-CN" w:bidi="ar-SA"/>
    </w:rPr>
  </w:style>
  <w:style w:type="character" w:customStyle="1" w:styleId="290">
    <w:name w:val="批注主题 字符2"/>
    <w:qFormat/>
    <w:uiPriority w:val="0"/>
    <w:rPr>
      <w:rFonts w:eastAsia="宋体"/>
      <w:b/>
      <w:bCs/>
      <w:kern w:val="2"/>
      <w:sz w:val="24"/>
      <w:szCs w:val="24"/>
      <w:lang w:val="en-US" w:eastAsia="zh-CN" w:bidi="ar-SA"/>
    </w:rPr>
  </w:style>
  <w:style w:type="character" w:customStyle="1" w:styleId="291">
    <w:name w:val="正文文本首行缩进 2 字符1"/>
    <w:basedOn w:val="280"/>
    <w:qFormat/>
    <w:uiPriority w:val="0"/>
    <w:rPr>
      <w:rFonts w:eastAsia="宋体"/>
      <w:kern w:val="2"/>
      <w:sz w:val="21"/>
      <w:szCs w:val="24"/>
      <w:lang w:val="en-US" w:eastAsia="zh-CN" w:bidi="ar-SA"/>
    </w:rPr>
  </w:style>
  <w:style w:type="character" w:customStyle="1" w:styleId="292">
    <w:name w:val="正文文本 Char"/>
    <w:qFormat/>
    <w:locked/>
    <w:uiPriority w:val="0"/>
    <w:rPr>
      <w:rFonts w:eastAsia="仿宋_GB2312"/>
      <w:kern w:val="2"/>
      <w:sz w:val="28"/>
      <w:szCs w:val="24"/>
      <w:lang w:val="en-US" w:eastAsia="zh-CN" w:bidi="ar-SA"/>
    </w:rPr>
  </w:style>
  <w:style w:type="character" w:customStyle="1" w:styleId="293">
    <w:name w:val="param-name"/>
    <w:basedOn w:val="53"/>
    <w:qFormat/>
    <w:uiPriority w:val="0"/>
    <w:rPr>
      <w:rFonts w:ascii="仿宋_GB2312" w:eastAsia="仿宋_GB2312"/>
      <w:b/>
      <w:sz w:val="32"/>
      <w:szCs w:val="32"/>
    </w:rPr>
  </w:style>
  <w:style w:type="character" w:customStyle="1" w:styleId="294">
    <w:name w:val="正文缩进2格 Char"/>
    <w:link w:val="295"/>
    <w:qFormat/>
    <w:uiPriority w:val="0"/>
    <w:rPr>
      <w:rFonts w:ascii="仿宋_GB2312" w:hAnsi="宋体" w:eastAsia="仿宋_GB2312"/>
      <w:sz w:val="31"/>
    </w:rPr>
  </w:style>
  <w:style w:type="paragraph" w:customStyle="1" w:styleId="295">
    <w:name w:val="正文缩进2格"/>
    <w:basedOn w:val="1"/>
    <w:link w:val="294"/>
    <w:qFormat/>
    <w:uiPriority w:val="0"/>
    <w:pPr>
      <w:spacing w:line="600" w:lineRule="exact"/>
      <w:ind w:firstLine="639" w:firstLineChars="206"/>
    </w:pPr>
    <w:rPr>
      <w:rFonts w:ascii="仿宋_GB2312" w:hAnsi="宋体" w:eastAsia="仿宋_GB2312"/>
      <w:kern w:val="0"/>
      <w:sz w:val="31"/>
      <w:szCs w:val="20"/>
    </w:rPr>
  </w:style>
  <w:style w:type="character" w:customStyle="1" w:styleId="296">
    <w:name w:val="标题 5 字符1"/>
    <w:qFormat/>
    <w:uiPriority w:val="0"/>
    <w:rPr>
      <w:rFonts w:eastAsia="宋体"/>
      <w:sz w:val="24"/>
      <w:lang w:val="en-US" w:eastAsia="zh-CN" w:bidi="ar-SA"/>
    </w:rPr>
  </w:style>
  <w:style w:type="character" w:customStyle="1" w:styleId="297">
    <w:name w:val="Comment Text Char"/>
    <w:qFormat/>
    <w:locked/>
    <w:uiPriority w:val="0"/>
    <w:rPr>
      <w:rFonts w:ascii="Times New Roman" w:hAnsi="Times New Roman" w:eastAsia="宋体" w:cs="Times New Roman"/>
      <w:kern w:val="0"/>
      <w:sz w:val="24"/>
      <w:szCs w:val="24"/>
      <w:lang w:val="zh-CN" w:eastAsia="zh-CN"/>
    </w:rPr>
  </w:style>
  <w:style w:type="character" w:customStyle="1" w:styleId="298">
    <w:name w:val="表头 Char Char"/>
    <w:link w:val="299"/>
    <w:qFormat/>
    <w:uiPriority w:val="0"/>
    <w:rPr>
      <w:kern w:val="2"/>
      <w:sz w:val="24"/>
      <w:szCs w:val="22"/>
    </w:rPr>
  </w:style>
  <w:style w:type="paragraph" w:customStyle="1" w:styleId="299">
    <w:name w:val="表头"/>
    <w:basedOn w:val="1"/>
    <w:link w:val="298"/>
    <w:qFormat/>
    <w:uiPriority w:val="0"/>
    <w:pPr>
      <w:jc w:val="center"/>
    </w:pPr>
    <w:rPr>
      <w:sz w:val="24"/>
      <w:szCs w:val="22"/>
    </w:rPr>
  </w:style>
  <w:style w:type="character" w:customStyle="1" w:styleId="300">
    <w:name w:val="纯文本 字符1"/>
    <w:qFormat/>
    <w:uiPriority w:val="0"/>
    <w:rPr>
      <w:rFonts w:ascii="宋体" w:hAnsi="Courier New" w:eastAsia="宋体"/>
      <w:kern w:val="2"/>
      <w:sz w:val="21"/>
      <w:lang w:val="en-US" w:eastAsia="zh-CN" w:bidi="ar-SA"/>
    </w:rPr>
  </w:style>
  <w:style w:type="character" w:customStyle="1" w:styleId="301">
    <w:name w:val="列出段落 Char"/>
    <w:link w:val="302"/>
    <w:qFormat/>
    <w:uiPriority w:val="34"/>
    <w:rPr>
      <w:rFonts w:eastAsia="楷体_GB2312" w:cs="Lucida Sans"/>
      <w:kern w:val="2"/>
      <w:sz w:val="24"/>
      <w:szCs w:val="24"/>
    </w:rPr>
  </w:style>
  <w:style w:type="paragraph" w:customStyle="1" w:styleId="302">
    <w:name w:val="列出段落112"/>
    <w:basedOn w:val="1"/>
    <w:link w:val="301"/>
    <w:qFormat/>
    <w:uiPriority w:val="34"/>
    <w:pPr>
      <w:adjustRightInd w:val="0"/>
      <w:spacing w:line="360" w:lineRule="auto"/>
      <w:ind w:firstLine="200" w:firstLineChars="200"/>
    </w:pPr>
    <w:rPr>
      <w:rFonts w:eastAsia="楷体_GB2312" w:cs="Lucida Sans"/>
      <w:sz w:val="24"/>
    </w:rPr>
  </w:style>
  <w:style w:type="character" w:customStyle="1" w:styleId="303">
    <w:name w:val="政务 5 字符"/>
    <w:link w:val="304"/>
    <w:qFormat/>
    <w:locked/>
    <w:uiPriority w:val="0"/>
    <w:rPr>
      <w:rFonts w:ascii="宋体" w:hAnsi="宋体" w:eastAsia="仿宋"/>
      <w:b/>
      <w:sz w:val="30"/>
    </w:rPr>
  </w:style>
  <w:style w:type="paragraph" w:customStyle="1" w:styleId="304">
    <w:name w:val="政务 5"/>
    <w:basedOn w:val="1"/>
    <w:link w:val="303"/>
    <w:qFormat/>
    <w:uiPriority w:val="0"/>
    <w:pPr>
      <w:widowControl/>
      <w:numPr>
        <w:ilvl w:val="4"/>
        <w:numId w:val="3"/>
      </w:numPr>
      <w:tabs>
        <w:tab w:val="left" w:pos="2551"/>
      </w:tabs>
      <w:spacing w:beforeLines="100" w:afterLines="100" w:line="360" w:lineRule="auto"/>
      <w:jc w:val="left"/>
      <w:outlineLvl w:val="4"/>
    </w:pPr>
    <w:rPr>
      <w:rFonts w:ascii="宋体" w:hAnsi="宋体" w:eastAsia="仿宋"/>
      <w:b/>
      <w:kern w:val="0"/>
      <w:sz w:val="30"/>
      <w:szCs w:val="20"/>
    </w:rPr>
  </w:style>
  <w:style w:type="character" w:customStyle="1" w:styleId="305">
    <w:name w:val="标题 5 Char"/>
    <w:qFormat/>
    <w:uiPriority w:val="0"/>
    <w:rPr>
      <w:rFonts w:eastAsia="宋体"/>
      <w:sz w:val="24"/>
      <w:lang w:val="en-US" w:eastAsia="zh-CN" w:bidi="ar-SA"/>
    </w:rPr>
  </w:style>
  <w:style w:type="character" w:customStyle="1" w:styleId="306">
    <w:name w:val="批注文字 Char"/>
    <w:qFormat/>
    <w:uiPriority w:val="99"/>
    <w:rPr>
      <w:rFonts w:eastAsia="宋体"/>
      <w:kern w:val="2"/>
      <w:sz w:val="21"/>
      <w:szCs w:val="24"/>
      <w:lang w:val="en-US" w:eastAsia="zh-CN" w:bidi="ar-SA"/>
    </w:rPr>
  </w:style>
  <w:style w:type="character" w:customStyle="1" w:styleId="307">
    <w:name w:val="Date Char"/>
    <w:qFormat/>
    <w:locked/>
    <w:uiPriority w:val="0"/>
    <w:rPr>
      <w:rFonts w:ascii="宋体"/>
      <w:sz w:val="21"/>
      <w:lang w:val="zh-CN"/>
    </w:rPr>
  </w:style>
  <w:style w:type="character" w:customStyle="1" w:styleId="308">
    <w:name w:val="正文文本 2 Char"/>
    <w:qFormat/>
    <w:uiPriority w:val="0"/>
    <w:rPr>
      <w:rFonts w:ascii="隶书" w:eastAsia="隶书"/>
      <w:bCs/>
      <w:sz w:val="72"/>
      <w:szCs w:val="84"/>
      <w:lang w:val="en-US" w:eastAsia="zh-CN" w:bidi="ar-SA"/>
    </w:rPr>
  </w:style>
  <w:style w:type="character" w:customStyle="1" w:styleId="309">
    <w:name w:val="正文文本缩进 字符1"/>
    <w:qFormat/>
    <w:uiPriority w:val="0"/>
    <w:rPr>
      <w:rFonts w:eastAsia="宋体"/>
      <w:kern w:val="2"/>
      <w:sz w:val="21"/>
      <w:szCs w:val="24"/>
      <w:lang w:val="en-US" w:eastAsia="zh-CN" w:bidi="ar-SA"/>
    </w:rPr>
  </w:style>
  <w:style w:type="character" w:customStyle="1" w:styleId="310">
    <w:name w:val="汇视源正文 Char"/>
    <w:link w:val="311"/>
    <w:qFormat/>
    <w:uiPriority w:val="0"/>
    <w:rPr>
      <w:rFonts w:cs="宋体"/>
      <w:kern w:val="2"/>
      <w:sz w:val="24"/>
    </w:rPr>
  </w:style>
  <w:style w:type="paragraph" w:customStyle="1" w:styleId="311">
    <w:name w:val="汇视源正文"/>
    <w:link w:val="310"/>
    <w:qFormat/>
    <w:uiPriority w:val="0"/>
    <w:pPr>
      <w:widowControl w:val="0"/>
      <w:spacing w:beforeLines="50" w:line="360" w:lineRule="auto"/>
      <w:ind w:firstLine="480" w:firstLineChars="200"/>
      <w:jc w:val="both"/>
    </w:pPr>
    <w:rPr>
      <w:rFonts w:ascii="Times New Roman" w:hAnsi="Times New Roman" w:eastAsia="宋体" w:cs="宋体"/>
      <w:kern w:val="2"/>
      <w:sz w:val="24"/>
      <w:lang w:val="en-US" w:eastAsia="zh-CN" w:bidi="ar-SA"/>
    </w:rPr>
  </w:style>
  <w:style w:type="character" w:customStyle="1" w:styleId="312">
    <w:name w:val="一般段落 字符"/>
    <w:link w:val="313"/>
    <w:qFormat/>
    <w:uiPriority w:val="0"/>
    <w:rPr>
      <w:sz w:val="24"/>
      <w:szCs w:val="24"/>
    </w:rPr>
  </w:style>
  <w:style w:type="paragraph" w:customStyle="1" w:styleId="313">
    <w:name w:val="一般段落"/>
    <w:basedOn w:val="1"/>
    <w:link w:val="312"/>
    <w:qFormat/>
    <w:uiPriority w:val="0"/>
    <w:pPr>
      <w:spacing w:line="360" w:lineRule="auto"/>
      <w:ind w:firstLine="420"/>
    </w:pPr>
    <w:rPr>
      <w:kern w:val="0"/>
      <w:sz w:val="24"/>
    </w:rPr>
  </w:style>
  <w:style w:type="character" w:customStyle="1" w:styleId="314">
    <w:name w:val="六级标题 Char"/>
    <w:link w:val="315"/>
    <w:qFormat/>
    <w:uiPriority w:val="0"/>
    <w:rPr>
      <w:rFonts w:ascii="宋体" w:hAnsi="宋体"/>
      <w:b/>
      <w:bCs/>
      <w:kern w:val="2"/>
      <w:sz w:val="24"/>
      <w:szCs w:val="24"/>
    </w:rPr>
  </w:style>
  <w:style w:type="paragraph" w:customStyle="1" w:styleId="315">
    <w:name w:val="六级标题"/>
    <w:basedOn w:val="9"/>
    <w:link w:val="314"/>
    <w:qFormat/>
    <w:uiPriority w:val="0"/>
    <w:pPr>
      <w:widowControl w:val="0"/>
      <w:numPr>
        <w:ilvl w:val="5"/>
        <w:numId w:val="4"/>
      </w:numPr>
      <w:tabs>
        <w:tab w:val="left" w:pos="360"/>
        <w:tab w:val="left" w:pos="2325"/>
        <w:tab w:val="clear" w:pos="1440"/>
      </w:tabs>
      <w:spacing w:line="320" w:lineRule="auto"/>
      <w:jc w:val="both"/>
    </w:pPr>
    <w:rPr>
      <w:rFonts w:ascii="宋体" w:hAnsi="宋体" w:eastAsia="宋体"/>
      <w:kern w:val="2"/>
    </w:rPr>
  </w:style>
  <w:style w:type="character" w:customStyle="1" w:styleId="316">
    <w:name w:val="Header Char"/>
    <w:qFormat/>
    <w:locked/>
    <w:uiPriority w:val="0"/>
    <w:rPr>
      <w:rFonts w:ascii="Times New Roman" w:hAnsi="Times New Roman" w:eastAsia="宋体" w:cs="Times New Roman"/>
      <w:sz w:val="18"/>
      <w:szCs w:val="18"/>
    </w:rPr>
  </w:style>
  <w:style w:type="character" w:customStyle="1" w:styleId="317">
    <w:name w:val="页眉 Char"/>
    <w:qFormat/>
    <w:uiPriority w:val="99"/>
    <w:rPr>
      <w:rFonts w:eastAsia="宋体"/>
      <w:kern w:val="2"/>
      <w:sz w:val="18"/>
      <w:szCs w:val="18"/>
      <w:lang w:val="en-US" w:eastAsia="zh-CN" w:bidi="ar-SA"/>
    </w:rPr>
  </w:style>
  <w:style w:type="character" w:customStyle="1" w:styleId="318">
    <w:name w:val="￥正文 Char Char"/>
    <w:link w:val="319"/>
    <w:qFormat/>
    <w:locked/>
    <w:uiPriority w:val="0"/>
    <w:rPr>
      <w:rFonts w:cs="Calibri"/>
      <w:color w:val="000000"/>
      <w:sz w:val="24"/>
      <w:szCs w:val="28"/>
    </w:rPr>
  </w:style>
  <w:style w:type="paragraph" w:customStyle="1" w:styleId="319">
    <w:name w:val="￥正文"/>
    <w:basedOn w:val="1"/>
    <w:link w:val="318"/>
    <w:qFormat/>
    <w:uiPriority w:val="0"/>
    <w:pPr>
      <w:spacing w:line="360" w:lineRule="auto"/>
      <w:ind w:firstLine="454"/>
    </w:pPr>
    <w:rPr>
      <w:rFonts w:cs="Calibri"/>
      <w:color w:val="000000"/>
      <w:kern w:val="0"/>
      <w:sz w:val="24"/>
      <w:szCs w:val="28"/>
    </w:rPr>
  </w:style>
  <w:style w:type="character" w:customStyle="1" w:styleId="320">
    <w:name w:val="+正文 Char Char Char1"/>
    <w:qFormat/>
    <w:uiPriority w:val="0"/>
    <w:rPr>
      <w:rFonts w:hint="eastAsia" w:ascii="楷体_GB2312" w:eastAsia="宋体"/>
      <w:kern w:val="2"/>
      <w:sz w:val="28"/>
      <w:lang w:val="en-US" w:eastAsia="zh-CN"/>
    </w:rPr>
  </w:style>
  <w:style w:type="character" w:customStyle="1" w:styleId="321">
    <w:name w:val="正文文本缩进 2 Char"/>
    <w:qFormat/>
    <w:locked/>
    <w:uiPriority w:val="0"/>
    <w:rPr>
      <w:rFonts w:eastAsia="宋体"/>
      <w:kern w:val="2"/>
      <w:sz w:val="21"/>
      <w:szCs w:val="24"/>
      <w:lang w:val="en-US" w:eastAsia="zh-CN" w:bidi="ar-SA"/>
    </w:rPr>
  </w:style>
  <w:style w:type="character" w:customStyle="1" w:styleId="322">
    <w:name w:val="标题-其他 Char"/>
    <w:link w:val="323"/>
    <w:qFormat/>
    <w:uiPriority w:val="0"/>
    <w:rPr>
      <w:rFonts w:ascii="Cambria" w:hAnsi="Cambria"/>
      <w:b/>
      <w:bCs/>
      <w:kern w:val="2"/>
      <w:sz w:val="32"/>
      <w:szCs w:val="32"/>
    </w:rPr>
  </w:style>
  <w:style w:type="paragraph" w:customStyle="1" w:styleId="323">
    <w:name w:val="标题-其他"/>
    <w:basedOn w:val="48"/>
    <w:link w:val="322"/>
    <w:qFormat/>
    <w:uiPriority w:val="0"/>
    <w:pPr>
      <w:snapToGrid w:val="0"/>
      <w:spacing w:before="0" w:after="0" w:line="240" w:lineRule="auto"/>
      <w:textAlignment w:val="auto"/>
    </w:pPr>
    <w:rPr>
      <w:rFonts w:ascii="Cambria" w:hAnsi="Cambria"/>
      <w:bCs/>
      <w:kern w:val="2"/>
      <w:szCs w:val="32"/>
    </w:rPr>
  </w:style>
  <w:style w:type="character" w:customStyle="1" w:styleId="324">
    <w:name w:val="列表段落 字符"/>
    <w:link w:val="325"/>
    <w:qFormat/>
    <w:uiPriority w:val="34"/>
    <w:rPr>
      <w:rFonts w:ascii="Calibri" w:hAnsi="Calibri"/>
      <w:sz w:val="22"/>
      <w:szCs w:val="22"/>
    </w:rPr>
  </w:style>
  <w:style w:type="paragraph" w:customStyle="1" w:styleId="325">
    <w:name w:val="_Style 207"/>
    <w:basedOn w:val="1"/>
    <w:next w:val="130"/>
    <w:link w:val="324"/>
    <w:qFormat/>
    <w:uiPriority w:val="34"/>
    <w:pPr>
      <w:widowControl/>
      <w:spacing w:after="200" w:line="276" w:lineRule="auto"/>
      <w:ind w:left="720"/>
      <w:contextualSpacing/>
      <w:jc w:val="left"/>
    </w:pPr>
    <w:rPr>
      <w:rFonts w:ascii="Calibri" w:hAnsi="Calibri"/>
      <w:kern w:val="0"/>
      <w:sz w:val="22"/>
      <w:szCs w:val="22"/>
    </w:rPr>
  </w:style>
  <w:style w:type="character" w:customStyle="1" w:styleId="326">
    <w:name w:val="特点 Char2"/>
    <w:qFormat/>
    <w:uiPriority w:val="0"/>
    <w:rPr>
      <w:rFonts w:ascii="Times New Roman" w:hAnsi="Times New Roman" w:eastAsia="宋体" w:cs="Times New Roman"/>
      <w:szCs w:val="24"/>
    </w:rPr>
  </w:style>
  <w:style w:type="character" w:customStyle="1" w:styleId="327">
    <w:name w:val="标题 4 Char"/>
    <w:qFormat/>
    <w:uiPriority w:val="0"/>
    <w:rPr>
      <w:rFonts w:ascii="Arial" w:hAnsi="Arial" w:eastAsia="黑体"/>
      <w:b/>
      <w:kern w:val="2"/>
      <w:sz w:val="28"/>
      <w:lang w:val="en-US" w:eastAsia="zh-CN" w:bidi="ar-SA"/>
    </w:rPr>
  </w:style>
  <w:style w:type="character" w:customStyle="1" w:styleId="328">
    <w:name w:val="Char Char12"/>
    <w:qFormat/>
    <w:uiPriority w:val="0"/>
    <w:rPr>
      <w:rFonts w:ascii="宋体" w:hAnsi="Courier New" w:eastAsia="宋体"/>
      <w:kern w:val="2"/>
      <w:sz w:val="21"/>
      <w:lang w:val="en-US" w:eastAsia="zh-CN" w:bidi="ar-SA"/>
    </w:rPr>
  </w:style>
  <w:style w:type="character" w:customStyle="1" w:styleId="329">
    <w:name w:val="font51"/>
    <w:qFormat/>
    <w:uiPriority w:val="0"/>
    <w:rPr>
      <w:rFonts w:hint="default" w:ascii="等线" w:hAnsi="等线" w:eastAsia="等线" w:cs="等线"/>
      <w:color w:val="FF0000"/>
      <w:sz w:val="22"/>
      <w:szCs w:val="22"/>
      <w:u w:val="none"/>
    </w:rPr>
  </w:style>
  <w:style w:type="character" w:customStyle="1" w:styleId="330">
    <w:name w:val="三级标题 Char"/>
    <w:link w:val="331"/>
    <w:qFormat/>
    <w:uiPriority w:val="0"/>
    <w:rPr>
      <w:rFonts w:ascii="宋体" w:hAnsi="宋体"/>
      <w:b/>
      <w:bCs/>
      <w:kern w:val="2"/>
      <w:sz w:val="28"/>
      <w:szCs w:val="32"/>
    </w:rPr>
  </w:style>
  <w:style w:type="paragraph" w:customStyle="1" w:styleId="331">
    <w:name w:val="三级标题"/>
    <w:basedOn w:val="6"/>
    <w:link w:val="330"/>
    <w:qFormat/>
    <w:uiPriority w:val="0"/>
    <w:pPr>
      <w:numPr>
        <w:ilvl w:val="2"/>
        <w:numId w:val="4"/>
      </w:numPr>
      <w:tabs>
        <w:tab w:val="left" w:pos="360"/>
        <w:tab w:val="left" w:pos="1065"/>
        <w:tab w:val="left" w:pos="2651"/>
      </w:tabs>
      <w:spacing w:line="360" w:lineRule="auto"/>
    </w:pPr>
    <w:rPr>
      <w:rFonts w:ascii="宋体" w:hAnsi="宋体"/>
      <w:sz w:val="28"/>
    </w:rPr>
  </w:style>
  <w:style w:type="character" w:customStyle="1" w:styleId="332">
    <w:name w:val="标题 8 Char"/>
    <w:qFormat/>
    <w:uiPriority w:val="0"/>
    <w:rPr>
      <w:rFonts w:ascii="Arial" w:hAnsi="Arial" w:eastAsia="黑体"/>
      <w:sz w:val="24"/>
      <w:lang w:val="en-US" w:eastAsia="zh-CN" w:bidi="ar-SA"/>
    </w:rPr>
  </w:style>
  <w:style w:type="character" w:customStyle="1" w:styleId="333">
    <w:name w:val="正文2 Char Char"/>
    <w:qFormat/>
    <w:uiPriority w:val="0"/>
    <w:rPr>
      <w:kern w:val="2"/>
      <w:sz w:val="24"/>
    </w:rPr>
  </w:style>
  <w:style w:type="character" w:customStyle="1" w:styleId="334">
    <w:name w:val="正文1级 Char Char"/>
    <w:link w:val="335"/>
    <w:qFormat/>
    <w:uiPriority w:val="0"/>
    <w:rPr>
      <w:bCs/>
      <w:kern w:val="44"/>
      <w:sz w:val="24"/>
      <w:szCs w:val="44"/>
    </w:rPr>
  </w:style>
  <w:style w:type="paragraph" w:customStyle="1" w:styleId="335">
    <w:name w:val="正文1级"/>
    <w:link w:val="334"/>
    <w:qFormat/>
    <w:uiPriority w:val="0"/>
    <w:pPr>
      <w:widowControl w:val="0"/>
      <w:tabs>
        <w:tab w:val="left" w:pos="0"/>
        <w:tab w:val="left" w:pos="420"/>
      </w:tabs>
      <w:spacing w:after="60" w:line="400" w:lineRule="exact"/>
      <w:ind w:left="839" w:hanging="419"/>
      <w:jc w:val="both"/>
    </w:pPr>
    <w:rPr>
      <w:rFonts w:ascii="Times New Roman" w:hAnsi="Times New Roman" w:eastAsia="宋体" w:cs="Times New Roman"/>
      <w:bCs/>
      <w:kern w:val="44"/>
      <w:sz w:val="24"/>
      <w:szCs w:val="44"/>
      <w:lang w:val="en-US" w:eastAsia="zh-CN" w:bidi="ar-SA"/>
    </w:rPr>
  </w:style>
  <w:style w:type="character" w:customStyle="1" w:styleId="336">
    <w:name w:val="+标题4 Char Char"/>
    <w:link w:val="337"/>
    <w:qFormat/>
    <w:uiPriority w:val="0"/>
    <w:rPr>
      <w:rFonts w:ascii="楷体_GB2312" w:eastAsia="楷体_GB2312"/>
      <w:kern w:val="2"/>
      <w:sz w:val="30"/>
    </w:rPr>
  </w:style>
  <w:style w:type="paragraph" w:customStyle="1" w:styleId="337">
    <w:name w:val="+标题4"/>
    <w:basedOn w:val="7"/>
    <w:link w:val="336"/>
    <w:unhideWhenUsed/>
    <w:qFormat/>
    <w:uiPriority w:val="0"/>
    <w:pPr>
      <w:keepNext w:val="0"/>
      <w:keepLines w:val="0"/>
      <w:numPr>
        <w:ilvl w:val="3"/>
        <w:numId w:val="3"/>
      </w:numPr>
      <w:tabs>
        <w:tab w:val="left" w:pos="960"/>
        <w:tab w:val="left" w:pos="2160"/>
      </w:tabs>
      <w:spacing w:before="0" w:after="0" w:line="360" w:lineRule="auto"/>
      <w:ind w:left="2160"/>
    </w:pPr>
    <w:rPr>
      <w:rFonts w:ascii="楷体_GB2312" w:hAnsi="Times New Roman" w:eastAsia="楷体_GB2312"/>
      <w:b w:val="0"/>
      <w:bCs w:val="0"/>
      <w:sz w:val="30"/>
      <w:szCs w:val="20"/>
    </w:rPr>
  </w:style>
  <w:style w:type="character" w:customStyle="1" w:styleId="338">
    <w:name w:val="Font Style35"/>
    <w:qFormat/>
    <w:uiPriority w:val="0"/>
    <w:rPr>
      <w:rFonts w:ascii="宋体" w:eastAsia="宋体" w:cs="宋体"/>
      <w:b/>
      <w:bCs/>
      <w:spacing w:val="-20"/>
      <w:sz w:val="22"/>
      <w:szCs w:val="22"/>
    </w:rPr>
  </w:style>
  <w:style w:type="character" w:customStyle="1" w:styleId="339">
    <w:name w:val="二级标题 Char"/>
    <w:link w:val="340"/>
    <w:qFormat/>
    <w:uiPriority w:val="0"/>
    <w:rPr>
      <w:rFonts w:ascii="宋体" w:hAnsi="宋体"/>
      <w:b/>
      <w:bCs/>
      <w:kern w:val="2"/>
      <w:sz w:val="32"/>
      <w:szCs w:val="32"/>
    </w:rPr>
  </w:style>
  <w:style w:type="paragraph" w:customStyle="1" w:styleId="340">
    <w:name w:val="二级标题"/>
    <w:basedOn w:val="5"/>
    <w:link w:val="339"/>
    <w:qFormat/>
    <w:uiPriority w:val="0"/>
    <w:pPr>
      <w:numPr>
        <w:ilvl w:val="1"/>
        <w:numId w:val="4"/>
      </w:numPr>
      <w:tabs>
        <w:tab w:val="left" w:pos="360"/>
        <w:tab w:val="left" w:pos="645"/>
        <w:tab w:val="left" w:pos="1145"/>
      </w:tabs>
      <w:spacing w:line="360" w:lineRule="auto"/>
    </w:pPr>
    <w:rPr>
      <w:rFonts w:ascii="宋体" w:hAnsi="宋体" w:eastAsia="宋体"/>
    </w:rPr>
  </w:style>
  <w:style w:type="character" w:customStyle="1" w:styleId="341">
    <w:name w:val="font61"/>
    <w:qFormat/>
    <w:uiPriority w:val="0"/>
    <w:rPr>
      <w:rFonts w:hint="default" w:ascii="等线" w:hAnsi="等线" w:eastAsia="等线" w:cs="等线"/>
      <w:color w:val="000000"/>
      <w:sz w:val="22"/>
      <w:szCs w:val="22"/>
      <w:u w:val="none"/>
    </w:rPr>
  </w:style>
  <w:style w:type="character" w:customStyle="1" w:styleId="342">
    <w:name w:val="Plain Text Char"/>
    <w:qFormat/>
    <w:locked/>
    <w:uiPriority w:val="0"/>
    <w:rPr>
      <w:rFonts w:ascii="宋体" w:hAnsi="Courier New" w:eastAsia="宋体"/>
      <w:snapToGrid w:val="0"/>
      <w:sz w:val="21"/>
    </w:rPr>
  </w:style>
  <w:style w:type="character" w:customStyle="1" w:styleId="343">
    <w:name w:val="Font Style60"/>
    <w:qFormat/>
    <w:uiPriority w:val="0"/>
    <w:rPr>
      <w:rFonts w:ascii="宋体" w:eastAsia="宋体" w:cs="宋体"/>
      <w:b/>
      <w:bCs/>
      <w:szCs w:val="24"/>
    </w:rPr>
  </w:style>
  <w:style w:type="character" w:customStyle="1" w:styleId="344">
    <w:name w:val="日期 Char"/>
    <w:qFormat/>
    <w:uiPriority w:val="0"/>
    <w:rPr>
      <w:rFonts w:ascii="楷体_GB2312" w:eastAsia="楷体_GB2312"/>
      <w:b/>
      <w:kern w:val="2"/>
      <w:sz w:val="28"/>
      <w:lang w:val="en-US" w:eastAsia="zh-CN" w:bidi="ar-SA"/>
    </w:rPr>
  </w:style>
  <w:style w:type="character" w:customStyle="1" w:styleId="345">
    <w:name w:val="Font Style61"/>
    <w:qFormat/>
    <w:uiPriority w:val="0"/>
    <w:rPr>
      <w:rFonts w:ascii="宋体" w:eastAsia="宋体" w:cs="宋体"/>
      <w:sz w:val="20"/>
    </w:rPr>
  </w:style>
  <w:style w:type="character" w:customStyle="1" w:styleId="346">
    <w:name w:val="四级标题 Char"/>
    <w:link w:val="347"/>
    <w:qFormat/>
    <w:uiPriority w:val="0"/>
    <w:rPr>
      <w:rFonts w:ascii="宋体" w:hAnsi="宋体"/>
      <w:b/>
      <w:bCs/>
      <w:kern w:val="2"/>
      <w:sz w:val="24"/>
      <w:szCs w:val="32"/>
    </w:rPr>
  </w:style>
  <w:style w:type="paragraph" w:customStyle="1" w:styleId="347">
    <w:name w:val="四级标题"/>
    <w:basedOn w:val="7"/>
    <w:link w:val="346"/>
    <w:qFormat/>
    <w:uiPriority w:val="0"/>
    <w:pPr>
      <w:numPr>
        <w:ilvl w:val="3"/>
        <w:numId w:val="4"/>
      </w:numPr>
      <w:tabs>
        <w:tab w:val="left" w:pos="225"/>
        <w:tab w:val="left" w:pos="360"/>
        <w:tab w:val="left" w:pos="1485"/>
        <w:tab w:val="left" w:pos="1984"/>
      </w:tabs>
      <w:spacing w:before="120" w:after="120" w:line="360" w:lineRule="auto"/>
    </w:pPr>
    <w:rPr>
      <w:rFonts w:ascii="宋体" w:hAnsi="宋体" w:eastAsia="宋体"/>
      <w:sz w:val="24"/>
      <w:szCs w:val="32"/>
    </w:rPr>
  </w:style>
  <w:style w:type="character" w:customStyle="1" w:styleId="348">
    <w:name w:val="标题 7 Char"/>
    <w:qFormat/>
    <w:uiPriority w:val="0"/>
    <w:rPr>
      <w:rFonts w:ascii="宋体" w:hAnsi="Arial" w:eastAsia="宋体"/>
      <w:b/>
      <w:sz w:val="24"/>
      <w:lang w:val="en-US" w:eastAsia="zh-CN" w:bidi="ar-SA"/>
    </w:rPr>
  </w:style>
  <w:style w:type="character" w:customStyle="1" w:styleId="349">
    <w:name w:val="font41"/>
    <w:qFormat/>
    <w:uiPriority w:val="0"/>
    <w:rPr>
      <w:rFonts w:hint="default" w:ascii="等线" w:hAnsi="等线" w:eastAsia="等线" w:cs="等线"/>
      <w:color w:val="FF0000"/>
      <w:sz w:val="22"/>
      <w:szCs w:val="22"/>
      <w:u w:val="none"/>
    </w:rPr>
  </w:style>
  <w:style w:type="character" w:customStyle="1" w:styleId="350">
    <w:name w:val="Font Style34"/>
    <w:qFormat/>
    <w:uiPriority w:val="0"/>
    <w:rPr>
      <w:rFonts w:ascii="Constantia" w:hAnsi="Constantia" w:cs="Constantia"/>
      <w:sz w:val="16"/>
      <w:szCs w:val="16"/>
    </w:rPr>
  </w:style>
  <w:style w:type="character" w:customStyle="1" w:styleId="351">
    <w:name w:val="标题 9 Char"/>
    <w:qFormat/>
    <w:uiPriority w:val="0"/>
    <w:rPr>
      <w:rFonts w:ascii="Arial" w:hAnsi="Arial" w:eastAsia="黑体"/>
      <w:sz w:val="24"/>
      <w:lang w:val="en-US" w:eastAsia="zh-CN" w:bidi="ar-SA"/>
    </w:rPr>
  </w:style>
  <w:style w:type="character" w:customStyle="1" w:styleId="352">
    <w:name w:val="Normal Indent Char"/>
    <w:qFormat/>
    <w:locked/>
    <w:uiPriority w:val="0"/>
    <w:rPr>
      <w:rFonts w:ascii="宋体" w:eastAsia="宋体"/>
      <w:snapToGrid w:val="0"/>
      <w:color w:val="000000"/>
      <w:kern w:val="28"/>
      <w:sz w:val="28"/>
    </w:rPr>
  </w:style>
  <w:style w:type="character" w:customStyle="1" w:styleId="353">
    <w:name w:val="标题 6 Char"/>
    <w:qFormat/>
    <w:uiPriority w:val="0"/>
    <w:rPr>
      <w:rFonts w:ascii="宋体" w:hAnsi="Arial" w:eastAsia="宋体"/>
      <w:sz w:val="24"/>
      <w:lang w:val="en-US" w:eastAsia="zh-CN" w:bidi="ar-SA"/>
    </w:rPr>
  </w:style>
  <w:style w:type="paragraph" w:customStyle="1" w:styleId="354">
    <w:name w:val="+标题2"/>
    <w:basedOn w:val="5"/>
    <w:qFormat/>
    <w:uiPriority w:val="0"/>
    <w:pPr>
      <w:tabs>
        <w:tab w:val="left" w:pos="360"/>
      </w:tabs>
      <w:spacing w:beforeLines="50" w:afterLines="50" w:line="420" w:lineRule="exact"/>
      <w:ind w:left="992" w:hanging="567"/>
      <w:outlineLvl w:val="9"/>
    </w:pPr>
    <w:rPr>
      <w:rFonts w:ascii="宋体" w:hAnsi="宋体" w:eastAsia="宋体"/>
      <w:bCs w:val="0"/>
      <w:sz w:val="21"/>
      <w:szCs w:val="20"/>
    </w:rPr>
  </w:style>
  <w:style w:type="paragraph" w:customStyle="1" w:styleId="355">
    <w:name w:val="xl73"/>
    <w:basedOn w:val="1"/>
    <w:qFormat/>
    <w:uiPriority w:val="0"/>
    <w:pPr>
      <w:widowControl/>
      <w:spacing w:before="100" w:beforeAutospacing="1" w:after="100" w:afterAutospacing="1" w:line="440" w:lineRule="exact"/>
      <w:ind w:firstLine="200" w:firstLineChars="200"/>
      <w:jc w:val="center"/>
    </w:pPr>
    <w:rPr>
      <w:rFonts w:ascii="宋体" w:hAnsi="宋体" w:eastAsia="仿宋_GB2312" w:cs="宋体"/>
      <w:kern w:val="0"/>
      <w:sz w:val="24"/>
    </w:rPr>
  </w:style>
  <w:style w:type="paragraph" w:customStyle="1" w:styleId="356">
    <w:name w:val="标准正文"/>
    <w:basedOn w:val="1"/>
    <w:qFormat/>
    <w:uiPriority w:val="0"/>
    <w:pPr>
      <w:adjustRightInd w:val="0"/>
      <w:spacing w:line="440" w:lineRule="exact"/>
      <w:ind w:firstLine="480"/>
      <w:textAlignment w:val="baseline"/>
    </w:pPr>
    <w:rPr>
      <w:rFonts w:ascii="宋体" w:hAnsi="宋体"/>
      <w:color w:val="FF0000"/>
      <w:kern w:val="0"/>
      <w:sz w:val="24"/>
      <w:szCs w:val="20"/>
    </w:rPr>
  </w:style>
  <w:style w:type="paragraph" w:customStyle="1" w:styleId="357">
    <w:name w:val="xl101"/>
    <w:basedOn w:val="1"/>
    <w:qFormat/>
    <w:uiPriority w:val="0"/>
    <w:pPr>
      <w:widowControl/>
      <w:pBdr>
        <w:top w:val="single" w:color="auto" w:sz="4" w:space="0"/>
        <w:left w:val="single" w:color="auto" w:sz="4" w:space="0"/>
        <w:right w:val="single" w:color="auto" w:sz="4" w:space="0"/>
      </w:pBdr>
      <w:spacing w:before="100" w:beforeAutospacing="1" w:after="100" w:afterAutospacing="1" w:line="440" w:lineRule="exact"/>
      <w:ind w:firstLine="200" w:firstLineChars="200"/>
      <w:jc w:val="center"/>
    </w:pPr>
    <w:rPr>
      <w:rFonts w:ascii="宋体" w:hAnsi="宋体" w:eastAsia="仿宋_GB2312" w:cs="宋体"/>
      <w:kern w:val="0"/>
      <w:sz w:val="24"/>
    </w:rPr>
  </w:style>
  <w:style w:type="paragraph" w:customStyle="1" w:styleId="358">
    <w:name w:val="样式5"/>
    <w:basedOn w:val="1"/>
    <w:qFormat/>
    <w:uiPriority w:val="0"/>
    <w:pPr>
      <w:adjustRightInd w:val="0"/>
      <w:spacing w:line="440" w:lineRule="exact"/>
      <w:ind w:left="2" w:firstLine="480" w:firstLineChars="200"/>
    </w:pPr>
    <w:rPr>
      <w:rFonts w:ascii="仿宋_GB2312" w:hAnsi="仿宋" w:eastAsia="仿宋_GB2312"/>
      <w:sz w:val="24"/>
    </w:rPr>
  </w:style>
  <w:style w:type="paragraph" w:customStyle="1" w:styleId="359">
    <w:name w:val="ST20_3"/>
    <w:basedOn w:val="1"/>
    <w:qFormat/>
    <w:uiPriority w:val="0"/>
    <w:pPr>
      <w:autoSpaceDE w:val="0"/>
      <w:autoSpaceDN w:val="0"/>
      <w:adjustRightInd w:val="0"/>
      <w:ind w:left="1260" w:hanging="420"/>
      <w:jc w:val="left"/>
      <w:textAlignment w:val="baseline"/>
    </w:pPr>
    <w:rPr>
      <w:rFonts w:ascii="宋体" w:hAnsi="Tms Rmn"/>
      <w:kern w:val="0"/>
      <w:szCs w:val="20"/>
    </w:rPr>
  </w:style>
  <w:style w:type="paragraph" w:customStyle="1" w:styleId="360">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left"/>
      <w:textAlignment w:val="bottom"/>
    </w:pPr>
    <w:rPr>
      <w:rFonts w:ascii="宋体" w:hAnsi="宋体" w:eastAsia="仿宋_GB2312" w:cs="宋体"/>
      <w:kern w:val="0"/>
      <w:sz w:val="24"/>
    </w:rPr>
  </w:style>
  <w:style w:type="paragraph" w:customStyle="1" w:styleId="361">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left"/>
    </w:pPr>
    <w:rPr>
      <w:rFonts w:ascii="仿宋_GB2312" w:hAnsi="宋体" w:eastAsia="仿宋_GB2312" w:cs="宋体"/>
      <w:color w:val="FF0000"/>
      <w:kern w:val="0"/>
      <w:sz w:val="20"/>
      <w:szCs w:val="20"/>
    </w:rPr>
  </w:style>
  <w:style w:type="paragraph" w:customStyle="1" w:styleId="362">
    <w:name w:val="Body text|1"/>
    <w:basedOn w:val="1"/>
    <w:qFormat/>
    <w:uiPriority w:val="0"/>
    <w:pPr>
      <w:spacing w:after="480" w:line="442" w:lineRule="auto"/>
      <w:ind w:firstLine="400"/>
    </w:pPr>
    <w:rPr>
      <w:rFonts w:ascii="宋体" w:hAnsi="宋体" w:cs="宋体"/>
      <w:sz w:val="44"/>
      <w:szCs w:val="44"/>
      <w:lang w:val="zh-TW" w:eastAsia="zh-TW" w:bidi="zh-TW"/>
    </w:rPr>
  </w:style>
  <w:style w:type="paragraph" w:customStyle="1" w:styleId="363">
    <w:name w:val="+正文"/>
    <w:basedOn w:val="1"/>
    <w:qFormat/>
    <w:uiPriority w:val="0"/>
    <w:pPr>
      <w:spacing w:line="360" w:lineRule="auto"/>
      <w:ind w:firstLine="200" w:firstLineChars="200"/>
    </w:pPr>
    <w:rPr>
      <w:rFonts w:ascii="宋体" w:hAnsi="宋体"/>
      <w:sz w:val="28"/>
      <w:szCs w:val="20"/>
    </w:rPr>
  </w:style>
  <w:style w:type="paragraph" w:customStyle="1" w:styleId="364">
    <w:name w:val="+注："/>
    <w:basedOn w:val="1"/>
    <w:qFormat/>
    <w:uiPriority w:val="0"/>
    <w:pPr>
      <w:spacing w:line="360" w:lineRule="auto"/>
      <w:ind w:firstLine="200" w:firstLineChars="200"/>
    </w:pPr>
    <w:rPr>
      <w:szCs w:val="20"/>
    </w:rPr>
  </w:style>
  <w:style w:type="paragraph" w:customStyle="1" w:styleId="365">
    <w:name w:val="政务 3"/>
    <w:basedOn w:val="1"/>
    <w:qFormat/>
    <w:uiPriority w:val="0"/>
    <w:pPr>
      <w:numPr>
        <w:ilvl w:val="2"/>
        <w:numId w:val="3"/>
      </w:numPr>
      <w:tabs>
        <w:tab w:val="left" w:pos="1260"/>
        <w:tab w:val="left" w:pos="2651"/>
      </w:tabs>
      <w:spacing w:beforeLines="50" w:afterLines="50" w:line="360" w:lineRule="auto"/>
      <w:ind w:hanging="360"/>
      <w:jc w:val="left"/>
      <w:outlineLvl w:val="2"/>
    </w:pPr>
    <w:rPr>
      <w:rFonts w:eastAsia="仿宋"/>
      <w:b/>
      <w:sz w:val="32"/>
      <w:szCs w:val="22"/>
    </w:rPr>
  </w:style>
  <w:style w:type="paragraph" w:customStyle="1" w:styleId="366">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left"/>
    </w:pPr>
    <w:rPr>
      <w:rFonts w:ascii="宋体" w:hAnsi="宋体" w:eastAsia="仿宋_GB2312" w:cs="宋体"/>
      <w:color w:val="FF0000"/>
      <w:kern w:val="0"/>
      <w:sz w:val="24"/>
    </w:rPr>
  </w:style>
  <w:style w:type="paragraph" w:customStyle="1" w:styleId="367">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left"/>
    </w:pPr>
    <w:rPr>
      <w:rFonts w:ascii="宋体" w:hAnsi="宋体" w:eastAsia="仿宋_GB2312" w:cs="宋体"/>
      <w:color w:val="FF0000"/>
      <w:kern w:val="0"/>
      <w:sz w:val="24"/>
    </w:rPr>
  </w:style>
  <w:style w:type="paragraph" w:customStyle="1" w:styleId="368">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left"/>
    </w:pPr>
    <w:rPr>
      <w:rFonts w:ascii="仿宋_GB2312" w:hAnsi="宋体" w:eastAsia="仿宋_GB2312" w:cs="宋体"/>
      <w:color w:val="FF0000"/>
      <w:kern w:val="0"/>
      <w:sz w:val="20"/>
      <w:szCs w:val="20"/>
    </w:rPr>
  </w:style>
  <w:style w:type="paragraph" w:customStyle="1" w:styleId="369">
    <w:name w:val="內文1-1"/>
    <w:qFormat/>
    <w:uiPriority w:val="0"/>
    <w:pPr>
      <w:spacing w:line="360" w:lineRule="auto"/>
      <w:ind w:left="1020" w:hanging="510"/>
      <w:jc w:val="both"/>
    </w:pPr>
    <w:rPr>
      <w:rFonts w:ascii="Times New Roman" w:hAnsi="Times New Roman" w:eastAsia="PMingLiU" w:cs="Times New Roman"/>
      <w:sz w:val="24"/>
      <w:szCs w:val="22"/>
      <w:lang w:val="en-US" w:eastAsia="zh-CN" w:bidi="ar-SA"/>
    </w:rPr>
  </w:style>
  <w:style w:type="paragraph" w:customStyle="1" w:styleId="370">
    <w:name w:val="标题 21"/>
    <w:basedOn w:val="1"/>
    <w:next w:val="1"/>
    <w:qFormat/>
    <w:uiPriority w:val="0"/>
    <w:pPr>
      <w:autoSpaceDE w:val="0"/>
      <w:autoSpaceDN w:val="0"/>
      <w:adjustRightInd w:val="0"/>
      <w:ind w:left="270" w:hanging="270"/>
      <w:jc w:val="left"/>
    </w:pPr>
    <w:rPr>
      <w:rFonts w:ascii="宋体" w:cs="宋体"/>
      <w:kern w:val="0"/>
      <w:sz w:val="32"/>
      <w:szCs w:val="32"/>
      <w:lang w:val="zh-CN"/>
    </w:rPr>
  </w:style>
  <w:style w:type="paragraph" w:customStyle="1" w:styleId="371">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center"/>
    </w:pPr>
    <w:rPr>
      <w:rFonts w:ascii="宋体" w:hAnsi="宋体" w:eastAsia="仿宋_GB2312" w:cs="宋体"/>
      <w:b/>
      <w:bCs/>
      <w:kern w:val="0"/>
      <w:sz w:val="24"/>
    </w:rPr>
  </w:style>
  <w:style w:type="paragraph" w:customStyle="1" w:styleId="372">
    <w:name w:val="样式2"/>
    <w:basedOn w:val="41"/>
    <w:qFormat/>
    <w:uiPriority w:val="0"/>
    <w:pPr>
      <w:tabs>
        <w:tab w:val="right" w:leader="dot" w:pos="9358"/>
      </w:tabs>
      <w:spacing w:line="400" w:lineRule="exact"/>
      <w:ind w:left="200"/>
    </w:pPr>
    <w:rPr>
      <w:rFonts w:ascii="Arial" w:hAnsi="Arial" w:eastAsia="宋体"/>
      <w:sz w:val="21"/>
    </w:rPr>
  </w:style>
  <w:style w:type="paragraph" w:customStyle="1" w:styleId="373">
    <w:name w:val="正文文本缩进 21"/>
    <w:basedOn w:val="1"/>
    <w:qFormat/>
    <w:uiPriority w:val="0"/>
    <w:pPr>
      <w:spacing w:line="520" w:lineRule="exact"/>
      <w:ind w:firstLine="848" w:firstLineChars="303"/>
    </w:pPr>
    <w:rPr>
      <w:rFonts w:ascii="黑体" w:hAnsi="Calibri" w:eastAsia="黑体" w:cs="黑体"/>
      <w:sz w:val="28"/>
      <w:szCs w:val="22"/>
    </w:rPr>
  </w:style>
  <w:style w:type="paragraph" w:customStyle="1" w:styleId="374">
    <w:name w:val="规范正文"/>
    <w:basedOn w:val="1"/>
    <w:qFormat/>
    <w:uiPriority w:val="0"/>
    <w:pPr>
      <w:spacing w:line="240" w:lineRule="atLeast"/>
    </w:pPr>
    <w:rPr>
      <w:sz w:val="28"/>
    </w:rPr>
  </w:style>
  <w:style w:type="paragraph" w:customStyle="1" w:styleId="375">
    <w:name w:val="text"/>
    <w:next w:val="31"/>
    <w:qFormat/>
    <w:uiPriority w:val="0"/>
    <w:pPr>
      <w:tabs>
        <w:tab w:val="left" w:pos="1020"/>
        <w:tab w:val="left" w:pos="1090"/>
      </w:tabs>
      <w:overflowPunct w:val="0"/>
      <w:autoSpaceDE w:val="0"/>
      <w:autoSpaceDN w:val="0"/>
      <w:adjustRightInd w:val="0"/>
      <w:spacing w:beforeLines="100" w:after="60" w:line="264" w:lineRule="auto"/>
      <w:ind w:left="523" w:leftChars="521" w:hanging="2"/>
      <w:jc w:val="both"/>
      <w:textAlignment w:val="baseline"/>
    </w:pPr>
    <w:rPr>
      <w:rFonts w:ascii="Times New Roman" w:hAnsi="Times New Roman" w:eastAsia="宋体" w:cs="Times New Roman"/>
      <w:sz w:val="24"/>
      <w:szCs w:val="24"/>
      <w:lang w:val="en-US" w:eastAsia="zh-CN" w:bidi="ar-SA"/>
    </w:rPr>
  </w:style>
  <w:style w:type="paragraph" w:customStyle="1" w:styleId="376">
    <w:name w:val="正文360首行缩进"/>
    <w:basedOn w:val="1"/>
    <w:qFormat/>
    <w:uiPriority w:val="0"/>
    <w:pPr>
      <w:widowControl/>
      <w:spacing w:after="50" w:line="300" w:lineRule="auto"/>
      <w:ind w:firstLine="200" w:firstLineChars="200"/>
      <w:jc w:val="left"/>
    </w:pPr>
    <w:rPr>
      <w:rFonts w:ascii="Arial" w:hAnsi="Arial"/>
      <w:kern w:val="0"/>
      <w:szCs w:val="21"/>
    </w:rPr>
  </w:style>
  <w:style w:type="paragraph" w:customStyle="1" w:styleId="377">
    <w:name w:val="样式3"/>
    <w:basedOn w:val="1"/>
    <w:qFormat/>
    <w:uiPriority w:val="0"/>
    <w:pPr>
      <w:spacing w:line="360" w:lineRule="auto"/>
      <w:ind w:left="454" w:hanging="227"/>
    </w:pPr>
    <w:rPr>
      <w:rFonts w:ascii="宋体"/>
      <w:sz w:val="24"/>
    </w:rPr>
  </w:style>
  <w:style w:type="paragraph" w:customStyle="1" w:styleId="378">
    <w:name w:val="+(1)"/>
    <w:basedOn w:val="363"/>
    <w:qFormat/>
    <w:uiPriority w:val="0"/>
    <w:pPr>
      <w:tabs>
        <w:tab w:val="left" w:pos="2268"/>
      </w:tabs>
      <w:ind w:firstLine="0" w:firstLineChars="0"/>
    </w:pPr>
  </w:style>
  <w:style w:type="paragraph" w:customStyle="1" w:styleId="379">
    <w:name w:val="_Style 140"/>
    <w:basedOn w:val="1"/>
    <w:next w:val="130"/>
    <w:qFormat/>
    <w:uiPriority w:val="34"/>
    <w:pPr>
      <w:widowControl/>
      <w:spacing w:after="200" w:line="276" w:lineRule="auto"/>
      <w:ind w:left="720"/>
      <w:contextualSpacing/>
      <w:jc w:val="left"/>
    </w:pPr>
    <w:rPr>
      <w:kern w:val="0"/>
      <w:sz w:val="22"/>
      <w:szCs w:val="22"/>
    </w:rPr>
  </w:style>
  <w:style w:type="paragraph" w:customStyle="1" w:styleId="380">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left"/>
    </w:pPr>
    <w:rPr>
      <w:rFonts w:ascii="宋体" w:hAnsi="宋体" w:eastAsia="仿宋_GB2312" w:cs="宋体"/>
      <w:color w:val="FF0000"/>
      <w:kern w:val="0"/>
      <w:sz w:val="24"/>
    </w:rPr>
  </w:style>
  <w:style w:type="paragraph" w:customStyle="1" w:styleId="381">
    <w:name w:val="1正文"/>
    <w:basedOn w:val="1"/>
    <w:qFormat/>
    <w:uiPriority w:val="0"/>
    <w:pPr>
      <w:spacing w:beforeLines="50" w:line="360" w:lineRule="auto"/>
      <w:ind w:firstLine="480" w:firstLineChars="200"/>
    </w:pPr>
    <w:rPr>
      <w:rFonts w:ascii="宋体" w:hAnsi="宋体"/>
      <w:kern w:val="0"/>
      <w:sz w:val="24"/>
    </w:rPr>
  </w:style>
  <w:style w:type="paragraph" w:customStyle="1" w:styleId="382">
    <w:name w:val="正文3"/>
    <w:qFormat/>
    <w:uiPriority w:val="0"/>
    <w:pPr>
      <w:widowControl w:val="0"/>
      <w:adjustRightInd w:val="0"/>
      <w:spacing w:line="312" w:lineRule="atLeast"/>
      <w:jc w:val="both"/>
    </w:pPr>
    <w:rPr>
      <w:rFonts w:ascii="宋体" w:hAnsi="Times New Roman" w:eastAsia="宋体" w:cs="Times New Roman"/>
      <w:sz w:val="34"/>
      <w:lang w:val="en-US" w:eastAsia="zh-CN" w:bidi="ar-SA"/>
    </w:rPr>
  </w:style>
  <w:style w:type="paragraph" w:customStyle="1" w:styleId="383">
    <w:name w:val="aspnumfaautoadjustrightr"/>
    <w:qFormat/>
    <w:uiPriority w:val="0"/>
    <w:pPr>
      <w:widowControl w:val="0"/>
      <w:autoSpaceDE w:val="0"/>
      <w:autoSpaceDN w:val="0"/>
      <w:adjustRightInd w:val="0"/>
      <w:ind w:firstLine="720"/>
      <w:jc w:val="both"/>
    </w:pPr>
    <w:rPr>
      <w:rFonts w:ascii="Times New Roman" w:hAnsi="Times New Roman" w:eastAsia="宋体" w:cs="Times New Roman"/>
      <w:lang w:val="en-US" w:eastAsia="zh-CN" w:bidi="ar-SA"/>
    </w:rPr>
  </w:style>
  <w:style w:type="paragraph" w:customStyle="1" w:styleId="384">
    <w:name w:val="+正文 Char Char3 Char"/>
    <w:basedOn w:val="1"/>
    <w:qFormat/>
    <w:uiPriority w:val="0"/>
    <w:pPr>
      <w:spacing w:line="360" w:lineRule="auto"/>
      <w:ind w:firstLine="200" w:firstLineChars="200"/>
    </w:pPr>
    <w:rPr>
      <w:sz w:val="24"/>
    </w:rPr>
  </w:style>
  <w:style w:type="paragraph" w:customStyle="1" w:styleId="385">
    <w:name w:val="yyn"/>
    <w:basedOn w:val="1"/>
    <w:qFormat/>
    <w:uiPriority w:val="0"/>
    <w:pPr>
      <w:keepNext/>
      <w:widowControl/>
      <w:overflowPunct w:val="0"/>
      <w:autoSpaceDE w:val="0"/>
      <w:autoSpaceDN w:val="0"/>
      <w:adjustRightInd w:val="0"/>
      <w:spacing w:line="360" w:lineRule="auto"/>
      <w:ind w:right="562" w:firstLine="576"/>
      <w:textAlignment w:val="baseline"/>
    </w:pPr>
    <w:rPr>
      <w:rFonts w:ascii="宋体"/>
      <w:kern w:val="16"/>
      <w:sz w:val="28"/>
      <w:szCs w:val="20"/>
    </w:rPr>
  </w:style>
  <w:style w:type="paragraph" w:customStyle="1" w:styleId="386">
    <w:name w:val="xl96"/>
    <w:basedOn w:val="1"/>
    <w:qFormat/>
    <w:uiPriority w:val="0"/>
    <w:pPr>
      <w:widowControl/>
      <w:pBdr>
        <w:left w:val="single" w:color="auto" w:sz="4" w:space="0"/>
        <w:bottom w:val="single" w:color="auto" w:sz="4" w:space="0"/>
        <w:right w:val="single" w:color="auto" w:sz="4" w:space="0"/>
      </w:pBdr>
      <w:spacing w:before="100" w:beforeAutospacing="1" w:after="100" w:afterAutospacing="1" w:line="440" w:lineRule="exact"/>
      <w:ind w:firstLine="200" w:firstLineChars="200"/>
      <w:jc w:val="center"/>
    </w:pPr>
    <w:rPr>
      <w:rFonts w:ascii="宋体" w:hAnsi="宋体" w:eastAsia="仿宋_GB2312" w:cs="宋体"/>
      <w:kern w:val="0"/>
      <w:sz w:val="24"/>
    </w:rPr>
  </w:style>
  <w:style w:type="paragraph" w:customStyle="1" w:styleId="387">
    <w:name w:val="Text"/>
    <w:qFormat/>
    <w:uiPriority w:val="0"/>
    <w:pPr>
      <w:spacing w:line="360" w:lineRule="auto"/>
      <w:jc w:val="both"/>
    </w:pPr>
    <w:rPr>
      <w:rFonts w:ascii="Arial" w:hAnsi="Arial" w:eastAsia="宋体" w:cs="Times New Roman"/>
      <w:color w:val="000000"/>
      <w:sz w:val="24"/>
      <w:lang w:val="en-US" w:eastAsia="zh-CN" w:bidi="ar-SA"/>
    </w:rPr>
  </w:style>
  <w:style w:type="paragraph" w:customStyle="1" w:styleId="388">
    <w:name w:val="TOC 标题21"/>
    <w:basedOn w:val="4"/>
    <w:next w:val="1"/>
    <w:qFormat/>
    <w:uiPriority w:val="0"/>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389">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left"/>
    </w:pPr>
    <w:rPr>
      <w:rFonts w:ascii="宋体" w:hAnsi="宋体" w:eastAsia="仿宋_GB2312" w:cs="宋体"/>
      <w:color w:val="FF0000"/>
      <w:kern w:val="0"/>
      <w:sz w:val="24"/>
    </w:rPr>
  </w:style>
  <w:style w:type="paragraph" w:customStyle="1" w:styleId="390">
    <w:name w:val="无间距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1">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left"/>
    </w:pPr>
    <w:rPr>
      <w:rFonts w:ascii="宋体" w:hAnsi="宋体" w:eastAsia="仿宋_GB2312" w:cs="宋体"/>
      <w:kern w:val="0"/>
      <w:sz w:val="24"/>
    </w:rPr>
  </w:style>
  <w:style w:type="paragraph" w:customStyle="1" w:styleId="392">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left"/>
    </w:pPr>
    <w:rPr>
      <w:rFonts w:ascii="宋体" w:hAnsi="宋体" w:eastAsia="仿宋_GB2312" w:cs="宋体"/>
      <w:kern w:val="0"/>
      <w:sz w:val="24"/>
    </w:rPr>
  </w:style>
  <w:style w:type="paragraph" w:customStyle="1" w:styleId="393">
    <w:name w:val="reader-word-layer reader-word-s2-23"/>
    <w:basedOn w:val="1"/>
    <w:qFormat/>
    <w:uiPriority w:val="0"/>
    <w:pPr>
      <w:widowControl/>
      <w:spacing w:before="100" w:beforeAutospacing="1" w:after="100" w:afterAutospacing="1"/>
      <w:jc w:val="left"/>
    </w:pPr>
    <w:rPr>
      <w:rFonts w:ascii="宋体" w:hAnsi="宋体" w:cs="宋体"/>
      <w:kern w:val="0"/>
      <w:sz w:val="24"/>
    </w:rPr>
  </w:style>
  <w:style w:type="paragraph" w:customStyle="1" w:styleId="394">
    <w:name w:val="Char Char2 Char Char"/>
    <w:basedOn w:val="1"/>
    <w:qFormat/>
    <w:uiPriority w:val="0"/>
    <w:pPr>
      <w:widowControl/>
      <w:spacing w:line="400" w:lineRule="exact"/>
      <w:jc w:val="center"/>
    </w:pPr>
    <w:rPr>
      <w:rFonts w:ascii="Verdana" w:hAnsi="Verdana"/>
      <w:kern w:val="0"/>
      <w:szCs w:val="20"/>
      <w:lang w:eastAsia="en-US"/>
    </w:rPr>
  </w:style>
  <w:style w:type="paragraph" w:customStyle="1" w:styleId="395">
    <w:name w:val="+正文 Char Char2 Char Char"/>
    <w:basedOn w:val="1"/>
    <w:qFormat/>
    <w:uiPriority w:val="0"/>
    <w:pPr>
      <w:spacing w:line="360" w:lineRule="auto"/>
      <w:ind w:firstLine="200" w:firstLineChars="200"/>
    </w:pPr>
    <w:rPr>
      <w:rFonts w:ascii="宋体" w:hAnsi="宋体"/>
      <w:sz w:val="28"/>
      <w:szCs w:val="20"/>
    </w:rPr>
  </w:style>
  <w:style w:type="paragraph" w:customStyle="1" w:styleId="396">
    <w:name w:val="xl95"/>
    <w:basedOn w:val="1"/>
    <w:qFormat/>
    <w:uiPriority w:val="0"/>
    <w:pPr>
      <w:widowControl/>
      <w:pBdr>
        <w:left w:val="single" w:color="auto" w:sz="4" w:space="0"/>
        <w:right w:val="single" w:color="auto" w:sz="4" w:space="0"/>
      </w:pBdr>
      <w:spacing w:before="100" w:beforeAutospacing="1" w:after="100" w:afterAutospacing="1" w:line="440" w:lineRule="exact"/>
      <w:ind w:firstLine="200" w:firstLineChars="200"/>
      <w:jc w:val="center"/>
    </w:pPr>
    <w:rPr>
      <w:rFonts w:ascii="宋体" w:hAnsi="宋体" w:eastAsia="仿宋_GB2312" w:cs="宋体"/>
      <w:kern w:val="0"/>
      <w:sz w:val="24"/>
    </w:rPr>
  </w:style>
  <w:style w:type="paragraph" w:customStyle="1" w:styleId="397">
    <w:name w:val="+正文 Char Char"/>
    <w:basedOn w:val="1"/>
    <w:qFormat/>
    <w:uiPriority w:val="0"/>
    <w:pPr>
      <w:spacing w:line="360" w:lineRule="auto"/>
      <w:ind w:firstLine="200" w:firstLineChars="200"/>
    </w:pPr>
    <w:rPr>
      <w:sz w:val="24"/>
      <w:szCs w:val="28"/>
    </w:rPr>
  </w:style>
  <w:style w:type="paragraph" w:customStyle="1" w:styleId="398">
    <w:name w:val="reader-word-layer reader-word-s6-19"/>
    <w:basedOn w:val="1"/>
    <w:qFormat/>
    <w:uiPriority w:val="0"/>
    <w:pPr>
      <w:widowControl/>
      <w:spacing w:before="100" w:beforeAutospacing="1" w:after="100" w:afterAutospacing="1"/>
      <w:jc w:val="left"/>
    </w:pPr>
    <w:rPr>
      <w:rFonts w:ascii="宋体" w:hAnsi="宋体" w:cs="宋体"/>
      <w:kern w:val="0"/>
      <w:sz w:val="24"/>
    </w:rPr>
  </w:style>
  <w:style w:type="paragraph" w:customStyle="1" w:styleId="399">
    <w:name w:val="font9"/>
    <w:basedOn w:val="1"/>
    <w:qFormat/>
    <w:uiPriority w:val="0"/>
    <w:pPr>
      <w:widowControl/>
      <w:spacing w:before="100" w:beforeAutospacing="1" w:after="100" w:afterAutospacing="1" w:line="440" w:lineRule="exact"/>
      <w:ind w:firstLine="200" w:firstLineChars="200"/>
      <w:jc w:val="left"/>
    </w:pPr>
    <w:rPr>
      <w:rFonts w:ascii="仿宋_GB2312" w:hAnsi="宋体" w:eastAsia="仿宋_GB2312" w:cs="宋体"/>
      <w:color w:val="FF0000"/>
      <w:kern w:val="0"/>
      <w:sz w:val="20"/>
      <w:szCs w:val="20"/>
    </w:rPr>
  </w:style>
  <w:style w:type="paragraph" w:customStyle="1" w:styleId="400">
    <w:name w:val="列表1"/>
    <w:basedOn w:val="1"/>
    <w:qFormat/>
    <w:uiPriority w:val="0"/>
    <w:pPr>
      <w:jc w:val="center"/>
    </w:pPr>
    <w:rPr>
      <w:rFonts w:hint="eastAsia" w:ascii="宋体" w:hAnsi="宋体"/>
      <w:sz w:val="24"/>
    </w:rPr>
  </w:style>
  <w:style w:type="paragraph" w:customStyle="1" w:styleId="401">
    <w:name w:val="样式"/>
    <w:qFormat/>
    <w:uiPriority w:val="0"/>
    <w:pPr>
      <w:widowControl w:val="0"/>
      <w:autoSpaceDE w:val="0"/>
      <w:autoSpaceDN w:val="0"/>
      <w:adjustRightInd w:val="0"/>
    </w:pPr>
    <w:rPr>
      <w:rFonts w:ascii="宋体" w:hAnsi="Times New Roman" w:eastAsia="宋体" w:cs="宋体"/>
      <w:sz w:val="24"/>
      <w:szCs w:val="24"/>
      <w:lang w:val="en-US" w:eastAsia="zh-CN" w:bidi="ar-SA"/>
    </w:rPr>
  </w:style>
  <w:style w:type="paragraph" w:customStyle="1" w:styleId="402">
    <w:name w:val="+标题3"/>
    <w:basedOn w:val="6"/>
    <w:unhideWhenUsed/>
    <w:qFormat/>
    <w:uiPriority w:val="0"/>
    <w:pPr>
      <w:numPr>
        <w:ilvl w:val="0"/>
        <w:numId w:val="5"/>
      </w:numPr>
      <w:tabs>
        <w:tab w:val="left" w:pos="1260"/>
        <w:tab w:val="left" w:pos="1740"/>
      </w:tabs>
      <w:spacing w:before="120" w:after="120" w:line="360" w:lineRule="auto"/>
      <w:ind w:left="1740" w:hanging="420"/>
    </w:pPr>
    <w:rPr>
      <w:rFonts w:ascii="Arial" w:hAnsi="Arial" w:eastAsia="仿宋_GB2312"/>
      <w:bCs w:val="0"/>
      <w:sz w:val="24"/>
      <w:szCs w:val="20"/>
    </w:rPr>
  </w:style>
  <w:style w:type="paragraph" w:customStyle="1" w:styleId="403">
    <w:name w:val="p1"/>
    <w:basedOn w:val="1"/>
    <w:qFormat/>
    <w:uiPriority w:val="0"/>
    <w:pPr>
      <w:spacing w:line="380" w:lineRule="atLeast"/>
      <w:jc w:val="left"/>
    </w:pPr>
    <w:rPr>
      <w:rFonts w:ascii="Helvetica Neue" w:hAnsi="Helvetica Neue" w:eastAsia="Helvetica Neue"/>
      <w:kern w:val="0"/>
      <w:sz w:val="26"/>
      <w:szCs w:val="26"/>
    </w:rPr>
  </w:style>
  <w:style w:type="paragraph" w:customStyle="1" w:styleId="404">
    <w:name w:val="xl99"/>
    <w:basedOn w:val="1"/>
    <w:qFormat/>
    <w:uiPriority w:val="0"/>
    <w:pPr>
      <w:widowControl/>
      <w:pBdr>
        <w:left w:val="single" w:color="auto" w:sz="4" w:space="0"/>
        <w:bottom w:val="single" w:color="auto" w:sz="4" w:space="0"/>
        <w:right w:val="single" w:color="auto" w:sz="4" w:space="0"/>
      </w:pBdr>
      <w:spacing w:before="100" w:beforeAutospacing="1" w:after="100" w:afterAutospacing="1" w:line="440" w:lineRule="exact"/>
      <w:ind w:firstLine="200" w:firstLineChars="200"/>
      <w:jc w:val="center"/>
    </w:pPr>
    <w:rPr>
      <w:rFonts w:ascii="宋体" w:hAnsi="宋体" w:eastAsia="仿宋_GB2312" w:cs="宋体"/>
      <w:kern w:val="0"/>
      <w:sz w:val="24"/>
    </w:rPr>
  </w:style>
  <w:style w:type="paragraph" w:customStyle="1" w:styleId="405">
    <w:name w:val="正文格式（小四）"/>
    <w:basedOn w:val="1"/>
    <w:qFormat/>
    <w:uiPriority w:val="0"/>
    <w:pPr>
      <w:widowControl/>
      <w:adjustRightInd w:val="0"/>
      <w:snapToGrid w:val="0"/>
      <w:spacing w:line="360" w:lineRule="auto"/>
      <w:ind w:firstLine="482"/>
      <w:jc w:val="left"/>
      <w:textAlignment w:val="baseline"/>
    </w:pPr>
    <w:rPr>
      <w:kern w:val="24"/>
      <w:sz w:val="24"/>
    </w:rPr>
  </w:style>
  <w:style w:type="paragraph" w:customStyle="1" w:styleId="406">
    <w:name w:val="Style30"/>
    <w:basedOn w:val="1"/>
    <w:qFormat/>
    <w:uiPriority w:val="0"/>
    <w:pPr>
      <w:adjustRightInd w:val="0"/>
      <w:jc w:val="left"/>
    </w:pPr>
    <w:rPr>
      <w:rFonts w:ascii="宋体" w:hAnsi="Calibri"/>
      <w:kern w:val="0"/>
      <w:sz w:val="24"/>
    </w:rPr>
  </w:style>
  <w:style w:type="paragraph" w:customStyle="1" w:styleId="407">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8"/>
      <w:szCs w:val="28"/>
    </w:rPr>
  </w:style>
  <w:style w:type="paragraph" w:customStyle="1" w:styleId="408">
    <w:name w:val="A."/>
    <w:basedOn w:val="1"/>
    <w:next w:val="30"/>
    <w:qFormat/>
    <w:uiPriority w:val="0"/>
    <w:pPr>
      <w:widowControl/>
      <w:tabs>
        <w:tab w:val="left" w:pos="859"/>
        <w:tab w:val="left" w:pos="1200"/>
      </w:tabs>
      <w:spacing w:before="240" w:line="240" w:lineRule="atLeast"/>
      <w:ind w:left="859" w:hanging="453"/>
    </w:pPr>
    <w:rPr>
      <w:sz w:val="24"/>
    </w:rPr>
  </w:style>
  <w:style w:type="paragraph" w:customStyle="1" w:styleId="409">
    <w:name w:val="一级标题"/>
    <w:basedOn w:val="4"/>
    <w:qFormat/>
    <w:uiPriority w:val="0"/>
    <w:pPr>
      <w:pageBreakBefore/>
      <w:numPr>
        <w:ilvl w:val="0"/>
        <w:numId w:val="4"/>
      </w:numPr>
      <w:tabs>
        <w:tab w:val="left" w:pos="225"/>
        <w:tab w:val="left" w:pos="360"/>
      </w:tabs>
      <w:spacing w:line="360" w:lineRule="auto"/>
      <w:jc w:val="center"/>
    </w:pPr>
    <w:rPr>
      <w:rFonts w:ascii="宋体" w:hAnsi="宋体" w:eastAsia="仿宋"/>
      <w:bCs w:val="0"/>
      <w:sz w:val="36"/>
    </w:rPr>
  </w:style>
  <w:style w:type="paragraph" w:customStyle="1" w:styleId="410">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仿宋" w:hAnsi="仿宋" w:eastAsia="仿宋" w:cs="宋体"/>
      <w:kern w:val="0"/>
      <w:sz w:val="20"/>
      <w:szCs w:val="20"/>
    </w:rPr>
  </w:style>
  <w:style w:type="paragraph" w:customStyle="1" w:styleId="411">
    <w:name w:val="_Style 15"/>
    <w:basedOn w:val="1"/>
    <w:qFormat/>
    <w:uiPriority w:val="0"/>
    <w:rPr>
      <w:rFonts w:ascii="Tahoma" w:hAnsi="Tahoma"/>
      <w:sz w:val="24"/>
      <w:szCs w:val="20"/>
    </w:rPr>
  </w:style>
  <w:style w:type="paragraph" w:customStyle="1" w:styleId="412">
    <w:name w:val="样式4"/>
    <w:basedOn w:val="1"/>
    <w:qFormat/>
    <w:uiPriority w:val="0"/>
    <w:pPr>
      <w:adjustRightInd w:val="0"/>
      <w:spacing w:line="360" w:lineRule="auto"/>
      <w:ind w:firstLine="420"/>
      <w:jc w:val="center"/>
      <w:outlineLvl w:val="2"/>
    </w:pPr>
    <w:rPr>
      <w:rFonts w:ascii="仿宋_GB2312" w:hAnsi="仿宋" w:eastAsia="仿宋_GB2312"/>
      <w:b/>
      <w:sz w:val="32"/>
      <w:szCs w:val="32"/>
    </w:rPr>
  </w:style>
  <w:style w:type="paragraph" w:customStyle="1" w:styleId="413">
    <w:name w:val="政务 2"/>
    <w:basedOn w:val="1"/>
    <w:qFormat/>
    <w:uiPriority w:val="0"/>
    <w:pPr>
      <w:numPr>
        <w:ilvl w:val="1"/>
        <w:numId w:val="3"/>
      </w:numPr>
      <w:tabs>
        <w:tab w:val="left" w:pos="907"/>
        <w:tab w:val="left" w:pos="1145"/>
      </w:tabs>
      <w:spacing w:beforeLines="50" w:afterLines="50" w:line="360" w:lineRule="auto"/>
      <w:jc w:val="left"/>
      <w:outlineLvl w:val="1"/>
    </w:pPr>
    <w:rPr>
      <w:rFonts w:eastAsia="仿宋"/>
      <w:b/>
      <w:kern w:val="0"/>
      <w:sz w:val="36"/>
      <w:szCs w:val="20"/>
    </w:rPr>
  </w:style>
  <w:style w:type="paragraph" w:customStyle="1" w:styleId="414">
    <w:name w:val="+正文 Char Char Char"/>
    <w:basedOn w:val="1"/>
    <w:qFormat/>
    <w:uiPriority w:val="0"/>
    <w:pPr>
      <w:spacing w:line="360" w:lineRule="auto"/>
      <w:ind w:firstLine="200" w:firstLineChars="200"/>
    </w:pPr>
    <w:rPr>
      <w:sz w:val="24"/>
      <w:szCs w:val="28"/>
    </w:rPr>
  </w:style>
  <w:style w:type="paragraph" w:customStyle="1" w:styleId="415">
    <w:name w:val="样式1"/>
    <w:basedOn w:val="1"/>
    <w:qFormat/>
    <w:uiPriority w:val="0"/>
    <w:pPr>
      <w:spacing w:line="360" w:lineRule="auto"/>
      <w:jc w:val="left"/>
    </w:pPr>
    <w:rPr>
      <w:rFonts w:ascii="Calibri" w:hAnsi="Calibri"/>
      <w:b/>
      <w:szCs w:val="21"/>
    </w:rPr>
  </w:style>
  <w:style w:type="paragraph" w:customStyle="1" w:styleId="416">
    <w:name w:val="_Style 1"/>
    <w:basedOn w:val="1"/>
    <w:qFormat/>
    <w:uiPriority w:val="0"/>
    <w:pPr>
      <w:pBdr>
        <w:bottom w:val="single" w:color="auto" w:sz="18" w:space="1"/>
      </w:pBdr>
      <w:ind w:firstLine="420" w:firstLineChars="200"/>
    </w:pPr>
  </w:style>
  <w:style w:type="paragraph" w:customStyle="1" w:styleId="417">
    <w:name w:val="ST20_12"/>
    <w:basedOn w:val="1"/>
    <w:qFormat/>
    <w:uiPriority w:val="0"/>
    <w:pPr>
      <w:autoSpaceDE w:val="0"/>
      <w:autoSpaceDN w:val="0"/>
      <w:adjustRightInd w:val="0"/>
      <w:spacing w:after="120"/>
      <w:ind w:left="426" w:firstLine="425"/>
      <w:textAlignment w:val="baseline"/>
    </w:pPr>
    <w:rPr>
      <w:rFonts w:ascii="宋体" w:hAnsi="Tms Rmn"/>
      <w:kern w:val="0"/>
      <w:sz w:val="24"/>
      <w:szCs w:val="20"/>
    </w:rPr>
  </w:style>
  <w:style w:type="paragraph" w:customStyle="1" w:styleId="418">
    <w:name w:val="xl98"/>
    <w:basedOn w:val="1"/>
    <w:qFormat/>
    <w:uiPriority w:val="0"/>
    <w:pPr>
      <w:widowControl/>
      <w:pBdr>
        <w:left w:val="single" w:color="auto" w:sz="4" w:space="0"/>
        <w:right w:val="single" w:color="auto" w:sz="4" w:space="0"/>
      </w:pBdr>
      <w:spacing w:before="100" w:beforeAutospacing="1" w:after="100" w:afterAutospacing="1" w:line="440" w:lineRule="exact"/>
      <w:ind w:firstLine="200" w:firstLineChars="200"/>
      <w:jc w:val="center"/>
    </w:pPr>
    <w:rPr>
      <w:rFonts w:ascii="宋体" w:hAnsi="宋体" w:eastAsia="仿宋_GB2312" w:cs="宋体"/>
      <w:kern w:val="0"/>
      <w:sz w:val="24"/>
    </w:rPr>
  </w:style>
  <w:style w:type="paragraph" w:customStyle="1" w:styleId="419">
    <w:name w:val="列出段落12"/>
    <w:basedOn w:val="1"/>
    <w:qFormat/>
    <w:uiPriority w:val="1"/>
    <w:pPr>
      <w:spacing w:line="440" w:lineRule="exact"/>
      <w:ind w:firstLine="420" w:firstLineChars="200"/>
    </w:pPr>
    <w:rPr>
      <w:rFonts w:ascii="Calibri" w:hAnsi="Calibri" w:eastAsia="仿宋_GB2312"/>
      <w:sz w:val="24"/>
      <w:szCs w:val="22"/>
    </w:rPr>
  </w:style>
  <w:style w:type="paragraph" w:customStyle="1" w:styleId="420">
    <w:name w:val="font10"/>
    <w:basedOn w:val="1"/>
    <w:qFormat/>
    <w:uiPriority w:val="0"/>
    <w:pPr>
      <w:widowControl/>
      <w:spacing w:before="100" w:beforeAutospacing="1" w:after="100" w:afterAutospacing="1" w:line="440" w:lineRule="exact"/>
      <w:ind w:firstLine="200" w:firstLineChars="200"/>
      <w:jc w:val="left"/>
    </w:pPr>
    <w:rPr>
      <w:rFonts w:ascii="宋体" w:hAnsi="宋体" w:eastAsia="仿宋_GB2312" w:cs="宋体"/>
      <w:color w:val="FF0000"/>
      <w:kern w:val="0"/>
      <w:sz w:val="20"/>
      <w:szCs w:val="20"/>
    </w:rPr>
  </w:style>
  <w:style w:type="paragraph" w:customStyle="1" w:styleId="421">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center"/>
    </w:pPr>
    <w:rPr>
      <w:rFonts w:ascii="宋体" w:hAnsi="宋体" w:eastAsia="仿宋_GB2312" w:cs="宋体"/>
      <w:kern w:val="0"/>
      <w:sz w:val="24"/>
    </w:rPr>
  </w:style>
  <w:style w:type="paragraph" w:customStyle="1" w:styleId="422">
    <w:name w:val="Normal Indent1"/>
    <w:basedOn w:val="1"/>
    <w:qFormat/>
    <w:uiPriority w:val="0"/>
    <w:pPr>
      <w:spacing w:after="200" w:line="276" w:lineRule="auto"/>
      <w:ind w:firstLine="420" w:firstLineChars="200"/>
      <w:jc w:val="left"/>
    </w:pPr>
    <w:rPr>
      <w:rFonts w:ascii="Calibri" w:hAnsi="Calibri" w:cs="Calibri"/>
      <w:kern w:val="0"/>
      <w:sz w:val="22"/>
      <w:szCs w:val="22"/>
      <w:lang w:eastAsia="en-US"/>
    </w:rPr>
  </w:style>
  <w:style w:type="paragraph" w:customStyle="1" w:styleId="423">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424">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425">
    <w:name w:val="reader-word-layer reader-word-s6-10"/>
    <w:basedOn w:val="1"/>
    <w:qFormat/>
    <w:uiPriority w:val="0"/>
    <w:pPr>
      <w:widowControl/>
      <w:spacing w:before="100" w:beforeAutospacing="1" w:after="100" w:afterAutospacing="1"/>
      <w:jc w:val="left"/>
    </w:pPr>
    <w:rPr>
      <w:rFonts w:ascii="宋体" w:hAnsi="宋体" w:cs="宋体"/>
      <w:kern w:val="0"/>
      <w:sz w:val="24"/>
    </w:rPr>
  </w:style>
  <w:style w:type="paragraph" w:customStyle="1" w:styleId="426">
    <w:name w:val="列出段落21"/>
    <w:basedOn w:val="1"/>
    <w:qFormat/>
    <w:uiPriority w:val="0"/>
    <w:pPr>
      <w:ind w:firstLine="420" w:firstLineChars="200"/>
    </w:pPr>
    <w:rPr>
      <w:rFonts w:ascii="Calibri" w:hAnsi="Calibri"/>
      <w:szCs w:val="22"/>
    </w:rPr>
  </w:style>
  <w:style w:type="paragraph" w:customStyle="1" w:styleId="427">
    <w:name w:val="+▲"/>
    <w:basedOn w:val="1"/>
    <w:qFormat/>
    <w:uiPriority w:val="0"/>
    <w:pPr>
      <w:tabs>
        <w:tab w:val="left" w:pos="480"/>
      </w:tabs>
      <w:spacing w:line="360" w:lineRule="auto"/>
      <w:ind w:left="480"/>
    </w:pPr>
    <w:rPr>
      <w:sz w:val="24"/>
      <w:szCs w:val="28"/>
    </w:rPr>
  </w:style>
  <w:style w:type="paragraph" w:customStyle="1" w:styleId="428">
    <w:name w:val="xl97"/>
    <w:basedOn w:val="1"/>
    <w:qFormat/>
    <w:uiPriority w:val="0"/>
    <w:pPr>
      <w:widowControl/>
      <w:pBdr>
        <w:top w:val="single" w:color="auto" w:sz="4" w:space="0"/>
        <w:left w:val="single" w:color="auto" w:sz="4" w:space="0"/>
        <w:right w:val="single" w:color="auto" w:sz="4" w:space="0"/>
      </w:pBdr>
      <w:spacing w:before="100" w:beforeAutospacing="1" w:after="100" w:afterAutospacing="1" w:line="440" w:lineRule="exact"/>
      <w:ind w:firstLine="200" w:firstLineChars="200"/>
      <w:jc w:val="center"/>
    </w:pPr>
    <w:rPr>
      <w:rFonts w:ascii="宋体" w:hAnsi="宋体" w:eastAsia="仿宋_GB2312" w:cs="宋体"/>
      <w:kern w:val="0"/>
      <w:sz w:val="24"/>
    </w:rPr>
  </w:style>
  <w:style w:type="paragraph" w:customStyle="1" w:styleId="429">
    <w:name w:val="Max-标题4"/>
    <w:basedOn w:val="1"/>
    <w:qFormat/>
    <w:uiPriority w:val="0"/>
    <w:pPr>
      <w:tabs>
        <w:tab w:val="left" w:pos="180"/>
      </w:tabs>
      <w:snapToGrid w:val="0"/>
      <w:spacing w:line="360" w:lineRule="auto"/>
      <w:ind w:firstLine="540"/>
      <w:jc w:val="left"/>
    </w:pPr>
  </w:style>
  <w:style w:type="paragraph" w:customStyle="1" w:styleId="430">
    <w:name w:val="Style3"/>
    <w:basedOn w:val="1"/>
    <w:qFormat/>
    <w:uiPriority w:val="0"/>
    <w:pPr>
      <w:adjustRightInd w:val="0"/>
      <w:spacing w:line="355" w:lineRule="exact"/>
      <w:ind w:firstLine="439"/>
    </w:pPr>
    <w:rPr>
      <w:rFonts w:ascii="宋体" w:hAnsi="Calibri"/>
      <w:kern w:val="0"/>
      <w:sz w:val="24"/>
    </w:rPr>
  </w:style>
  <w:style w:type="paragraph" w:customStyle="1" w:styleId="431">
    <w:name w:val="正文 + Arial"/>
    <w:basedOn w:val="1"/>
    <w:unhideWhenUsed/>
    <w:qFormat/>
    <w:uiPriority w:val="0"/>
    <w:pPr>
      <w:adjustRightInd w:val="0"/>
      <w:spacing w:line="360" w:lineRule="auto"/>
      <w:ind w:firstLine="425"/>
      <w:textAlignment w:val="baseline"/>
    </w:pPr>
    <w:rPr>
      <w:rFonts w:hint="eastAsia" w:ascii="仿宋_GB2312" w:eastAsia="仿宋_GB2312"/>
      <w:kern w:val="0"/>
      <w:sz w:val="24"/>
    </w:rPr>
  </w:style>
  <w:style w:type="paragraph" w:customStyle="1" w:styleId="432">
    <w:name w:val="Style24"/>
    <w:basedOn w:val="1"/>
    <w:qFormat/>
    <w:uiPriority w:val="0"/>
    <w:pPr>
      <w:adjustRightInd w:val="0"/>
      <w:jc w:val="left"/>
    </w:pPr>
    <w:rPr>
      <w:rFonts w:ascii="宋体" w:hAnsi="Calibri"/>
      <w:kern w:val="0"/>
      <w:sz w:val="24"/>
    </w:rPr>
  </w:style>
  <w:style w:type="paragraph" w:customStyle="1" w:styleId="433">
    <w:name w:val="列出段落111"/>
    <w:basedOn w:val="1"/>
    <w:qFormat/>
    <w:uiPriority w:val="0"/>
    <w:pPr>
      <w:adjustRightInd w:val="0"/>
      <w:spacing w:line="360" w:lineRule="auto"/>
      <w:ind w:firstLine="200" w:firstLineChars="200"/>
    </w:pPr>
    <w:rPr>
      <w:rFonts w:eastAsia="楷体_GB2312" w:cs="Lucida Sans"/>
      <w:sz w:val="24"/>
    </w:rPr>
  </w:style>
  <w:style w:type="paragraph" w:customStyle="1" w:styleId="434">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440" w:lineRule="exact"/>
      <w:ind w:firstLine="200" w:firstLineChars="200"/>
      <w:jc w:val="left"/>
    </w:pPr>
    <w:rPr>
      <w:rFonts w:ascii="仿宋_GB2312" w:hAnsi="宋体" w:eastAsia="仿宋_GB2312" w:cs="宋体"/>
      <w:color w:val="FF0000"/>
      <w:kern w:val="0"/>
      <w:sz w:val="20"/>
      <w:szCs w:val="20"/>
    </w:rPr>
  </w:style>
  <w:style w:type="paragraph" w:customStyle="1" w:styleId="435">
    <w:name w:val="正文缩近"/>
    <w:basedOn w:val="1"/>
    <w:qFormat/>
    <w:uiPriority w:val="0"/>
    <w:pPr>
      <w:adjustRightInd w:val="0"/>
      <w:snapToGrid w:val="0"/>
      <w:spacing w:line="540" w:lineRule="atLeast"/>
      <w:ind w:firstLine="608"/>
      <w:textAlignment w:val="baseline"/>
    </w:pPr>
    <w:rPr>
      <w:rFonts w:ascii="仿宋_GB2312" w:eastAsia="仿宋_GB2312" w:cs="宋体"/>
      <w:kern w:val="0"/>
      <w:sz w:val="30"/>
      <w:szCs w:val="20"/>
    </w:rPr>
  </w:style>
  <w:style w:type="paragraph" w:customStyle="1" w:styleId="436">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left"/>
    </w:pPr>
    <w:rPr>
      <w:rFonts w:ascii="宋体" w:hAnsi="宋体" w:eastAsia="仿宋_GB2312" w:cs="宋体"/>
      <w:color w:val="FF0000"/>
      <w:kern w:val="0"/>
      <w:sz w:val="24"/>
    </w:rPr>
  </w:style>
  <w:style w:type="paragraph" w:customStyle="1" w:styleId="437">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left"/>
    </w:pPr>
    <w:rPr>
      <w:rFonts w:ascii="宋体" w:hAnsi="宋体" w:eastAsia="仿宋_GB2312" w:cs="宋体"/>
      <w:kern w:val="0"/>
      <w:sz w:val="24"/>
    </w:rPr>
  </w:style>
  <w:style w:type="paragraph" w:customStyle="1" w:styleId="438">
    <w:name w:val="标题3def"/>
    <w:basedOn w:val="6"/>
    <w:next w:val="1"/>
    <w:qFormat/>
    <w:uiPriority w:val="0"/>
    <w:pPr>
      <w:tabs>
        <w:tab w:val="left" w:pos="2651"/>
      </w:tabs>
      <w:adjustRightInd w:val="0"/>
      <w:snapToGrid w:val="0"/>
      <w:spacing w:before="80" w:after="160" w:line="400" w:lineRule="exact"/>
    </w:pPr>
    <w:rPr>
      <w:rFonts w:ascii="仿宋_GB2312" w:hAnsi="宋体" w:eastAsia="仿宋_GB2312"/>
      <w:bCs w:val="0"/>
      <w:sz w:val="24"/>
      <w:szCs w:val="20"/>
    </w:rPr>
  </w:style>
  <w:style w:type="paragraph" w:customStyle="1" w:styleId="439">
    <w:name w:val="ST20_4"/>
    <w:basedOn w:val="1"/>
    <w:qFormat/>
    <w:uiPriority w:val="0"/>
    <w:pPr>
      <w:autoSpaceDE w:val="0"/>
      <w:autoSpaceDN w:val="0"/>
      <w:adjustRightInd w:val="0"/>
      <w:ind w:left="1680" w:hanging="420"/>
      <w:jc w:val="left"/>
      <w:textAlignment w:val="baseline"/>
    </w:pPr>
    <w:rPr>
      <w:rFonts w:ascii="宋体" w:hAnsi="Tms Rmn"/>
      <w:kern w:val="0"/>
      <w:szCs w:val="20"/>
    </w:rPr>
  </w:style>
  <w:style w:type="paragraph" w:customStyle="1" w:styleId="440">
    <w:name w:val="_Style 111"/>
    <w:basedOn w:val="1"/>
    <w:qFormat/>
    <w:uiPriority w:val="0"/>
    <w:pPr>
      <w:spacing w:line="440" w:lineRule="exact"/>
      <w:ind w:firstLine="200" w:firstLineChars="200"/>
    </w:pPr>
    <w:rPr>
      <w:rFonts w:ascii="Tahoma" w:hAnsi="Tahoma" w:eastAsia="仿宋_GB2312"/>
      <w:sz w:val="24"/>
      <w:szCs w:val="20"/>
    </w:rPr>
  </w:style>
  <w:style w:type="paragraph" w:customStyle="1" w:styleId="441">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center"/>
    </w:pPr>
    <w:rPr>
      <w:rFonts w:ascii="宋体" w:hAnsi="宋体" w:eastAsia="仿宋_GB2312" w:cs="宋体"/>
      <w:kern w:val="0"/>
      <w:sz w:val="24"/>
    </w:rPr>
  </w:style>
  <w:style w:type="paragraph" w:customStyle="1" w:styleId="442">
    <w:name w:val="列出段落11"/>
    <w:basedOn w:val="1"/>
    <w:qFormat/>
    <w:uiPriority w:val="0"/>
    <w:pPr>
      <w:adjustRightInd w:val="0"/>
      <w:spacing w:line="360" w:lineRule="auto"/>
      <w:ind w:firstLine="200" w:firstLineChars="200"/>
    </w:pPr>
    <w:rPr>
      <w:rFonts w:eastAsia="楷体_GB2312" w:cs="Lucida Sans"/>
      <w:sz w:val="24"/>
    </w:rPr>
  </w:style>
  <w:style w:type="paragraph" w:customStyle="1" w:styleId="443">
    <w:name w:val="-正文 Char"/>
    <w:basedOn w:val="1"/>
    <w:unhideWhenUsed/>
    <w:qFormat/>
    <w:uiPriority w:val="0"/>
    <w:pPr>
      <w:widowControl/>
      <w:overflowPunct w:val="0"/>
      <w:autoSpaceDE w:val="0"/>
      <w:autoSpaceDN w:val="0"/>
      <w:adjustRightInd w:val="0"/>
      <w:spacing w:line="360" w:lineRule="auto"/>
      <w:ind w:firstLine="200"/>
      <w:jc w:val="left"/>
      <w:textAlignment w:val="baseline"/>
    </w:pPr>
    <w:rPr>
      <w:rFonts w:ascii="Arial" w:hAnsi="Arial"/>
      <w:kern w:val="0"/>
      <w:sz w:val="24"/>
    </w:rPr>
  </w:style>
  <w:style w:type="paragraph" w:customStyle="1" w:styleId="444">
    <w:name w:val="+列表1"/>
    <w:basedOn w:val="1"/>
    <w:qFormat/>
    <w:uiPriority w:val="0"/>
    <w:pPr>
      <w:jc w:val="center"/>
    </w:pPr>
    <w:rPr>
      <w:rFonts w:ascii="宋体" w:hAnsi="宋体"/>
      <w:sz w:val="24"/>
      <w:szCs w:val="20"/>
    </w:rPr>
  </w:style>
  <w:style w:type="paragraph" w:customStyle="1" w:styleId="445">
    <w:name w:val="xl102"/>
    <w:basedOn w:val="1"/>
    <w:qFormat/>
    <w:uiPriority w:val="0"/>
    <w:pPr>
      <w:widowControl/>
      <w:pBdr>
        <w:left w:val="single" w:color="auto" w:sz="4" w:space="0"/>
        <w:right w:val="single" w:color="auto" w:sz="4" w:space="0"/>
      </w:pBdr>
      <w:spacing w:before="100" w:beforeAutospacing="1" w:after="100" w:afterAutospacing="1" w:line="440" w:lineRule="exact"/>
      <w:ind w:firstLine="200" w:firstLineChars="200"/>
      <w:jc w:val="center"/>
    </w:pPr>
    <w:rPr>
      <w:rFonts w:ascii="宋体" w:hAnsi="宋体" w:eastAsia="仿宋_GB2312" w:cs="宋体"/>
      <w:kern w:val="0"/>
      <w:sz w:val="24"/>
    </w:rPr>
  </w:style>
  <w:style w:type="paragraph" w:customStyle="1" w:styleId="446">
    <w:name w:val="Char111"/>
    <w:basedOn w:val="1"/>
    <w:qFormat/>
    <w:uiPriority w:val="0"/>
    <w:pPr>
      <w:tabs>
        <w:tab w:val="left" w:pos="432"/>
      </w:tabs>
      <w:spacing w:beforeLines="50" w:afterLines="50"/>
      <w:ind w:left="432" w:hanging="432"/>
      <w:jc w:val="center"/>
    </w:pPr>
    <w:rPr>
      <w:sz w:val="24"/>
    </w:rPr>
  </w:style>
  <w:style w:type="paragraph" w:customStyle="1" w:styleId="447">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pPr>
    <w:rPr>
      <w:rFonts w:ascii="宋体" w:hAnsi="宋体" w:eastAsia="仿宋_GB2312" w:cs="宋体"/>
      <w:kern w:val="0"/>
      <w:sz w:val="24"/>
    </w:rPr>
  </w:style>
  <w:style w:type="paragraph" w:customStyle="1" w:styleId="448">
    <w:name w:val="ST20_15"/>
    <w:qFormat/>
    <w:uiPriority w:val="0"/>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宋体" w:hAnsi="Tms Rmn" w:eastAsia="宋体" w:cs="Times New Roman"/>
      <w:sz w:val="24"/>
      <w:lang w:val="en-US" w:eastAsia="zh-CN" w:bidi="ar-SA"/>
    </w:rPr>
  </w:style>
  <w:style w:type="paragraph" w:customStyle="1" w:styleId="449">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center"/>
    </w:pPr>
    <w:rPr>
      <w:rFonts w:ascii="宋体" w:hAnsi="宋体" w:eastAsia="仿宋_GB2312" w:cs="宋体"/>
      <w:kern w:val="0"/>
      <w:sz w:val="24"/>
    </w:rPr>
  </w:style>
  <w:style w:type="paragraph" w:customStyle="1" w:styleId="450">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451">
    <w:name w:val="ST20_2"/>
    <w:basedOn w:val="1"/>
    <w:qFormat/>
    <w:uiPriority w:val="0"/>
    <w:pPr>
      <w:autoSpaceDE w:val="0"/>
      <w:autoSpaceDN w:val="0"/>
      <w:adjustRightInd w:val="0"/>
      <w:ind w:left="840" w:hanging="420"/>
      <w:jc w:val="left"/>
      <w:textAlignment w:val="baseline"/>
    </w:pPr>
    <w:rPr>
      <w:rFonts w:ascii="宋体" w:hAnsi="Tms Rmn"/>
      <w:kern w:val="0"/>
      <w:szCs w:val="20"/>
    </w:rPr>
  </w:style>
  <w:style w:type="paragraph" w:customStyle="1" w:styleId="452">
    <w:name w:val="+正文 Char"/>
    <w:basedOn w:val="1"/>
    <w:qFormat/>
    <w:uiPriority w:val="0"/>
    <w:pPr>
      <w:spacing w:line="360" w:lineRule="auto"/>
      <w:ind w:firstLine="200" w:firstLineChars="200"/>
    </w:pPr>
    <w:rPr>
      <w:szCs w:val="28"/>
    </w:rPr>
  </w:style>
  <w:style w:type="paragraph" w:customStyle="1" w:styleId="453">
    <w:name w:val="Style6"/>
    <w:basedOn w:val="1"/>
    <w:qFormat/>
    <w:uiPriority w:val="0"/>
    <w:pPr>
      <w:adjustRightInd w:val="0"/>
      <w:spacing w:line="364" w:lineRule="exact"/>
      <w:jc w:val="left"/>
    </w:pPr>
    <w:rPr>
      <w:rFonts w:ascii="宋体" w:hAnsi="Calibri"/>
      <w:kern w:val="0"/>
      <w:sz w:val="24"/>
    </w:rPr>
  </w:style>
  <w:style w:type="paragraph" w:customStyle="1" w:styleId="454">
    <w:name w:val="reader-word-layer reader-word-s2-21"/>
    <w:basedOn w:val="1"/>
    <w:qFormat/>
    <w:uiPriority w:val="0"/>
    <w:pPr>
      <w:widowControl/>
      <w:spacing w:before="100" w:beforeAutospacing="1" w:after="100" w:afterAutospacing="1"/>
      <w:jc w:val="left"/>
    </w:pPr>
    <w:rPr>
      <w:rFonts w:ascii="宋体" w:hAnsi="宋体" w:cs="宋体"/>
      <w:kern w:val="0"/>
      <w:sz w:val="24"/>
    </w:rPr>
  </w:style>
  <w:style w:type="paragraph" w:customStyle="1" w:styleId="455">
    <w:name w:val="xl94"/>
    <w:basedOn w:val="1"/>
    <w:qFormat/>
    <w:uiPriority w:val="0"/>
    <w:pPr>
      <w:widowControl/>
      <w:pBdr>
        <w:top w:val="single" w:color="auto" w:sz="4" w:space="0"/>
        <w:left w:val="single" w:color="auto" w:sz="4" w:space="0"/>
        <w:right w:val="single" w:color="auto" w:sz="4" w:space="0"/>
      </w:pBdr>
      <w:spacing w:before="100" w:beforeAutospacing="1" w:after="100" w:afterAutospacing="1" w:line="440" w:lineRule="exact"/>
      <w:ind w:firstLine="200" w:firstLineChars="200"/>
      <w:jc w:val="center"/>
    </w:pPr>
    <w:rPr>
      <w:rFonts w:ascii="宋体" w:hAnsi="宋体" w:eastAsia="仿宋_GB2312" w:cs="宋体"/>
      <w:kern w:val="0"/>
      <w:sz w:val="24"/>
    </w:rPr>
  </w:style>
  <w:style w:type="paragraph" w:customStyle="1" w:styleId="456">
    <w:name w:val="七级标题"/>
    <w:basedOn w:val="10"/>
    <w:qFormat/>
    <w:uiPriority w:val="0"/>
    <w:pPr>
      <w:widowControl w:val="0"/>
      <w:numPr>
        <w:ilvl w:val="6"/>
        <w:numId w:val="4"/>
      </w:numPr>
      <w:tabs>
        <w:tab w:val="left" w:pos="360"/>
        <w:tab w:val="left" w:pos="2745"/>
        <w:tab w:val="clear" w:pos="2520"/>
      </w:tabs>
      <w:spacing w:line="320" w:lineRule="auto"/>
      <w:jc w:val="both"/>
    </w:pPr>
    <w:rPr>
      <w:rFonts w:ascii="黑体" w:hAnsi="黑体" w:eastAsia="黑体"/>
      <w:kern w:val="2"/>
    </w:rPr>
  </w:style>
  <w:style w:type="paragraph" w:customStyle="1" w:styleId="457">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center"/>
    </w:pPr>
    <w:rPr>
      <w:rFonts w:ascii="宋体" w:hAnsi="宋体" w:eastAsia="仿宋_GB2312" w:cs="宋体"/>
      <w:b/>
      <w:bCs/>
      <w:kern w:val="0"/>
      <w:sz w:val="24"/>
    </w:rPr>
  </w:style>
  <w:style w:type="paragraph" w:customStyle="1" w:styleId="458">
    <w:name w:val="xl103"/>
    <w:basedOn w:val="1"/>
    <w:qFormat/>
    <w:uiPriority w:val="0"/>
    <w:pPr>
      <w:widowControl/>
      <w:pBdr>
        <w:left w:val="single" w:color="auto" w:sz="4" w:space="0"/>
        <w:bottom w:val="single" w:color="auto" w:sz="4" w:space="0"/>
        <w:right w:val="single" w:color="auto" w:sz="4" w:space="0"/>
      </w:pBdr>
      <w:spacing w:before="100" w:beforeAutospacing="1" w:after="100" w:afterAutospacing="1" w:line="440" w:lineRule="exact"/>
      <w:ind w:firstLine="200" w:firstLineChars="200"/>
      <w:jc w:val="center"/>
    </w:pPr>
    <w:rPr>
      <w:rFonts w:ascii="宋体" w:hAnsi="宋体" w:eastAsia="仿宋_GB2312" w:cs="宋体"/>
      <w:kern w:val="0"/>
      <w:sz w:val="24"/>
    </w:rPr>
  </w:style>
  <w:style w:type="paragraph" w:customStyle="1" w:styleId="459">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left"/>
    </w:pPr>
    <w:rPr>
      <w:rFonts w:ascii="宋体" w:hAnsi="宋体" w:eastAsia="仿宋_GB2312" w:cs="宋体"/>
      <w:kern w:val="0"/>
      <w:sz w:val="24"/>
    </w:rPr>
  </w:style>
  <w:style w:type="paragraph" w:customStyle="1" w:styleId="460">
    <w:name w:val="江建权"/>
    <w:basedOn w:val="1"/>
    <w:qFormat/>
    <w:uiPriority w:val="0"/>
    <w:pPr>
      <w:spacing w:line="440" w:lineRule="exact"/>
      <w:ind w:firstLine="200" w:firstLineChars="200"/>
    </w:pPr>
    <w:rPr>
      <w:rFonts w:ascii="宋体" w:hAnsi="宋体"/>
      <w:kern w:val="0"/>
      <w:sz w:val="24"/>
    </w:rPr>
  </w:style>
  <w:style w:type="paragraph" w:customStyle="1" w:styleId="461">
    <w:name w:val="四号正文"/>
    <w:basedOn w:val="1"/>
    <w:qFormat/>
    <w:uiPriority w:val="0"/>
    <w:pPr>
      <w:widowControl/>
      <w:spacing w:line="300" w:lineRule="auto"/>
      <w:jc w:val="left"/>
    </w:pPr>
    <w:rPr>
      <w:rFonts w:ascii="Verdana" w:hAnsi="Verdana"/>
      <w:kern w:val="0"/>
      <w:sz w:val="28"/>
      <w:szCs w:val="20"/>
      <w:lang w:eastAsia="en-US"/>
    </w:rPr>
  </w:style>
  <w:style w:type="paragraph" w:customStyle="1" w:styleId="462">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left"/>
    </w:pPr>
    <w:rPr>
      <w:rFonts w:ascii="宋体" w:hAnsi="宋体" w:eastAsia="仿宋_GB2312" w:cs="宋体"/>
      <w:kern w:val="0"/>
      <w:sz w:val="24"/>
    </w:rPr>
  </w:style>
  <w:style w:type="paragraph" w:customStyle="1" w:styleId="463">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left"/>
    </w:pPr>
    <w:rPr>
      <w:rFonts w:ascii="宋体" w:hAnsi="宋体" w:eastAsia="仿宋_GB2312" w:cs="宋体"/>
      <w:kern w:val="0"/>
      <w:sz w:val="24"/>
    </w:rPr>
  </w:style>
  <w:style w:type="paragraph" w:customStyle="1" w:styleId="464">
    <w:name w:val="reader-word-layer reader-word-s6-18"/>
    <w:basedOn w:val="1"/>
    <w:qFormat/>
    <w:uiPriority w:val="0"/>
    <w:pPr>
      <w:widowControl/>
      <w:spacing w:before="100" w:beforeAutospacing="1" w:after="100" w:afterAutospacing="1"/>
      <w:jc w:val="left"/>
    </w:pPr>
    <w:rPr>
      <w:rFonts w:ascii="宋体" w:hAnsi="宋体" w:cs="宋体"/>
      <w:kern w:val="0"/>
      <w:sz w:val="24"/>
    </w:rPr>
  </w:style>
  <w:style w:type="paragraph" w:customStyle="1" w:styleId="465">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440" w:lineRule="exact"/>
      <w:ind w:firstLine="200" w:firstLineChars="200"/>
      <w:jc w:val="left"/>
    </w:pPr>
    <w:rPr>
      <w:rFonts w:ascii="仿宋_GB2312" w:hAnsi="宋体" w:eastAsia="仿宋_GB2312" w:cs="宋体"/>
      <w:color w:val="FF0000"/>
      <w:kern w:val="0"/>
      <w:sz w:val="20"/>
      <w:szCs w:val="20"/>
    </w:rPr>
  </w:style>
  <w:style w:type="paragraph" w:customStyle="1" w:styleId="466">
    <w:name w:val="标题2def"/>
    <w:basedOn w:val="48"/>
    <w:qFormat/>
    <w:uiPriority w:val="0"/>
    <w:pPr>
      <w:widowControl/>
      <w:overflowPunct w:val="0"/>
      <w:autoSpaceDE w:val="0"/>
      <w:autoSpaceDN w:val="0"/>
      <w:snapToGrid w:val="0"/>
      <w:spacing w:before="160" w:after="200" w:line="360" w:lineRule="auto"/>
    </w:pPr>
    <w:rPr>
      <w:rFonts w:ascii="Times New Roman" w:hAnsi="宋体" w:eastAsia="仿宋_GB2312"/>
      <w:lang w:val="en-GB"/>
    </w:rPr>
  </w:style>
  <w:style w:type="paragraph" w:customStyle="1" w:styleId="467">
    <w:name w:val="font8"/>
    <w:basedOn w:val="1"/>
    <w:qFormat/>
    <w:uiPriority w:val="0"/>
    <w:pPr>
      <w:widowControl/>
      <w:spacing w:before="100" w:beforeAutospacing="1" w:after="100" w:afterAutospacing="1" w:line="440" w:lineRule="exact"/>
      <w:ind w:firstLine="200" w:firstLineChars="200"/>
      <w:jc w:val="left"/>
    </w:pPr>
    <w:rPr>
      <w:rFonts w:ascii="宋体" w:hAnsi="宋体" w:eastAsia="仿宋_GB2312" w:cs="宋体"/>
      <w:kern w:val="0"/>
      <w:sz w:val="18"/>
      <w:szCs w:val="18"/>
    </w:rPr>
  </w:style>
  <w:style w:type="paragraph" w:customStyle="1" w:styleId="468">
    <w:name w:val="Char Char27"/>
    <w:basedOn w:val="1"/>
    <w:qFormat/>
    <w:uiPriority w:val="0"/>
    <w:pPr>
      <w:snapToGrid w:val="0"/>
      <w:spacing w:line="360" w:lineRule="auto"/>
    </w:pPr>
    <w:rPr>
      <w:rFonts w:ascii="Arial" w:hAnsi="Arial" w:eastAsia="黑体"/>
      <w:snapToGrid w:val="0"/>
      <w:kern w:val="0"/>
      <w:sz w:val="20"/>
      <w:szCs w:val="21"/>
    </w:rPr>
  </w:style>
  <w:style w:type="paragraph" w:customStyle="1" w:styleId="469">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left"/>
    </w:pPr>
    <w:rPr>
      <w:rFonts w:ascii="宋体" w:hAnsi="宋体" w:eastAsia="仿宋_GB2312" w:cs="宋体"/>
      <w:kern w:val="0"/>
      <w:sz w:val="24"/>
    </w:rPr>
  </w:style>
  <w:style w:type="paragraph" w:customStyle="1" w:styleId="470">
    <w:name w:val="xl72"/>
    <w:basedOn w:val="1"/>
    <w:qFormat/>
    <w:uiPriority w:val="0"/>
    <w:pPr>
      <w:widowControl/>
      <w:spacing w:before="100" w:beforeAutospacing="1" w:after="100" w:afterAutospacing="1" w:line="440" w:lineRule="exact"/>
      <w:ind w:firstLine="200" w:firstLineChars="200"/>
      <w:jc w:val="left"/>
    </w:pPr>
    <w:rPr>
      <w:rFonts w:ascii="宋体" w:hAnsi="宋体" w:eastAsia="仿宋_GB2312" w:cs="宋体"/>
      <w:kern w:val="0"/>
      <w:sz w:val="24"/>
    </w:rPr>
  </w:style>
  <w:style w:type="paragraph" w:customStyle="1" w:styleId="471">
    <w:name w:val="Char Char Char1 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72">
    <w:name w:val="_Style 2"/>
    <w:basedOn w:val="1"/>
    <w:qFormat/>
    <w:uiPriority w:val="0"/>
    <w:pPr>
      <w:ind w:firstLine="420" w:firstLineChars="200"/>
    </w:pPr>
    <w:rPr>
      <w:szCs w:val="20"/>
    </w:rPr>
  </w:style>
  <w:style w:type="paragraph" w:customStyle="1" w:styleId="473">
    <w:name w:val="Char Char1 Char Char Char Char2"/>
    <w:basedOn w:val="1"/>
    <w:qFormat/>
    <w:uiPriority w:val="0"/>
    <w:rPr>
      <w:rFonts w:ascii="仿宋_GB2312" w:eastAsia="仿宋_GB2312"/>
      <w:b/>
      <w:sz w:val="32"/>
      <w:szCs w:val="32"/>
    </w:rPr>
  </w:style>
  <w:style w:type="character" w:customStyle="1" w:styleId="474">
    <w:name w:val="文档结构图 字符2"/>
    <w:semiHidden/>
    <w:qFormat/>
    <w:uiPriority w:val="0"/>
    <w:rPr>
      <w:rFonts w:eastAsia="宋体"/>
      <w:kern w:val="2"/>
      <w:sz w:val="21"/>
      <w:szCs w:val="24"/>
      <w:lang w:val="en-US" w:eastAsia="zh-CN" w:bidi="ar-SA"/>
    </w:rPr>
  </w:style>
  <w:style w:type="character" w:customStyle="1" w:styleId="475">
    <w:name w:val="日期 字符2"/>
    <w:qFormat/>
    <w:uiPriority w:val="0"/>
    <w:rPr>
      <w:rFonts w:ascii="楷体_GB2312" w:eastAsia="楷体_GB2312"/>
      <w:b/>
      <w:kern w:val="2"/>
      <w:sz w:val="28"/>
      <w:lang w:val="en-US" w:eastAsia="zh-CN" w:bidi="ar-SA"/>
    </w:rPr>
  </w:style>
  <w:style w:type="character" w:customStyle="1" w:styleId="476">
    <w:name w:val="正文文本 字符1"/>
    <w:semiHidden/>
    <w:qFormat/>
    <w:uiPriority w:val="99"/>
    <w:rPr>
      <w:rFonts w:ascii="Times New Roman" w:hAnsi="Times New Roman" w:eastAsia="宋体" w:cs="Times New Roman"/>
      <w:szCs w:val="24"/>
    </w:rPr>
  </w:style>
  <w:style w:type="character" w:customStyle="1" w:styleId="477">
    <w:name w:val="题注 字符"/>
    <w:qFormat/>
    <w:locked/>
    <w:uiPriority w:val="0"/>
    <w:rPr>
      <w:rFonts w:ascii="Calibri" w:hAnsi="Calibri"/>
      <w:kern w:val="2"/>
    </w:rPr>
  </w:style>
  <w:style w:type="character" w:customStyle="1" w:styleId="478">
    <w:name w:val="font131"/>
    <w:qFormat/>
    <w:uiPriority w:val="0"/>
    <w:rPr>
      <w:rFonts w:hint="eastAsia" w:ascii="宋体" w:hAnsi="宋体" w:eastAsia="宋体" w:cs="宋体"/>
      <w:color w:val="000000"/>
      <w:sz w:val="20"/>
      <w:szCs w:val="20"/>
      <w:u w:val="none"/>
    </w:rPr>
  </w:style>
  <w:style w:type="character" w:customStyle="1" w:styleId="479">
    <w:name w:val="正文文本缩进 2 字符1"/>
    <w:semiHidden/>
    <w:qFormat/>
    <w:uiPriority w:val="99"/>
    <w:rPr>
      <w:rFonts w:ascii="Times New Roman" w:hAnsi="Times New Roman" w:eastAsia="宋体" w:cs="Times New Roman"/>
      <w:szCs w:val="24"/>
    </w:rPr>
  </w:style>
  <w:style w:type="character" w:customStyle="1" w:styleId="480">
    <w:name w:val="正文文本 2 字符1"/>
    <w:semiHidden/>
    <w:qFormat/>
    <w:uiPriority w:val="99"/>
    <w:rPr>
      <w:rFonts w:ascii="Times New Roman" w:hAnsi="Times New Roman" w:eastAsia="宋体" w:cs="Times New Roman"/>
      <w:szCs w:val="24"/>
    </w:rPr>
  </w:style>
  <w:style w:type="character" w:customStyle="1" w:styleId="481">
    <w:name w:val="font141"/>
    <w:qFormat/>
    <w:uiPriority w:val="0"/>
    <w:rPr>
      <w:rFonts w:hint="eastAsia" w:ascii="宋体" w:hAnsi="宋体" w:eastAsia="宋体" w:cs="宋体"/>
      <w:color w:val="000000"/>
      <w:sz w:val="20"/>
      <w:szCs w:val="20"/>
      <w:u w:val="none"/>
    </w:rPr>
  </w:style>
  <w:style w:type="character" w:customStyle="1" w:styleId="482">
    <w:name w:val="标题 字符1"/>
    <w:qFormat/>
    <w:uiPriority w:val="10"/>
    <w:rPr>
      <w:rFonts w:ascii="等线 Light" w:hAnsi="等线 Light" w:eastAsia="等线 Light" w:cs="Times New Roman"/>
      <w:b/>
      <w:bCs/>
      <w:sz w:val="32"/>
      <w:szCs w:val="32"/>
    </w:rPr>
  </w:style>
  <w:style w:type="character" w:customStyle="1" w:styleId="483">
    <w:name w:val="标题 4 字符2"/>
    <w:qFormat/>
    <w:locked/>
    <w:uiPriority w:val="0"/>
    <w:rPr>
      <w:rFonts w:ascii="Arial" w:hAnsi="Arial" w:eastAsia="黑体"/>
      <w:b/>
      <w:kern w:val="2"/>
      <w:sz w:val="28"/>
    </w:rPr>
  </w:style>
  <w:style w:type="character" w:customStyle="1" w:styleId="484">
    <w:name w:val="文档结构图 字符1"/>
    <w:semiHidden/>
    <w:qFormat/>
    <w:uiPriority w:val="99"/>
    <w:rPr>
      <w:rFonts w:ascii="Microsoft YaHei UI" w:hAnsi="Times New Roman" w:eastAsia="Microsoft YaHei UI" w:cs="Times New Roman"/>
      <w:sz w:val="18"/>
      <w:szCs w:val="18"/>
    </w:rPr>
  </w:style>
  <w:style w:type="character" w:customStyle="1" w:styleId="485">
    <w:name w:val="批注主题 字符1"/>
    <w:semiHidden/>
    <w:qFormat/>
    <w:uiPriority w:val="99"/>
    <w:rPr>
      <w:rFonts w:ascii="Times New Roman" w:hAnsi="Times New Roman" w:eastAsia="宋体" w:cs="Times New Roman"/>
      <w:b/>
      <w:bCs/>
      <w:szCs w:val="24"/>
    </w:rPr>
  </w:style>
  <w:style w:type="character" w:customStyle="1" w:styleId="486">
    <w:name w:val="font112"/>
    <w:qFormat/>
    <w:uiPriority w:val="0"/>
    <w:rPr>
      <w:rFonts w:hint="default" w:ascii="Times New Roman" w:hAnsi="Times New Roman" w:cs="Times New Roman"/>
      <w:color w:val="000000"/>
      <w:sz w:val="20"/>
      <w:szCs w:val="20"/>
      <w:u w:val="none"/>
    </w:rPr>
  </w:style>
  <w:style w:type="character" w:customStyle="1" w:styleId="487">
    <w:name w:val="批注框文本 字符1"/>
    <w:semiHidden/>
    <w:qFormat/>
    <w:uiPriority w:val="99"/>
    <w:rPr>
      <w:rFonts w:ascii="Times New Roman" w:hAnsi="Times New Roman" w:eastAsia="宋体" w:cs="Times New Roman"/>
      <w:sz w:val="18"/>
      <w:szCs w:val="18"/>
    </w:rPr>
  </w:style>
  <w:style w:type="character" w:customStyle="1" w:styleId="488">
    <w:name w:val="15"/>
    <w:qFormat/>
    <w:uiPriority w:val="0"/>
    <w:rPr>
      <w:rFonts w:hint="default" w:ascii="Times New Roman" w:hAnsi="Times New Roman" w:eastAsia="仿宋_GB2312" w:cs="Times New Roman"/>
      <w:b/>
      <w:sz w:val="32"/>
      <w:szCs w:val="32"/>
    </w:rPr>
  </w:style>
  <w:style w:type="character" w:customStyle="1" w:styleId="489">
    <w:name w:val="批注文字 字符1"/>
    <w:semiHidden/>
    <w:qFormat/>
    <w:uiPriority w:val="99"/>
    <w:rPr>
      <w:rFonts w:ascii="Times New Roman" w:hAnsi="Times New Roman" w:eastAsia="宋体" w:cs="Times New Roman"/>
      <w:szCs w:val="24"/>
    </w:rPr>
  </w:style>
  <w:style w:type="character" w:customStyle="1" w:styleId="490">
    <w:name w:val="font121"/>
    <w:qFormat/>
    <w:uiPriority w:val="0"/>
    <w:rPr>
      <w:rFonts w:hint="eastAsia" w:ascii="宋体" w:hAnsi="宋体" w:eastAsia="宋体" w:cs="宋体"/>
      <w:color w:val="333333"/>
      <w:sz w:val="20"/>
      <w:szCs w:val="20"/>
      <w:u w:val="none"/>
    </w:rPr>
  </w:style>
  <w:style w:type="character" w:customStyle="1" w:styleId="491">
    <w:name w:val="font31"/>
    <w:qFormat/>
    <w:uiPriority w:val="0"/>
    <w:rPr>
      <w:rFonts w:hint="eastAsia" w:ascii="宋体" w:hAnsi="宋体" w:eastAsia="宋体" w:cs="宋体"/>
      <w:color w:val="000000"/>
      <w:sz w:val="24"/>
      <w:szCs w:val="24"/>
      <w:u w:val="none"/>
    </w:rPr>
  </w:style>
  <w:style w:type="character" w:customStyle="1" w:styleId="492">
    <w:name w:val="正文文本缩进 字符2"/>
    <w:semiHidden/>
    <w:qFormat/>
    <w:uiPriority w:val="99"/>
    <w:rPr>
      <w:rFonts w:ascii="Times New Roman" w:hAnsi="Times New Roman" w:eastAsia="宋体" w:cs="Times New Roman"/>
      <w:szCs w:val="24"/>
    </w:rPr>
  </w:style>
  <w:style w:type="character" w:customStyle="1" w:styleId="493">
    <w:name w:val="font81"/>
    <w:qFormat/>
    <w:uiPriority w:val="0"/>
    <w:rPr>
      <w:rFonts w:hint="default" w:ascii="Times New Roman" w:hAnsi="Times New Roman" w:cs="Times New Roman"/>
      <w:b/>
      <w:color w:val="000000"/>
      <w:sz w:val="20"/>
      <w:szCs w:val="20"/>
      <w:u w:val="none"/>
    </w:rPr>
  </w:style>
  <w:style w:type="character" w:customStyle="1" w:styleId="494">
    <w:name w:val="纯文本 字符2"/>
    <w:semiHidden/>
    <w:qFormat/>
    <w:uiPriority w:val="99"/>
    <w:rPr>
      <w:rFonts w:ascii="等线" w:hAnsi="Courier New" w:cs="Courier New"/>
      <w:szCs w:val="24"/>
    </w:rPr>
  </w:style>
  <w:style w:type="character" w:customStyle="1" w:styleId="495">
    <w:name w:val="日期 字符1"/>
    <w:semiHidden/>
    <w:qFormat/>
    <w:uiPriority w:val="99"/>
    <w:rPr>
      <w:rFonts w:ascii="Times New Roman" w:hAnsi="Times New Roman" w:eastAsia="宋体" w:cs="Times New Roman"/>
      <w:szCs w:val="24"/>
    </w:rPr>
  </w:style>
  <w:style w:type="character" w:customStyle="1" w:styleId="496">
    <w:name w:val="正文缩进 字符1"/>
    <w:qFormat/>
    <w:uiPriority w:val="0"/>
    <w:rPr>
      <w:rFonts w:eastAsia="宋体"/>
      <w:kern w:val="2"/>
      <w:sz w:val="21"/>
      <w:szCs w:val="24"/>
      <w:lang w:val="en-US" w:eastAsia="zh-CN" w:bidi="ar-SA"/>
    </w:rPr>
  </w:style>
  <w:style w:type="character" w:customStyle="1" w:styleId="497">
    <w:name w:val="font71"/>
    <w:qFormat/>
    <w:uiPriority w:val="0"/>
    <w:rPr>
      <w:rFonts w:hint="eastAsia" w:ascii="宋体" w:hAnsi="宋体" w:eastAsia="宋体" w:cs="宋体"/>
      <w:color w:val="000000"/>
      <w:sz w:val="20"/>
      <w:szCs w:val="20"/>
      <w:u w:val="none"/>
    </w:rPr>
  </w:style>
  <w:style w:type="paragraph" w:customStyle="1" w:styleId="498">
    <w:name w:val="Other|1"/>
    <w:basedOn w:val="1"/>
    <w:qFormat/>
    <w:uiPriority w:val="0"/>
    <w:pPr>
      <w:spacing w:after="480" w:line="442" w:lineRule="auto"/>
      <w:ind w:firstLine="400"/>
    </w:pPr>
    <w:rPr>
      <w:rFonts w:ascii="宋体" w:hAnsi="宋体" w:cs="宋体"/>
      <w:sz w:val="44"/>
      <w:szCs w:val="44"/>
      <w:lang w:val="zh-TW" w:eastAsia="zh-TW" w:bidi="zh-TW"/>
    </w:rPr>
  </w:style>
  <w:style w:type="paragraph" w:customStyle="1" w:styleId="499">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500">
    <w:name w:val="_Style 11"/>
    <w:basedOn w:val="1"/>
    <w:qFormat/>
    <w:uiPriority w:val="0"/>
    <w:rPr>
      <w:rFonts w:ascii="Tahoma" w:hAnsi="Tahoma"/>
      <w:sz w:val="24"/>
      <w:szCs w:val="20"/>
    </w:rPr>
  </w:style>
  <w:style w:type="paragraph" w:customStyle="1" w:styleId="501">
    <w:name w:val="1.1.1.1"/>
    <w:basedOn w:val="1"/>
    <w:qFormat/>
    <w:uiPriority w:val="0"/>
    <w:pPr>
      <w:tabs>
        <w:tab w:val="left" w:pos="900"/>
        <w:tab w:val="left" w:pos="1134"/>
      </w:tabs>
      <w:adjustRightInd w:val="0"/>
      <w:snapToGrid w:val="0"/>
      <w:spacing w:beforeLines="50" w:afterLines="50" w:line="400" w:lineRule="atLeast"/>
      <w:ind w:left="869" w:leftChars="50" w:right="200" w:rightChars="200"/>
      <w:textAlignment w:val="baseline"/>
    </w:pPr>
    <w:rPr>
      <w:rFonts w:ascii="Arial" w:hAnsi="Arial"/>
      <w:kern w:val="0"/>
      <w:sz w:val="24"/>
      <w:szCs w:val="20"/>
    </w:rPr>
  </w:style>
  <w:style w:type="paragraph" w:customStyle="1" w:styleId="502">
    <w:name w:val="Char2"/>
    <w:basedOn w:val="1"/>
    <w:qFormat/>
    <w:uiPriority w:val="0"/>
    <w:rPr>
      <w:rFonts w:ascii="仿宋_GB2312" w:eastAsia="仿宋_GB2312"/>
      <w:b/>
      <w:sz w:val="32"/>
      <w:szCs w:val="32"/>
    </w:rPr>
  </w:style>
  <w:style w:type="table" w:customStyle="1" w:styleId="503">
    <w:name w:val="网格型1"/>
    <w:basedOn w:val="51"/>
    <w:qFormat/>
    <w:uiPriority w:val="59"/>
    <w:rPr>
      <w:rFonts w:ascii="Calibri" w:hAnsi="Calibri"/>
      <w:kern w:val="2"/>
      <w:sz w:val="21"/>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04">
    <w:name w:val="网格型21"/>
    <w:basedOn w:val="51"/>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05">
    <w:name w:val="标书标题3"/>
    <w:basedOn w:val="6"/>
    <w:qFormat/>
    <w:uiPriority w:val="0"/>
    <w:pPr>
      <w:widowControl/>
      <w:adjustRightInd w:val="0"/>
      <w:snapToGrid w:val="0"/>
      <w:spacing w:line="440" w:lineRule="exact"/>
      <w:outlineLvl w:val="5"/>
    </w:pPr>
    <w:rPr>
      <w:rFonts w:ascii="宋体" w:hAnsi="宋体"/>
      <w:b w:val="0"/>
      <w:kern w:val="0"/>
      <w:szCs w:val="21"/>
    </w:rPr>
  </w:style>
  <w:style w:type="paragraph" w:customStyle="1" w:styleId="506">
    <w:name w:val="标题 22"/>
    <w:basedOn w:val="1"/>
    <w:next w:val="1"/>
    <w:qFormat/>
    <w:uiPriority w:val="0"/>
    <w:pPr>
      <w:autoSpaceDE w:val="0"/>
      <w:autoSpaceDN w:val="0"/>
      <w:adjustRightInd w:val="0"/>
      <w:ind w:left="270" w:hanging="270"/>
      <w:jc w:val="left"/>
    </w:pPr>
    <w:rPr>
      <w:rFonts w:ascii="宋体" w:cs="宋体"/>
      <w:kern w:val="0"/>
      <w:sz w:val="32"/>
      <w:szCs w:val="32"/>
      <w:lang w:val="zh-CN"/>
    </w:rPr>
  </w:style>
  <w:style w:type="paragraph" w:customStyle="1" w:styleId="507">
    <w:name w:val="p23"/>
    <w:basedOn w:val="1"/>
    <w:qFormat/>
    <w:uiPriority w:val="0"/>
    <w:pPr>
      <w:widowControl/>
      <w:spacing w:line="360" w:lineRule="auto"/>
      <w:ind w:firstLine="420"/>
    </w:pPr>
    <w:rPr>
      <w:kern w:val="0"/>
      <w:sz w:val="28"/>
      <w:szCs w:val="28"/>
    </w:rPr>
  </w:style>
  <w:style w:type="paragraph" w:customStyle="1" w:styleId="508">
    <w:name w:val="*正文"/>
    <w:basedOn w:val="1"/>
    <w:qFormat/>
    <w:uiPriority w:val="0"/>
    <w:pPr>
      <w:spacing w:line="360" w:lineRule="auto"/>
      <w:ind w:firstLine="200" w:firstLineChars="200"/>
    </w:pPr>
    <w:rPr>
      <w:rFonts w:ascii="宋体" w:hAnsi="宋体" w:eastAsia="Times New Roman"/>
      <w:kern w:val="0"/>
      <w:sz w:val="22"/>
      <w:szCs w:val="20"/>
    </w:rPr>
  </w:style>
  <w:style w:type="paragraph" w:customStyle="1" w:styleId="509">
    <w:name w:val="二级条标题"/>
    <w:basedOn w:val="1"/>
    <w:next w:val="1"/>
    <w:qFormat/>
    <w:uiPriority w:val="99"/>
    <w:pPr>
      <w:widowControl/>
      <w:tabs>
        <w:tab w:val="left" w:pos="360"/>
        <w:tab w:val="left" w:pos="1265"/>
        <w:tab w:val="left" w:pos="1680"/>
      </w:tabs>
      <w:ind w:left="1680" w:hanging="420"/>
      <w:outlineLvl w:val="3"/>
    </w:pPr>
    <w:rPr>
      <w:rFonts w:ascii="黑体" w:eastAsia="黑体"/>
      <w:kern w:val="0"/>
      <w:szCs w:val="20"/>
    </w:rPr>
  </w:style>
  <w:style w:type="character" w:customStyle="1" w:styleId="510">
    <w:name w:val="font91"/>
    <w:basedOn w:val="53"/>
    <w:qFormat/>
    <w:uiPriority w:val="0"/>
    <w:rPr>
      <w:rFonts w:hint="eastAsia" w:ascii="宋体" w:hAnsi="宋体" w:eastAsia="宋体" w:cs="宋体"/>
      <w:color w:val="000000"/>
      <w:sz w:val="24"/>
      <w:szCs w:val="24"/>
      <w:u w:val="none"/>
    </w:rPr>
  </w:style>
  <w:style w:type="character" w:customStyle="1" w:styleId="511">
    <w:name w:val="font101"/>
    <w:basedOn w:val="53"/>
    <w:qFormat/>
    <w:uiPriority w:val="0"/>
    <w:rPr>
      <w:rFonts w:hint="eastAsia" w:ascii="宋体" w:hAnsi="宋体" w:eastAsia="宋体" w:cs="宋体"/>
      <w:color w:val="000000"/>
      <w:sz w:val="22"/>
      <w:szCs w:val="22"/>
      <w:u w:val="none"/>
    </w:rPr>
  </w:style>
  <w:style w:type="character" w:customStyle="1" w:styleId="512">
    <w:name w:val="font171"/>
    <w:basedOn w:val="53"/>
    <w:qFormat/>
    <w:uiPriority w:val="0"/>
    <w:rPr>
      <w:rFonts w:hint="default" w:ascii="Times New Roman" w:hAnsi="Times New Roman" w:cs="Times New Roman"/>
      <w:color w:val="000000"/>
      <w:sz w:val="22"/>
      <w:szCs w:val="22"/>
      <w:u w:val="none"/>
      <w:vertAlign w:val="superscript"/>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26F657-A847-49F4-B135-7BD849924613}">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333</Pages>
  <Words>38009</Words>
  <Characters>216656</Characters>
  <Lines>1805</Lines>
  <Paragraphs>508</Paragraphs>
  <TotalTime>18</TotalTime>
  <ScaleCrop>false</ScaleCrop>
  <LinksUpToDate>false</LinksUpToDate>
  <CharactersWithSpaces>254157</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2020-05-25T05:23:00Z</dcterms:created>
  <dc:creator>Microsoft.com</dc:creator>
  <cp:lastModifiedBy>丫、美子</cp:lastModifiedBy>
  <cp:lastPrinted>2021-07-06T03:23:00Z</cp:lastPrinted>
  <dcterms:modified xsi:type="dcterms:W3CDTF">2021-08-17T11:30:55Z</dcterms:modified>
  <dc:title>绍兴市建筑工程施工招标文件</dc:title>
  <cp:revision>203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C2BFC095B1E6434985BA6E5D91A483C4</vt:lpwstr>
  </property>
</Properties>
</file>