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rPr>
      </w:pPr>
    </w:p>
    <w:p>
      <w:pPr>
        <w:spacing w:line="360" w:lineRule="auto"/>
        <w:jc w:val="center"/>
        <w:rPr>
          <w:rFonts w:asciiTheme="minorEastAsia" w:hAnsiTheme="minorEastAsia" w:eastAsiaTheme="minorEastAsia" w:cstheme="minorEastAsia"/>
          <w:color w:val="auto"/>
          <w:sz w:val="24"/>
          <w:szCs w:val="24"/>
        </w:rPr>
      </w:pPr>
    </w:p>
    <w:p>
      <w:pPr>
        <w:spacing w:line="360" w:lineRule="auto"/>
        <w:jc w:val="center"/>
        <w:rPr>
          <w:rFonts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t>绍兴市中医院改扩建工程EPC总承包内</w:t>
      </w:r>
    </w:p>
    <w:p>
      <w:pPr>
        <w:spacing w:line="360" w:lineRule="auto"/>
        <w:jc w:val="center"/>
        <w:rPr>
          <w:rFonts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t>放射防护项目 招标文件</w:t>
      </w:r>
    </w:p>
    <w:p>
      <w:pPr>
        <w:spacing w:line="360" w:lineRule="auto"/>
        <w:ind w:firstLine="3040"/>
        <w:rPr>
          <w:rFonts w:asciiTheme="minorEastAsia" w:hAnsiTheme="minorEastAsia" w:eastAsiaTheme="minorEastAsia" w:cstheme="minorEastAsia"/>
          <w:color w:val="auto"/>
          <w:sz w:val="28"/>
          <w:szCs w:val="28"/>
        </w:rPr>
      </w:pPr>
    </w:p>
    <w:p>
      <w:pPr>
        <w:spacing w:line="360" w:lineRule="auto"/>
        <w:ind w:firstLine="3040"/>
        <w:rPr>
          <w:rFonts w:asciiTheme="minorEastAsia" w:hAnsiTheme="minorEastAsia" w:eastAsiaTheme="minorEastAsia" w:cstheme="minorEastAsia"/>
          <w:color w:val="auto"/>
          <w:sz w:val="28"/>
          <w:szCs w:val="28"/>
        </w:rPr>
      </w:pPr>
    </w:p>
    <w:p>
      <w:pPr>
        <w:spacing w:line="360" w:lineRule="auto"/>
        <w:jc w:val="center"/>
        <w:rPr>
          <w:rFonts w:asciiTheme="minorEastAsia" w:hAnsiTheme="minorEastAsia" w:eastAsiaTheme="minorEastAsia" w:cstheme="minorEastAsia"/>
          <w:color w:val="auto"/>
          <w:sz w:val="28"/>
          <w:szCs w:val="28"/>
        </w:rPr>
      </w:pPr>
    </w:p>
    <w:p>
      <w:pPr>
        <w:spacing w:line="360" w:lineRule="auto"/>
        <w:jc w:val="center"/>
        <w:rPr>
          <w:rFonts w:asciiTheme="minorEastAsia" w:hAnsiTheme="minorEastAsia" w:eastAsiaTheme="minorEastAsia" w:cstheme="minorEastAsia"/>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pStyle w:val="13"/>
        <w:rPr>
          <w:rFonts w:asciiTheme="minorEastAsia" w:hAnsiTheme="minorEastAsia" w:eastAsiaTheme="minorEastAsia" w:cstheme="minorEastAsia"/>
          <w:b/>
          <w:color w:val="auto"/>
          <w:sz w:val="28"/>
          <w:szCs w:val="28"/>
        </w:rPr>
      </w:pPr>
    </w:p>
    <w:p>
      <w:pPr>
        <w:pStyle w:val="14"/>
        <w:rPr>
          <w:color w:val="auto"/>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rPr>
          <w:rFonts w:asciiTheme="minorEastAsia" w:hAnsiTheme="minorEastAsia" w:eastAsiaTheme="minorEastAsia" w:cstheme="minorEastAsia"/>
          <w:b/>
          <w:color w:val="auto"/>
          <w:sz w:val="28"/>
          <w:szCs w:val="28"/>
        </w:rPr>
      </w:pPr>
    </w:p>
    <w:p>
      <w:pPr>
        <w:pStyle w:val="54"/>
        <w:rPr>
          <w:color w:val="auto"/>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招  标  人：浙江中成建工集团有限公司</w:t>
      </w:r>
    </w:p>
    <w:p>
      <w:pPr>
        <w:spacing w:line="360" w:lineRule="auto"/>
        <w:jc w:val="center"/>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招标代理机构：浙江翔实建设项目管理有限公司</w:t>
      </w:r>
    </w:p>
    <w:p>
      <w:pPr>
        <w:spacing w:line="360" w:lineRule="auto"/>
        <w:jc w:val="center"/>
        <w:rPr>
          <w:b/>
          <w:color w:val="auto"/>
          <w:sz w:val="44"/>
        </w:rPr>
      </w:pPr>
      <w:r>
        <w:rPr>
          <w:rFonts w:hint="eastAsia" w:asciiTheme="minorEastAsia" w:hAnsiTheme="minorEastAsia" w:eastAsiaTheme="minorEastAsia" w:cstheme="minorEastAsia"/>
          <w:color w:val="auto"/>
          <w:sz w:val="28"/>
          <w:szCs w:val="28"/>
        </w:rPr>
        <w:t xml:space="preserve">2021年10月 </w:t>
      </w:r>
    </w:p>
    <w:p>
      <w:pPr>
        <w:spacing w:line="300" w:lineRule="auto"/>
        <w:jc w:val="center"/>
        <w:rPr>
          <w:b/>
          <w:color w:val="auto"/>
          <w:sz w:val="32"/>
          <w:szCs w:val="32"/>
        </w:rPr>
      </w:pPr>
      <w:r>
        <w:rPr>
          <w:rFonts w:hint="eastAsia"/>
          <w:b/>
          <w:color w:val="auto"/>
          <w:sz w:val="32"/>
          <w:szCs w:val="32"/>
        </w:rPr>
        <w:br w:type="page"/>
      </w:r>
    </w:p>
    <w:p>
      <w:pPr>
        <w:spacing w:line="300" w:lineRule="auto"/>
        <w:jc w:val="center"/>
        <w:rPr>
          <w:rFonts w:ascii="宋体" w:hAnsi="宋体" w:cs="宋体"/>
          <w:b/>
          <w:color w:val="auto"/>
          <w:sz w:val="28"/>
          <w:szCs w:val="28"/>
        </w:rPr>
      </w:pPr>
      <w:bookmarkStart w:id="0" w:name="_Toc10676"/>
      <w:r>
        <w:rPr>
          <w:rFonts w:hint="eastAsia" w:ascii="宋体" w:hAnsi="宋体" w:cs="宋体"/>
          <w:b/>
          <w:color w:val="auto"/>
          <w:sz w:val="28"/>
          <w:szCs w:val="28"/>
        </w:rPr>
        <w:t>绍兴市中医院改扩建工程EPC总承包内放射防护项目</w:t>
      </w:r>
    </w:p>
    <w:p>
      <w:pPr>
        <w:spacing w:line="300" w:lineRule="auto"/>
        <w:jc w:val="center"/>
        <w:rPr>
          <w:rFonts w:hint="eastAsia" w:ascii="宋体" w:hAnsi="宋体" w:eastAsia="宋体" w:cs="宋体"/>
          <w:b/>
          <w:color w:val="auto"/>
          <w:sz w:val="28"/>
          <w:szCs w:val="28"/>
          <w:lang w:eastAsia="zh-CN"/>
        </w:rPr>
      </w:pPr>
      <w:r>
        <w:rPr>
          <w:rFonts w:hint="eastAsia" w:ascii="宋体" w:hAnsi="宋体" w:cs="宋体"/>
          <w:b/>
          <w:color w:val="auto"/>
          <w:sz w:val="28"/>
          <w:szCs w:val="28"/>
        </w:rPr>
        <w:t>招标文件</w:t>
      </w:r>
      <w:r>
        <w:rPr>
          <w:rFonts w:hint="eastAsia" w:ascii="宋体" w:hAnsi="宋体" w:cs="宋体"/>
          <w:b/>
          <w:color w:val="auto"/>
          <w:sz w:val="28"/>
          <w:szCs w:val="28"/>
          <w:lang w:eastAsia="zh-CN"/>
        </w:rPr>
        <w:t>（</w:t>
      </w:r>
      <w:r>
        <w:rPr>
          <w:rFonts w:hint="eastAsia" w:ascii="宋体" w:hAnsi="宋体" w:cs="宋体"/>
          <w:b/>
          <w:color w:val="auto"/>
          <w:sz w:val="28"/>
          <w:szCs w:val="28"/>
          <w:lang w:val="en-US" w:eastAsia="zh-CN"/>
        </w:rPr>
        <w:t>重新招标</w:t>
      </w:r>
      <w:r>
        <w:rPr>
          <w:rFonts w:hint="eastAsia" w:ascii="宋体" w:hAnsi="宋体" w:cs="宋体"/>
          <w:b/>
          <w:color w:val="auto"/>
          <w:sz w:val="28"/>
          <w:szCs w:val="28"/>
          <w:lang w:eastAsia="zh-CN"/>
        </w:rPr>
        <w:t>）</w:t>
      </w:r>
    </w:p>
    <w:p>
      <w:pPr>
        <w:spacing w:line="300" w:lineRule="auto"/>
        <w:jc w:val="center"/>
        <w:rPr>
          <w:b/>
          <w:color w:val="auto"/>
          <w:sz w:val="32"/>
          <w:szCs w:val="32"/>
        </w:rPr>
      </w:pPr>
    </w:p>
    <w:p>
      <w:pPr>
        <w:pStyle w:val="54"/>
        <w:rPr>
          <w:color w:val="auto"/>
        </w:rPr>
      </w:pPr>
    </w:p>
    <w:p>
      <w:pPr>
        <w:pStyle w:val="35"/>
        <w:ind w:firstLine="340"/>
        <w:rPr>
          <w:color w:val="auto"/>
        </w:rPr>
      </w:pP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招标人名称：</w:t>
      </w:r>
      <w:r>
        <w:rPr>
          <w:rFonts w:hint="eastAsia" w:ascii="宋体" w:hAnsi="宋体" w:cs="宋体"/>
          <w:color w:val="auto"/>
          <w:sz w:val="24"/>
          <w:szCs w:val="24"/>
          <w:u w:val="single"/>
        </w:rPr>
        <w:t xml:space="preserve">      浙江中成建工集团有限公司          </w:t>
      </w:r>
      <w:r>
        <w:rPr>
          <w:rFonts w:hint="eastAsia" w:ascii="宋体" w:hAnsi="宋体" w:cs="宋体"/>
          <w:color w:val="auto"/>
          <w:sz w:val="24"/>
          <w:szCs w:val="24"/>
        </w:rPr>
        <w:t>（盖章）</w:t>
      </w:r>
    </w:p>
    <w:p>
      <w:pPr>
        <w:spacing w:line="560" w:lineRule="exact"/>
        <w:ind w:firstLine="840" w:firstLineChars="350"/>
        <w:rPr>
          <w:rFonts w:ascii="宋体" w:hAnsi="宋体" w:cs="宋体"/>
          <w:color w:val="auto"/>
          <w:sz w:val="24"/>
          <w:szCs w:val="24"/>
        </w:rPr>
      </w:pPr>
      <w:r>
        <w:rPr>
          <w:rFonts w:hint="eastAsia" w:ascii="宋体" w:hAnsi="宋体" w:cs="宋体"/>
          <w:color w:val="auto"/>
          <w:sz w:val="24"/>
          <w:szCs w:val="24"/>
        </w:rPr>
        <w:t>招标人法人代表：</w:t>
      </w:r>
      <w:r>
        <w:rPr>
          <w:rFonts w:hint="eastAsia" w:ascii="宋体" w:hAnsi="宋体" w:cs="宋体"/>
          <w:color w:val="auto"/>
          <w:sz w:val="24"/>
          <w:szCs w:val="24"/>
          <w:u w:val="single"/>
        </w:rPr>
        <w:t xml:space="preserve">    高建兴      </w:t>
      </w:r>
      <w:r>
        <w:rPr>
          <w:rFonts w:hint="eastAsia" w:ascii="宋体" w:hAnsi="宋体" w:cs="宋体"/>
          <w:color w:val="auto"/>
          <w:sz w:val="24"/>
          <w:szCs w:val="24"/>
        </w:rPr>
        <w:t>（盖章）</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招标人地址：</w:t>
      </w:r>
      <w:r>
        <w:rPr>
          <w:rFonts w:hint="eastAsia" w:ascii="宋体" w:hAnsi="宋体" w:cs="宋体"/>
          <w:color w:val="auto"/>
          <w:sz w:val="24"/>
          <w:szCs w:val="24"/>
          <w:u w:val="single"/>
        </w:rPr>
        <w:t xml:space="preserve">   凤林西路123号中成大厦    </w:t>
      </w:r>
    </w:p>
    <w:p>
      <w:pPr>
        <w:spacing w:line="560" w:lineRule="exact"/>
        <w:ind w:firstLine="840" w:firstLineChars="350"/>
        <w:rPr>
          <w:rFonts w:ascii="宋体" w:hAnsi="宋体" w:cs="宋体"/>
          <w:color w:val="auto"/>
          <w:sz w:val="24"/>
          <w:szCs w:val="24"/>
        </w:rPr>
      </w:pPr>
      <w:r>
        <w:rPr>
          <w:rFonts w:hint="eastAsia" w:ascii="宋体" w:hAnsi="宋体" w:cs="宋体"/>
          <w:color w:val="auto"/>
          <w:sz w:val="24"/>
          <w:szCs w:val="24"/>
        </w:rPr>
        <w:t>邮政编码：</w:t>
      </w:r>
      <w:r>
        <w:rPr>
          <w:rFonts w:hint="eastAsia" w:ascii="宋体" w:hAnsi="宋体" w:cs="宋体"/>
          <w:color w:val="auto"/>
          <w:sz w:val="24"/>
          <w:szCs w:val="24"/>
          <w:u w:val="single"/>
        </w:rPr>
        <w:t xml:space="preserve">   312000   </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联 系 人：</w:t>
      </w:r>
      <w:r>
        <w:rPr>
          <w:rFonts w:hint="eastAsia" w:ascii="宋体" w:hAnsi="宋体" w:cs="宋体"/>
          <w:color w:val="auto"/>
          <w:sz w:val="24"/>
          <w:szCs w:val="24"/>
          <w:u w:val="single"/>
        </w:rPr>
        <w:t xml:space="preserve">  冯文君  </w:t>
      </w:r>
      <w:r>
        <w:rPr>
          <w:rFonts w:hint="eastAsia" w:ascii="宋体" w:hAnsi="宋体" w:cs="宋体"/>
          <w:color w:val="auto"/>
          <w:sz w:val="24"/>
          <w:szCs w:val="24"/>
        </w:rPr>
        <w:t xml:space="preserve"> 电    话：</w:t>
      </w:r>
      <w:r>
        <w:rPr>
          <w:rFonts w:hint="eastAsia" w:ascii="宋体" w:hAnsi="宋体" w:cs="宋体"/>
          <w:color w:val="auto"/>
          <w:sz w:val="24"/>
          <w:szCs w:val="24"/>
          <w:u w:val="single"/>
        </w:rPr>
        <w:t xml:space="preserve">15967559599 </w:t>
      </w:r>
    </w:p>
    <w:p>
      <w:pPr>
        <w:pStyle w:val="54"/>
        <w:rPr>
          <w:color w:val="auto"/>
        </w:rPr>
      </w:pPr>
    </w:p>
    <w:p>
      <w:pPr>
        <w:pStyle w:val="54"/>
        <w:rPr>
          <w:color w:val="auto"/>
        </w:rPr>
      </w:pPr>
    </w:p>
    <w:p>
      <w:pPr>
        <w:pStyle w:val="35"/>
        <w:ind w:firstLine="340"/>
        <w:rPr>
          <w:color w:val="auto"/>
        </w:rPr>
      </w:pPr>
    </w:p>
    <w:p>
      <w:pPr>
        <w:spacing w:line="560" w:lineRule="exact"/>
        <w:ind w:firstLine="840" w:firstLineChars="350"/>
        <w:rPr>
          <w:rFonts w:ascii="宋体" w:hAnsi="宋体" w:cs="宋体"/>
          <w:color w:val="auto"/>
          <w:spacing w:val="-10"/>
          <w:sz w:val="24"/>
          <w:szCs w:val="24"/>
        </w:rPr>
      </w:pPr>
      <w:r>
        <w:rPr>
          <w:rFonts w:hint="eastAsia" w:ascii="宋体" w:hAnsi="宋体" w:cs="宋体"/>
          <w:color w:val="auto"/>
          <w:sz w:val="24"/>
          <w:szCs w:val="24"/>
        </w:rPr>
        <w:t>招</w:t>
      </w:r>
      <w:r>
        <w:rPr>
          <w:rFonts w:hint="eastAsia" w:ascii="宋体" w:hAnsi="宋体" w:cs="宋体"/>
          <w:color w:val="auto"/>
          <w:spacing w:val="-10"/>
          <w:sz w:val="24"/>
          <w:szCs w:val="24"/>
        </w:rPr>
        <w:t>标代理机构名称：</w:t>
      </w:r>
      <w:r>
        <w:rPr>
          <w:rFonts w:hint="eastAsia" w:ascii="宋体" w:hAnsi="宋体" w:cs="宋体"/>
          <w:color w:val="auto"/>
          <w:spacing w:val="-10"/>
          <w:sz w:val="24"/>
          <w:szCs w:val="24"/>
          <w:u w:val="single"/>
        </w:rPr>
        <w:t xml:space="preserve">  浙江翔实建设项目管理有限公司        </w:t>
      </w:r>
      <w:r>
        <w:rPr>
          <w:rFonts w:hint="eastAsia" w:ascii="宋体" w:hAnsi="宋体" w:cs="宋体"/>
          <w:color w:val="auto"/>
          <w:spacing w:val="-10"/>
          <w:sz w:val="24"/>
          <w:szCs w:val="24"/>
        </w:rPr>
        <w:t>（盖章）</w:t>
      </w:r>
    </w:p>
    <w:p>
      <w:pPr>
        <w:spacing w:line="560" w:lineRule="exact"/>
        <w:ind w:firstLine="829" w:firstLineChars="377"/>
        <w:rPr>
          <w:rFonts w:ascii="宋体" w:hAnsi="宋体" w:cs="宋体"/>
          <w:color w:val="auto"/>
          <w:spacing w:val="-10"/>
          <w:sz w:val="24"/>
          <w:szCs w:val="24"/>
        </w:rPr>
      </w:pPr>
      <w:r>
        <w:rPr>
          <w:rFonts w:hint="eastAsia" w:ascii="宋体" w:hAnsi="宋体" w:cs="宋体"/>
          <w:color w:val="auto"/>
          <w:spacing w:val="-10"/>
          <w:sz w:val="24"/>
          <w:szCs w:val="24"/>
        </w:rPr>
        <w:t>招标代理机构法人代表：</w:t>
      </w:r>
      <w:r>
        <w:rPr>
          <w:rFonts w:hint="eastAsia" w:ascii="宋体" w:hAnsi="宋体" w:cs="宋体"/>
          <w:color w:val="auto"/>
          <w:spacing w:val="-10"/>
          <w:sz w:val="24"/>
          <w:szCs w:val="24"/>
          <w:u w:val="single"/>
        </w:rPr>
        <w:t xml:space="preserve">     </w:t>
      </w:r>
      <w:r>
        <w:rPr>
          <w:rFonts w:hint="eastAsia" w:ascii="宋体" w:hAnsi="宋体" w:cs="宋体"/>
          <w:iCs/>
          <w:color w:val="auto"/>
          <w:spacing w:val="-10"/>
          <w:sz w:val="24"/>
          <w:szCs w:val="24"/>
          <w:u w:val="single"/>
        </w:rPr>
        <w:t xml:space="preserve">袁小雷    </w:t>
      </w:r>
      <w:r>
        <w:rPr>
          <w:rFonts w:hint="eastAsia" w:ascii="宋体" w:hAnsi="宋体" w:cs="宋体"/>
          <w:iCs/>
          <w:color w:val="auto"/>
          <w:spacing w:val="-10"/>
          <w:sz w:val="24"/>
          <w:szCs w:val="24"/>
          <w:u w:val="single"/>
        </w:rPr>
        <w:tab/>
      </w:r>
      <w:r>
        <w:rPr>
          <w:rFonts w:hint="eastAsia" w:ascii="宋体" w:hAnsi="宋体" w:cs="宋体"/>
          <w:color w:val="auto"/>
          <w:spacing w:val="-10"/>
          <w:sz w:val="24"/>
          <w:szCs w:val="24"/>
        </w:rPr>
        <w:t>（盖章）</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联系人：</w:t>
      </w:r>
      <w:r>
        <w:rPr>
          <w:rFonts w:hint="eastAsia" w:ascii="宋体" w:hAnsi="宋体" w:cs="宋体"/>
          <w:color w:val="auto"/>
          <w:sz w:val="24"/>
          <w:szCs w:val="24"/>
          <w:u w:val="single"/>
        </w:rPr>
        <w:t xml:space="preserve">    </w:t>
      </w:r>
      <w:r>
        <w:rPr>
          <w:rFonts w:hint="eastAsia" w:ascii="宋体" w:hAnsi="宋体" w:cs="宋体"/>
          <w:iCs/>
          <w:color w:val="auto"/>
          <w:sz w:val="24"/>
          <w:szCs w:val="24"/>
          <w:u w:val="single"/>
        </w:rPr>
        <w:t xml:space="preserve">金琴子   </w:t>
      </w:r>
      <w:r>
        <w:rPr>
          <w:rFonts w:hint="eastAsia" w:ascii="宋体" w:hAnsi="宋体" w:cs="宋体"/>
          <w:color w:val="auto"/>
          <w:sz w:val="24"/>
          <w:szCs w:val="24"/>
        </w:rPr>
        <w:t>电    话：</w:t>
      </w:r>
      <w:r>
        <w:rPr>
          <w:rFonts w:hint="eastAsia" w:ascii="宋体" w:hAnsi="宋体" w:cs="宋体"/>
          <w:color w:val="auto"/>
          <w:sz w:val="24"/>
          <w:szCs w:val="24"/>
          <w:u w:val="single"/>
        </w:rPr>
        <w:t xml:space="preserve">   0575-88682895   </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手  机：</w:t>
      </w:r>
      <w:r>
        <w:rPr>
          <w:rFonts w:hint="eastAsia" w:ascii="宋体" w:hAnsi="宋体" w:cs="宋体"/>
          <w:color w:val="auto"/>
          <w:sz w:val="24"/>
          <w:szCs w:val="24"/>
          <w:u w:val="single"/>
        </w:rPr>
        <w:t xml:space="preserve">  18969515361  </w:t>
      </w:r>
    </w:p>
    <w:p>
      <w:pPr>
        <w:spacing w:line="560" w:lineRule="exact"/>
        <w:ind w:firstLine="840" w:firstLineChars="350"/>
        <w:rPr>
          <w:rFonts w:ascii="宋体" w:hAnsi="宋体" w:cs="宋体"/>
          <w:color w:val="auto"/>
          <w:sz w:val="24"/>
          <w:szCs w:val="24"/>
        </w:rPr>
      </w:pPr>
      <w:r>
        <w:rPr>
          <w:rFonts w:hint="eastAsia" w:ascii="宋体" w:hAnsi="宋体" w:cs="宋体"/>
          <w:color w:val="auto"/>
          <w:sz w:val="24"/>
          <w:szCs w:val="24"/>
        </w:rPr>
        <w:t>签发日期：</w:t>
      </w:r>
      <w:r>
        <w:rPr>
          <w:rFonts w:hint="eastAsia" w:ascii="宋体" w:hAnsi="宋体" w:cs="宋体"/>
          <w:color w:val="auto"/>
          <w:sz w:val="24"/>
          <w:szCs w:val="24"/>
          <w:u w:val="single"/>
        </w:rPr>
        <w:t xml:space="preserve">  </w:t>
      </w:r>
      <w:r>
        <w:rPr>
          <w:rFonts w:hint="eastAsia" w:ascii="宋体" w:hAnsi="宋体" w:cs="宋体"/>
          <w:iCs/>
          <w:color w:val="auto"/>
          <w:sz w:val="24"/>
          <w:szCs w:val="24"/>
          <w:u w:val="single"/>
        </w:rPr>
        <w:t xml:space="preserve">2021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pPr>
        <w:spacing w:line="560" w:lineRule="exact"/>
        <w:rPr>
          <w:rFonts w:ascii="宋体" w:hAnsi="宋体" w:cs="宋体"/>
          <w:color w:val="auto"/>
          <w:sz w:val="24"/>
          <w:szCs w:val="24"/>
          <w:u w:val="single"/>
        </w:rPr>
      </w:pPr>
    </w:p>
    <w:p>
      <w:pPr>
        <w:pStyle w:val="35"/>
        <w:spacing w:line="560" w:lineRule="exact"/>
        <w:ind w:firstLine="0" w:firstLineChars="0"/>
        <w:rPr>
          <w:rFonts w:ascii="宋体" w:hAnsi="宋体" w:cs="宋体"/>
          <w:color w:val="auto"/>
          <w:sz w:val="24"/>
          <w:szCs w:val="24"/>
        </w:rPr>
      </w:pPr>
    </w:p>
    <w:p>
      <w:pPr>
        <w:rPr>
          <w:color w:val="auto"/>
        </w:rPr>
      </w:pPr>
    </w:p>
    <w:p>
      <w:pPr>
        <w:spacing w:line="560" w:lineRule="exact"/>
        <w:ind w:firstLine="840" w:firstLineChars="350"/>
        <w:jc w:val="left"/>
        <w:rPr>
          <w:rFonts w:ascii="宋体" w:hAnsi="宋体" w:cs="宋体"/>
          <w:color w:val="auto"/>
          <w:sz w:val="24"/>
          <w:szCs w:val="24"/>
        </w:rPr>
      </w:pPr>
      <w:r>
        <w:rPr>
          <w:rFonts w:hint="eastAsia" w:ascii="宋体" w:hAnsi="宋体" w:cs="宋体"/>
          <w:color w:val="auto"/>
          <w:sz w:val="24"/>
          <w:szCs w:val="24"/>
        </w:rPr>
        <w:t>备案单位：</w:t>
      </w:r>
      <w:r>
        <w:rPr>
          <w:rFonts w:hint="eastAsia" w:ascii="宋体" w:hAnsi="宋体" w:cs="宋体"/>
          <w:color w:val="auto"/>
          <w:sz w:val="24"/>
          <w:szCs w:val="24"/>
          <w:u w:val="single"/>
        </w:rPr>
        <w:t xml:space="preserve">                                            </w:t>
      </w:r>
      <w:r>
        <w:rPr>
          <w:rFonts w:hint="eastAsia" w:ascii="宋体" w:hAnsi="宋体" w:cs="宋体"/>
          <w:color w:val="auto"/>
          <w:sz w:val="24"/>
          <w:szCs w:val="24"/>
        </w:rPr>
        <w:t>（盖章）</w:t>
      </w:r>
    </w:p>
    <w:p>
      <w:pPr>
        <w:spacing w:line="560" w:lineRule="exact"/>
        <w:ind w:firstLine="840" w:firstLineChars="350"/>
        <w:jc w:val="left"/>
        <w:rPr>
          <w:rFonts w:ascii="宋体" w:hAnsi="宋体" w:cs="宋体"/>
          <w:color w:val="auto"/>
          <w:sz w:val="24"/>
          <w:szCs w:val="24"/>
        </w:rPr>
      </w:pPr>
      <w:r>
        <w:rPr>
          <w:rFonts w:hint="eastAsia" w:ascii="宋体" w:hAnsi="宋体" w:cs="宋体"/>
          <w:color w:val="auto"/>
          <w:sz w:val="24"/>
          <w:szCs w:val="24"/>
        </w:rPr>
        <w:t>备案经办人：</w:t>
      </w:r>
      <w:r>
        <w:rPr>
          <w:rFonts w:hint="eastAsia" w:ascii="宋体" w:hAnsi="宋体" w:cs="宋体"/>
          <w:color w:val="auto"/>
          <w:sz w:val="24"/>
          <w:szCs w:val="24"/>
          <w:u w:val="single"/>
        </w:rPr>
        <w:t xml:space="preserve">                                       </w:t>
      </w:r>
      <w:r>
        <w:rPr>
          <w:rFonts w:hint="eastAsia" w:ascii="宋体" w:hAnsi="宋体" w:cs="宋体"/>
          <w:color w:val="auto"/>
          <w:sz w:val="24"/>
          <w:szCs w:val="24"/>
        </w:rPr>
        <w:t>（签字）</w:t>
      </w:r>
    </w:p>
    <w:p>
      <w:pPr>
        <w:spacing w:line="560" w:lineRule="exact"/>
        <w:ind w:firstLine="840" w:firstLineChars="350"/>
        <w:jc w:val="left"/>
        <w:rPr>
          <w:rFonts w:ascii="宋体" w:hAnsi="宋体" w:cs="宋体"/>
          <w:color w:val="auto"/>
          <w:sz w:val="24"/>
          <w:szCs w:val="24"/>
        </w:rPr>
        <w:sectPr>
          <w:footerReference r:id="rId3" w:type="default"/>
          <w:pgSz w:w="11910" w:h="16840"/>
          <w:pgMar w:top="1440" w:right="1134" w:bottom="1440" w:left="1134" w:header="720" w:footer="720" w:gutter="0"/>
          <w:pgNumType w:start="0"/>
          <w:cols w:space="720" w:num="1"/>
          <w:titlePg/>
          <w:docGrid w:linePitch="286" w:charSpace="0"/>
        </w:sectPr>
      </w:pPr>
      <w:r>
        <w:rPr>
          <w:rFonts w:hint="eastAsia" w:ascii="宋体" w:hAnsi="宋体" w:cs="宋体"/>
          <w:color w:val="auto"/>
          <w:sz w:val="24"/>
          <w:szCs w:val="24"/>
        </w:rPr>
        <w:t>备案日期：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pPr>
        <w:pStyle w:val="2"/>
        <w:spacing w:before="156" w:beforeLines="50" w:after="312" w:afterLines="100"/>
        <w:rPr>
          <w:rFonts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t>目  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第一章  招标公告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第二章  投标人须知 </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第一节投标人须知前附表 </w:t>
      </w:r>
    </w:p>
    <w:p>
      <w:pPr>
        <w:pStyle w:val="54"/>
        <w:keepNext w:val="0"/>
        <w:keepLines w:val="0"/>
        <w:pageBreakBefore w:val="0"/>
        <w:widowControl w:val="0"/>
        <w:kinsoku/>
        <w:wordWrap/>
        <w:overflowPunct/>
        <w:topLinePunct w:val="0"/>
        <w:autoSpaceDE/>
        <w:autoSpaceDN/>
        <w:bidi w:val="0"/>
        <w:adjustRightInd/>
        <w:snapToGrid/>
        <w:ind w:firstLine="840" w:firstLineChars="400"/>
        <w:textAlignment w:val="auto"/>
        <w:rPr>
          <w:color w:val="auto"/>
          <w:sz w:val="21"/>
          <w:szCs w:val="21"/>
          <w:highlight w:val="none"/>
        </w:rPr>
      </w:pPr>
      <w:r>
        <w:rPr>
          <w:rFonts w:hint="eastAsia"/>
          <w:color w:val="auto"/>
          <w:sz w:val="21"/>
          <w:szCs w:val="21"/>
          <w:highlight w:val="none"/>
        </w:rPr>
        <w:t>第二节投标人须知</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附表一：开标记录表 </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附表二：问题澄清通知 </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附表三：问题的澄清  </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附表四：中标通知书 </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附表五：中标结果通知书  </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auto"/>
          <w:szCs w:val="21"/>
          <w:highlight w:val="none"/>
        </w:rPr>
      </w:pPr>
      <w:r>
        <w:rPr>
          <w:rFonts w:hint="eastAsia"/>
          <w:color w:val="auto"/>
          <w:szCs w:val="21"/>
          <w:highlight w:val="none"/>
        </w:rPr>
        <w:t xml:space="preserve">附表六：确认通知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第三章  评标办法（综合评估法）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第四章  合同条款及格式</w:t>
      </w:r>
    </w:p>
    <w:p>
      <w:pPr>
        <w:pStyle w:val="54"/>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highlight w:val="none"/>
          <w:lang w:val="en-US"/>
        </w:rPr>
      </w:pPr>
      <w:r>
        <w:rPr>
          <w:rFonts w:hint="eastAsia" w:ascii="宋体" w:hAnsi="宋体" w:cs="宋体"/>
          <w:color w:val="auto"/>
          <w:szCs w:val="24"/>
          <w:highlight w:val="none"/>
        </w:rPr>
        <w:t>第五章</w:t>
      </w:r>
      <w:r>
        <w:rPr>
          <w:rFonts w:hint="eastAsia" w:ascii="宋体" w:hAnsi="宋体" w:cs="宋体"/>
          <w:color w:val="auto"/>
          <w:szCs w:val="24"/>
          <w:highlight w:val="none"/>
          <w:lang w:val="en-US"/>
        </w:rPr>
        <w:t xml:space="preserve">  图纸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第六章  技术标准和要求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第七章  投标文件格式</w:t>
      </w:r>
    </w:p>
    <w:p>
      <w:pPr>
        <w:pStyle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rPr>
        <w:t>第一章 招标公告</w:t>
      </w:r>
      <w:bookmarkEnd w:id="0"/>
    </w:p>
    <w:p>
      <w:pPr>
        <w:spacing w:line="360" w:lineRule="exact"/>
        <w:ind w:firstLine="440" w:firstLineChars="200"/>
        <w:jc w:val="center"/>
        <w:rPr>
          <w:rFonts w:ascii="宋体" w:hAnsi="宋体"/>
          <w:color w:val="auto"/>
          <w:sz w:val="22"/>
          <w:u w:val="single"/>
        </w:rPr>
      </w:pPr>
      <w:r>
        <w:rPr>
          <w:rFonts w:hint="eastAsia" w:ascii="宋体" w:hAnsi="宋体"/>
          <w:color w:val="auto"/>
          <w:sz w:val="22"/>
          <w:u w:val="single"/>
        </w:rPr>
        <w:t>绍兴市中医院改扩建工程EPC总承包内放射防护项目</w:t>
      </w:r>
    </w:p>
    <w:p>
      <w:pPr>
        <w:spacing w:after="156" w:afterLines="50" w:line="360" w:lineRule="exact"/>
        <w:ind w:firstLine="442" w:firstLineChars="200"/>
        <w:jc w:val="center"/>
        <w:rPr>
          <w:rFonts w:ascii="宋体" w:hAnsi="宋体"/>
          <w:color w:val="auto"/>
          <w:sz w:val="18"/>
          <w:szCs w:val="18"/>
          <w:u w:val="single"/>
        </w:rPr>
      </w:pPr>
      <w:r>
        <w:rPr>
          <w:rFonts w:hint="eastAsia" w:ascii="宋体" w:hAnsi="宋体"/>
          <w:b/>
          <w:color w:val="auto"/>
          <w:sz w:val="22"/>
        </w:rPr>
        <w:t>招标公告(重新招标)</w:t>
      </w:r>
    </w:p>
    <w:p>
      <w:pPr>
        <w:widowControl/>
        <w:spacing w:line="360" w:lineRule="exact"/>
        <w:ind w:firstLine="422" w:firstLineChars="200"/>
        <w:rPr>
          <w:rFonts w:ascii="宋体" w:hAnsi="宋体" w:cs="宋体"/>
          <w:b/>
          <w:bCs/>
          <w:color w:val="auto"/>
          <w:szCs w:val="21"/>
        </w:rPr>
      </w:pPr>
      <w:r>
        <w:rPr>
          <w:rFonts w:hint="eastAsia" w:ascii="宋体" w:hAnsi="宋体" w:cs="宋体"/>
          <w:b/>
          <w:bCs/>
          <w:color w:val="auto"/>
          <w:szCs w:val="21"/>
        </w:rPr>
        <w:t>绍兴市中医院改扩建工程EPC总承包内放射防护项目已于2021年9月17日在绍兴市公共资源交易中心网上发布招标信息，于2021年10月14日09:30时在绍兴市公共资源交易中心开标，因资格审查结果有效投标单位不足3家流标。根据相关规定要求，重新发布招标信息，重新组织招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1.招标条件</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本招标项目</w:t>
      </w:r>
      <w:r>
        <w:rPr>
          <w:rFonts w:hint="eastAsia" w:ascii="宋体" w:hAnsi="宋体" w:cs="宋体"/>
          <w:b/>
          <w:bCs/>
          <w:color w:val="auto"/>
          <w:szCs w:val="21"/>
          <w:u w:val="single"/>
        </w:rPr>
        <w:t>绍兴市中医院改扩建工程</w:t>
      </w:r>
      <w:r>
        <w:rPr>
          <w:rFonts w:hint="eastAsia" w:ascii="宋体" w:hAnsi="宋体" w:cs="宋体"/>
          <w:color w:val="auto"/>
          <w:szCs w:val="21"/>
        </w:rPr>
        <w:t>（项目名称）已由</w:t>
      </w:r>
      <w:r>
        <w:rPr>
          <w:rFonts w:hint="eastAsia" w:ascii="宋体" w:hAnsi="宋体" w:cs="宋体"/>
          <w:b/>
          <w:color w:val="auto"/>
          <w:szCs w:val="21"/>
          <w:u w:val="single"/>
        </w:rPr>
        <w:t>绍兴市发展和改革委员会</w:t>
      </w:r>
      <w:r>
        <w:rPr>
          <w:rFonts w:hint="eastAsia" w:ascii="宋体" w:hAnsi="宋体" w:cs="宋体"/>
          <w:color w:val="auto"/>
          <w:szCs w:val="21"/>
          <w:u w:val="single"/>
        </w:rPr>
        <w:t>（</w:t>
      </w:r>
      <w:r>
        <w:rPr>
          <w:rFonts w:hint="eastAsia" w:ascii="宋体" w:hAnsi="宋体" w:cs="宋体"/>
          <w:color w:val="auto"/>
          <w:szCs w:val="21"/>
        </w:rPr>
        <w:t>项目审批、核准或备案机关名称）以</w:t>
      </w:r>
      <w:r>
        <w:rPr>
          <w:rFonts w:hint="eastAsia" w:ascii="宋体" w:hAnsi="宋体" w:cs="宋体"/>
          <w:b/>
          <w:color w:val="auto"/>
          <w:szCs w:val="21"/>
          <w:u w:val="single"/>
        </w:rPr>
        <w:t>绍市发改中心〔2018〕49号</w:t>
      </w:r>
      <w:r>
        <w:rPr>
          <w:rFonts w:hint="eastAsia" w:ascii="宋体" w:hAnsi="宋体" w:cs="宋体"/>
          <w:color w:val="auto"/>
          <w:szCs w:val="21"/>
        </w:rPr>
        <w:t>（批文名称及编号）批准建设，项目业主为</w:t>
      </w:r>
      <w:r>
        <w:rPr>
          <w:rFonts w:hint="eastAsia" w:ascii="宋体" w:hAnsi="宋体" w:cs="宋体"/>
          <w:b/>
          <w:iCs/>
          <w:color w:val="auto"/>
          <w:szCs w:val="21"/>
          <w:u w:val="single"/>
        </w:rPr>
        <w:t>绍兴市中医院</w:t>
      </w:r>
      <w:r>
        <w:rPr>
          <w:rFonts w:hint="eastAsia" w:ascii="宋体" w:hAnsi="宋体" w:cs="宋体"/>
          <w:color w:val="auto"/>
          <w:szCs w:val="21"/>
        </w:rPr>
        <w:t>，建设资金来自</w:t>
      </w:r>
      <w:r>
        <w:rPr>
          <w:rFonts w:hint="eastAsia" w:ascii="宋体" w:hAnsi="宋体" w:cs="宋体"/>
          <w:b/>
          <w:color w:val="auto"/>
          <w:szCs w:val="21"/>
          <w:u w:val="single"/>
        </w:rPr>
        <w:t>财政拨款</w:t>
      </w:r>
      <w:r>
        <w:rPr>
          <w:rFonts w:hint="eastAsia" w:ascii="宋体" w:hAnsi="宋体" w:cs="宋体"/>
          <w:color w:val="auto"/>
          <w:szCs w:val="21"/>
        </w:rPr>
        <w:t>（资金来源），项目出资比例为</w:t>
      </w:r>
      <w:r>
        <w:rPr>
          <w:rFonts w:hint="eastAsia" w:ascii="宋体" w:hAnsi="宋体" w:cs="宋体"/>
          <w:b/>
          <w:color w:val="auto"/>
          <w:szCs w:val="21"/>
          <w:u w:val="single"/>
        </w:rPr>
        <w:t>100%</w:t>
      </w:r>
      <w:r>
        <w:rPr>
          <w:rFonts w:hint="eastAsia" w:ascii="宋体" w:hAnsi="宋体" w:cs="宋体"/>
          <w:color w:val="auto"/>
          <w:szCs w:val="21"/>
        </w:rPr>
        <w:t>，招标人为</w:t>
      </w:r>
      <w:r>
        <w:rPr>
          <w:rFonts w:hint="eastAsia" w:ascii="宋体" w:hAnsi="宋体" w:cs="宋体"/>
          <w:b/>
          <w:iCs/>
          <w:color w:val="auto"/>
          <w:szCs w:val="21"/>
          <w:u w:val="single"/>
        </w:rPr>
        <w:t>浙江中成建工集团有限公司</w:t>
      </w:r>
      <w:r>
        <w:rPr>
          <w:rFonts w:hint="eastAsia" w:ascii="宋体" w:hAnsi="宋体" w:cs="宋体"/>
          <w:color w:val="auto"/>
          <w:szCs w:val="21"/>
        </w:rPr>
        <w:t>。项目已具备招标条件，现对该项目的</w:t>
      </w:r>
      <w:r>
        <w:rPr>
          <w:rFonts w:hint="eastAsia" w:ascii="宋体" w:hAnsi="宋体" w:cs="宋体"/>
          <w:color w:val="auto"/>
          <w:szCs w:val="21"/>
          <w:u w:val="single"/>
        </w:rPr>
        <w:t xml:space="preserve"> </w:t>
      </w:r>
      <w:r>
        <w:rPr>
          <w:rFonts w:hint="eastAsia" w:ascii="宋体" w:hAnsi="宋体"/>
          <w:color w:val="auto"/>
          <w:szCs w:val="21"/>
          <w:u w:val="single"/>
        </w:rPr>
        <w:t>放射防护</w:t>
      </w:r>
      <w:r>
        <w:rPr>
          <w:rFonts w:hint="eastAsia" w:ascii="宋体" w:hAnsi="宋体" w:cs="宋体"/>
          <w:color w:val="auto"/>
          <w:szCs w:val="21"/>
          <w:u w:val="single"/>
        </w:rPr>
        <w:t xml:space="preserve"> </w:t>
      </w:r>
      <w:r>
        <w:rPr>
          <w:rFonts w:hint="eastAsia" w:ascii="宋体" w:hAnsi="宋体" w:cs="宋体"/>
          <w:color w:val="auto"/>
          <w:szCs w:val="21"/>
        </w:rPr>
        <w:t>进行</w:t>
      </w:r>
      <w:r>
        <w:rPr>
          <w:rFonts w:hint="eastAsia" w:ascii="宋体" w:hAnsi="宋体" w:cs="宋体"/>
          <w:color w:val="auto"/>
          <w:szCs w:val="21"/>
          <w:u w:val="single"/>
        </w:rPr>
        <w:t xml:space="preserve"> </w:t>
      </w:r>
      <w:r>
        <w:rPr>
          <w:rFonts w:hint="eastAsia" w:ascii="宋体" w:hAnsi="宋体" w:cs="宋体"/>
          <w:b/>
          <w:color w:val="auto"/>
          <w:szCs w:val="21"/>
          <w:u w:val="single"/>
        </w:rPr>
        <w:t xml:space="preserve">公开 </w:t>
      </w:r>
      <w:r>
        <w:rPr>
          <w:rFonts w:hint="eastAsia" w:ascii="宋体" w:hAnsi="宋体" w:cs="宋体"/>
          <w:color w:val="auto"/>
          <w:szCs w:val="21"/>
        </w:rPr>
        <w:t>招标。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2.项目概况与招标范围</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2.1 建设地点：</w:t>
      </w:r>
      <w:r>
        <w:rPr>
          <w:rFonts w:hint="eastAsia" w:ascii="宋体" w:hAnsi="宋体" w:cs="Arial"/>
          <w:b/>
          <w:color w:val="auto"/>
          <w:szCs w:val="21"/>
          <w:u w:val="single"/>
        </w:rPr>
        <w:t>项目位于越城区稽山路以东、环城东路及新世纪公寓以西、人民中路以北、东街以南地块</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2.2 建设规模：</w:t>
      </w:r>
      <w:r>
        <w:rPr>
          <w:rFonts w:hint="eastAsia" w:ascii="宋体" w:hAnsi="宋体" w:cs="宋体"/>
          <w:color w:val="auto"/>
          <w:szCs w:val="21"/>
          <w:u w:val="single"/>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Pr>
          <w:rFonts w:hint="eastAsia" w:ascii="宋体" w:hAnsi="宋体" w:cs="宋体"/>
          <w:b/>
          <w:bCs/>
          <w:color w:val="auto"/>
          <w:szCs w:val="21"/>
          <w:u w:val="single"/>
        </w:rPr>
        <w:t>。</w:t>
      </w:r>
      <w:r>
        <w:rPr>
          <w:rFonts w:hint="eastAsia" w:ascii="宋体" w:hAnsi="宋体" w:cs="宋体"/>
          <w:color w:val="auto"/>
          <w:szCs w:val="21"/>
        </w:rPr>
        <w:t>招标上限价：</w:t>
      </w:r>
      <w:r>
        <w:rPr>
          <w:rFonts w:hint="eastAsia" w:ascii="宋体" w:hAnsi="宋体" w:cs="宋体"/>
          <w:b/>
          <w:color w:val="auto"/>
          <w:szCs w:val="21"/>
          <w:u w:val="single"/>
        </w:rPr>
        <w:t>410</w:t>
      </w:r>
      <w:r>
        <w:rPr>
          <w:rFonts w:hint="eastAsia" w:ascii="宋体" w:hAnsi="宋体" w:cs="宋体"/>
          <w:color w:val="auto"/>
          <w:szCs w:val="21"/>
        </w:rPr>
        <w:t>万元。</w:t>
      </w:r>
    </w:p>
    <w:p>
      <w:pPr>
        <w:spacing w:line="360" w:lineRule="exact"/>
        <w:ind w:firstLine="420" w:firstLineChars="200"/>
        <w:jc w:val="left"/>
        <w:rPr>
          <w:color w:val="auto"/>
        </w:rPr>
      </w:pPr>
      <w:r>
        <w:rPr>
          <w:rFonts w:hint="eastAsia" w:ascii="宋体" w:hAnsi="宋体" w:cs="宋体"/>
          <w:color w:val="auto"/>
          <w:szCs w:val="21"/>
        </w:rPr>
        <w:t>2.3 招标范围：</w:t>
      </w:r>
      <w:r>
        <w:rPr>
          <w:rFonts w:hint="eastAsia" w:ascii="宋体" w:hAnsi="宋体" w:cs="宋体"/>
          <w:color w:val="auto"/>
          <w:szCs w:val="21"/>
          <w:u w:val="single"/>
        </w:rPr>
        <w:t>本招标项目为交钥匙工程，</w:t>
      </w:r>
      <w:r>
        <w:rPr>
          <w:rFonts w:hint="eastAsia" w:ascii="宋体" w:hAnsi="宋体"/>
          <w:color w:val="auto"/>
          <w:kern w:val="2"/>
          <w:szCs w:val="24"/>
          <w:u w:val="single"/>
        </w:rPr>
        <w:t>包括</w:t>
      </w:r>
      <w:r>
        <w:rPr>
          <w:rFonts w:hint="eastAsia" w:hAnsi="宋体"/>
          <w:color w:val="auto"/>
          <w:szCs w:val="24"/>
          <w:u w:val="single"/>
        </w:rPr>
        <w:t>放射</w:t>
      </w:r>
      <w:r>
        <w:rPr>
          <w:rFonts w:hint="eastAsia" w:ascii="宋体" w:hAnsi="宋体"/>
          <w:color w:val="auto"/>
          <w:kern w:val="2"/>
          <w:szCs w:val="24"/>
          <w:u w:val="single"/>
        </w:rPr>
        <w:t>防护系统的设备材料供货、运输、卸货、保管、施工</w:t>
      </w:r>
      <w:r>
        <w:rPr>
          <w:rFonts w:hint="eastAsia" w:hAnsi="宋体"/>
          <w:color w:val="auto"/>
          <w:szCs w:val="24"/>
          <w:u w:val="single"/>
        </w:rPr>
        <w:t>（包括</w:t>
      </w:r>
      <w:r>
        <w:rPr>
          <w:rFonts w:hint="eastAsia" w:ascii="宋体" w:hAnsi="宋体"/>
          <w:color w:val="auto"/>
          <w:u w:val="single"/>
        </w:rPr>
        <w:t>核磁机房绝缘施工,屏蔽安装,屏蔽附件安装；屏蔽室内通风管道安装,照明及电路安装无磁桥架安装,墙面吸音板安装,地面高密度板垫平,地面自流平,地面塑胶地板铺设；顶面铝微孔吸音板安装；桥架安装；设备间空调管道安装；失超管和紧急排风管道安装等。</w:t>
      </w:r>
      <w:r>
        <w:rPr>
          <w:rFonts w:hint="eastAsia" w:hAnsi="宋体"/>
          <w:color w:val="auto"/>
          <w:szCs w:val="24"/>
          <w:u w:val="single"/>
        </w:rPr>
        <w:t>）</w:t>
      </w:r>
      <w:r>
        <w:rPr>
          <w:rFonts w:hint="eastAsia" w:ascii="宋体" w:hAnsi="宋体"/>
          <w:color w:val="auto"/>
          <w:kern w:val="2"/>
          <w:szCs w:val="24"/>
          <w:u w:val="single"/>
        </w:rPr>
        <w:t>、安装调试、检测、防辐射标识标牌等，</w:t>
      </w:r>
      <w:r>
        <w:rPr>
          <w:rFonts w:hint="eastAsia" w:ascii="宋体" w:hAnsi="宋体" w:cs="宋体"/>
          <w:color w:val="auto"/>
          <w:szCs w:val="21"/>
          <w:u w:val="single"/>
        </w:rPr>
        <w:t>如有图纸、清单不明确或缺项的内容须无条件按业主要求进行设计和施工，</w:t>
      </w:r>
      <w:r>
        <w:rPr>
          <w:rFonts w:hint="eastAsia" w:ascii="宋体" w:hAnsi="宋体"/>
          <w:color w:val="auto"/>
          <w:kern w:val="2"/>
          <w:szCs w:val="24"/>
          <w:u w:val="single"/>
        </w:rPr>
        <w:t>并最终通过验收</w:t>
      </w:r>
      <w:r>
        <w:rPr>
          <w:rFonts w:hint="eastAsia" w:ascii="宋体" w:hAnsi="宋体" w:cs="宋体"/>
          <w:color w:val="auto"/>
          <w:szCs w:val="21"/>
          <w:u w:val="single"/>
        </w:rPr>
        <w:t>；同时负责技术服务与培训，提交相关完整的技术资料（含操作手册）、施工技术档案以及质保期内的维修保养（含质保期内的维保人员驻点服务）等内容。具体详见招标文件技术标准和要求。</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2.4计划工期： 90天（自中标通知书发出之日起开始）。</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2.5 质量要求：合格，并一次性通过相关机构检测。配合总承包单位争创钱江杯、鲁班奖。</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2.6标段划分：</w:t>
      </w:r>
      <w:r>
        <w:rPr>
          <w:rFonts w:hint="eastAsia" w:ascii="宋体" w:hAnsi="宋体" w:cs="宋体"/>
          <w:b/>
          <w:color w:val="auto"/>
          <w:szCs w:val="21"/>
          <w:u w:val="single"/>
        </w:rPr>
        <w:t xml:space="preserve">/ </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2.7资格审查方式：</w:t>
      </w:r>
      <w:r>
        <w:rPr>
          <w:rFonts w:hint="eastAsia" w:ascii="宋体" w:hAnsi="宋体" w:cs="宋体"/>
          <w:b/>
          <w:iCs/>
          <w:color w:val="auto"/>
          <w:szCs w:val="21"/>
          <w:u w:val="single"/>
        </w:rPr>
        <w:t>资格后审</w:t>
      </w:r>
      <w:r>
        <w:rPr>
          <w:rFonts w:hint="eastAsia" w:ascii="宋体" w:hAnsi="宋体" w:cs="宋体"/>
          <w:color w:val="auto"/>
          <w:szCs w:val="21"/>
        </w:rPr>
        <w:t xml:space="preserve">。  </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 xml:space="preserve">3.投标人资格要求 </w:t>
      </w:r>
    </w:p>
    <w:p>
      <w:pPr>
        <w:widowControl/>
        <w:spacing w:line="360" w:lineRule="exact"/>
        <w:ind w:firstLine="420" w:firstLineChars="200"/>
        <w:rPr>
          <w:rFonts w:ascii="宋体" w:hAnsi="宋体" w:cs="宋体"/>
          <w:i/>
          <w:color w:val="auto"/>
          <w:szCs w:val="21"/>
          <w:u w:val="single"/>
        </w:rPr>
      </w:pPr>
      <w:r>
        <w:rPr>
          <w:rFonts w:hint="eastAsia" w:ascii="宋体" w:hAnsi="宋体" w:cs="宋体"/>
          <w:color w:val="auto"/>
          <w:szCs w:val="21"/>
        </w:rPr>
        <w:t>3.1 本次招标要求投标人</w:t>
      </w:r>
      <w:r>
        <w:rPr>
          <w:rFonts w:hint="eastAsia" w:ascii="宋体" w:hAnsi="宋体" w:cs="宋体"/>
          <w:color w:val="auto"/>
          <w:szCs w:val="21"/>
          <w:u w:val="single"/>
        </w:rPr>
        <w:t>具备建筑装修装饰专业承包二级及以上资质</w:t>
      </w:r>
      <w:r>
        <w:rPr>
          <w:rFonts w:hint="eastAsia" w:ascii="宋体" w:hAnsi="宋体" w:cs="宋体"/>
          <w:iCs/>
          <w:color w:val="auto"/>
          <w:szCs w:val="21"/>
        </w:rPr>
        <w:t>，具有</w:t>
      </w:r>
      <w:r>
        <w:rPr>
          <w:rFonts w:hint="eastAsia" w:ascii="宋体" w:hAnsi="宋体" w:cs="宋体"/>
          <w:iCs/>
          <w:color w:val="auto"/>
          <w:szCs w:val="21"/>
          <w:u w:val="single"/>
        </w:rPr>
        <w:t>有效期内安全生产许可证</w:t>
      </w:r>
      <w:r>
        <w:rPr>
          <w:rFonts w:hint="eastAsia" w:ascii="宋体" w:hAnsi="宋体" w:cs="宋体"/>
          <w:iCs/>
          <w:color w:val="auto"/>
          <w:szCs w:val="21"/>
        </w:rPr>
        <w:t>，</w:t>
      </w:r>
      <w:r>
        <w:rPr>
          <w:rFonts w:hint="eastAsia" w:ascii="宋体" w:hAnsi="宋体" w:cs="宋体"/>
          <w:iCs/>
          <w:color w:val="auto"/>
          <w:szCs w:val="21"/>
          <w:u w:val="single"/>
        </w:rPr>
        <w:t xml:space="preserve">  / </w:t>
      </w:r>
      <w:r>
        <w:rPr>
          <w:rFonts w:hint="eastAsia" w:ascii="宋体" w:hAnsi="宋体" w:cs="宋体"/>
          <w:iCs/>
          <w:color w:val="auto"/>
          <w:szCs w:val="21"/>
        </w:rPr>
        <w:t>业绩，并在人员、设备、资金等方面具有相应的施工能力。项目负责人（项目经理）须具备</w:t>
      </w:r>
      <w:r>
        <w:rPr>
          <w:rFonts w:hint="eastAsia" w:ascii="宋体" w:hAnsi="宋体" w:cs="宋体"/>
          <w:color w:val="auto"/>
          <w:szCs w:val="21"/>
          <w:u w:val="single"/>
        </w:rPr>
        <w:t>建筑工程注册建造师二级及以上</w:t>
      </w:r>
      <w:r>
        <w:rPr>
          <w:rFonts w:hint="eastAsia" w:ascii="宋体" w:hAnsi="宋体" w:cs="宋体"/>
          <w:iCs/>
          <w:color w:val="auto"/>
          <w:szCs w:val="21"/>
        </w:rPr>
        <w:t>资格，具有</w:t>
      </w:r>
      <w:r>
        <w:rPr>
          <w:rFonts w:hint="eastAsia" w:ascii="宋体" w:hAnsi="宋体" w:cs="宋体"/>
          <w:iCs/>
          <w:color w:val="auto"/>
          <w:szCs w:val="21"/>
          <w:u w:val="single"/>
        </w:rPr>
        <w:t>项目负责人安全生产考核合格证（B证）</w:t>
      </w:r>
      <w:r>
        <w:rPr>
          <w:rFonts w:hint="eastAsia" w:ascii="宋体" w:hAnsi="宋体" w:cs="宋体"/>
          <w:iCs/>
          <w:color w:val="auto"/>
          <w:szCs w:val="21"/>
        </w:rPr>
        <w:t>，且无在建工程。</w:t>
      </w:r>
      <w:r>
        <w:rPr>
          <w:rFonts w:hint="eastAsia" w:ascii="宋体" w:hAnsi="宋体" w:cs="宋体"/>
          <w:iCs/>
          <w:color w:val="auto"/>
          <w:szCs w:val="21"/>
          <w:u w:val="single"/>
        </w:rPr>
        <w:t xml:space="preserve"> 拟派项目负责人应为投标企业在职职工（在职职工不包括离、退休返聘人员），须提供缴费期限包含</w:t>
      </w:r>
      <w:r>
        <w:rPr>
          <w:rFonts w:hint="eastAsia" w:ascii="宋体" w:hAnsi="宋体" w:cs="宋体"/>
          <w:color w:val="auto"/>
          <w:szCs w:val="21"/>
          <w:u w:val="single"/>
          <w:lang w:eastAsia="zh-CN"/>
        </w:rPr>
        <w:t>2021年7月至2021年9月</w:t>
      </w:r>
      <w:r>
        <w:rPr>
          <w:rFonts w:hint="eastAsia" w:ascii="宋体" w:hAnsi="宋体" w:cs="宋体"/>
          <w:iCs/>
          <w:color w:val="auto"/>
          <w:szCs w:val="21"/>
          <w:u w:val="single"/>
        </w:rPr>
        <w:t>的投标人所属社保机构养老保险交纳清单或证明（缴费单位和投标人名称必须一致，并加盖社保缴费证明专用章），以投标人所属社保机构出具的盖有社保部门专用章（或电子专用章）的社保证明件为准 。</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3.2主要设备、材料要求：</w:t>
      </w:r>
      <w:r>
        <w:rPr>
          <w:rFonts w:hint="eastAsia" w:ascii="宋体" w:hAnsi="宋体" w:cs="宋体"/>
          <w:b/>
          <w:color w:val="auto"/>
          <w:szCs w:val="21"/>
          <w:u w:val="single"/>
        </w:rPr>
        <w:t>/</w:t>
      </w:r>
      <w:r>
        <w:rPr>
          <w:rFonts w:hint="eastAsia" w:ascii="宋体" w:hAnsi="宋体" w:cs="宋体"/>
          <w:color w:val="auto"/>
          <w:szCs w:val="21"/>
        </w:rPr>
        <w:t>。</w:t>
      </w:r>
    </w:p>
    <w:p>
      <w:pPr>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hAnsi="宋体" w:cs="宋体"/>
          <w:color w:val="auto"/>
          <w:szCs w:val="21"/>
        </w:rPr>
      </w:pPr>
      <w:r>
        <w:rPr>
          <w:rFonts w:hint="eastAsia" w:ascii="宋体" w:hAnsi="宋体" w:cs="宋体"/>
          <w:color w:val="auto"/>
          <w:szCs w:val="21"/>
        </w:rPr>
        <w:t>3.3其他要求：</w:t>
      </w:r>
    </w:p>
    <w:p>
      <w:pPr>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hAnsi="宋体" w:cs="宋体"/>
          <w:color w:val="auto"/>
          <w:szCs w:val="21"/>
        </w:rPr>
      </w:pPr>
      <w:r>
        <w:rPr>
          <w:rFonts w:hint="eastAsia" w:ascii="宋体" w:hAnsi="宋体" w:cs="宋体"/>
          <w:color w:val="auto"/>
          <w:szCs w:val="21"/>
        </w:rPr>
        <w:t>3.3.1企业具有绍兴市公共资源交易中心工程建设项目</w:t>
      </w:r>
      <w:r>
        <w:rPr>
          <w:rFonts w:hint="eastAsia" w:ascii="宋体" w:hAnsi="宋体" w:cs="宋体"/>
          <w:b/>
          <w:color w:val="auto"/>
          <w:szCs w:val="21"/>
          <w:u w:val="single"/>
        </w:rPr>
        <w:t>2021</w:t>
      </w:r>
      <w:r>
        <w:rPr>
          <w:rFonts w:hint="eastAsia" w:ascii="宋体" w:hAnsi="宋体" w:cs="宋体"/>
          <w:bCs/>
          <w:color w:val="auto"/>
          <w:szCs w:val="21"/>
        </w:rPr>
        <w:t>年度登记</w:t>
      </w:r>
      <w:r>
        <w:rPr>
          <w:rFonts w:hint="eastAsia" w:ascii="宋体" w:hAnsi="宋体" w:cs="宋体"/>
          <w:color w:val="auto"/>
          <w:szCs w:val="21"/>
        </w:rPr>
        <w:t>资格并在有效期内。</w:t>
      </w:r>
    </w:p>
    <w:p>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20"/>
        <w:jc w:val="both"/>
        <w:textAlignment w:val="auto"/>
        <w:rPr>
          <w:rFonts w:hint="eastAsia" w:ascii="宋体" w:hAnsi="宋体" w:eastAsia="宋体" w:cs="宋体"/>
          <w:color w:val="auto"/>
          <w:sz w:val="21"/>
          <w:szCs w:val="21"/>
          <w:lang w:eastAsia="zh-CN"/>
        </w:rPr>
      </w:pPr>
      <w:r>
        <w:rPr>
          <w:rFonts w:hint="eastAsia" w:ascii="宋体" w:hAnsi="宋体" w:cs="宋体"/>
          <w:color w:val="auto"/>
          <w:sz w:val="21"/>
          <w:szCs w:val="21"/>
        </w:rPr>
        <w:t>3.3.2企业需要</w:t>
      </w:r>
      <w:r>
        <w:rPr>
          <w:rFonts w:hint="eastAsia" w:ascii="宋体" w:hAnsi="宋体" w:eastAsia="宋体" w:cs="宋体"/>
          <w:color w:val="auto"/>
          <w:sz w:val="21"/>
          <w:szCs w:val="21"/>
          <w:u w:val="single"/>
          <w:lang w:eastAsia="zh-CN"/>
        </w:rPr>
        <w:t>经</w:t>
      </w:r>
      <w:r>
        <w:rPr>
          <w:rFonts w:hint="eastAsia" w:ascii="宋体" w:hAnsi="宋体" w:eastAsia="宋体" w:cs="宋体"/>
          <w:b w:val="0"/>
          <w:bCs w:val="0"/>
          <w:color w:val="auto"/>
          <w:sz w:val="21"/>
          <w:szCs w:val="21"/>
          <w:u w:val="single"/>
        </w:rPr>
        <w:t>浙江省住建厅备案（有效期内）或</w:t>
      </w:r>
      <w:r>
        <w:rPr>
          <w:rFonts w:hint="eastAsia" w:ascii="宋体" w:hAnsi="宋体" w:eastAsia="宋体" w:cs="宋体"/>
          <w:b w:val="0"/>
          <w:bCs w:val="0"/>
          <w:color w:val="auto"/>
          <w:sz w:val="21"/>
          <w:szCs w:val="21"/>
          <w:u w:val="single"/>
          <w:lang w:eastAsia="zh-CN"/>
        </w:rPr>
        <w:t>提供</w:t>
      </w:r>
      <w:r>
        <w:rPr>
          <w:rFonts w:hint="eastAsia" w:ascii="宋体" w:hAnsi="宋体" w:eastAsia="宋体" w:cs="宋体"/>
          <w:b w:val="0"/>
          <w:bCs w:val="0"/>
          <w:color w:val="auto"/>
          <w:sz w:val="21"/>
          <w:szCs w:val="21"/>
          <w:u w:val="single"/>
        </w:rPr>
        <w:t>“浙江省建筑市场监管公共服务系统”上审核通过的备案信息网页截图（浙江省内企业不作要求）</w:t>
      </w:r>
      <w:r>
        <w:rPr>
          <w:rFonts w:hint="eastAsia" w:ascii="宋体" w:hAnsi="宋体" w:eastAsia="宋体" w:cs="宋体"/>
          <w:b w:val="0"/>
          <w:bCs w:val="0"/>
          <w:color w:val="auto"/>
          <w:sz w:val="21"/>
          <w:szCs w:val="21"/>
          <w:u w:val="single"/>
          <w:lang w:eastAsia="zh-CN"/>
        </w:rPr>
        <w:t>。</w:t>
      </w:r>
    </w:p>
    <w:p>
      <w:pPr>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hAnsi="宋体" w:cs="宋体"/>
          <w:strike/>
          <w:dstrike w:val="0"/>
          <w:color w:val="auto"/>
          <w:szCs w:val="21"/>
        </w:rPr>
      </w:pPr>
      <w:r>
        <w:rPr>
          <w:rFonts w:hint="eastAsia" w:ascii="宋体" w:hAnsi="宋体" w:cs="宋体"/>
          <w:strike/>
          <w:dstrike w:val="0"/>
          <w:color w:val="auto"/>
          <w:szCs w:val="21"/>
        </w:rPr>
        <w:t>3.3.3企业在</w:t>
      </w:r>
      <w:r>
        <w:rPr>
          <w:rFonts w:hint="eastAsia" w:ascii="宋体" w:hAnsi="宋体" w:cs="宋体"/>
          <w:b/>
          <w:strike/>
          <w:dstrike w:val="0"/>
          <w:color w:val="auto"/>
          <w:szCs w:val="21"/>
          <w:u w:val="single"/>
        </w:rPr>
        <w:t>/</w:t>
      </w:r>
      <w:r>
        <w:rPr>
          <w:rFonts w:hint="eastAsia" w:ascii="宋体" w:hAnsi="宋体" w:cs="宋体"/>
          <w:strike/>
          <w:dstrike w:val="0"/>
          <w:color w:val="auto"/>
          <w:szCs w:val="21"/>
        </w:rPr>
        <w:t>年</w:t>
      </w:r>
      <w:r>
        <w:rPr>
          <w:rFonts w:hint="eastAsia" w:ascii="宋体" w:hAnsi="宋体" w:cs="宋体"/>
          <w:b/>
          <w:strike/>
          <w:dstrike w:val="0"/>
          <w:color w:val="auto"/>
          <w:szCs w:val="21"/>
          <w:u w:val="single"/>
        </w:rPr>
        <w:t>/</w:t>
      </w:r>
      <w:r>
        <w:rPr>
          <w:rFonts w:hint="eastAsia" w:ascii="宋体" w:hAnsi="宋体" w:cs="宋体"/>
          <w:strike/>
          <w:dstrike w:val="0"/>
          <w:color w:val="auto"/>
          <w:szCs w:val="21"/>
        </w:rPr>
        <w:t>月</w:t>
      </w:r>
      <w:r>
        <w:rPr>
          <w:rFonts w:hint="eastAsia" w:ascii="宋体" w:hAnsi="宋体" w:cs="宋体"/>
          <w:b/>
          <w:strike/>
          <w:dstrike w:val="0"/>
          <w:color w:val="auto"/>
          <w:szCs w:val="21"/>
          <w:u w:val="single"/>
        </w:rPr>
        <w:t>/</w:t>
      </w:r>
      <w:r>
        <w:rPr>
          <w:rFonts w:hint="eastAsia" w:ascii="宋体" w:hAnsi="宋体" w:cs="宋体"/>
          <w:strike/>
          <w:dstrike w:val="0"/>
          <w:color w:val="auto"/>
          <w:szCs w:val="21"/>
        </w:rPr>
        <w:t>日前与</w:t>
      </w:r>
      <w:r>
        <w:rPr>
          <w:rFonts w:hint="eastAsia" w:ascii="宋体" w:hAnsi="宋体" w:cs="宋体"/>
          <w:b/>
          <w:strike/>
          <w:dstrike w:val="0"/>
          <w:color w:val="auto"/>
          <w:szCs w:val="21"/>
          <w:u w:val="single"/>
        </w:rPr>
        <w:t>/</w:t>
      </w:r>
      <w:r>
        <w:rPr>
          <w:rFonts w:hint="eastAsia" w:ascii="宋体" w:hAnsi="宋体" w:cs="宋体"/>
          <w:strike/>
          <w:dstrike w:val="0"/>
          <w:color w:val="auto"/>
          <w:szCs w:val="21"/>
        </w:rPr>
        <w:t>签订劳动者工资保障金管理协议。</w:t>
      </w:r>
    </w:p>
    <w:p>
      <w:pPr>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hAnsi="宋体" w:cs="宋体"/>
          <w:color w:val="auto"/>
          <w:szCs w:val="21"/>
        </w:rPr>
      </w:pPr>
      <w:r>
        <w:rPr>
          <w:rFonts w:hint="eastAsia" w:ascii="宋体" w:hAnsi="宋体" w:cs="宋体"/>
          <w:color w:val="auto"/>
          <w:szCs w:val="21"/>
        </w:rPr>
        <w:t>3.3.4企业和项目负责人近</w:t>
      </w:r>
      <w:r>
        <w:rPr>
          <w:rFonts w:hint="eastAsia" w:ascii="宋体" w:hAnsi="宋体" w:cs="宋体"/>
          <w:b/>
          <w:bCs/>
          <w:color w:val="auto"/>
          <w:szCs w:val="21"/>
          <w:u w:val="single"/>
        </w:rPr>
        <w:t xml:space="preserve"> 五 </w:t>
      </w:r>
      <w:r>
        <w:rPr>
          <w:rFonts w:hint="eastAsia" w:ascii="宋体" w:hAnsi="宋体" w:cs="宋体"/>
          <w:color w:val="auto"/>
          <w:szCs w:val="21"/>
        </w:rPr>
        <w:t>年无行贿犯罪记录（投标人提供承诺书）。</w:t>
      </w:r>
    </w:p>
    <w:p>
      <w:pPr>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ascii="宋体" w:hAnsi="宋体" w:cs="宋体"/>
          <w:color w:val="auto"/>
          <w:szCs w:val="21"/>
        </w:rPr>
      </w:pPr>
      <w:r>
        <w:rPr>
          <w:rFonts w:hint="eastAsia" w:ascii="宋体" w:hAnsi="宋体" w:cs="宋体"/>
          <w:color w:val="auto"/>
          <w:szCs w:val="21"/>
        </w:rPr>
        <w:t>3.4 本次招标</w:t>
      </w:r>
      <w:r>
        <w:rPr>
          <w:rFonts w:hint="eastAsia" w:ascii="宋体" w:hAnsi="宋体" w:cs="宋体"/>
          <w:b/>
          <w:color w:val="auto"/>
          <w:szCs w:val="21"/>
          <w:u w:val="single"/>
        </w:rPr>
        <w:t>不接受</w:t>
      </w:r>
      <w:r>
        <w:rPr>
          <w:rFonts w:hint="eastAsia" w:ascii="宋体" w:hAnsi="宋体" w:cs="宋体"/>
          <w:color w:val="auto"/>
          <w:szCs w:val="21"/>
        </w:rPr>
        <w:t>联合体投标。联合体投标的，应满足下列要求：</w:t>
      </w:r>
      <w:r>
        <w:rPr>
          <w:rFonts w:hint="eastAsia" w:ascii="宋体" w:hAnsi="宋体" w:cs="宋体"/>
          <w:b/>
          <w:color w:val="auto"/>
          <w:szCs w:val="21"/>
          <w:u w:val="single"/>
        </w:rPr>
        <w:t>/</w:t>
      </w:r>
      <w:r>
        <w:rPr>
          <w:rFonts w:hint="eastAsia" w:ascii="宋体" w:hAnsi="宋体" w:cs="宋体"/>
          <w:i/>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3.5 各投标人均可就上述标段中的</w:t>
      </w:r>
      <w:r>
        <w:rPr>
          <w:rFonts w:hint="eastAsia" w:ascii="宋体" w:hAnsi="宋体" w:cs="宋体"/>
          <w:b/>
          <w:color w:val="auto"/>
          <w:szCs w:val="21"/>
          <w:u w:val="single"/>
        </w:rPr>
        <w:t>/</w:t>
      </w:r>
      <w:r>
        <w:rPr>
          <w:rFonts w:hint="eastAsia" w:ascii="宋体" w:hAnsi="宋体" w:cs="宋体"/>
          <w:color w:val="auto"/>
          <w:szCs w:val="21"/>
        </w:rPr>
        <w:t>（具体数量）个标段投标。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4.招标文件获取</w:t>
      </w:r>
    </w:p>
    <w:p>
      <w:pPr>
        <w:spacing w:line="400" w:lineRule="exact"/>
        <w:ind w:firstLine="420" w:firstLineChars="200"/>
        <w:rPr>
          <w:rFonts w:ascii="宋体" w:hAnsi="宋体" w:cs="宋体"/>
          <w:color w:val="auto"/>
          <w:szCs w:val="21"/>
        </w:rPr>
      </w:pPr>
      <w:r>
        <w:rPr>
          <w:rFonts w:hint="eastAsia" w:ascii="宋体" w:hAnsi="宋体" w:cs="宋体"/>
          <w:color w:val="auto"/>
          <w:szCs w:val="21"/>
        </w:rPr>
        <w:t>4.1 凡有意参加投标者，请于</w:t>
      </w:r>
      <w:r>
        <w:rPr>
          <w:rFonts w:hint="eastAsia" w:ascii="宋体" w:hAnsi="宋体" w:cs="宋体"/>
          <w:color w:val="auto"/>
          <w:szCs w:val="21"/>
          <w:u w:val="single"/>
        </w:rPr>
        <w:t xml:space="preserve"> 2021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8:30 </w:t>
      </w:r>
      <w:r>
        <w:rPr>
          <w:rFonts w:hint="eastAsia" w:ascii="宋体" w:hAnsi="宋体" w:cs="宋体"/>
          <w:color w:val="auto"/>
          <w:szCs w:val="21"/>
        </w:rPr>
        <w:t>时至</w:t>
      </w:r>
      <w:r>
        <w:rPr>
          <w:rFonts w:hint="eastAsia" w:ascii="宋体" w:hAnsi="宋体" w:cs="宋体"/>
          <w:bCs/>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17:00 </w:t>
      </w:r>
      <w:r>
        <w:rPr>
          <w:rFonts w:hint="eastAsia" w:ascii="宋体" w:hAnsi="宋体" w:cs="宋体"/>
          <w:color w:val="auto"/>
          <w:szCs w:val="21"/>
        </w:rPr>
        <w:t>时在绍兴市公共资源交易中心新版电子招投标交易平台（http://p.ggb.sx.gov.cn:6081/TPBidder/）自行下载招标文件，截止期后交易平台不再提供下载服务；未在规定时间内获取招标文件的，不接受其投标。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4.2 招标文件每套售价</w:t>
      </w:r>
      <w:r>
        <w:rPr>
          <w:rFonts w:hint="eastAsia" w:ascii="宋体" w:hAnsi="宋体" w:cs="宋体"/>
          <w:b/>
          <w:color w:val="auto"/>
          <w:szCs w:val="21"/>
          <w:u w:val="single"/>
        </w:rPr>
        <w:t>/</w:t>
      </w:r>
      <w:r>
        <w:rPr>
          <w:rFonts w:hint="eastAsia" w:ascii="宋体" w:hAnsi="宋体" w:cs="宋体"/>
          <w:color w:val="auto"/>
          <w:szCs w:val="21"/>
        </w:rPr>
        <w:t>元，售后不退。图纸押金</w:t>
      </w:r>
      <w:r>
        <w:rPr>
          <w:rFonts w:hint="eastAsia" w:ascii="宋体" w:hAnsi="宋体" w:cs="宋体"/>
          <w:b/>
          <w:color w:val="auto"/>
          <w:szCs w:val="21"/>
          <w:u w:val="single"/>
        </w:rPr>
        <w:t>/</w:t>
      </w:r>
      <w:r>
        <w:rPr>
          <w:rFonts w:hint="eastAsia" w:ascii="宋体" w:hAnsi="宋体" w:cs="宋体"/>
          <w:color w:val="auto"/>
          <w:szCs w:val="21"/>
        </w:rPr>
        <w:t>元，在退还图纸时退还（不计利息）。</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5.投标保证金</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本工程需缴纳投标保证金</w:t>
      </w:r>
      <w:r>
        <w:rPr>
          <w:rFonts w:hint="eastAsia" w:ascii="宋体" w:hAnsi="宋体" w:cs="宋体"/>
          <w:b/>
          <w:color w:val="auto"/>
          <w:szCs w:val="21"/>
          <w:u w:val="single"/>
        </w:rPr>
        <w:t>6</w:t>
      </w:r>
      <w:r>
        <w:rPr>
          <w:rFonts w:hint="eastAsia" w:ascii="宋体" w:hAnsi="宋体" w:cs="宋体"/>
          <w:color w:val="auto"/>
          <w:szCs w:val="21"/>
        </w:rPr>
        <w:t>万元, 投标保证金在投标人自行获取招标文件后，在</w:t>
      </w: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17:00</w:t>
      </w:r>
      <w:r>
        <w:rPr>
          <w:rFonts w:hint="eastAsia" w:ascii="宋体" w:hAnsi="宋体" w:cs="宋体"/>
          <w:color w:val="auto"/>
          <w:szCs w:val="21"/>
        </w:rPr>
        <w:t>时前缴纳。缴纳方式为：</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color w:val="auto"/>
          <w:szCs w:val="21"/>
          <w:u w:val="single"/>
        </w:rPr>
        <w:t xml:space="preserve"> </w:t>
      </w:r>
      <w:r>
        <w:rPr>
          <w:rFonts w:hint="eastAsia" w:ascii="宋体" w:hAnsi="宋体" w:eastAsia="宋体" w:cs="宋体"/>
          <w:color w:val="3D4B64"/>
          <w:sz w:val="21"/>
          <w:szCs w:val="21"/>
          <w:u w:val="single"/>
        </w:rPr>
        <w:t>6224861565799003306</w:t>
      </w:r>
      <w:r>
        <w:rPr>
          <w:rFonts w:hint="eastAsia" w:ascii="宋体" w:hAnsi="宋体" w:cs="宋体"/>
          <w:color w:val="auto"/>
          <w:szCs w:val="21"/>
          <w:u w:val="single"/>
        </w:rPr>
        <w:t xml:space="preserve"> </w:t>
      </w:r>
      <w:r>
        <w:rPr>
          <w:rFonts w:hint="eastAsia" w:ascii="宋体" w:hAnsi="宋体" w:cs="宋体"/>
          <w:color w:val="auto"/>
          <w:szCs w:val="21"/>
        </w:rPr>
        <w:t>；账户二：开户单位名称：绍兴市公共资源交易中心保证金专户，开户行:中信银行绍兴城东支行；账号：</w:t>
      </w:r>
      <w:r>
        <w:rPr>
          <w:rFonts w:hint="eastAsia" w:ascii="宋体" w:hAnsi="宋体" w:cs="宋体"/>
          <w:color w:val="auto"/>
          <w:szCs w:val="21"/>
          <w:u w:val="single"/>
        </w:rPr>
        <w:t xml:space="preserve"> </w:t>
      </w:r>
      <w:r>
        <w:rPr>
          <w:rFonts w:hint="eastAsia" w:ascii="宋体" w:hAnsi="宋体" w:eastAsia="宋体" w:cs="宋体"/>
          <w:color w:val="3D4B64"/>
          <w:sz w:val="21"/>
          <w:szCs w:val="21"/>
          <w:u w:val="single"/>
        </w:rPr>
        <w:t>3110810043370000062</w:t>
      </w:r>
      <w:r>
        <w:rPr>
          <w:rFonts w:hint="eastAsia" w:ascii="宋体" w:hAnsi="宋体" w:eastAsia="宋体" w:cs="宋体"/>
          <w:color w:val="auto"/>
          <w:szCs w:val="21"/>
          <w:u w:val="single"/>
        </w:rPr>
        <w:t xml:space="preserve"> </w:t>
      </w:r>
      <w:r>
        <w:rPr>
          <w:rFonts w:hint="eastAsia" w:ascii="宋体" w:hAnsi="宋体" w:cs="宋体"/>
          <w:color w:val="auto"/>
          <w:szCs w:val="21"/>
        </w:rPr>
        <w:t>；投标人可自主选择以上账户之一缴纳投标保证金。</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2、招标人接受绍兴市招标投标协会出具的“投标保证金联保证明”作为投标保证金缴纳凭证，投标人不用另行提供。</w:t>
      </w:r>
    </w:p>
    <w:p>
      <w:pPr>
        <w:widowControl/>
        <w:spacing w:line="360" w:lineRule="exact"/>
        <w:ind w:firstLine="420" w:firstLineChars="200"/>
        <w:rPr>
          <w:rFonts w:ascii="宋体" w:hAnsi="宋体" w:cs="宋体"/>
          <w:bCs/>
          <w:color w:val="auto"/>
          <w:spacing w:val="-2"/>
          <w:szCs w:val="21"/>
        </w:rPr>
      </w:pPr>
      <w:r>
        <w:rPr>
          <w:rFonts w:hint="eastAsia" w:ascii="宋体" w:hAnsi="宋体" w:cs="宋体"/>
          <w:color w:val="auto"/>
          <w:szCs w:val="21"/>
        </w:rPr>
        <w:t>3、招标人接受投标保证金电子保险保函。投标人自行在电子招投标交易平台（</w:t>
      </w:r>
      <w:r>
        <w:rPr>
          <w:color w:val="auto"/>
        </w:rPr>
        <w:fldChar w:fldCharType="begin"/>
      </w:r>
      <w:r>
        <w:rPr>
          <w:color w:val="auto"/>
        </w:rPr>
        <w:instrText xml:space="preserve"> HYPERLINK "http://p.ggb.sx.gov.cn:6081/TPBidder/" </w:instrText>
      </w:r>
      <w:r>
        <w:rPr>
          <w:color w:val="auto"/>
        </w:rPr>
        <w:fldChar w:fldCharType="separate"/>
      </w:r>
      <w:r>
        <w:rPr>
          <w:rStyle w:val="48"/>
          <w:rFonts w:hint="eastAsia" w:ascii="宋体" w:hAnsi="宋体" w:cs="宋体"/>
          <w:color w:val="auto"/>
          <w:szCs w:val="21"/>
        </w:rPr>
        <w:t>http://p.ggb.sx.gov.cn:6081/TPBidder/</w:t>
      </w:r>
      <w:r>
        <w:rPr>
          <w:rStyle w:val="48"/>
          <w:rFonts w:hint="eastAsia" w:ascii="宋体" w:hAnsi="宋体" w:cs="宋体"/>
          <w:color w:val="auto"/>
          <w:szCs w:val="21"/>
        </w:rPr>
        <w:fldChar w:fldCharType="end"/>
      </w:r>
      <w:r>
        <w:rPr>
          <w:rFonts w:hint="eastAsia" w:ascii="宋体" w:hAnsi="宋体" w:cs="宋体"/>
          <w:color w:val="auto"/>
          <w:szCs w:val="21"/>
        </w:rPr>
        <w:t>）中自主选择办理。保险保函费用必须从投标人企业</w:t>
      </w:r>
      <w:r>
        <w:rPr>
          <w:rFonts w:hint="eastAsia" w:ascii="宋体" w:hAnsi="宋体" w:cs="宋体"/>
          <w:color w:val="auto"/>
          <w:szCs w:val="21"/>
          <w:shd w:val="clear" w:color="auto" w:fill="FFFFFF"/>
        </w:rPr>
        <w:t>基本账户转出，并在投标保证金缴纳截止时间前</w:t>
      </w:r>
      <w:r>
        <w:rPr>
          <w:rFonts w:hint="eastAsia" w:ascii="宋体" w:hAnsi="宋体" w:cs="宋体"/>
          <w:color w:val="auto"/>
          <w:szCs w:val="21"/>
        </w:rPr>
        <w:t>办妥保险保函手续</w:t>
      </w:r>
      <w:r>
        <w:rPr>
          <w:rFonts w:hint="eastAsia" w:ascii="宋体" w:hAnsi="宋体" w:cs="宋体"/>
          <w:bCs/>
          <w:color w:val="auto"/>
          <w:spacing w:val="-2"/>
          <w:szCs w:val="21"/>
        </w:rPr>
        <w:t>。</w:t>
      </w:r>
    </w:p>
    <w:p>
      <w:pPr>
        <w:widowControl/>
        <w:spacing w:line="360" w:lineRule="exact"/>
        <w:ind w:firstLine="422" w:firstLineChars="200"/>
        <w:rPr>
          <w:rFonts w:ascii="宋体" w:hAnsi="宋体" w:cs="宋体"/>
          <w:b/>
          <w:color w:val="auto"/>
          <w:szCs w:val="21"/>
        </w:rPr>
      </w:pPr>
      <w:r>
        <w:rPr>
          <w:rFonts w:hint="eastAsia" w:ascii="宋体" w:hAnsi="宋体" w:cs="宋体"/>
          <w:b/>
          <w:color w:val="auto"/>
          <w:szCs w:val="21"/>
        </w:rPr>
        <w:t>6.其他有关内容</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6.1评标入围方法：</w:t>
      </w:r>
      <w:r>
        <w:rPr>
          <w:rFonts w:hint="eastAsia" w:ascii="宋体" w:hAnsi="宋体" w:cs="宋体"/>
          <w:b/>
          <w:iCs/>
          <w:color w:val="auto"/>
          <w:szCs w:val="21"/>
          <w:u w:val="single"/>
        </w:rPr>
        <w:t>全部入围</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6.2评标方法：</w:t>
      </w:r>
      <w:r>
        <w:rPr>
          <w:rFonts w:hint="eastAsia" w:ascii="宋体" w:hAnsi="宋体" w:cs="宋体"/>
          <w:b/>
          <w:iCs/>
          <w:color w:val="auto"/>
          <w:szCs w:val="21"/>
          <w:u w:val="single"/>
        </w:rPr>
        <w:t>综合评估法</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6.3中标方式：</w:t>
      </w:r>
      <w:r>
        <w:rPr>
          <w:rFonts w:hint="eastAsia" w:ascii="宋体" w:hAnsi="宋体" w:cs="宋体"/>
          <w:b/>
          <w:iCs/>
          <w:color w:val="auto"/>
          <w:szCs w:val="21"/>
          <w:u w:val="single"/>
        </w:rPr>
        <w:t>最高分中标</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u w:val="single"/>
        </w:rPr>
      </w:pPr>
      <w:r>
        <w:rPr>
          <w:rFonts w:hint="eastAsia" w:ascii="宋体" w:hAnsi="宋体" w:cs="宋体"/>
          <w:color w:val="auto"/>
          <w:szCs w:val="21"/>
        </w:rPr>
        <w:t>6.4投标文件的递交：投标文件递交的截止时间为</w:t>
      </w:r>
      <w:r>
        <w:rPr>
          <w:rFonts w:hint="eastAsia" w:ascii="宋体" w:hAnsi="宋体" w:cs="宋体"/>
          <w:b/>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w:t>
      </w:r>
      <w:r>
        <w:rPr>
          <w:rFonts w:hint="eastAsia" w:ascii="宋体" w:hAnsi="宋体" w:cs="宋体"/>
          <w:color w:val="auto"/>
          <w:szCs w:val="21"/>
        </w:rPr>
        <w:t>时，</w:t>
      </w:r>
      <w:r>
        <w:rPr>
          <w:rFonts w:hint="eastAsia" w:ascii="宋体" w:hAnsi="宋体" w:cs="宋体"/>
          <w:color w:val="auto"/>
          <w:spacing w:val="-12"/>
          <w:szCs w:val="21"/>
        </w:rPr>
        <w:t>地点为</w:t>
      </w:r>
      <w:r>
        <w:rPr>
          <w:rFonts w:hint="eastAsia" w:ascii="宋体" w:hAnsi="宋体" w:cs="宋体"/>
          <w:color w:val="auto"/>
          <w:szCs w:val="21"/>
          <w:u w:val="single"/>
        </w:rPr>
        <w:t>绍兴市公共资源交易中心四楼指定的开标室。</w:t>
      </w:r>
    </w:p>
    <w:p>
      <w:pPr>
        <w:spacing w:line="400" w:lineRule="exact"/>
        <w:ind w:firstLine="420" w:firstLineChars="200"/>
        <w:rPr>
          <w:rFonts w:ascii="宋体" w:hAnsi="宋体" w:cs="宋体"/>
          <w:color w:val="auto"/>
          <w:szCs w:val="21"/>
        </w:rPr>
      </w:pPr>
      <w:r>
        <w:rPr>
          <w:rFonts w:hint="eastAsia" w:ascii="宋体" w:hAnsi="宋体" w:cs="宋体"/>
          <w:color w:val="auto"/>
          <w:szCs w:val="21"/>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 xml:space="preserve">7.发布公告的媒介    </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本次招标公告同时在 </w:t>
      </w:r>
      <w:r>
        <w:rPr>
          <w:rFonts w:hint="eastAsia" w:ascii="宋体" w:hAnsi="宋体" w:cs="宋体"/>
          <w:color w:val="auto"/>
          <w:szCs w:val="21"/>
          <w:u w:val="single"/>
        </w:rPr>
        <w:t xml:space="preserve">/ </w:t>
      </w:r>
      <w:r>
        <w:rPr>
          <w:rFonts w:hint="eastAsia" w:ascii="宋体" w:hAnsi="宋体" w:cs="宋体"/>
          <w:color w:val="auto"/>
          <w:szCs w:val="21"/>
        </w:rPr>
        <w:t>（发布公告的媒介名称）上发布。</w:t>
      </w:r>
    </w:p>
    <w:p>
      <w:pPr>
        <w:widowControl/>
        <w:spacing w:line="360" w:lineRule="exact"/>
        <w:ind w:firstLine="422" w:firstLineChars="200"/>
        <w:rPr>
          <w:rFonts w:ascii="宋体" w:hAnsi="宋体" w:cs="宋体"/>
          <w:b/>
          <w:color w:val="auto"/>
          <w:szCs w:val="21"/>
        </w:rPr>
      </w:pPr>
      <w:r>
        <w:rPr>
          <w:rFonts w:hint="eastAsia" w:ascii="宋体" w:hAnsi="宋体" w:cs="宋体"/>
          <w:b/>
          <w:color w:val="auto"/>
          <w:szCs w:val="21"/>
        </w:rPr>
        <w:t>8.若本公告相关内容与正式发出的招标文件不一致，以正式发出的招标文件为准。</w:t>
      </w:r>
    </w:p>
    <w:p>
      <w:pPr>
        <w:widowControl/>
        <w:tabs>
          <w:tab w:val="left" w:pos="2694"/>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9.联系方式 </w:t>
      </w:r>
    </w:p>
    <w:p>
      <w:pPr>
        <w:widowControl/>
        <w:tabs>
          <w:tab w:val="left" w:pos="2694"/>
        </w:tabs>
        <w:spacing w:line="360" w:lineRule="exact"/>
        <w:ind w:right="-134" w:rightChars="-64" w:firstLine="420" w:firstLineChars="200"/>
        <w:rPr>
          <w:rFonts w:ascii="宋体" w:hAnsi="宋体" w:cs="宋体"/>
          <w:color w:val="auto"/>
          <w:szCs w:val="21"/>
        </w:rPr>
      </w:pPr>
      <w:r>
        <w:rPr>
          <w:rFonts w:hint="eastAsia" w:ascii="宋体" w:hAnsi="宋体" w:cs="宋体"/>
          <w:color w:val="auto"/>
          <w:szCs w:val="21"/>
        </w:rPr>
        <w:t>招 标 人：</w:t>
      </w:r>
      <w:r>
        <w:rPr>
          <w:rFonts w:hint="eastAsia" w:ascii="宋体" w:hAnsi="宋体" w:cs="宋体"/>
          <w:color w:val="auto"/>
          <w:szCs w:val="21"/>
          <w:u w:val="single"/>
        </w:rPr>
        <w:t xml:space="preserve">     浙江中成建工集团有限公司    </w:t>
      </w:r>
      <w:r>
        <w:rPr>
          <w:rFonts w:hint="eastAsia" w:ascii="宋体" w:hAnsi="宋体" w:cs="宋体"/>
          <w:color w:val="auto"/>
          <w:szCs w:val="21"/>
        </w:rPr>
        <w:t>招标代理机构：</w:t>
      </w:r>
      <w:r>
        <w:rPr>
          <w:rFonts w:hint="eastAsia" w:ascii="宋体" w:hAnsi="宋体" w:cs="宋体"/>
          <w:color w:val="auto"/>
          <w:szCs w:val="21"/>
          <w:u w:val="single"/>
        </w:rPr>
        <w:t xml:space="preserve"> 浙江翔实建设项目管理有限公司  </w:t>
      </w:r>
    </w:p>
    <w:p>
      <w:pPr>
        <w:widowControl/>
        <w:tabs>
          <w:tab w:val="left" w:pos="2694"/>
        </w:tabs>
        <w:spacing w:line="360" w:lineRule="exact"/>
        <w:ind w:firstLine="420" w:firstLineChars="200"/>
        <w:rPr>
          <w:rFonts w:ascii="宋体" w:hAnsi="宋体" w:cs="宋体"/>
          <w:color w:val="auto"/>
          <w:szCs w:val="21"/>
        </w:rPr>
      </w:pPr>
      <w:r>
        <w:rPr>
          <w:rFonts w:hint="eastAsia" w:ascii="宋体" w:hAnsi="宋体" w:cs="宋体"/>
          <w:color w:val="auto"/>
          <w:szCs w:val="21"/>
        </w:rPr>
        <w:t>地    址：</w:t>
      </w:r>
      <w:r>
        <w:rPr>
          <w:rFonts w:hint="eastAsia" w:ascii="宋体" w:hAnsi="宋体" w:cs="宋体"/>
          <w:color w:val="auto"/>
          <w:szCs w:val="21"/>
          <w:u w:val="single"/>
        </w:rPr>
        <w:t xml:space="preserve">    凤林西路123号中成大厦       </w:t>
      </w:r>
      <w:r>
        <w:rPr>
          <w:rFonts w:hint="eastAsia" w:ascii="宋体" w:hAnsi="宋体" w:cs="宋体"/>
          <w:color w:val="auto"/>
          <w:szCs w:val="21"/>
        </w:rPr>
        <w:t>地    址：</w:t>
      </w:r>
      <w:r>
        <w:rPr>
          <w:rFonts w:hint="eastAsia" w:ascii="宋体" w:hAnsi="宋体" w:cs="宋体"/>
          <w:color w:val="auto"/>
          <w:szCs w:val="21"/>
          <w:u w:val="single"/>
        </w:rPr>
        <w:t xml:space="preserve">       绍兴市越城区阳明北路692号    </w:t>
      </w:r>
    </w:p>
    <w:p>
      <w:pPr>
        <w:widowControl/>
        <w:tabs>
          <w:tab w:val="left" w:pos="2694"/>
        </w:tabs>
        <w:spacing w:line="360" w:lineRule="exact"/>
        <w:ind w:firstLine="420" w:firstLineChars="200"/>
        <w:rPr>
          <w:rFonts w:ascii="宋体" w:hAnsi="宋体" w:cs="宋体"/>
          <w:color w:val="auto"/>
          <w:szCs w:val="21"/>
        </w:rPr>
      </w:pPr>
      <w:r>
        <w:rPr>
          <w:rFonts w:hint="eastAsia" w:ascii="宋体" w:hAnsi="宋体" w:cs="宋体"/>
          <w:color w:val="auto"/>
          <w:szCs w:val="21"/>
        </w:rPr>
        <w:t>联 系 人：</w:t>
      </w:r>
      <w:r>
        <w:rPr>
          <w:rFonts w:hint="eastAsia" w:ascii="宋体" w:hAnsi="宋体" w:cs="宋体"/>
          <w:color w:val="auto"/>
          <w:szCs w:val="21"/>
          <w:u w:val="single"/>
        </w:rPr>
        <w:t xml:space="preserve">            冯文君               </w:t>
      </w:r>
      <w:r>
        <w:rPr>
          <w:rFonts w:hint="eastAsia" w:ascii="宋体" w:hAnsi="宋体" w:cs="宋体"/>
          <w:color w:val="auto"/>
          <w:szCs w:val="21"/>
        </w:rPr>
        <w:t>联 系 人：</w:t>
      </w:r>
      <w:r>
        <w:rPr>
          <w:rFonts w:hint="eastAsia" w:ascii="宋体" w:hAnsi="宋体" w:cs="宋体"/>
          <w:color w:val="auto"/>
          <w:szCs w:val="21"/>
          <w:u w:val="single"/>
        </w:rPr>
        <w:t xml:space="preserve">            金琴子                   </w:t>
      </w:r>
    </w:p>
    <w:p>
      <w:pPr>
        <w:widowControl/>
        <w:spacing w:line="360" w:lineRule="exact"/>
        <w:ind w:firstLine="420" w:firstLineChars="200"/>
        <w:rPr>
          <w:rFonts w:ascii="宋体" w:hAnsi="宋体" w:cs="宋体"/>
          <w:color w:val="auto"/>
          <w:szCs w:val="21"/>
          <w:u w:val="single"/>
        </w:rPr>
      </w:pPr>
      <w:r>
        <w:rPr>
          <w:rFonts w:hint="eastAsia" w:ascii="宋体" w:hAnsi="宋体" w:cs="宋体"/>
          <w:color w:val="auto"/>
          <w:szCs w:val="21"/>
        </w:rPr>
        <w:t>电    话：</w:t>
      </w:r>
      <w:r>
        <w:rPr>
          <w:rFonts w:hint="eastAsia" w:ascii="宋体" w:hAnsi="宋体" w:cs="宋体"/>
          <w:color w:val="auto"/>
          <w:szCs w:val="21"/>
          <w:u w:val="single"/>
        </w:rPr>
        <w:t xml:space="preserve">          15967559599            </w:t>
      </w:r>
      <w:r>
        <w:rPr>
          <w:rFonts w:hint="eastAsia" w:ascii="宋体" w:hAnsi="宋体" w:cs="宋体"/>
          <w:color w:val="auto"/>
          <w:szCs w:val="21"/>
        </w:rPr>
        <w:t>电    话：</w:t>
      </w:r>
      <w:r>
        <w:rPr>
          <w:rFonts w:hint="eastAsia" w:ascii="宋体" w:hAnsi="宋体" w:cs="宋体"/>
          <w:color w:val="auto"/>
          <w:szCs w:val="21"/>
          <w:u w:val="single"/>
        </w:rPr>
        <w:t xml:space="preserve">      0575-88682895、18969515361   </w:t>
      </w:r>
    </w:p>
    <w:p>
      <w:pPr>
        <w:pStyle w:val="13"/>
        <w:rPr>
          <w:color w:val="auto"/>
        </w:rPr>
      </w:pPr>
    </w:p>
    <w:p>
      <w:pPr>
        <w:widowControl/>
        <w:spacing w:line="360" w:lineRule="exact"/>
        <w:ind w:left="4139" w:leftChars="1971" w:firstLine="420" w:firstLineChars="200"/>
        <w:jc w:val="right"/>
        <w:rPr>
          <w:rFonts w:ascii="宋体" w:hAnsi="宋体" w:cs="宋体"/>
          <w:b/>
          <w:i/>
          <w:color w:val="auto"/>
          <w:szCs w:val="21"/>
          <w:u w:val="single"/>
        </w:rPr>
      </w:pPr>
      <w:r>
        <w:rPr>
          <w:rFonts w:hint="eastAsia" w:ascii="宋体" w:hAnsi="宋体" w:cs="宋体"/>
          <w:color w:val="auto"/>
          <w:szCs w:val="21"/>
        </w:rPr>
        <w:t>招标人：</w:t>
      </w:r>
      <w:r>
        <w:rPr>
          <w:rFonts w:hint="eastAsia" w:ascii="宋体" w:hAnsi="宋体" w:cs="宋体"/>
          <w:color w:val="auto"/>
          <w:szCs w:val="21"/>
          <w:u w:val="single"/>
        </w:rPr>
        <w:t>浙江中成建工集团有限公司</w:t>
      </w:r>
    </w:p>
    <w:p>
      <w:pPr>
        <w:widowControl/>
        <w:spacing w:line="360" w:lineRule="exact"/>
        <w:ind w:left="4139" w:leftChars="1971" w:firstLine="420" w:firstLineChars="200"/>
        <w:jc w:val="right"/>
        <w:rPr>
          <w:rFonts w:ascii="宋体" w:hAnsi="宋体" w:cs="宋体"/>
          <w:color w:val="auto"/>
          <w:szCs w:val="21"/>
        </w:rPr>
      </w:pPr>
      <w:r>
        <w:rPr>
          <w:rFonts w:hint="eastAsia" w:ascii="宋体" w:hAnsi="宋体" w:cs="宋体"/>
          <w:color w:val="auto"/>
          <w:szCs w:val="21"/>
        </w:rPr>
        <w:t>招标代理机构：</w:t>
      </w:r>
      <w:r>
        <w:rPr>
          <w:rFonts w:hint="eastAsia" w:ascii="宋体" w:hAnsi="宋体" w:cs="宋体"/>
          <w:color w:val="auto"/>
          <w:szCs w:val="21"/>
          <w:u w:val="single"/>
        </w:rPr>
        <w:t>浙江翔实建设项目管理有限公司</w:t>
      </w:r>
    </w:p>
    <w:p>
      <w:pPr>
        <w:widowControl/>
        <w:tabs>
          <w:tab w:val="left" w:pos="2694"/>
        </w:tabs>
        <w:wordWrap w:val="0"/>
        <w:spacing w:line="360" w:lineRule="exact"/>
        <w:ind w:right="-134" w:rightChars="-64" w:firstLine="420" w:firstLineChars="200"/>
        <w:jc w:val="center"/>
        <w:rPr>
          <w:rFonts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pPr>
        <w:widowControl/>
        <w:spacing w:line="360" w:lineRule="exact"/>
        <w:rPr>
          <w:rFonts w:ascii="宋体" w:hAnsi="宋体" w:cs="宋体"/>
          <w:color w:val="auto"/>
          <w:szCs w:val="21"/>
        </w:rPr>
      </w:pPr>
    </w:p>
    <w:p>
      <w:pPr>
        <w:widowControl/>
        <w:spacing w:line="360" w:lineRule="exact"/>
        <w:rPr>
          <w:rFonts w:ascii="宋体" w:hAnsi="宋体" w:cs="宋体"/>
          <w:color w:val="auto"/>
          <w:szCs w:val="21"/>
        </w:rPr>
      </w:pPr>
    </w:p>
    <w:p>
      <w:pPr>
        <w:widowControl/>
        <w:spacing w:line="360" w:lineRule="exact"/>
        <w:ind w:firstLine="630" w:firstLineChars="300"/>
        <w:rPr>
          <w:rFonts w:ascii="宋体" w:hAnsi="宋体" w:cs="宋体"/>
          <w:color w:val="auto"/>
          <w:szCs w:val="21"/>
          <w:u w:val="single"/>
        </w:rPr>
      </w:pPr>
      <w:r>
        <w:rPr>
          <w:rFonts w:hint="eastAsia" w:ascii="宋体" w:hAnsi="宋体" w:cs="宋体"/>
          <w:color w:val="auto"/>
          <w:szCs w:val="21"/>
        </w:rPr>
        <w:t>招标管理机构意见：                                  绍兴市公共资源交易中心意见：</w:t>
      </w:r>
    </w:p>
    <w:p>
      <w:pPr>
        <w:widowControl/>
        <w:spacing w:line="360" w:lineRule="exact"/>
        <w:ind w:firstLine="630" w:firstLineChars="300"/>
        <w:rPr>
          <w:rFonts w:ascii="宋体" w:hAnsi="宋体" w:cs="宋体"/>
          <w:color w:val="auto"/>
          <w:szCs w:val="21"/>
          <w:u w:val="single"/>
        </w:rPr>
      </w:pPr>
    </w:p>
    <w:p>
      <w:pPr>
        <w:widowControl/>
        <w:tabs>
          <w:tab w:val="left" w:pos="2694"/>
        </w:tabs>
        <w:wordWrap w:val="0"/>
        <w:spacing w:line="360" w:lineRule="exact"/>
        <w:ind w:right="-134" w:rightChars="-64" w:firstLine="840" w:firstLineChars="400"/>
        <w:rPr>
          <w:rFonts w:ascii="宋体" w:hAnsi="宋体" w:cs="宋体"/>
          <w:color w:val="auto"/>
          <w:szCs w:val="21"/>
        </w:rPr>
      </w:pP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pPr>
        <w:widowControl/>
        <w:spacing w:line="360" w:lineRule="exact"/>
        <w:rPr>
          <w:rFonts w:ascii="宋体" w:hAnsi="宋体" w:cs="宋体"/>
          <w:color w:val="auto"/>
          <w:szCs w:val="21"/>
        </w:rPr>
      </w:pP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备注：1、委托中介机构代理的，尚需提供工程建设项目招标代理业务承接情况表。</w:t>
      </w:r>
    </w:p>
    <w:p>
      <w:pPr>
        <w:spacing w:line="360" w:lineRule="exact"/>
        <w:ind w:firstLine="1050" w:firstLineChars="500"/>
        <w:rPr>
          <w:rFonts w:ascii="宋体" w:hAnsi="宋体" w:cs="宋体"/>
          <w:color w:val="auto"/>
          <w:szCs w:val="21"/>
        </w:rPr>
      </w:pPr>
      <w:r>
        <w:rPr>
          <w:rFonts w:hint="eastAsia" w:ascii="宋体" w:hAnsi="宋体" w:cs="宋体"/>
          <w:color w:val="auto"/>
          <w:szCs w:val="21"/>
        </w:rPr>
        <w:t>2、本表一式三份，招标人、招投标管理机构、中心各一份。</w:t>
      </w:r>
    </w:p>
    <w:p>
      <w:pPr>
        <w:pStyle w:val="2"/>
        <w:rPr>
          <w:rFonts w:asciiTheme="minorEastAsia" w:hAnsiTheme="minorEastAsia" w:eastAsiaTheme="minorEastAsia" w:cstheme="minorEastAsia"/>
          <w:color w:val="auto"/>
        </w:rPr>
      </w:pPr>
      <w:r>
        <w:rPr>
          <w:rFonts w:hint="eastAsia" w:ascii="宋体" w:hAnsi="宋体"/>
          <w:color w:val="auto"/>
          <w:kern w:val="0"/>
          <w:szCs w:val="21"/>
        </w:rPr>
        <w:br w:type="page"/>
      </w:r>
      <w:bookmarkStart w:id="1" w:name="_Toc21875"/>
      <w:r>
        <w:rPr>
          <w:rFonts w:hint="eastAsia" w:asciiTheme="minorEastAsia" w:hAnsiTheme="minorEastAsia" w:eastAsiaTheme="minorEastAsia" w:cstheme="minorEastAsia"/>
          <w:color w:val="auto"/>
        </w:rPr>
        <w:t>第二章 投标人须知</w:t>
      </w:r>
      <w:bookmarkEnd w:id="1"/>
    </w:p>
    <w:p>
      <w:pPr>
        <w:keepNext/>
        <w:keepLines/>
        <w:spacing w:line="440" w:lineRule="auto"/>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第一节 投标人须知前附表</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83"/>
        <w:gridCol w:w="2065"/>
        <w:gridCol w:w="6725"/>
        <w:gridCol w:w="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5" w:hRule="atLeast"/>
          <w:jc w:val="center"/>
        </w:trPr>
        <w:tc>
          <w:tcPr>
            <w:tcW w:w="498" w:type="pct"/>
            <w:shd w:val="clear" w:color="000000" w:fill="FFFFFF"/>
            <w:tcMar>
              <w:left w:w="108" w:type="dxa"/>
              <w:right w:w="108" w:type="dxa"/>
            </w:tcMar>
            <w:vAlign w:val="center"/>
          </w:tcPr>
          <w:p>
            <w:pPr>
              <w:spacing w:before="156" w:beforeLines="50" w:line="440" w:lineRule="auto"/>
              <w:jc w:val="center"/>
              <w:rPr>
                <w:rFonts w:ascii="宋体" w:hAnsi="宋体" w:cs="宋体"/>
                <w:color w:val="auto"/>
                <w:szCs w:val="21"/>
              </w:rPr>
            </w:pPr>
            <w:r>
              <w:rPr>
                <w:rFonts w:hint="eastAsia" w:ascii="宋体" w:hAnsi="宋体" w:cs="宋体"/>
                <w:b/>
                <w:color w:val="auto"/>
                <w:szCs w:val="21"/>
              </w:rPr>
              <w:t>条款号</w:t>
            </w:r>
          </w:p>
        </w:tc>
        <w:tc>
          <w:tcPr>
            <w:tcW w:w="1048" w:type="pct"/>
            <w:shd w:val="clear" w:color="000000" w:fill="FFFFFF"/>
            <w:tcMar>
              <w:left w:w="108" w:type="dxa"/>
              <w:right w:w="108" w:type="dxa"/>
            </w:tcMar>
            <w:vAlign w:val="center"/>
          </w:tcPr>
          <w:p>
            <w:pPr>
              <w:spacing w:before="156" w:beforeLines="50" w:line="440" w:lineRule="auto"/>
              <w:jc w:val="center"/>
              <w:rPr>
                <w:rFonts w:ascii="宋体" w:hAnsi="宋体" w:cs="宋体"/>
                <w:color w:val="auto"/>
                <w:szCs w:val="21"/>
              </w:rPr>
            </w:pPr>
            <w:r>
              <w:rPr>
                <w:rFonts w:hint="eastAsia" w:ascii="宋体" w:hAnsi="宋体" w:cs="宋体"/>
                <w:b/>
                <w:color w:val="auto"/>
                <w:szCs w:val="21"/>
              </w:rPr>
              <w:t>条款名称</w:t>
            </w:r>
          </w:p>
        </w:tc>
        <w:tc>
          <w:tcPr>
            <w:tcW w:w="3452" w:type="pct"/>
            <w:gridSpan w:val="2"/>
            <w:shd w:val="clear" w:color="000000" w:fill="FFFFFF"/>
            <w:tcMar>
              <w:left w:w="108" w:type="dxa"/>
              <w:right w:w="108" w:type="dxa"/>
            </w:tcMar>
            <w:vAlign w:val="center"/>
          </w:tcPr>
          <w:p>
            <w:pPr>
              <w:spacing w:before="156" w:beforeLines="50" w:line="440" w:lineRule="auto"/>
              <w:jc w:val="center"/>
              <w:rPr>
                <w:rFonts w:ascii="宋体" w:hAnsi="宋体" w:cs="宋体"/>
                <w:color w:val="auto"/>
                <w:szCs w:val="21"/>
              </w:rPr>
            </w:pPr>
            <w:r>
              <w:rPr>
                <w:rFonts w:hint="eastAsia" w:ascii="宋体" w:hAnsi="宋体" w:cs="宋体"/>
                <w:b/>
                <w:color w:val="auto"/>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93" w:hRule="atLeast"/>
          <w:jc w:val="center"/>
        </w:trPr>
        <w:tc>
          <w:tcPr>
            <w:tcW w:w="498" w:type="pct"/>
            <w:shd w:val="clear" w:color="000000" w:fill="FFFFFF"/>
            <w:tcMar>
              <w:left w:w="108" w:type="dxa"/>
              <w:right w:w="108" w:type="dxa"/>
            </w:tcMar>
            <w:vAlign w:val="center"/>
          </w:tcPr>
          <w:p>
            <w:pPr>
              <w:pStyle w:val="67"/>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1.1.2</w:t>
            </w:r>
          </w:p>
        </w:tc>
        <w:tc>
          <w:tcPr>
            <w:tcW w:w="1048" w:type="pct"/>
            <w:shd w:val="clear" w:color="000000" w:fill="FFFFFF"/>
            <w:tcMar>
              <w:left w:w="108" w:type="dxa"/>
              <w:right w:w="108" w:type="dxa"/>
            </w:tcMar>
            <w:vAlign w:val="center"/>
          </w:tcPr>
          <w:p>
            <w:pPr>
              <w:pStyle w:val="67"/>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招标人</w:t>
            </w:r>
          </w:p>
        </w:tc>
        <w:tc>
          <w:tcPr>
            <w:tcW w:w="3452" w:type="pct"/>
            <w:gridSpan w:val="2"/>
            <w:shd w:val="clear" w:color="000000" w:fill="FFFFFF"/>
            <w:tcMar>
              <w:left w:w="108" w:type="dxa"/>
              <w:right w:w="108" w:type="dxa"/>
            </w:tcMar>
            <w:vAlign w:val="center"/>
          </w:tcPr>
          <w:p>
            <w:pPr>
              <w:pStyle w:val="67"/>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名称：浙江中成建工集团有限公司</w:t>
            </w:r>
          </w:p>
          <w:p>
            <w:pPr>
              <w:pStyle w:val="67"/>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地址：凤林西路123号中成大厦</w:t>
            </w:r>
          </w:p>
          <w:p>
            <w:pPr>
              <w:pStyle w:val="67"/>
              <w:adjustRightInd w:val="0"/>
              <w:snapToGrid w:val="0"/>
              <w:spacing w:line="360" w:lineRule="exact"/>
              <w:ind w:firstLine="420"/>
              <w:rPr>
                <w:rFonts w:hAnsi="宋体" w:cs="宋体"/>
                <w:color w:val="auto"/>
                <w:sz w:val="21"/>
                <w:szCs w:val="21"/>
              </w:rPr>
            </w:pPr>
            <w:r>
              <w:rPr>
                <w:rFonts w:hint="eastAsia" w:hAnsi="宋体" w:cs="宋体"/>
                <w:color w:val="auto"/>
                <w:sz w:val="21"/>
                <w:szCs w:val="21"/>
              </w:rPr>
              <w:t>联系人：冯文君  电话：15967559599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57" w:hRule="atLeast"/>
          <w:jc w:val="center"/>
        </w:trPr>
        <w:tc>
          <w:tcPr>
            <w:tcW w:w="498" w:type="pct"/>
            <w:shd w:val="clear" w:color="000000" w:fill="FFFFFF"/>
            <w:tcMar>
              <w:left w:w="108" w:type="dxa"/>
              <w:right w:w="108" w:type="dxa"/>
            </w:tcMar>
            <w:vAlign w:val="center"/>
          </w:tcPr>
          <w:p>
            <w:pPr>
              <w:pStyle w:val="67"/>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1.1.3</w:t>
            </w:r>
          </w:p>
        </w:tc>
        <w:tc>
          <w:tcPr>
            <w:tcW w:w="1048" w:type="pct"/>
            <w:shd w:val="clear" w:color="000000" w:fill="FFFFFF"/>
            <w:tcMar>
              <w:left w:w="108" w:type="dxa"/>
              <w:right w:w="108" w:type="dxa"/>
            </w:tcMar>
            <w:vAlign w:val="center"/>
          </w:tcPr>
          <w:p>
            <w:pPr>
              <w:pStyle w:val="67"/>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招标代理机构</w:t>
            </w:r>
          </w:p>
        </w:tc>
        <w:tc>
          <w:tcPr>
            <w:tcW w:w="3452" w:type="pct"/>
            <w:gridSpan w:val="2"/>
            <w:shd w:val="clear" w:color="000000" w:fill="FFFFFF"/>
            <w:tcMar>
              <w:left w:w="108" w:type="dxa"/>
              <w:right w:w="108" w:type="dxa"/>
            </w:tcMar>
            <w:vAlign w:val="center"/>
          </w:tcPr>
          <w:p>
            <w:pPr>
              <w:pStyle w:val="67"/>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名称：浙江翔实建设项目管理有限公司</w:t>
            </w:r>
          </w:p>
          <w:p>
            <w:pPr>
              <w:pStyle w:val="67"/>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地址：绍兴市越城区阳明北路692号</w:t>
            </w:r>
          </w:p>
          <w:p>
            <w:pPr>
              <w:pStyle w:val="67"/>
              <w:adjustRightInd w:val="0"/>
              <w:snapToGrid w:val="0"/>
              <w:spacing w:line="360" w:lineRule="exact"/>
              <w:ind w:firstLine="420"/>
              <w:rPr>
                <w:rFonts w:hAnsi="宋体" w:cs="宋体"/>
                <w:color w:val="auto"/>
                <w:sz w:val="21"/>
                <w:szCs w:val="21"/>
              </w:rPr>
            </w:pPr>
            <w:r>
              <w:rPr>
                <w:rFonts w:hint="eastAsia" w:hAnsi="宋体" w:cs="宋体"/>
                <w:color w:val="auto"/>
                <w:sz w:val="21"/>
                <w:szCs w:val="21"/>
              </w:rPr>
              <w:t>联系人：金琴子  电话：0575-88682895/18969515361</w:t>
            </w:r>
          </w:p>
          <w:p>
            <w:pPr>
              <w:pStyle w:val="67"/>
              <w:adjustRightInd w:val="0"/>
              <w:snapToGrid w:val="0"/>
              <w:spacing w:line="360" w:lineRule="exact"/>
              <w:ind w:firstLine="420"/>
              <w:rPr>
                <w:rFonts w:hAnsi="宋体" w:cs="宋体"/>
                <w:color w:val="auto"/>
                <w:sz w:val="21"/>
                <w:szCs w:val="21"/>
              </w:rPr>
            </w:pPr>
            <w:r>
              <w:rPr>
                <w:rFonts w:hint="eastAsia" w:hAnsi="宋体" w:cs="宋体"/>
                <w:color w:val="auto"/>
                <w:sz w:val="21"/>
                <w:szCs w:val="21"/>
              </w:rPr>
              <w:t>电子邮箱：25164046@qq.com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2" w:hRule="atLeast"/>
          <w:jc w:val="center"/>
        </w:trPr>
        <w:tc>
          <w:tcPr>
            <w:tcW w:w="498" w:type="pct"/>
            <w:shd w:val="clear" w:color="000000" w:fill="FFFFFF"/>
            <w:tcMar>
              <w:left w:w="108" w:type="dxa"/>
              <w:right w:w="108" w:type="dxa"/>
            </w:tcMar>
            <w:vAlign w:val="center"/>
          </w:tcPr>
          <w:p>
            <w:pPr>
              <w:pStyle w:val="67"/>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1.1.4</w:t>
            </w:r>
          </w:p>
        </w:tc>
        <w:tc>
          <w:tcPr>
            <w:tcW w:w="1048" w:type="pct"/>
            <w:shd w:val="clear" w:color="000000" w:fill="FFFFFF"/>
            <w:tcMar>
              <w:left w:w="108" w:type="dxa"/>
              <w:right w:w="108" w:type="dxa"/>
            </w:tcMar>
            <w:vAlign w:val="center"/>
          </w:tcPr>
          <w:p>
            <w:pPr>
              <w:pStyle w:val="67"/>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项目名称</w:t>
            </w:r>
          </w:p>
        </w:tc>
        <w:tc>
          <w:tcPr>
            <w:tcW w:w="3452" w:type="pct"/>
            <w:gridSpan w:val="2"/>
            <w:shd w:val="clear" w:color="000000" w:fill="FFFFFF"/>
            <w:tcMar>
              <w:left w:w="108" w:type="dxa"/>
              <w:right w:w="108" w:type="dxa"/>
            </w:tcMar>
            <w:vAlign w:val="center"/>
          </w:tcPr>
          <w:p>
            <w:pPr>
              <w:pStyle w:val="67"/>
              <w:adjustRightInd w:val="0"/>
              <w:snapToGrid w:val="0"/>
              <w:spacing w:line="0" w:lineRule="atLeast"/>
              <w:ind w:firstLine="420"/>
              <w:rPr>
                <w:rFonts w:hAnsi="宋体" w:cs="宋体"/>
                <w:color w:val="auto"/>
                <w:sz w:val="21"/>
                <w:szCs w:val="21"/>
              </w:rPr>
            </w:pPr>
            <w:r>
              <w:rPr>
                <w:rFonts w:hint="eastAsia" w:hAnsi="宋体" w:cs="宋体"/>
                <w:color w:val="auto"/>
                <w:sz w:val="21"/>
                <w:szCs w:val="21"/>
              </w:rPr>
              <w:t>绍兴市中医院改扩建工程EPC总承包内放射防护项目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67"/>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1.1.5</w:t>
            </w:r>
          </w:p>
        </w:tc>
        <w:tc>
          <w:tcPr>
            <w:tcW w:w="1048" w:type="pct"/>
            <w:shd w:val="clear" w:color="000000" w:fill="FFFFFF"/>
            <w:tcMar>
              <w:left w:w="108" w:type="dxa"/>
              <w:right w:w="108" w:type="dxa"/>
            </w:tcMar>
            <w:vAlign w:val="center"/>
          </w:tcPr>
          <w:p>
            <w:pPr>
              <w:pStyle w:val="67"/>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建设地点</w:t>
            </w:r>
          </w:p>
        </w:tc>
        <w:tc>
          <w:tcPr>
            <w:tcW w:w="3452" w:type="pct"/>
            <w:gridSpan w:val="2"/>
            <w:shd w:val="clear" w:color="000000" w:fill="FFFFFF"/>
            <w:tcMar>
              <w:left w:w="108" w:type="dxa"/>
              <w:right w:w="108" w:type="dxa"/>
            </w:tcMar>
            <w:vAlign w:val="center"/>
          </w:tcPr>
          <w:p>
            <w:pPr>
              <w:pStyle w:val="67"/>
              <w:adjustRightInd w:val="0"/>
              <w:snapToGrid w:val="0"/>
              <w:spacing w:line="0" w:lineRule="atLeast"/>
              <w:ind w:firstLine="420"/>
              <w:rPr>
                <w:rFonts w:hAnsi="宋体" w:cs="宋体"/>
                <w:color w:val="auto"/>
                <w:sz w:val="21"/>
                <w:szCs w:val="21"/>
              </w:rPr>
            </w:pPr>
            <w:r>
              <w:rPr>
                <w:rFonts w:hint="eastAsia" w:hAnsi="宋体" w:cs="宋体"/>
                <w:bCs/>
                <w:color w:val="auto"/>
                <w:sz w:val="21"/>
                <w:szCs w:val="21"/>
              </w:rPr>
              <w:t>项目位于越城区稽山路以东、环城东路及新世纪公寓以西、人民中路以北、东街以南地块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jc w:val="center"/>
        </w:trPr>
        <w:tc>
          <w:tcPr>
            <w:tcW w:w="498" w:type="pct"/>
            <w:shd w:val="clear" w:color="000000" w:fill="FFFFFF"/>
            <w:tcMar>
              <w:left w:w="108" w:type="dxa"/>
              <w:right w:w="108" w:type="dxa"/>
            </w:tcMar>
            <w:vAlign w:val="center"/>
          </w:tcPr>
          <w:p>
            <w:pPr>
              <w:pStyle w:val="67"/>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1.2.1</w:t>
            </w:r>
          </w:p>
        </w:tc>
        <w:tc>
          <w:tcPr>
            <w:tcW w:w="1048" w:type="pct"/>
            <w:shd w:val="clear" w:color="000000" w:fill="FFFFFF"/>
            <w:tcMar>
              <w:left w:w="108" w:type="dxa"/>
              <w:right w:w="108" w:type="dxa"/>
            </w:tcMar>
            <w:vAlign w:val="center"/>
          </w:tcPr>
          <w:p>
            <w:pPr>
              <w:pStyle w:val="67"/>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资金来源</w:t>
            </w:r>
          </w:p>
        </w:tc>
        <w:tc>
          <w:tcPr>
            <w:tcW w:w="3452" w:type="pct"/>
            <w:gridSpan w:val="2"/>
            <w:shd w:val="clear" w:color="000000" w:fill="FFFFFF"/>
            <w:tcMar>
              <w:left w:w="108" w:type="dxa"/>
              <w:right w:w="108" w:type="dxa"/>
            </w:tcMar>
            <w:vAlign w:val="center"/>
          </w:tcPr>
          <w:p>
            <w:pPr>
              <w:pStyle w:val="67"/>
              <w:adjustRightInd w:val="0"/>
              <w:snapToGrid w:val="0"/>
              <w:spacing w:line="0" w:lineRule="atLeast"/>
              <w:ind w:firstLine="420"/>
              <w:rPr>
                <w:rFonts w:hAnsi="宋体" w:cs="宋体"/>
                <w:color w:val="auto"/>
                <w:sz w:val="21"/>
                <w:szCs w:val="21"/>
              </w:rPr>
            </w:pPr>
            <w:r>
              <w:rPr>
                <w:rFonts w:hint="eastAsia" w:hAnsi="宋体" w:cs="宋体"/>
                <w:color w:val="auto"/>
                <w:sz w:val="21"/>
                <w:szCs w:val="21"/>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67"/>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1.2.2</w:t>
            </w:r>
          </w:p>
        </w:tc>
        <w:tc>
          <w:tcPr>
            <w:tcW w:w="1048" w:type="pct"/>
            <w:shd w:val="clear" w:color="000000" w:fill="FFFFFF"/>
            <w:tcMar>
              <w:left w:w="108" w:type="dxa"/>
              <w:right w:w="108" w:type="dxa"/>
            </w:tcMar>
            <w:vAlign w:val="center"/>
          </w:tcPr>
          <w:p>
            <w:pPr>
              <w:pStyle w:val="67"/>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出资比例</w:t>
            </w:r>
          </w:p>
        </w:tc>
        <w:tc>
          <w:tcPr>
            <w:tcW w:w="3452" w:type="pct"/>
            <w:gridSpan w:val="2"/>
            <w:shd w:val="clear" w:color="000000" w:fill="FFFFFF"/>
            <w:tcMar>
              <w:left w:w="108" w:type="dxa"/>
              <w:right w:w="108" w:type="dxa"/>
            </w:tcMar>
            <w:vAlign w:val="center"/>
          </w:tcPr>
          <w:p>
            <w:pPr>
              <w:pStyle w:val="67"/>
              <w:adjustRightInd w:val="0"/>
              <w:snapToGrid w:val="0"/>
              <w:spacing w:line="0" w:lineRule="atLeast"/>
              <w:ind w:firstLine="420"/>
              <w:rPr>
                <w:rFonts w:hAnsi="宋体" w:cs="宋体"/>
                <w:color w:val="auto"/>
                <w:sz w:val="21"/>
                <w:szCs w:val="21"/>
              </w:rPr>
            </w:pPr>
            <w:r>
              <w:rPr>
                <w:rFonts w:hint="eastAsia" w:hAnsi="宋体" w:cs="宋体"/>
                <w:color w:val="auto"/>
                <w:sz w:val="21"/>
                <w:szCs w:val="21"/>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9" w:hRule="atLeast"/>
          <w:jc w:val="center"/>
        </w:trPr>
        <w:tc>
          <w:tcPr>
            <w:tcW w:w="498" w:type="pct"/>
            <w:shd w:val="clear" w:color="000000" w:fill="FFFFFF"/>
            <w:tcMar>
              <w:left w:w="108" w:type="dxa"/>
              <w:right w:w="108" w:type="dxa"/>
            </w:tcMar>
            <w:vAlign w:val="center"/>
          </w:tcPr>
          <w:p>
            <w:pPr>
              <w:pStyle w:val="67"/>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1.2.3</w:t>
            </w:r>
          </w:p>
        </w:tc>
        <w:tc>
          <w:tcPr>
            <w:tcW w:w="1048" w:type="pct"/>
            <w:shd w:val="clear" w:color="000000" w:fill="FFFFFF"/>
            <w:tcMar>
              <w:left w:w="108" w:type="dxa"/>
              <w:right w:w="108" w:type="dxa"/>
            </w:tcMar>
            <w:vAlign w:val="center"/>
          </w:tcPr>
          <w:p>
            <w:pPr>
              <w:pStyle w:val="67"/>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资金落实情况</w:t>
            </w:r>
          </w:p>
        </w:tc>
        <w:tc>
          <w:tcPr>
            <w:tcW w:w="3452" w:type="pct"/>
            <w:gridSpan w:val="2"/>
            <w:shd w:val="clear" w:color="000000" w:fill="FFFFFF"/>
            <w:tcMar>
              <w:left w:w="108" w:type="dxa"/>
              <w:right w:w="108" w:type="dxa"/>
            </w:tcMar>
            <w:vAlign w:val="center"/>
          </w:tcPr>
          <w:p>
            <w:pPr>
              <w:pStyle w:val="67"/>
              <w:adjustRightInd w:val="0"/>
              <w:snapToGrid w:val="0"/>
              <w:spacing w:line="0" w:lineRule="atLeast"/>
              <w:ind w:firstLine="420"/>
              <w:rPr>
                <w:rFonts w:hAnsi="宋体" w:cs="宋体"/>
                <w:color w:val="auto"/>
                <w:sz w:val="21"/>
                <w:szCs w:val="21"/>
              </w:rPr>
            </w:pPr>
            <w:r>
              <w:rPr>
                <w:rFonts w:hint="eastAsia" w:hAnsi="宋体" w:cs="宋体"/>
                <w:color w:val="auto"/>
                <w:sz w:val="21"/>
                <w:szCs w:val="21"/>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21"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1.3.1</w:t>
            </w:r>
          </w:p>
        </w:tc>
        <w:tc>
          <w:tcPr>
            <w:tcW w:w="104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招标范围</w:t>
            </w:r>
          </w:p>
        </w:tc>
        <w:tc>
          <w:tcPr>
            <w:tcW w:w="3452" w:type="pct"/>
            <w:gridSpan w:val="2"/>
            <w:shd w:val="clear" w:color="000000" w:fill="FFFFFF"/>
            <w:tcMar>
              <w:left w:w="108" w:type="dxa"/>
              <w:right w:w="108" w:type="dxa"/>
            </w:tcMar>
            <w:vAlign w:val="center"/>
          </w:tcPr>
          <w:p>
            <w:pPr>
              <w:pStyle w:val="67"/>
              <w:adjustRightInd w:val="0"/>
              <w:snapToGrid w:val="0"/>
              <w:spacing w:line="360" w:lineRule="exact"/>
              <w:ind w:firstLine="420"/>
              <w:rPr>
                <w:rFonts w:hAnsi="宋体" w:cs="宋体"/>
                <w:color w:val="auto"/>
                <w:sz w:val="21"/>
                <w:szCs w:val="21"/>
              </w:rPr>
            </w:pPr>
            <w:r>
              <w:rPr>
                <w:rFonts w:hint="eastAsia" w:hAnsi="宋体" w:cs="宋体"/>
                <w:color w:val="auto"/>
                <w:sz w:val="21"/>
                <w:szCs w:val="21"/>
              </w:rPr>
              <w:t>本招标项目为交钥匙工程，</w:t>
            </w:r>
            <w:r>
              <w:rPr>
                <w:rFonts w:hint="eastAsia" w:hAnsi="宋体"/>
                <w:color w:val="auto"/>
                <w:kern w:val="2"/>
                <w:sz w:val="21"/>
                <w:szCs w:val="21"/>
              </w:rPr>
              <w:t>包括</w:t>
            </w:r>
            <w:r>
              <w:rPr>
                <w:rFonts w:hint="eastAsia" w:hAnsi="宋体"/>
                <w:color w:val="auto"/>
                <w:sz w:val="21"/>
                <w:szCs w:val="21"/>
              </w:rPr>
              <w:t>放射</w:t>
            </w:r>
            <w:r>
              <w:rPr>
                <w:rFonts w:hint="eastAsia" w:hAnsi="宋体"/>
                <w:color w:val="auto"/>
                <w:kern w:val="2"/>
                <w:sz w:val="21"/>
                <w:szCs w:val="21"/>
              </w:rPr>
              <w:t>防护系统的设备材料供货、运输、卸货、保管、施工</w:t>
            </w:r>
            <w:r>
              <w:rPr>
                <w:rFonts w:hint="eastAsia" w:hAnsi="宋体"/>
                <w:color w:val="auto"/>
                <w:sz w:val="21"/>
                <w:szCs w:val="21"/>
              </w:rPr>
              <w:t>（包括核磁机房绝缘施工,屏蔽安装,屏蔽附件安装；屏蔽室内通风管道安装,照明及电路安装无磁桥架安装,墙面吸音板安装,地面高密度板垫平,地面自流平,地面塑胶地板铺设；顶面铝微孔吸音板安装；桥架安装；设备间空调管道安装；失超管和紧急排风管道安装等。）</w:t>
            </w:r>
            <w:r>
              <w:rPr>
                <w:rFonts w:hint="eastAsia" w:hAnsi="宋体"/>
                <w:color w:val="auto"/>
                <w:kern w:val="2"/>
                <w:sz w:val="21"/>
                <w:szCs w:val="21"/>
              </w:rPr>
              <w:t>、安装调试、检测等，</w:t>
            </w:r>
            <w:r>
              <w:rPr>
                <w:rFonts w:hint="eastAsia" w:hAnsi="宋体" w:cs="宋体"/>
                <w:color w:val="auto"/>
                <w:sz w:val="21"/>
                <w:szCs w:val="21"/>
              </w:rPr>
              <w:t>如有图纸、清单不明确或缺项的内容须无条件按业主要求进行设计和施工，</w:t>
            </w:r>
            <w:r>
              <w:rPr>
                <w:rFonts w:hint="eastAsia" w:hAnsi="宋体"/>
                <w:color w:val="auto"/>
                <w:kern w:val="2"/>
                <w:sz w:val="21"/>
                <w:szCs w:val="21"/>
              </w:rPr>
              <w:t>并最终通过验收</w:t>
            </w:r>
            <w:r>
              <w:rPr>
                <w:rFonts w:hint="eastAsia" w:hAnsi="宋体" w:cs="宋体"/>
                <w:color w:val="auto"/>
                <w:sz w:val="21"/>
                <w:szCs w:val="21"/>
              </w:rPr>
              <w:t>；同时负责技术服务与培训，提交相关完整的技术资料（含操作手册）、施工技术档案以及质保期内的维修保养（含质保期内的维保人员驻点服务）等内容。具体详见招标文件技术标准和要求。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1.3.2</w:t>
            </w:r>
          </w:p>
        </w:tc>
        <w:tc>
          <w:tcPr>
            <w:tcW w:w="1048" w:type="pct"/>
            <w:shd w:val="clear" w:color="000000" w:fill="FFFFFF"/>
            <w:tcMar>
              <w:left w:w="108" w:type="dxa"/>
              <w:right w:w="108" w:type="dxa"/>
            </w:tcMar>
            <w:vAlign w:val="center"/>
          </w:tcPr>
          <w:p>
            <w:pPr>
              <w:jc w:val="center"/>
              <w:rPr>
                <w:rFonts w:ascii="宋体" w:hAnsi="宋体" w:cs="宋体"/>
                <w:color w:val="auto"/>
                <w:szCs w:val="21"/>
              </w:rPr>
            </w:pPr>
            <w:r>
              <w:rPr>
                <w:rFonts w:hint="eastAsia" w:ascii="宋体" w:hAnsi="宋体" w:cs="宋体"/>
                <w:color w:val="auto"/>
                <w:szCs w:val="21"/>
              </w:rPr>
              <w:t>工期要求</w:t>
            </w:r>
          </w:p>
        </w:tc>
        <w:tc>
          <w:tcPr>
            <w:tcW w:w="3452" w:type="pct"/>
            <w:gridSpan w:val="2"/>
            <w:shd w:val="clear" w:color="000000" w:fill="FFFFFF"/>
            <w:tcMar>
              <w:left w:w="108" w:type="dxa"/>
              <w:right w:w="108" w:type="dxa"/>
            </w:tcMar>
            <w:vAlign w:val="center"/>
          </w:tcPr>
          <w:p>
            <w:pPr>
              <w:ind w:firstLine="420" w:firstLineChars="200"/>
              <w:rPr>
                <w:rFonts w:ascii="宋体" w:hAnsi="宋体" w:cs="宋体"/>
                <w:color w:val="auto"/>
                <w:szCs w:val="21"/>
              </w:rPr>
            </w:pPr>
            <w:r>
              <w:rPr>
                <w:rFonts w:hint="eastAsia" w:ascii="宋体" w:hAnsi="宋体" w:cs="宋体"/>
                <w:color w:val="auto"/>
                <w:szCs w:val="21"/>
              </w:rPr>
              <w:t>90天（自中标通知书发出之日起开始）。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1.3.3</w:t>
            </w:r>
          </w:p>
        </w:tc>
        <w:tc>
          <w:tcPr>
            <w:tcW w:w="1048" w:type="pct"/>
            <w:shd w:val="clear" w:color="000000" w:fill="FFFFFF"/>
            <w:tcMar>
              <w:left w:w="108" w:type="dxa"/>
              <w:right w:w="108" w:type="dxa"/>
            </w:tcMar>
            <w:vAlign w:val="center"/>
          </w:tcPr>
          <w:p>
            <w:pPr>
              <w:ind w:firstLine="210" w:firstLineChars="100"/>
              <w:jc w:val="center"/>
              <w:rPr>
                <w:rFonts w:ascii="宋体" w:hAnsi="宋体" w:cs="宋体"/>
                <w:color w:val="auto"/>
                <w:szCs w:val="21"/>
              </w:rPr>
            </w:pPr>
            <w:r>
              <w:rPr>
                <w:rFonts w:hint="eastAsia" w:ascii="宋体" w:hAnsi="宋体" w:cs="宋体"/>
                <w:color w:val="auto"/>
                <w:szCs w:val="21"/>
              </w:rPr>
              <w:t>质量要求</w:t>
            </w:r>
          </w:p>
        </w:tc>
        <w:tc>
          <w:tcPr>
            <w:tcW w:w="3452" w:type="pct"/>
            <w:gridSpan w:val="2"/>
            <w:shd w:val="clear" w:color="000000" w:fill="FFFFFF"/>
            <w:tcMar>
              <w:left w:w="108" w:type="dxa"/>
              <w:right w:w="108" w:type="dxa"/>
            </w:tcMar>
            <w:vAlign w:val="center"/>
          </w:tcPr>
          <w:p>
            <w:pPr>
              <w:ind w:firstLine="420" w:firstLineChars="200"/>
              <w:jc w:val="left"/>
              <w:rPr>
                <w:rFonts w:ascii="宋体" w:hAnsi="宋体" w:cs="宋体"/>
                <w:color w:val="auto"/>
                <w:szCs w:val="21"/>
              </w:rPr>
            </w:pPr>
            <w:r>
              <w:rPr>
                <w:rFonts w:hint="eastAsia" w:ascii="宋体" w:hAnsi="宋体" w:cs="宋体"/>
                <w:color w:val="auto"/>
                <w:szCs w:val="21"/>
              </w:rPr>
              <w:t>合格，并一次性通过相关机构检测。配合总承包单位争创钱江杯、鲁班奖。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1.4.1</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投标资格</w:t>
            </w:r>
          </w:p>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条件、要求</w:t>
            </w:r>
          </w:p>
        </w:tc>
        <w:tc>
          <w:tcPr>
            <w:tcW w:w="3452" w:type="pct"/>
            <w:gridSpan w:val="2"/>
            <w:shd w:val="clear" w:color="000000" w:fill="FFFFFF"/>
            <w:tcMar>
              <w:left w:w="108" w:type="dxa"/>
              <w:right w:w="108" w:type="dxa"/>
            </w:tcMar>
            <w:vAlign w:val="center"/>
          </w:tcPr>
          <w:p>
            <w:pPr>
              <w:spacing w:line="440" w:lineRule="auto"/>
              <w:ind w:firstLine="420" w:firstLineChars="200"/>
              <w:rPr>
                <w:rFonts w:ascii="宋体" w:hAnsi="宋体" w:cs="宋体"/>
                <w:color w:val="auto"/>
                <w:szCs w:val="21"/>
              </w:rPr>
            </w:pPr>
            <w:r>
              <w:rPr>
                <w:rFonts w:hint="eastAsia" w:ascii="宋体" w:hAnsi="宋体" w:cs="宋体"/>
                <w:color w:val="auto"/>
                <w:szCs w:val="21"/>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1.4.2</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是否接受</w:t>
            </w:r>
          </w:p>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联合体投标</w:t>
            </w:r>
          </w:p>
        </w:tc>
        <w:tc>
          <w:tcPr>
            <w:tcW w:w="3452" w:type="pct"/>
            <w:gridSpan w:val="2"/>
            <w:shd w:val="clear" w:color="000000" w:fill="FFFFFF"/>
            <w:tcMar>
              <w:left w:w="108" w:type="dxa"/>
              <w:right w:w="108" w:type="dxa"/>
            </w:tcMar>
            <w:vAlign w:val="center"/>
          </w:tcPr>
          <w:p>
            <w:pPr>
              <w:pStyle w:val="67"/>
              <w:adjustRightInd w:val="0"/>
              <w:snapToGrid w:val="0"/>
              <w:spacing w:line="0" w:lineRule="atLeast"/>
              <w:ind w:firstLine="420"/>
              <w:rPr>
                <w:rFonts w:hAnsi="宋体" w:cs="宋体"/>
                <w:color w:val="auto"/>
                <w:sz w:val="21"/>
                <w:szCs w:val="21"/>
              </w:rPr>
            </w:pPr>
            <w:r>
              <w:rPr>
                <w:rFonts w:hint="eastAsia" w:hAnsi="宋体" w:cs="宋体"/>
                <w:color w:val="auto"/>
                <w:sz w:val="21"/>
                <w:szCs w:val="21"/>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565"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1.9.1</w:t>
            </w:r>
          </w:p>
        </w:tc>
        <w:tc>
          <w:tcPr>
            <w:tcW w:w="1048" w:type="pct"/>
            <w:shd w:val="clear" w:color="000000" w:fill="FFFFFF"/>
            <w:tcMar>
              <w:left w:w="108" w:type="dxa"/>
              <w:right w:w="108" w:type="dxa"/>
            </w:tcMar>
            <w:vAlign w:val="center"/>
          </w:tcPr>
          <w:p>
            <w:pPr>
              <w:pStyle w:val="67"/>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踏勘现场</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sym w:font="Wingdings 2" w:char="00A3"/>
            </w:r>
            <w:r>
              <w:rPr>
                <w:rFonts w:hint="eastAsia" w:ascii="宋体" w:hAnsi="宋体" w:cs="宋体"/>
                <w:color w:val="auto"/>
                <w:szCs w:val="21"/>
              </w:rPr>
              <w:t>不组织</w:t>
            </w:r>
          </w:p>
          <w:p>
            <w:pPr>
              <w:spacing w:line="360" w:lineRule="exact"/>
              <w:ind w:firstLine="420" w:firstLineChars="200"/>
              <w:rPr>
                <w:rFonts w:ascii="宋体" w:hAnsi="宋体" w:cs="宋体"/>
                <w:bCs/>
                <w:color w:val="auto"/>
                <w:szCs w:val="21"/>
              </w:rPr>
            </w:pPr>
            <w:r>
              <w:rPr>
                <w:rFonts w:hint="eastAsia" w:ascii="宋体" w:hAnsi="宋体" w:cs="宋体"/>
                <w:color w:val="auto"/>
                <w:szCs w:val="21"/>
                <w:bdr w:val="single" w:color="auto" w:sz="4" w:space="0"/>
              </w:rPr>
              <w:t>√</w:t>
            </w:r>
            <w:r>
              <w:rPr>
                <w:rFonts w:hint="eastAsia" w:ascii="宋体" w:hAnsi="宋体" w:cs="宋体"/>
                <w:color w:val="auto"/>
                <w:szCs w:val="21"/>
              </w:rPr>
              <w:t>组织，踏勘截止时间：</w:t>
            </w:r>
            <w:r>
              <w:rPr>
                <w:rFonts w:hint="eastAsia" w:ascii="宋体" w:hAnsi="宋体" w:cs="宋体"/>
                <w:color w:val="auto"/>
                <w:szCs w:val="21"/>
                <w:u w:val="single"/>
              </w:rPr>
              <w:t>投标截止时间前3天</w:t>
            </w:r>
            <w:r>
              <w:rPr>
                <w:rFonts w:hint="eastAsia" w:ascii="宋体" w:hAnsi="宋体" w:cs="宋体"/>
                <w:bCs/>
                <w:color w:val="auto"/>
                <w:szCs w:val="21"/>
                <w:u w:val="single"/>
              </w:rPr>
              <w:t xml:space="preserve">  </w:t>
            </w:r>
          </w:p>
          <w:p>
            <w:pPr>
              <w:pStyle w:val="67"/>
              <w:adjustRightInd w:val="0"/>
              <w:snapToGrid w:val="0"/>
              <w:spacing w:line="360" w:lineRule="exact"/>
              <w:ind w:firstLine="420"/>
              <w:jc w:val="both"/>
              <w:rPr>
                <w:rFonts w:hAnsi="宋体" w:cs="宋体"/>
                <w:color w:val="auto"/>
                <w:sz w:val="21"/>
                <w:szCs w:val="21"/>
              </w:rPr>
            </w:pPr>
            <w:r>
              <w:rPr>
                <w:rFonts w:hint="eastAsia" w:hAnsi="宋体" w:cs="宋体"/>
                <w:bCs/>
                <w:color w:val="auto"/>
                <w:sz w:val="21"/>
                <w:szCs w:val="21"/>
              </w:rPr>
              <w:t xml:space="preserve">        踏勘集中地点：</w:t>
            </w:r>
            <w:r>
              <w:rPr>
                <w:rFonts w:hint="eastAsia" w:hAnsi="宋体" w:cs="宋体"/>
                <w:bCs/>
                <w:color w:val="auto"/>
                <w:sz w:val="21"/>
                <w:szCs w:val="21"/>
                <w:u w:val="single"/>
              </w:rPr>
              <w:t>工程项目部会议室，联系人：</w:t>
            </w:r>
            <w:r>
              <w:rPr>
                <w:rFonts w:hint="eastAsia" w:hAnsi="宋体" w:cs="宋体"/>
                <w:color w:val="auto"/>
                <w:sz w:val="21"/>
                <w:szCs w:val="21"/>
                <w:u w:val="single"/>
              </w:rPr>
              <w:t>冯文君，</w:t>
            </w:r>
            <w:r>
              <w:rPr>
                <w:rFonts w:hint="eastAsia" w:hAnsi="宋体" w:cs="宋体"/>
                <w:bCs/>
                <w:color w:val="auto"/>
                <w:sz w:val="21"/>
                <w:szCs w:val="21"/>
                <w:u w:val="single"/>
              </w:rPr>
              <w:t>联系电话：</w:t>
            </w:r>
            <w:r>
              <w:rPr>
                <w:rFonts w:hint="eastAsia" w:hAnsi="宋体" w:cs="宋体"/>
                <w:color w:val="auto"/>
                <w:sz w:val="21"/>
                <w:szCs w:val="21"/>
                <w:u w:val="single"/>
              </w:rPr>
              <w:t>15967559599</w:t>
            </w:r>
            <w:r>
              <w:rPr>
                <w:rFonts w:hint="eastAsia" w:hAnsi="宋体" w:cs="宋体"/>
                <w:bCs/>
                <w:color w:val="auto"/>
                <w:sz w:val="21"/>
                <w:szCs w:val="21"/>
                <w:u w:val="single"/>
              </w:rPr>
              <w:t>。因工程复杂，请潜在投标人参加现场踏勘，未按时参加者，招标人不再另行组织，由潜在投标人自行踏勘。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1.10.1</w:t>
            </w:r>
          </w:p>
        </w:tc>
        <w:tc>
          <w:tcPr>
            <w:tcW w:w="1048" w:type="pct"/>
            <w:shd w:val="clear" w:color="000000" w:fill="FFFFFF"/>
            <w:tcMar>
              <w:left w:w="108" w:type="dxa"/>
              <w:right w:w="108" w:type="dxa"/>
            </w:tcMar>
            <w:vAlign w:val="center"/>
          </w:tcPr>
          <w:p>
            <w:pPr>
              <w:pStyle w:val="67"/>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投标预备会</w:t>
            </w:r>
          </w:p>
        </w:tc>
        <w:tc>
          <w:tcPr>
            <w:tcW w:w="3411" w:type="pct"/>
            <w:shd w:val="clear" w:color="000000" w:fill="FFFFFF"/>
            <w:tcMar>
              <w:left w:w="108" w:type="dxa"/>
              <w:right w:w="108" w:type="dxa"/>
            </w:tcMar>
            <w:vAlign w:val="center"/>
          </w:tcPr>
          <w:p>
            <w:pPr>
              <w:pStyle w:val="67"/>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4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1.10.2</w:t>
            </w:r>
          </w:p>
        </w:tc>
        <w:tc>
          <w:tcPr>
            <w:tcW w:w="104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投标人提出问题的截止时间</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color w:val="auto"/>
              </w:rPr>
              <w:fldChar w:fldCharType="begin"/>
            </w:r>
            <w:r>
              <w:rPr>
                <w:color w:val="auto"/>
              </w:rPr>
              <w:instrText xml:space="preserve"> HYPERLINK "mailto:时前（北京时间），请将要求澄清内容加盖单位公章后将扫描件、WORD电子版发到229330322@qq.com。" </w:instrText>
            </w:r>
            <w:r>
              <w:rPr>
                <w:color w:val="auto"/>
              </w:rPr>
              <w:fldChar w:fldCharType="separate"/>
            </w:r>
            <w:r>
              <w:rPr>
                <w:rFonts w:hint="eastAsia" w:ascii="宋体" w:hAnsi="宋体" w:cs="宋体"/>
                <w:color w:val="auto"/>
                <w:szCs w:val="21"/>
              </w:rPr>
              <w:t>时前（北京时间），请将要求澄清内容加盖单位公章后将扫描件、WORD电子版发到25164046@qq.com。</w:t>
            </w:r>
            <w:r>
              <w:rPr>
                <w:rFonts w:hint="eastAsia" w:ascii="宋体" w:hAnsi="宋体" w:cs="宋体"/>
                <w:color w:val="auto"/>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310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1.10.3</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招标文件的澄清、补充、修改的时间以及澄清、补充、修改文件的下载网址</w:t>
            </w:r>
          </w:p>
        </w:tc>
        <w:tc>
          <w:tcPr>
            <w:tcW w:w="3411" w:type="pct"/>
            <w:shd w:val="clear" w:color="000000" w:fill="FFFFFF"/>
            <w:tcMar>
              <w:left w:w="108" w:type="dxa"/>
              <w:right w:w="108" w:type="dxa"/>
            </w:tcMar>
            <w:vAlign w:val="center"/>
          </w:tcPr>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澄清、补充、修改的内容影响投标文件编制的，招标人将在投标截止时间15日前，以电子文件形式上传至交易平台供投标人下载，不足15天的，招标人将顺延递交投标文件的截止时间。</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澄清、补充、修改的内容不影响投标文件编制的，将在投标文件递交截止时间</w:t>
            </w:r>
            <w:r>
              <w:rPr>
                <w:rFonts w:hint="eastAsia" w:hAnsi="宋体" w:cs="宋体"/>
                <w:color w:val="auto"/>
                <w:sz w:val="21"/>
                <w:szCs w:val="21"/>
                <w:u w:val="single"/>
              </w:rPr>
              <w:t xml:space="preserve"> 7 </w:t>
            </w:r>
            <w:r>
              <w:rPr>
                <w:rFonts w:hint="eastAsia" w:hAnsi="宋体" w:cs="宋体"/>
                <w:color w:val="auto"/>
                <w:sz w:val="21"/>
                <w:szCs w:val="21"/>
              </w:rPr>
              <w:t>天前，以上款相同的形式发布。</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下载网址：绍兴公共资源交易网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hAnsi="宋体" w:cs="宋体"/>
                <w:color w:val="auto"/>
                <w:sz w:val="21"/>
                <w:szCs w:val="21"/>
              </w:rPr>
              <w:t>（http://ggb.sx.gov.cn/</w:t>
            </w:r>
            <w:r>
              <w:rPr>
                <w:rFonts w:hint="eastAsia" w:hAnsi="宋体" w:cs="宋体"/>
                <w:color w:val="auto"/>
                <w:sz w:val="21"/>
                <w:szCs w:val="21"/>
              </w:rPr>
              <w:fldChar w:fldCharType="end"/>
            </w:r>
            <w:r>
              <w:rPr>
                <w:rFonts w:hint="eastAsia" w:hAnsi="宋体" w:cs="宋体"/>
                <w:color w:val="auto"/>
                <w:sz w:val="21"/>
                <w:szCs w:val="21"/>
              </w:rPr>
              <w:t>），投标人须使用用户名和密码登录交易平台后下载相关文件。</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注：潜在投标人应密切关注交易平台，如有补充文件，投标人必须下载最新补充文件</w:t>
            </w:r>
            <w:r>
              <w:rPr>
                <w:rFonts w:hint="eastAsia" w:hAnsi="宋体" w:cs="宋体"/>
                <w:strike/>
                <w:color w:val="auto"/>
                <w:sz w:val="21"/>
                <w:szCs w:val="21"/>
              </w:rPr>
              <w:t>并导入投标文件制作工具，否则制作的电子投标文件将无法开标</w:t>
            </w:r>
            <w:r>
              <w:rPr>
                <w:rFonts w:hint="eastAsia" w:hAnsi="宋体" w:cs="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6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1.10.4</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投标人确认收到澄清、补充、修改文件的时间</w:t>
            </w:r>
          </w:p>
        </w:tc>
        <w:tc>
          <w:tcPr>
            <w:tcW w:w="3411" w:type="pct"/>
            <w:shd w:val="clear" w:color="000000" w:fill="FFFFFF"/>
            <w:tcMar>
              <w:left w:w="108" w:type="dxa"/>
              <w:right w:w="108" w:type="dxa"/>
            </w:tcMar>
            <w:vAlign w:val="center"/>
          </w:tcPr>
          <w:p>
            <w:pPr>
              <w:spacing w:line="360" w:lineRule="exact"/>
              <w:ind w:right="-136" w:rightChars="-65" w:firstLine="420" w:firstLineChars="200"/>
              <w:jc w:val="left"/>
              <w:rPr>
                <w:rFonts w:ascii="宋体" w:hAnsi="宋体" w:cs="宋体"/>
                <w:color w:val="auto"/>
                <w:szCs w:val="21"/>
              </w:rPr>
            </w:pPr>
            <w:r>
              <w:rPr>
                <w:rFonts w:hint="eastAsia" w:ascii="宋体" w:hAnsi="宋体" w:cs="宋体"/>
                <w:color w:val="auto"/>
                <w:szCs w:val="21"/>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ascii="宋体" w:hAnsi="宋体" w:cs="宋体"/>
                <w:color w:val="auto"/>
                <w:spacing w:val="-6"/>
                <w:szCs w:val="21"/>
              </w:rPr>
              <w:t>（http://ggb.sx.gov.cn/</w:t>
            </w:r>
            <w:r>
              <w:rPr>
                <w:rFonts w:hint="eastAsia" w:ascii="宋体" w:hAnsi="宋体" w:cs="宋体"/>
                <w:color w:val="auto"/>
                <w:spacing w:val="-6"/>
                <w:szCs w:val="21"/>
              </w:rPr>
              <w:fldChar w:fldCharType="end"/>
            </w:r>
            <w:r>
              <w:rPr>
                <w:rFonts w:hint="eastAsia" w:ascii="宋体" w:hAnsi="宋体" w:cs="宋体"/>
                <w:color w:val="auto"/>
                <w:spacing w:val="-6"/>
                <w:szCs w:val="21"/>
              </w:rPr>
              <w:t>）的交易平台及短信通知</w:t>
            </w:r>
            <w:r>
              <w:rPr>
                <w:rFonts w:hint="eastAsia" w:ascii="宋体" w:hAnsi="宋体" w:cs="宋体"/>
                <w:color w:val="auto"/>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66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1.11</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招标工程是否允许分包</w:t>
            </w:r>
          </w:p>
        </w:tc>
        <w:tc>
          <w:tcPr>
            <w:tcW w:w="3411" w:type="pct"/>
            <w:shd w:val="clear" w:color="000000" w:fill="FFFFFF"/>
            <w:tcMar>
              <w:left w:w="108" w:type="dxa"/>
              <w:right w:w="108" w:type="dxa"/>
            </w:tcMar>
            <w:vAlign w:val="center"/>
          </w:tcPr>
          <w:p>
            <w:pPr>
              <w:pStyle w:val="67"/>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1.12</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偏离</w:t>
            </w:r>
          </w:p>
        </w:tc>
        <w:tc>
          <w:tcPr>
            <w:tcW w:w="3411" w:type="pct"/>
            <w:shd w:val="clear" w:color="000000" w:fill="FFFFFF"/>
            <w:tcMar>
              <w:left w:w="108" w:type="dxa"/>
              <w:right w:w="108" w:type="dxa"/>
            </w:tcMar>
            <w:vAlign w:val="center"/>
          </w:tcPr>
          <w:p>
            <w:pPr>
              <w:pStyle w:val="67"/>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2.1</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构成招标文件的其他资料</w:t>
            </w:r>
          </w:p>
        </w:tc>
        <w:tc>
          <w:tcPr>
            <w:tcW w:w="3411" w:type="pct"/>
            <w:shd w:val="clear" w:color="000000" w:fill="FFFFFF"/>
            <w:tcMar>
              <w:left w:w="108" w:type="dxa"/>
              <w:right w:w="108" w:type="dxa"/>
            </w:tcMar>
            <w:vAlign w:val="center"/>
          </w:tcPr>
          <w:p>
            <w:pPr>
              <w:pStyle w:val="67"/>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2.2.1</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投标人要求澄清招标文件的截止时间</w:t>
            </w:r>
          </w:p>
        </w:tc>
        <w:tc>
          <w:tcPr>
            <w:tcW w:w="3411" w:type="pct"/>
            <w:shd w:val="clear" w:color="000000" w:fill="FFFFFF"/>
            <w:tcMar>
              <w:left w:w="108" w:type="dxa"/>
              <w:right w:w="108" w:type="dxa"/>
            </w:tcMar>
            <w:vAlign w:val="center"/>
          </w:tcPr>
          <w:p>
            <w:pPr>
              <w:pStyle w:val="67"/>
              <w:adjustRightInd w:val="0"/>
              <w:snapToGrid w:val="0"/>
              <w:spacing w:line="0" w:lineRule="atLeast"/>
              <w:ind w:firstLine="420"/>
              <w:jc w:val="both"/>
              <w:rPr>
                <w:rFonts w:hAnsi="宋体" w:cs="宋体"/>
                <w:color w:val="auto"/>
                <w:sz w:val="21"/>
                <w:szCs w:val="21"/>
              </w:rPr>
            </w:pPr>
            <w:r>
              <w:rPr>
                <w:rFonts w:hint="eastAsia" w:hAnsi="宋体"/>
                <w:color w:val="auto"/>
                <w:sz w:val="21"/>
                <w:szCs w:val="21"/>
                <w:u w:val="single"/>
              </w:rPr>
              <w:t xml:space="preserve"> 2021 </w:t>
            </w:r>
            <w:r>
              <w:rPr>
                <w:rFonts w:hint="eastAsia" w:hAnsi="宋体"/>
                <w:color w:val="auto"/>
                <w:sz w:val="21"/>
                <w:szCs w:val="21"/>
              </w:rPr>
              <w:t>年</w:t>
            </w:r>
            <w:r>
              <w:rPr>
                <w:rFonts w:hint="eastAsia" w:hAnsi="宋体" w:cs="宋体"/>
                <w:color w:val="auto"/>
                <w:szCs w:val="21"/>
                <w:u w:val="single"/>
              </w:rPr>
              <w:t xml:space="preserve">    </w:t>
            </w:r>
            <w:r>
              <w:rPr>
                <w:rFonts w:hint="eastAsia" w:hAnsi="宋体" w:cs="宋体"/>
                <w:color w:val="auto"/>
                <w:szCs w:val="21"/>
              </w:rPr>
              <w:t>月</w:t>
            </w:r>
            <w:r>
              <w:rPr>
                <w:rFonts w:hint="eastAsia" w:hAnsi="宋体" w:cs="宋体"/>
                <w:color w:val="auto"/>
                <w:szCs w:val="21"/>
                <w:u w:val="single"/>
              </w:rPr>
              <w:t xml:space="preserve">    </w:t>
            </w:r>
            <w:r>
              <w:rPr>
                <w:rFonts w:hint="eastAsia" w:hAnsi="宋体" w:cs="宋体"/>
                <w:color w:val="auto"/>
                <w:szCs w:val="21"/>
              </w:rPr>
              <w:t>日</w:t>
            </w:r>
            <w:r>
              <w:rPr>
                <w:rFonts w:hint="eastAsia" w:hAnsi="宋体" w:cs="宋体"/>
                <w:color w:val="auto"/>
                <w:szCs w:val="21"/>
                <w:u w:val="single"/>
                <w:lang w:val="en-US" w:eastAsia="zh-CN"/>
              </w:rPr>
              <w:t xml:space="preserve"> </w:t>
            </w:r>
            <w:r>
              <w:rPr>
                <w:rFonts w:hint="eastAsia" w:hAnsi="宋体"/>
                <w:color w:val="auto"/>
                <w:sz w:val="21"/>
                <w:szCs w:val="21"/>
                <w:u w:val="single"/>
              </w:rPr>
              <w:t xml:space="preserve"> </w:t>
            </w:r>
            <w:r>
              <w:rPr>
                <w:rFonts w:hint="eastAsia" w:hAnsi="宋体"/>
                <w:color w:val="auto"/>
                <w:sz w:val="21"/>
                <w:szCs w:val="21"/>
                <w:u w:val="single"/>
                <w:lang w:val="en-US" w:eastAsia="zh-CN"/>
              </w:rPr>
              <w:t xml:space="preserve">  </w:t>
            </w:r>
            <w:r>
              <w:rPr>
                <w:rFonts w:hint="eastAsia" w:hAnsi="宋体"/>
                <w:color w:val="auto"/>
                <w:sz w:val="21"/>
                <w:szCs w:val="21"/>
              </w:rPr>
              <w:t>时</w:t>
            </w:r>
            <w:r>
              <w:rPr>
                <w:rFonts w:hint="eastAsia" w:hAnsi="宋体"/>
                <w:color w:val="auto"/>
                <w:sz w:val="21"/>
                <w:szCs w:val="21"/>
                <w:u w:val="single"/>
              </w:rPr>
              <w:t xml:space="preserve"> </w:t>
            </w:r>
            <w:r>
              <w:rPr>
                <w:rFonts w:hint="eastAsia" w:hAnsi="宋体"/>
                <w:color w:val="auto"/>
                <w:sz w:val="21"/>
                <w:szCs w:val="21"/>
                <w:u w:val="single"/>
                <w:lang w:val="en-US" w:eastAsia="zh-CN"/>
              </w:rPr>
              <w:t xml:space="preserve">   </w:t>
            </w:r>
            <w:r>
              <w:rPr>
                <w:rFonts w:hint="eastAsia" w:hAnsi="宋体"/>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2.2.2</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投标截止时间</w:t>
            </w:r>
          </w:p>
        </w:tc>
        <w:tc>
          <w:tcPr>
            <w:tcW w:w="3411" w:type="pct"/>
            <w:shd w:val="clear" w:color="000000" w:fill="FFFFFF"/>
            <w:tcMar>
              <w:left w:w="108" w:type="dxa"/>
              <w:right w:w="108" w:type="dxa"/>
            </w:tcMar>
            <w:vAlign w:val="center"/>
          </w:tcPr>
          <w:p>
            <w:pPr>
              <w:pStyle w:val="67"/>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2.2.3</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投标人确认收到招标文件澄清的时间</w:t>
            </w:r>
          </w:p>
        </w:tc>
        <w:tc>
          <w:tcPr>
            <w:tcW w:w="3411" w:type="pct"/>
            <w:shd w:val="clear" w:color="000000" w:fill="FFFFFF"/>
            <w:tcMar>
              <w:left w:w="108" w:type="dxa"/>
              <w:right w:w="108" w:type="dxa"/>
            </w:tcMar>
            <w:vAlign w:val="center"/>
          </w:tcPr>
          <w:p>
            <w:pPr>
              <w:pStyle w:val="67"/>
              <w:adjustRightInd w:val="0"/>
              <w:snapToGrid w:val="0"/>
              <w:spacing w:line="360" w:lineRule="exact"/>
              <w:ind w:right="-136" w:rightChars="-65" w:firstLine="420"/>
              <w:rPr>
                <w:rFonts w:hAnsi="宋体" w:cs="宋体"/>
                <w:color w:val="auto"/>
                <w:sz w:val="21"/>
                <w:szCs w:val="21"/>
              </w:rPr>
            </w:pPr>
            <w:r>
              <w:rPr>
                <w:rFonts w:hint="eastAsia" w:hAnsi="宋体" w:cs="宋体"/>
                <w:color w:val="auto"/>
                <w:sz w:val="21"/>
                <w:szCs w:val="21"/>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hAnsi="宋体" w:cs="宋体"/>
                <w:color w:val="auto"/>
                <w:sz w:val="21"/>
                <w:szCs w:val="21"/>
              </w:rPr>
              <w:t>（http://ggb.sx.gov.cn/</w:t>
            </w:r>
            <w:r>
              <w:rPr>
                <w:rFonts w:hint="eastAsia" w:hAnsi="宋体" w:cs="宋体"/>
                <w:color w:val="auto"/>
                <w:sz w:val="21"/>
                <w:szCs w:val="21"/>
              </w:rPr>
              <w:fldChar w:fldCharType="end"/>
            </w:r>
            <w:r>
              <w:rPr>
                <w:rFonts w:hint="eastAsia" w:hAnsi="宋体" w:cs="宋体"/>
                <w:color w:val="auto"/>
                <w:sz w:val="21"/>
                <w:szCs w:val="21"/>
              </w:rPr>
              <w:t>）</w:t>
            </w:r>
            <w:r>
              <w:rPr>
                <w:rFonts w:hint="eastAsia" w:hAnsi="宋体" w:cs="宋体"/>
                <w:color w:val="auto"/>
                <w:spacing w:val="-6"/>
                <w:sz w:val="21"/>
                <w:szCs w:val="21"/>
              </w:rPr>
              <w:t>的交易平台及短信通知</w:t>
            </w:r>
            <w:r>
              <w:rPr>
                <w:rFonts w:hint="eastAsia" w:hAnsi="宋体" w:cs="宋体"/>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2.3.2</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投标人确认收到招标文件修改的时间</w:t>
            </w:r>
          </w:p>
        </w:tc>
        <w:tc>
          <w:tcPr>
            <w:tcW w:w="3411" w:type="pct"/>
            <w:shd w:val="clear" w:color="000000" w:fill="FFFFFF"/>
            <w:tcMar>
              <w:left w:w="108" w:type="dxa"/>
              <w:right w:w="108" w:type="dxa"/>
            </w:tcMar>
            <w:vAlign w:val="center"/>
          </w:tcPr>
          <w:p>
            <w:pPr>
              <w:pStyle w:val="67"/>
              <w:adjustRightInd w:val="0"/>
              <w:snapToGrid w:val="0"/>
              <w:spacing w:line="360" w:lineRule="exact"/>
              <w:ind w:right="-136" w:rightChars="-65" w:firstLine="420"/>
              <w:rPr>
                <w:rFonts w:hAnsi="宋体" w:cs="宋体"/>
                <w:color w:val="auto"/>
                <w:sz w:val="21"/>
                <w:szCs w:val="21"/>
              </w:rPr>
            </w:pPr>
            <w:r>
              <w:rPr>
                <w:rFonts w:hint="eastAsia" w:hAnsi="宋体" w:cs="宋体"/>
                <w:color w:val="auto"/>
                <w:sz w:val="21"/>
                <w:szCs w:val="21"/>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hAnsi="宋体" w:cs="宋体"/>
                <w:color w:val="auto"/>
                <w:sz w:val="21"/>
                <w:szCs w:val="21"/>
              </w:rPr>
              <w:t>（http://ggb.sx.gov.cn/</w:t>
            </w:r>
            <w:r>
              <w:rPr>
                <w:rFonts w:hint="eastAsia" w:hAnsi="宋体" w:cs="宋体"/>
                <w:color w:val="auto"/>
                <w:sz w:val="21"/>
                <w:szCs w:val="21"/>
              </w:rPr>
              <w:fldChar w:fldCharType="end"/>
            </w:r>
            <w:r>
              <w:rPr>
                <w:rFonts w:hint="eastAsia" w:hAnsi="宋体" w:cs="宋体"/>
                <w:color w:val="auto"/>
                <w:sz w:val="21"/>
                <w:szCs w:val="21"/>
              </w:rPr>
              <w:t>）</w:t>
            </w:r>
            <w:r>
              <w:rPr>
                <w:rFonts w:hint="eastAsia" w:hAnsi="宋体" w:cs="宋体"/>
                <w:color w:val="auto"/>
                <w:spacing w:val="-6"/>
                <w:sz w:val="21"/>
                <w:szCs w:val="21"/>
              </w:rPr>
              <w:t>的交易平台及短信通知</w:t>
            </w:r>
            <w:r>
              <w:rPr>
                <w:rFonts w:hint="eastAsia" w:hAnsi="宋体" w:cs="宋体"/>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3.1.1</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构成投标文件的其他资料</w:t>
            </w:r>
          </w:p>
        </w:tc>
        <w:tc>
          <w:tcPr>
            <w:tcW w:w="3411" w:type="pct"/>
            <w:shd w:val="clear" w:color="000000" w:fill="FFFFFF"/>
            <w:tcMar>
              <w:left w:w="108" w:type="dxa"/>
              <w:right w:w="108" w:type="dxa"/>
            </w:tcMar>
            <w:vAlign w:val="center"/>
          </w:tcPr>
          <w:p>
            <w:pPr>
              <w:pStyle w:val="67"/>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3.2.3</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最高投标限价或其计算方法</w:t>
            </w:r>
          </w:p>
        </w:tc>
        <w:tc>
          <w:tcPr>
            <w:tcW w:w="3411" w:type="pct"/>
            <w:shd w:val="clear" w:color="000000" w:fill="FFFFFF"/>
            <w:tcMar>
              <w:left w:w="108" w:type="dxa"/>
              <w:right w:w="108" w:type="dxa"/>
            </w:tcMar>
            <w:vAlign w:val="center"/>
          </w:tcPr>
          <w:p>
            <w:pPr>
              <w:pStyle w:val="67"/>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本次招标最高投标限价为：410万元。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3.2.4</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投标报价的其他要求</w:t>
            </w:r>
          </w:p>
        </w:tc>
        <w:tc>
          <w:tcPr>
            <w:tcW w:w="3411" w:type="pct"/>
            <w:shd w:val="clear" w:color="000000" w:fill="FFFFFF"/>
            <w:tcMar>
              <w:left w:w="108" w:type="dxa"/>
              <w:right w:w="108" w:type="dxa"/>
            </w:tcMar>
            <w:vAlign w:val="center"/>
          </w:tcPr>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1、投标报价为投标人的投标文件中提出的</w:t>
            </w:r>
            <w:r>
              <w:rPr>
                <w:rFonts w:hint="eastAsia" w:hAnsi="宋体" w:cs="宋体"/>
                <w:b/>
                <w:bCs/>
                <w:color w:val="auto"/>
                <w:sz w:val="21"/>
                <w:szCs w:val="21"/>
                <w:u w:val="single"/>
              </w:rPr>
              <w:t>招标范围内</w:t>
            </w:r>
            <w:r>
              <w:rPr>
                <w:rFonts w:hint="eastAsia" w:hAnsi="宋体" w:cs="宋体"/>
                <w:color w:val="auto"/>
                <w:sz w:val="21"/>
                <w:szCs w:val="21"/>
              </w:rPr>
              <w:t>各项支付金额的总和。</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2、技术标中明确或招标文件、设计图纸确定的相应技术规范要求的费用应包括在投标报价中，否则视同投标优惠。</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4、投标人应先到项目现场踏勘以充分了解现场位置、情况、道路、储存空间、装卸限制及任何其它足以影响报价的情况，任何因忽视或误解工地情况而导致的索赔或工期延长申请将不获批准。</w:t>
            </w:r>
          </w:p>
          <w:p>
            <w:pPr>
              <w:pStyle w:val="54"/>
              <w:spacing w:line="360" w:lineRule="exact"/>
              <w:ind w:firstLine="420"/>
              <w:rPr>
                <w:rFonts w:ascii="宋体" w:hAnsi="宋体" w:cs="宋体"/>
                <w:color w:val="auto"/>
                <w:sz w:val="21"/>
                <w:szCs w:val="21"/>
              </w:rPr>
            </w:pPr>
            <w:r>
              <w:rPr>
                <w:rFonts w:hint="eastAsia" w:ascii="宋体" w:hAnsi="宋体" w:cs="宋体"/>
                <w:color w:val="auto"/>
                <w:sz w:val="21"/>
                <w:szCs w:val="21"/>
              </w:rPr>
              <w:t>5、投标人的投标报价包括但不限于：①按照本工程招标人提供的图纸、货物清单以及本项目技术要求所进行的进一步深化设计费（包括如遇到图纸、货物清单不明确或缺项的内容须无条件满足招标方要求进行的设计）；②设备费、运输保险费、卸货费、保管费、仓储费、工程施工费、设备安装费、安装调试费、检测费</w:t>
            </w:r>
            <w:r>
              <w:rPr>
                <w:rStyle w:val="87"/>
                <w:rFonts w:hint="eastAsia" w:ascii="宋体" w:hAnsi="宋体"/>
                <w:bCs/>
                <w:color w:val="auto"/>
                <w:sz w:val="21"/>
                <w:szCs w:val="21"/>
              </w:rPr>
              <w:t>（含机房内放射防护性能检测）</w:t>
            </w:r>
            <w:r>
              <w:rPr>
                <w:rFonts w:hint="eastAsia" w:ascii="宋体" w:hAnsi="宋体" w:cs="宋体"/>
                <w:color w:val="auto"/>
                <w:sz w:val="21"/>
                <w:szCs w:val="21"/>
              </w:rPr>
              <w:t>、技术服务与培训费、试运行费用、验收费、备品备件（含专用工具）费、质保期内的维修保养费（含质保期内的维保人员驻点服务）、规费、税金、政策性文件规定及合同包含的所有风险、责任等，并通过验收合格的所有费用；③深化设计增加的工程施工费用；④工程施工过程中的开孔和工程完工后的填补、修复（</w:t>
            </w:r>
            <w:r>
              <w:rPr>
                <w:rFonts w:hint="eastAsia" w:ascii="宋体" w:hAnsi="宋体" w:cs="宋体"/>
                <w:color w:val="auto"/>
                <w:sz w:val="21"/>
                <w:szCs w:val="21"/>
                <w:lang w:val="en-US"/>
              </w:rPr>
              <w:t>符合消防验收规范</w:t>
            </w:r>
            <w:r>
              <w:rPr>
                <w:rFonts w:hint="eastAsia" w:ascii="宋体" w:hAnsi="宋体" w:cs="宋体"/>
                <w:color w:val="auto"/>
                <w:sz w:val="21"/>
                <w:szCs w:val="21"/>
              </w:rPr>
              <w:t>）与清理工作（如用水泥砂浆、砼材料填实设备、框架及建筑结构之间的缝隙；外露的电线、管道修补、批灰、面层修饰等工作）</w:t>
            </w:r>
            <w:r>
              <w:rPr>
                <w:rFonts w:hint="eastAsia" w:ascii="宋体" w:hAnsi="宋体" w:cs="宋体"/>
                <w:color w:val="auto"/>
                <w:sz w:val="21"/>
                <w:szCs w:val="21"/>
                <w:lang w:val="en-US"/>
              </w:rPr>
              <w:t>等等</w:t>
            </w:r>
            <w:r>
              <w:rPr>
                <w:rFonts w:hint="eastAsia" w:ascii="宋体" w:hAnsi="宋体" w:cs="宋体"/>
                <w:color w:val="auto"/>
                <w:sz w:val="21"/>
                <w:szCs w:val="21"/>
              </w:rPr>
              <w:t>费用；⑤</w:t>
            </w:r>
            <w:r>
              <w:rPr>
                <w:rStyle w:val="50"/>
                <w:rFonts w:hint="eastAsia" w:ascii="宋体" w:hAnsi="宋体" w:cs="宋体"/>
                <w:color w:val="auto"/>
              </w:rPr>
              <w:t>不可预见费（不可预见费为招标范围之外或招标人、中医院有特殊功能要求增加的费用。费率为</w:t>
            </w:r>
            <w:r>
              <w:rPr>
                <w:rStyle w:val="50"/>
                <w:rFonts w:hint="eastAsia" w:ascii="宋体" w:hAnsi="宋体" w:cs="宋体"/>
                <w:color w:val="auto"/>
                <w:lang w:val="en-US"/>
              </w:rPr>
              <w:t>3%</w:t>
            </w:r>
            <w:r>
              <w:rPr>
                <w:rStyle w:val="50"/>
                <w:rFonts w:hint="eastAsia" w:ascii="宋体" w:hAnsi="宋体" w:cs="宋体"/>
                <w:color w:val="auto"/>
              </w:rPr>
              <w:t>）；</w:t>
            </w:r>
            <w:r>
              <w:rPr>
                <w:rStyle w:val="87"/>
                <w:rFonts w:hint="eastAsia" w:ascii="宋体" w:hAnsi="宋体" w:cs="宋体"/>
                <w:color w:val="auto"/>
                <w:kern w:val="2"/>
                <w:sz w:val="21"/>
                <w:szCs w:val="21"/>
              </w:rPr>
              <w:t>⑥本条款中第7点内容</w:t>
            </w:r>
            <w:r>
              <w:rPr>
                <w:rFonts w:hint="eastAsia" w:ascii="宋体" w:hAnsi="宋体" w:cs="宋体"/>
                <w:color w:val="auto"/>
                <w:sz w:val="21"/>
                <w:szCs w:val="21"/>
              </w:rPr>
              <w:t>等。请各投标人综合分析并充分考虑后全部组价计入本次报价中，中标后对上述方面的费用增加将不予调整。</w:t>
            </w:r>
          </w:p>
          <w:p>
            <w:pPr>
              <w:pStyle w:val="67"/>
              <w:adjustRightInd w:val="0"/>
              <w:snapToGrid w:val="0"/>
              <w:spacing w:line="360" w:lineRule="exact"/>
              <w:ind w:firstLine="422"/>
              <w:jc w:val="both"/>
              <w:rPr>
                <w:rFonts w:hAnsi="宋体" w:cs="宋体"/>
                <w:b/>
                <w:color w:val="auto"/>
                <w:sz w:val="21"/>
                <w:szCs w:val="21"/>
              </w:rPr>
            </w:pPr>
            <w:r>
              <w:rPr>
                <w:rFonts w:hint="eastAsia" w:hAnsi="宋体" w:cs="宋体"/>
                <w:b/>
                <w:color w:val="auto"/>
                <w:sz w:val="21"/>
                <w:szCs w:val="21"/>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6、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履约完成后7个工作日内无息退还。(差额保证金应在中标通知书发出后7个工作日内交至招标人，以网上银行、电汇、转账等方式交纳)。同时本项目也不接受招标项目范围内的捐赠。</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7、在施工过程中必须会发生且须支付给总包单位的费用（费率为4%，低于费率4%作无效标处理），投标人应</w:t>
            </w:r>
            <w:r>
              <w:rPr>
                <w:rStyle w:val="50"/>
                <w:rFonts w:hint="eastAsia" w:hAnsi="宋体" w:cs="宋体"/>
                <w:color w:val="auto"/>
              </w:rPr>
              <w:t>在投标总价中</w:t>
            </w:r>
            <w:r>
              <w:rPr>
                <w:rFonts w:hint="eastAsia" w:hAnsi="宋体" w:cs="宋体"/>
                <w:color w:val="auto"/>
                <w:sz w:val="21"/>
                <w:szCs w:val="21"/>
              </w:rPr>
              <w:t>单独列报，但该费用不足部分请投标人综合考虑后计入投标总价内，中标后一律不予调整。</w:t>
            </w:r>
            <w:r>
              <w:rPr>
                <w:rStyle w:val="50"/>
                <w:rFonts w:hint="eastAsia" w:hAnsi="宋体" w:cs="宋体"/>
                <w:color w:val="auto"/>
              </w:rPr>
              <w:t>现场必须发生费用具体包括：安全文明施工费、</w:t>
            </w:r>
            <w:r>
              <w:rPr>
                <w:rFonts w:hint="eastAsia" w:hAnsi="宋体" w:cs="宋体"/>
                <w:color w:val="auto"/>
                <w:sz w:val="21"/>
                <w:szCs w:val="21"/>
              </w:rPr>
              <w:t>垂直运输费、场地使用费、防疫措施费等等，均</w:t>
            </w:r>
            <w:r>
              <w:rPr>
                <w:rStyle w:val="50"/>
                <w:rFonts w:hint="eastAsia" w:hAnsi="宋体" w:cs="宋体"/>
                <w:color w:val="auto"/>
              </w:rPr>
              <w:t>由总包方负责实施。</w:t>
            </w:r>
            <w:r>
              <w:rPr>
                <w:rFonts w:hint="eastAsia" w:hAnsi="宋体" w:cs="宋体"/>
                <w:color w:val="auto"/>
                <w:sz w:val="21"/>
                <w:szCs w:val="21"/>
              </w:rPr>
              <w:t>同时须满足下列要求：</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①投标人进场后须与总包签订总包管理协议，服从总包管理要求。</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②投标人的安装进场时间不应晚于监理、业主审批的施工总进度计划进场时间。</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③投标人进场前，图纸须齐全，以免影响后续施工进度（投标人须对图纸进行深化设计）。</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④进入施工现场后，设备及材料堆放场地须按照总包要求进行布设，满足标准化工地要求。</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⑤投标人应做好自身安全管理工作，加强对所属人员的安全管理和交底教育工作，对自身安全承担全部责任，若因其发生安全事故造成对第三方的损失（包括荣誉损失）均由投标人负责。</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⑥除以上内容外，施工现场其余直接发生费用，则由双方自行协商解决。</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8、鉴于目前总包施工现状，室外脚手架搭建情况，请投标人自行考虑设备运输事宜并承担运输费用，并充分考虑综合进入投标总价，中标后不予调整。</w:t>
            </w:r>
          </w:p>
          <w:p>
            <w:pPr>
              <w:pStyle w:val="14"/>
              <w:spacing w:line="360" w:lineRule="exact"/>
              <w:ind w:firstLine="420" w:firstLineChars="200"/>
              <w:rPr>
                <w:rFonts w:ascii="宋体" w:hAnsi="宋体" w:cs="宋体"/>
                <w:color w:val="auto"/>
                <w:szCs w:val="21"/>
              </w:rPr>
            </w:pPr>
            <w:r>
              <w:rPr>
                <w:rFonts w:hint="eastAsia" w:ascii="宋体" w:hAnsi="宋体" w:cs="宋体"/>
                <w:color w:val="auto"/>
                <w:szCs w:val="21"/>
              </w:rPr>
              <w:t>9、投标人按照上述要求编制投标报价。一旦确认某一投标人中标，除合同规定可调整内容外，中标人不得要求追加任何费用。</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3.3.1</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投标有效期</w:t>
            </w:r>
          </w:p>
        </w:tc>
        <w:tc>
          <w:tcPr>
            <w:tcW w:w="3411" w:type="pct"/>
            <w:shd w:val="clear" w:color="000000" w:fill="FFFFFF"/>
            <w:tcMar>
              <w:left w:w="108" w:type="dxa"/>
              <w:right w:w="108" w:type="dxa"/>
            </w:tcMar>
            <w:vAlign w:val="center"/>
          </w:tcPr>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不少于90个日历天（从投标截止之日起算）。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3.4.1</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投标保证金</w:t>
            </w:r>
          </w:p>
        </w:tc>
        <w:tc>
          <w:tcPr>
            <w:tcW w:w="3411" w:type="pct"/>
            <w:shd w:val="clear" w:color="000000" w:fill="FFFFFF"/>
            <w:tcMar>
              <w:left w:w="108" w:type="dxa"/>
              <w:right w:w="108" w:type="dxa"/>
            </w:tcMar>
            <w:vAlign w:val="center"/>
          </w:tcPr>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形式：见招标公告</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金额：见招标公告</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递交方式：见招标公告</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投标保证金不予退还的情形：</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1.投标人在投标有效期内撤销或修改其投标文件。</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2.中标人无正当理由不与招标人订立合同，或在签订合同时向招标人提出附加条件，或未按招标文件要求提交履约保证金的。</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3.经查实，投标人在投标过程中串通投标或弄虚作假的。</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4.拟派项目负责人在投标截止日有在其他在建合同工程上担任项目负责人的情形。</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出现上述不予退还情形的，招标人告知交易中心登记后，平台将自动划转其投标保证金</w:t>
            </w:r>
            <w:r>
              <w:rPr>
                <w:rFonts w:hint="eastAsia" w:hAnsi="宋体" w:cs="宋体"/>
                <w:strike/>
                <w:color w:val="auto"/>
                <w:sz w:val="21"/>
                <w:szCs w:val="21"/>
              </w:rPr>
              <w:t>及银行同期存款利息</w:t>
            </w:r>
            <w:r>
              <w:rPr>
                <w:rFonts w:hint="eastAsia" w:hAnsi="宋体" w:cs="宋体"/>
                <w:color w:val="auto"/>
                <w:sz w:val="21"/>
                <w:szCs w:val="21"/>
              </w:rPr>
              <w:t>至招标人指定账户，不再退还给投标人。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3.5</w:t>
            </w:r>
          </w:p>
        </w:tc>
        <w:tc>
          <w:tcPr>
            <w:tcW w:w="104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资格审查资料</w:t>
            </w:r>
          </w:p>
        </w:tc>
        <w:tc>
          <w:tcPr>
            <w:tcW w:w="3411" w:type="pct"/>
            <w:shd w:val="clear" w:color="000000" w:fill="FFFFFF"/>
            <w:tcMar>
              <w:left w:w="108" w:type="dxa"/>
              <w:right w:w="108" w:type="dxa"/>
            </w:tcMar>
          </w:tcPr>
          <w:p>
            <w:pPr>
              <w:spacing w:line="360" w:lineRule="exact"/>
              <w:ind w:firstLine="420" w:firstLineChars="200"/>
              <w:rPr>
                <w:rFonts w:ascii="宋体" w:hAnsi="宋体" w:cstheme="minorEastAsia"/>
                <w:color w:val="auto"/>
                <w:szCs w:val="21"/>
              </w:rPr>
            </w:pPr>
            <w:r>
              <w:rPr>
                <w:rFonts w:hint="eastAsia" w:ascii="宋体" w:hAnsi="宋体" w:cstheme="minorEastAsia"/>
                <w:color w:val="auto"/>
                <w:szCs w:val="21"/>
              </w:rPr>
              <w:t>1.企业法人营业执照复印件；</w:t>
            </w:r>
          </w:p>
          <w:p>
            <w:pPr>
              <w:spacing w:line="360" w:lineRule="exact"/>
              <w:ind w:firstLine="420" w:firstLineChars="200"/>
              <w:rPr>
                <w:rFonts w:ascii="宋体" w:hAnsi="宋体" w:cstheme="minorEastAsia"/>
                <w:color w:val="auto"/>
                <w:szCs w:val="21"/>
              </w:rPr>
            </w:pPr>
            <w:r>
              <w:rPr>
                <w:rFonts w:hint="eastAsia" w:ascii="宋体" w:hAnsi="宋体" w:cstheme="minorEastAsia"/>
                <w:color w:val="auto"/>
                <w:szCs w:val="21"/>
              </w:rPr>
              <w:t>2.企业资质证书复印件；</w:t>
            </w:r>
          </w:p>
          <w:p>
            <w:pPr>
              <w:spacing w:line="360" w:lineRule="exact"/>
              <w:ind w:firstLine="420" w:firstLineChars="200"/>
              <w:rPr>
                <w:rFonts w:ascii="宋体" w:hAnsi="宋体" w:cstheme="minorEastAsia"/>
                <w:color w:val="auto"/>
                <w:szCs w:val="21"/>
              </w:rPr>
            </w:pPr>
            <w:r>
              <w:rPr>
                <w:rFonts w:hint="eastAsia" w:ascii="宋体" w:hAnsi="宋体" w:cstheme="minorEastAsia"/>
                <w:color w:val="auto"/>
                <w:szCs w:val="21"/>
              </w:rPr>
              <w:t>3.企业安全生产许可证复印件；</w:t>
            </w:r>
          </w:p>
          <w:p>
            <w:pPr>
              <w:pStyle w:val="54"/>
              <w:spacing w:line="360" w:lineRule="exact"/>
              <w:ind w:firstLine="420"/>
              <w:rPr>
                <w:rFonts w:ascii="宋体" w:hAnsi="宋体" w:cstheme="minorEastAsia"/>
                <w:color w:val="auto"/>
                <w:sz w:val="21"/>
                <w:szCs w:val="21"/>
                <w:lang w:val="en-US"/>
              </w:rPr>
            </w:pPr>
            <w:r>
              <w:rPr>
                <w:rFonts w:hint="eastAsia" w:ascii="宋体" w:hAnsi="宋体" w:cstheme="minorEastAsia"/>
                <w:color w:val="auto"/>
                <w:sz w:val="21"/>
                <w:szCs w:val="21"/>
                <w:lang w:val="en-US"/>
              </w:rPr>
              <w:t>4</w:t>
            </w:r>
            <w:r>
              <w:rPr>
                <w:rFonts w:hint="eastAsia" w:ascii="宋体" w:hAnsi="宋体" w:cstheme="minorEastAsia"/>
                <w:color w:val="auto"/>
                <w:sz w:val="21"/>
                <w:szCs w:val="21"/>
                <w:u w:val="none"/>
                <w:lang w:val="en-US"/>
              </w:rPr>
              <w:t>.浙江省外企业须提供浙江省住建厅核发的有效期内备案证明</w:t>
            </w:r>
            <w:r>
              <w:rPr>
                <w:rFonts w:hint="eastAsia" w:ascii="宋体" w:hAnsi="宋体" w:eastAsia="宋体" w:cs="宋体"/>
                <w:b w:val="0"/>
                <w:bCs w:val="0"/>
                <w:color w:val="auto"/>
                <w:sz w:val="21"/>
                <w:szCs w:val="21"/>
                <w:u w:val="none"/>
              </w:rPr>
              <w:t>或“浙江省建筑市场监管公共服务系统”上审核通过的备案信息网页截图</w:t>
            </w:r>
            <w:r>
              <w:rPr>
                <w:rFonts w:hint="eastAsia" w:ascii="宋体" w:hAnsi="宋体" w:cstheme="minorEastAsia"/>
                <w:color w:val="auto"/>
                <w:sz w:val="21"/>
                <w:szCs w:val="21"/>
                <w:u w:val="none"/>
                <w:lang w:val="en-US"/>
              </w:rPr>
              <w:t>（浙江省内企业不作要求）；</w:t>
            </w:r>
          </w:p>
          <w:p>
            <w:pPr>
              <w:pStyle w:val="54"/>
              <w:spacing w:line="360" w:lineRule="exact"/>
              <w:ind w:firstLine="420"/>
              <w:rPr>
                <w:rFonts w:ascii="宋体" w:hAnsi="宋体" w:cstheme="minorEastAsia"/>
                <w:color w:val="auto"/>
                <w:sz w:val="21"/>
                <w:szCs w:val="21"/>
                <w:lang w:val="en-US"/>
              </w:rPr>
            </w:pPr>
            <w:r>
              <w:rPr>
                <w:rFonts w:hint="eastAsia" w:ascii="宋体" w:hAnsi="宋体" w:cstheme="minorEastAsia"/>
                <w:color w:val="auto"/>
                <w:sz w:val="21"/>
                <w:szCs w:val="21"/>
                <w:lang w:val="en-US"/>
              </w:rPr>
              <w:t>5.项目负责人建造师注册证书、安全生产考核B证复印件；</w:t>
            </w:r>
          </w:p>
          <w:p>
            <w:pPr>
              <w:pStyle w:val="54"/>
              <w:spacing w:line="360" w:lineRule="exact"/>
              <w:ind w:firstLine="420"/>
              <w:rPr>
                <w:rFonts w:ascii="宋体" w:hAnsi="宋体" w:cstheme="minorEastAsia"/>
                <w:color w:val="auto"/>
                <w:sz w:val="21"/>
                <w:szCs w:val="21"/>
                <w:lang w:val="en-US"/>
              </w:rPr>
            </w:pPr>
            <w:r>
              <w:rPr>
                <w:rFonts w:hint="eastAsia" w:ascii="宋体" w:hAnsi="宋体" w:cstheme="minorEastAsia"/>
                <w:color w:val="auto"/>
                <w:sz w:val="21"/>
                <w:szCs w:val="21"/>
                <w:lang w:val="en-US"/>
              </w:rPr>
              <w:t>6.拟派项目负责人须为投标企业在职职工（在职职工不包括离、退休返聘人员），提供缴费期限包含</w:t>
            </w:r>
            <w:r>
              <w:rPr>
                <w:rFonts w:hint="eastAsia" w:ascii="宋体" w:hAnsi="宋体" w:cstheme="minorEastAsia"/>
                <w:color w:val="auto"/>
                <w:sz w:val="21"/>
                <w:szCs w:val="21"/>
                <w:lang w:val="en-US" w:eastAsia="zh-CN"/>
              </w:rPr>
              <w:t>2021年7月至2021年9月</w:t>
            </w:r>
            <w:r>
              <w:rPr>
                <w:rFonts w:hint="eastAsia" w:ascii="宋体" w:hAnsi="宋体" w:cstheme="minorEastAsia"/>
                <w:color w:val="auto"/>
                <w:sz w:val="21"/>
                <w:szCs w:val="21"/>
                <w:lang w:val="en-US"/>
              </w:rPr>
              <w:t>的投标人所属社保机构养老保险交纳清单或证明（缴费单位和投标人名称必须一致，并加盖社保缴费证明专用章），以投标人所属社保机构出具的盖有社保部门专用章（或电子专用章）的社保证明件为准 ；</w:t>
            </w:r>
          </w:p>
          <w:p>
            <w:pPr>
              <w:spacing w:line="360" w:lineRule="exact"/>
              <w:ind w:firstLine="420" w:firstLineChars="200"/>
              <w:rPr>
                <w:rFonts w:hint="eastAsia" w:ascii="宋体" w:hAnsi="宋体"/>
                <w:color w:val="auto"/>
                <w:szCs w:val="21"/>
              </w:rPr>
            </w:pPr>
            <w:r>
              <w:rPr>
                <w:rFonts w:hint="eastAsia" w:ascii="宋体" w:hAnsi="宋体" w:cstheme="minorEastAsia"/>
                <w:color w:val="auto"/>
                <w:szCs w:val="21"/>
              </w:rPr>
              <w:t>7.</w:t>
            </w:r>
            <w:r>
              <w:rPr>
                <w:rFonts w:hint="eastAsia" w:ascii="宋体" w:hAnsi="宋体"/>
                <w:b/>
                <w:color w:val="auto"/>
                <w:szCs w:val="21"/>
              </w:rPr>
              <w:t>承诺书</w:t>
            </w:r>
            <w:r>
              <w:rPr>
                <w:rFonts w:hint="eastAsia" w:ascii="宋体" w:hAnsi="宋体"/>
                <w:color w:val="auto"/>
                <w:szCs w:val="21"/>
              </w:rPr>
              <w:t>（1、承诺对资格审查资料所有提交的证明材料真实有效性负责，若发现其有伪造证书、业绩等行为的，同意招标人不接受其投标，其缴纳的投标保证金不予退还；2、承诺</w:t>
            </w:r>
            <w:r>
              <w:rPr>
                <w:rFonts w:hint="eastAsia" w:ascii="宋体" w:hAnsi="宋体" w:cs="宋体"/>
                <w:color w:val="auto"/>
                <w:szCs w:val="21"/>
              </w:rPr>
              <w:t>企业和项目负责人近 5年内无行贿犯罪记录。</w:t>
            </w:r>
            <w:r>
              <w:rPr>
                <w:rFonts w:hint="eastAsia" w:ascii="宋体" w:hAnsi="宋体"/>
                <w:color w:val="auto"/>
                <w:szCs w:val="21"/>
              </w:rPr>
              <w:t>），格式自拟，加盖投标人公章。</w:t>
            </w:r>
          </w:p>
          <w:p>
            <w:pPr>
              <w:pStyle w:val="2"/>
              <w:spacing w:line="360" w:lineRule="exact"/>
              <w:jc w:val="left"/>
              <w:rPr>
                <w:color w:val="auto"/>
                <w:u w:val="double"/>
              </w:rPr>
            </w:pPr>
            <w:r>
              <w:rPr>
                <w:rFonts w:hint="eastAsia" w:ascii="宋体" w:hAnsi="宋体" w:eastAsia="宋体" w:cstheme="minorEastAsia"/>
                <w:bCs w:val="0"/>
                <w:color w:val="auto"/>
                <w:kern w:val="0"/>
                <w:sz w:val="21"/>
                <w:szCs w:val="21"/>
                <w:u w:val="double"/>
              </w:rPr>
              <w:t>※备注：若拟派项目负责人为一级注册建造师且提供的注册证书为电子证书的，应符合《住房和城乡建设部办公厅关于全面实行一级建造师电子注册证书的通知》（建办市【2021】40号）文，否则视为无效证书，资格审查不予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3.5.2</w:t>
            </w:r>
          </w:p>
        </w:tc>
        <w:tc>
          <w:tcPr>
            <w:tcW w:w="104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近年财务状况的年份要求</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3.5.3</w:t>
            </w:r>
          </w:p>
        </w:tc>
        <w:tc>
          <w:tcPr>
            <w:tcW w:w="104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近年完成的类似项目的年份要求</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3.5.5</w:t>
            </w:r>
          </w:p>
        </w:tc>
        <w:tc>
          <w:tcPr>
            <w:tcW w:w="104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近年发生的重大诉讼及仲裁情况的年份要求</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3.6</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是否允许递交备选投标方案</w:t>
            </w:r>
          </w:p>
        </w:tc>
        <w:tc>
          <w:tcPr>
            <w:tcW w:w="3411" w:type="pct"/>
            <w:shd w:val="clear" w:color="000000" w:fill="FFFFFF"/>
            <w:tcMar>
              <w:left w:w="108" w:type="dxa"/>
              <w:right w:w="108" w:type="dxa"/>
            </w:tcMar>
            <w:vAlign w:val="center"/>
          </w:tcPr>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503" w:hRule="atLeast"/>
          <w:jc w:val="center"/>
        </w:trPr>
        <w:tc>
          <w:tcPr>
            <w:tcW w:w="498" w:type="pct"/>
            <w:shd w:val="clear" w:color="auto" w:fill="auto"/>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3.7.3</w:t>
            </w:r>
          </w:p>
        </w:tc>
        <w:tc>
          <w:tcPr>
            <w:tcW w:w="1048" w:type="pct"/>
            <w:shd w:val="clear" w:color="auto" w:fill="auto"/>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签字或盖章要求</w:t>
            </w:r>
          </w:p>
        </w:tc>
        <w:tc>
          <w:tcPr>
            <w:tcW w:w="3411" w:type="pct"/>
            <w:shd w:val="clear" w:color="auto" w:fill="auto"/>
            <w:tcMar>
              <w:left w:w="108" w:type="dxa"/>
              <w:right w:w="108" w:type="dxa"/>
            </w:tcMar>
            <w:vAlign w:val="center"/>
          </w:tcPr>
          <w:p>
            <w:pPr>
              <w:pStyle w:val="67"/>
              <w:adjustRightInd w:val="0"/>
              <w:snapToGrid w:val="0"/>
              <w:spacing w:line="360" w:lineRule="exact"/>
              <w:ind w:firstLine="420"/>
              <w:jc w:val="both"/>
              <w:rPr>
                <w:strike/>
                <w:dstrike w:val="0"/>
                <w:color w:val="auto"/>
                <w:sz w:val="21"/>
                <w:szCs w:val="21"/>
              </w:rPr>
            </w:pPr>
            <w:r>
              <w:rPr>
                <w:rFonts w:hint="eastAsia"/>
                <w:strike/>
                <w:dstrike w:val="0"/>
                <w:color w:val="auto"/>
                <w:sz w:val="21"/>
                <w:szCs w:val="21"/>
              </w:rPr>
              <w:t>一、电子投标文件签字或盖章要求：在招标文件格式规定的签字处，投标人必须加盖法定代表人电子章；在招标文件格式规定的盖章处加盖单位电子公章。</w:t>
            </w:r>
          </w:p>
          <w:p>
            <w:pPr>
              <w:pStyle w:val="67"/>
              <w:adjustRightInd w:val="0"/>
              <w:snapToGrid w:val="0"/>
              <w:spacing w:line="360" w:lineRule="exact"/>
              <w:ind w:firstLine="420"/>
              <w:jc w:val="both"/>
              <w:rPr>
                <w:strike/>
                <w:dstrike w:val="0"/>
                <w:color w:val="auto"/>
                <w:sz w:val="21"/>
                <w:szCs w:val="21"/>
              </w:rPr>
            </w:pPr>
            <w:r>
              <w:rPr>
                <w:rFonts w:hint="eastAsia"/>
                <w:strike/>
                <w:dstrike w:val="0"/>
                <w:color w:val="auto"/>
                <w:sz w:val="21"/>
                <w:szCs w:val="21"/>
              </w:rPr>
              <w:t>其它要求：无</w:t>
            </w:r>
          </w:p>
          <w:p>
            <w:pPr>
              <w:pStyle w:val="67"/>
              <w:adjustRightInd w:val="0"/>
              <w:snapToGrid w:val="0"/>
              <w:spacing w:line="360" w:lineRule="exact"/>
              <w:ind w:firstLine="420"/>
              <w:jc w:val="both"/>
              <w:rPr>
                <w:color w:val="auto"/>
              </w:rPr>
            </w:pPr>
            <w:r>
              <w:rPr>
                <w:rFonts w:hint="eastAsia"/>
                <w:color w:val="auto"/>
                <w:sz w:val="21"/>
                <w:szCs w:val="21"/>
              </w:rPr>
              <w:t>二、纸质投标文件签字或盖章要求详见招标文件格式</w:t>
            </w:r>
            <w:r>
              <w:rPr>
                <w:rFonts w:hint="eastAsia"/>
                <w:strike/>
                <w:color w:val="auto"/>
                <w:sz w:val="21"/>
                <w:szCs w:val="21"/>
              </w:rPr>
              <w:t>（联合体投标的，投标文件中除联合体协议书须联合体双方盖章外，其余内容只需联合体牵头人盖章）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3.7.4</w:t>
            </w:r>
          </w:p>
        </w:tc>
        <w:tc>
          <w:tcPr>
            <w:tcW w:w="1048" w:type="pct"/>
            <w:shd w:val="clear" w:color="auto" w:fill="auto"/>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投标文件</w:t>
            </w:r>
          </w:p>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份数</w:t>
            </w:r>
          </w:p>
        </w:tc>
        <w:tc>
          <w:tcPr>
            <w:tcW w:w="3411" w:type="pct"/>
            <w:shd w:val="clear" w:color="auto" w:fill="auto"/>
            <w:tcMar>
              <w:left w:w="108" w:type="dxa"/>
              <w:right w:w="108" w:type="dxa"/>
            </w:tcMar>
            <w:vAlign w:val="center"/>
          </w:tcPr>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资格审查资料：正本一份，副本陆份；</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技 术 标：正本一份，副本陆份；</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商 务 标：正本一份，副本陆份。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270" w:hRule="atLeast"/>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3.7.5</w:t>
            </w:r>
          </w:p>
        </w:tc>
        <w:tc>
          <w:tcPr>
            <w:tcW w:w="1048" w:type="pct"/>
            <w:shd w:val="clear" w:color="auto" w:fill="auto"/>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装订要求</w:t>
            </w:r>
          </w:p>
        </w:tc>
        <w:tc>
          <w:tcPr>
            <w:tcW w:w="3411" w:type="pct"/>
            <w:shd w:val="clear" w:color="auto" w:fill="auto"/>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应装订成册，不得采用活页夹，</w:t>
            </w:r>
            <w:r>
              <w:rPr>
                <w:rFonts w:hint="eastAsia" w:ascii="宋体" w:hAnsi="宋体" w:cs="宋体"/>
                <w:color w:val="auto"/>
                <w:szCs w:val="21"/>
                <w:lang w:val="en-US" w:eastAsia="zh-CN"/>
              </w:rPr>
              <w:t>建议</w:t>
            </w:r>
            <w:r>
              <w:rPr>
                <w:rFonts w:hint="eastAsia" w:ascii="宋体" w:hAnsi="宋体" w:cs="宋体"/>
                <w:color w:val="auto"/>
                <w:szCs w:val="21"/>
              </w:rPr>
              <w:t>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266"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4.1.1</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bCs/>
                <w:iCs/>
                <w:color w:val="auto"/>
                <w:kern w:val="2"/>
                <w:sz w:val="21"/>
                <w:szCs w:val="21"/>
              </w:rPr>
              <w:t>投标文件的外包装和密封要求</w:t>
            </w:r>
          </w:p>
        </w:tc>
        <w:tc>
          <w:tcPr>
            <w:tcW w:w="3411" w:type="pct"/>
            <w:shd w:val="clear" w:color="000000" w:fill="FFFFFF"/>
            <w:tcMar>
              <w:left w:w="108" w:type="dxa"/>
              <w:right w:w="108" w:type="dxa"/>
            </w:tcMar>
            <w:vAlign w:val="center"/>
          </w:tcPr>
          <w:p>
            <w:pPr>
              <w:pStyle w:val="67"/>
              <w:adjustRightInd w:val="0"/>
              <w:snapToGrid w:val="0"/>
              <w:spacing w:line="360" w:lineRule="exact"/>
              <w:ind w:firstLine="422"/>
              <w:jc w:val="both"/>
              <w:rPr>
                <w:rFonts w:hAnsi="宋体" w:cs="宋体"/>
                <w:color w:val="auto"/>
                <w:sz w:val="21"/>
                <w:szCs w:val="21"/>
              </w:rPr>
            </w:pPr>
            <w:r>
              <w:rPr>
                <w:rFonts w:hint="eastAsia" w:hAnsi="宋体" w:cs="宋体"/>
                <w:b/>
                <w:iCs/>
                <w:color w:val="auto"/>
                <w:kern w:val="2"/>
                <w:sz w:val="21"/>
                <w:szCs w:val="21"/>
              </w:rPr>
              <w:t>投标文件的正本副本统一包装在一个密封袋内，</w:t>
            </w:r>
            <w:r>
              <w:rPr>
                <w:rFonts w:hint="eastAsia" w:hAnsi="宋体" w:cs="宋体"/>
                <w:color w:val="auto"/>
                <w:sz w:val="21"/>
                <w:szCs w:val="21"/>
              </w:rPr>
              <w:t>资格审查资料、技术标、商务标分别密封包装，</w:t>
            </w:r>
            <w:r>
              <w:rPr>
                <w:rFonts w:hint="eastAsia" w:hAnsi="宋体" w:cs="宋体"/>
                <w:b/>
                <w:iCs/>
                <w:color w:val="auto"/>
                <w:kern w:val="2"/>
                <w:sz w:val="21"/>
                <w:szCs w:val="21"/>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75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4.1.2</w:t>
            </w:r>
          </w:p>
        </w:tc>
        <w:tc>
          <w:tcPr>
            <w:tcW w:w="1048" w:type="pct"/>
            <w:shd w:val="clear" w:color="000000" w:fill="FFFFFF"/>
            <w:tcMar>
              <w:left w:w="108" w:type="dxa"/>
              <w:right w:w="108" w:type="dxa"/>
            </w:tcMar>
            <w:vAlign w:val="center"/>
          </w:tcPr>
          <w:p>
            <w:pPr>
              <w:tabs>
                <w:tab w:val="left" w:pos="0"/>
                <w:tab w:val="right" w:leader="dot" w:pos="8280"/>
              </w:tabs>
              <w:spacing w:line="360" w:lineRule="exact"/>
              <w:jc w:val="center"/>
              <w:rPr>
                <w:rFonts w:ascii="宋体" w:hAnsi="宋体" w:cs="宋体"/>
                <w:color w:val="auto"/>
                <w:szCs w:val="21"/>
              </w:rPr>
            </w:pPr>
            <w:r>
              <w:rPr>
                <w:rFonts w:hint="eastAsia" w:ascii="宋体" w:hAnsi="宋体" w:cs="宋体"/>
                <w:color w:val="auto"/>
                <w:szCs w:val="21"/>
              </w:rPr>
              <w:t>封套上写明</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招标人地址：</w:t>
            </w:r>
            <w:r>
              <w:rPr>
                <w:rFonts w:hint="eastAsia" w:ascii="宋体" w:hAnsi="宋体" w:cs="宋体"/>
                <w:b/>
                <w:color w:val="auto"/>
                <w:szCs w:val="21"/>
                <w:u w:val="single"/>
              </w:rPr>
              <w:t>凤林西路123号中成大厦</w:t>
            </w:r>
          </w:p>
          <w:p>
            <w:pPr>
              <w:spacing w:line="360" w:lineRule="exact"/>
              <w:ind w:firstLine="420" w:firstLineChars="200"/>
              <w:rPr>
                <w:rFonts w:ascii="宋体" w:hAnsi="宋体" w:cs="宋体"/>
                <w:color w:val="auto"/>
                <w:szCs w:val="21"/>
              </w:rPr>
            </w:pPr>
            <w:r>
              <w:rPr>
                <w:rFonts w:hint="eastAsia" w:ascii="宋体" w:hAnsi="宋体" w:cs="宋体"/>
                <w:color w:val="auto"/>
                <w:szCs w:val="21"/>
              </w:rPr>
              <w:t>招标人名称：</w:t>
            </w:r>
            <w:r>
              <w:rPr>
                <w:rFonts w:hint="eastAsia" w:ascii="宋体" w:hAnsi="宋体" w:cs="宋体"/>
                <w:b/>
                <w:color w:val="auto"/>
                <w:szCs w:val="21"/>
                <w:u w:val="single"/>
              </w:rPr>
              <w:t>浙江中成建工集团有限公司</w:t>
            </w:r>
          </w:p>
          <w:p>
            <w:pPr>
              <w:spacing w:line="360" w:lineRule="exact"/>
              <w:ind w:firstLine="422" w:firstLineChars="200"/>
              <w:rPr>
                <w:rFonts w:ascii="宋体" w:hAnsi="宋体" w:cs="宋体"/>
                <w:color w:val="auto"/>
                <w:szCs w:val="21"/>
              </w:rPr>
            </w:pPr>
            <w:r>
              <w:rPr>
                <w:rFonts w:hint="eastAsia" w:ascii="宋体" w:hAnsi="宋体" w:cs="宋体"/>
                <w:b/>
                <w:bCs/>
                <w:color w:val="auto"/>
                <w:szCs w:val="21"/>
                <w:u w:val="single"/>
              </w:rPr>
              <w:t>绍兴市中医院改扩建工程EPC总承包内放射防护项目</w:t>
            </w:r>
            <w:r>
              <w:rPr>
                <w:rFonts w:hint="eastAsia" w:ascii="宋体" w:hAnsi="宋体" w:cs="宋体"/>
                <w:color w:val="auto"/>
                <w:szCs w:val="21"/>
              </w:rPr>
              <w:t>投标文件，在2021年  月  日  时  分前不得开启</w:t>
            </w:r>
          </w:p>
          <w:p>
            <w:pPr>
              <w:spacing w:line="360" w:lineRule="exact"/>
              <w:ind w:firstLine="420" w:firstLineChars="200"/>
              <w:rPr>
                <w:rFonts w:ascii="宋体" w:hAnsi="宋体" w:cs="宋体"/>
                <w:color w:val="auto"/>
                <w:szCs w:val="21"/>
              </w:rPr>
            </w:pPr>
            <w:r>
              <w:rPr>
                <w:rFonts w:hint="eastAsia"/>
                <w:color w:val="auto"/>
              </w:rPr>
              <w:t>在包封上注明“资格审查资料”或“技术标”或“商务标”字样。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7290"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4.2.2</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递交投标文件方式和地点</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本项目采用“不见面”开标方式，不强制要求投标人参加现场开标会。</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color w:val="auto"/>
              </w:rPr>
              <w:fldChar w:fldCharType="begin"/>
            </w:r>
            <w:r>
              <w:rPr>
                <w:color w:val="auto"/>
              </w:rPr>
              <w:instrText xml:space="preserve"> HYPERLINK "http://www.sxztb.gov.cn/sxweb/ReadAttachFile.aspx?AttachID=37f9b03b-ad6a-42af-b0e6-b5a96971394e" \t "_blank" </w:instrText>
            </w:r>
            <w:r>
              <w:rPr>
                <w:color w:val="auto"/>
              </w:rPr>
              <w:fldChar w:fldCharType="separate"/>
            </w:r>
            <w:r>
              <w:rPr>
                <w:rFonts w:hint="eastAsia" w:ascii="宋体" w:hAnsi="宋体" w:cs="宋体"/>
                <w:color w:val="auto"/>
                <w:szCs w:val="21"/>
              </w:rPr>
              <w:t>绍兴市迪荡新城惠利街20号鼎盛时代大厦</w:t>
            </w:r>
            <w:r>
              <w:rPr>
                <w:rFonts w:hint="eastAsia" w:ascii="宋体" w:hAnsi="宋体" w:cs="宋体"/>
                <w:color w:val="auto"/>
                <w:szCs w:val="21"/>
              </w:rPr>
              <w:fldChar w:fldCharType="end"/>
            </w:r>
            <w:r>
              <w:rPr>
                <w:rFonts w:hint="eastAsia" w:ascii="宋体" w:hAnsi="宋体" w:cs="宋体"/>
                <w:color w:val="auto"/>
                <w:szCs w:val="21"/>
              </w:rPr>
              <w:t>绍兴市公共资源交易中心四楼，收件人：陈振宇，电话0575-88307031，建议采用邮政EMS邮寄）。投标人在开标现场不需要书面签字确认等有关操作。</w:t>
            </w:r>
          </w:p>
          <w:p>
            <w:pPr>
              <w:spacing w:line="360" w:lineRule="exact"/>
              <w:ind w:firstLine="420" w:firstLineChars="200"/>
              <w:rPr>
                <w:rFonts w:ascii="宋体" w:hAnsi="宋体" w:cs="宋体"/>
                <w:color w:val="auto"/>
                <w:szCs w:val="21"/>
              </w:rPr>
            </w:pPr>
            <w:r>
              <w:rPr>
                <w:rFonts w:hint="eastAsia" w:ascii="宋体" w:hAnsi="宋体" w:cs="宋体"/>
                <w:color w:val="auto"/>
                <w:szCs w:val="21"/>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18"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4.2.3</w:t>
            </w:r>
          </w:p>
        </w:tc>
        <w:tc>
          <w:tcPr>
            <w:tcW w:w="104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是否退还投标文件</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626" w:hRule="atLeast"/>
          <w:jc w:val="center"/>
        </w:trPr>
        <w:tc>
          <w:tcPr>
            <w:tcW w:w="498" w:type="pct"/>
            <w:shd w:val="clear" w:color="000000" w:fill="FFFFFF"/>
            <w:tcMar>
              <w:left w:w="108" w:type="dxa"/>
              <w:right w:w="108" w:type="dxa"/>
            </w:tcMar>
            <w:vAlign w:val="center"/>
          </w:tcPr>
          <w:p>
            <w:pPr>
              <w:adjustRightInd w:val="0"/>
              <w:snapToGrid w:val="0"/>
              <w:spacing w:line="440" w:lineRule="exact"/>
              <w:rPr>
                <w:rFonts w:ascii="宋体" w:hAnsi="宋体" w:cs="宋体"/>
                <w:color w:val="auto"/>
                <w:szCs w:val="21"/>
              </w:rPr>
            </w:pPr>
            <w:r>
              <w:rPr>
                <w:rFonts w:hint="eastAsia" w:ascii="宋体" w:hAnsi="宋体" w:cs="宋体"/>
                <w:color w:val="auto"/>
                <w:szCs w:val="21"/>
              </w:rPr>
              <w:t>4.2.5</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投标文件的拒收情形</w:t>
            </w:r>
          </w:p>
        </w:tc>
        <w:tc>
          <w:tcPr>
            <w:tcW w:w="3411" w:type="pct"/>
            <w:shd w:val="clear" w:color="000000" w:fill="FFFFFF"/>
            <w:tcMar>
              <w:left w:w="108" w:type="dxa"/>
              <w:right w:w="108" w:type="dxa"/>
            </w:tcMar>
            <w:vAlign w:val="center"/>
          </w:tcPr>
          <w:p>
            <w:pPr>
              <w:pStyle w:val="67"/>
              <w:numPr>
                <w:ilvl w:val="0"/>
                <w:numId w:val="4"/>
              </w:numPr>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未按要求密封的投标文件。</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二、逾期送达的或者未送达指定地点的投标文件。</w:t>
            </w:r>
          </w:p>
          <w:p>
            <w:pPr>
              <w:pStyle w:val="67"/>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三、保证金未与所投标段关联的。</w:t>
            </w:r>
          </w:p>
          <w:p>
            <w:pPr>
              <w:pStyle w:val="67"/>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四、未按规定缴纳招标文件工本费的。</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833"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5.1</w:t>
            </w:r>
          </w:p>
        </w:tc>
        <w:tc>
          <w:tcPr>
            <w:tcW w:w="104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开标时间、开标地点、参加开标会议的要求</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一、开标时间：同投标截止时间。</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二、开标地点：绍兴市公共资源交易中心指定开标室。</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117"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5.2</w:t>
            </w:r>
          </w:p>
        </w:tc>
        <w:tc>
          <w:tcPr>
            <w:tcW w:w="104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开标</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（1）密封情况检查：由公证处公证人员检查。</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（2）开标顺序：按获取招标文件顺序依次开标。</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（为确保开评标现场的疫情防控安全，到现场参与开评标的各类人员应出示健康码。为减少人员聚集程度及滞留时间，投标人不需在开标现场。）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84"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6.1.1</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评标委员会的组建</w:t>
            </w:r>
          </w:p>
        </w:tc>
        <w:tc>
          <w:tcPr>
            <w:tcW w:w="3411"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rPr>
            </w:pPr>
            <w:r>
              <w:rPr>
                <w:rFonts w:hint="eastAsia" w:ascii="宋体" w:hAnsi="宋体" w:cs="宋体"/>
                <w:color w:val="auto"/>
                <w:szCs w:val="21"/>
              </w:rPr>
              <w:t>评标委员会构成：</w:t>
            </w:r>
            <w:r>
              <w:rPr>
                <w:rFonts w:hint="eastAsia" w:ascii="宋体" w:hAnsi="宋体" w:cs="宋体"/>
                <w:color w:val="auto"/>
                <w:szCs w:val="21"/>
                <w:u w:val="single"/>
              </w:rPr>
              <w:t xml:space="preserve">  按规定   </w:t>
            </w:r>
            <w:r>
              <w:rPr>
                <w:rFonts w:hint="eastAsia" w:ascii="宋体" w:hAnsi="宋体" w:cs="宋体"/>
                <w:color w:val="auto"/>
                <w:szCs w:val="21"/>
              </w:rPr>
              <w:t>；</w:t>
            </w:r>
          </w:p>
          <w:p>
            <w:pPr>
              <w:pStyle w:val="67"/>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评标专家确定方式：</w:t>
            </w:r>
            <w:r>
              <w:rPr>
                <w:rFonts w:hint="eastAsia" w:hAnsi="宋体" w:cs="宋体"/>
                <w:color w:val="auto"/>
                <w:sz w:val="21"/>
                <w:szCs w:val="21"/>
                <w:u w:val="single"/>
              </w:rPr>
              <w:t xml:space="preserve">  按规定   </w:t>
            </w:r>
            <w:r>
              <w:rPr>
                <w:rFonts w:hint="eastAsia" w:hAnsi="宋体" w:cs="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698"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6．3</w:t>
            </w:r>
          </w:p>
        </w:tc>
        <w:tc>
          <w:tcPr>
            <w:tcW w:w="1048" w:type="pct"/>
            <w:shd w:val="clear" w:color="000000" w:fill="FFFFFF"/>
            <w:tcMar>
              <w:left w:w="108" w:type="dxa"/>
              <w:right w:w="108" w:type="dxa"/>
            </w:tcMar>
            <w:vAlign w:val="center"/>
          </w:tcPr>
          <w:p>
            <w:pPr>
              <w:adjustRightInd w:val="0"/>
              <w:snapToGrid w:val="0"/>
              <w:spacing w:line="360" w:lineRule="exact"/>
              <w:jc w:val="center"/>
              <w:rPr>
                <w:rFonts w:ascii="宋体" w:hAnsi="宋体" w:cs="宋体"/>
                <w:color w:val="auto"/>
                <w:szCs w:val="21"/>
              </w:rPr>
            </w:pPr>
            <w:r>
              <w:rPr>
                <w:rFonts w:hint="eastAsia" w:ascii="宋体" w:hAnsi="宋体" w:cs="宋体"/>
                <w:color w:val="auto"/>
                <w:szCs w:val="21"/>
              </w:rPr>
              <w:t>评标方法</w:t>
            </w:r>
          </w:p>
        </w:tc>
        <w:tc>
          <w:tcPr>
            <w:tcW w:w="3411"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auto"/>
                <w:szCs w:val="21"/>
              </w:rPr>
            </w:pPr>
            <w:r>
              <w:rPr>
                <w:color w:val="auto"/>
              </w:rPr>
              <w:fldChar w:fldCharType="begin"/>
            </w:r>
            <w:r>
              <w:rPr>
                <w:color w:val="auto"/>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rPr>
              <w:fldChar w:fldCharType="separate"/>
            </w:r>
            <w:r>
              <w:rPr>
                <w:rFonts w:hint="eastAsia" w:ascii="宋体" w:hAnsi="宋体" w:cs="宋体"/>
                <w:color w:val="auto"/>
                <w:szCs w:val="21"/>
              </w:rPr>
              <w:t>综合评估法</w:t>
            </w:r>
            <w:r>
              <w:rPr>
                <w:rFonts w:hint="eastAsia" w:ascii="宋体" w:hAnsi="宋体" w:cs="宋体"/>
                <w:color w:val="auto"/>
                <w:szCs w:val="21"/>
              </w:rPr>
              <w:fldChar w:fldCharType="end"/>
            </w:r>
            <w:r>
              <w:rPr>
                <w:rFonts w:hint="eastAsia" w:ascii="宋体" w:hAnsi="宋体" w:cs="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820"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6.4</w:t>
            </w:r>
          </w:p>
        </w:tc>
        <w:tc>
          <w:tcPr>
            <w:tcW w:w="104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中标候选人公示</w:t>
            </w:r>
          </w:p>
        </w:tc>
        <w:tc>
          <w:tcPr>
            <w:tcW w:w="3411" w:type="pct"/>
            <w:shd w:val="clear" w:color="000000" w:fill="FFFFFF"/>
            <w:tcMar>
              <w:left w:w="108" w:type="dxa"/>
              <w:right w:w="108" w:type="dxa"/>
            </w:tcMar>
            <w:vAlign w:val="center"/>
          </w:tcPr>
          <w:p>
            <w:pPr>
              <w:pStyle w:val="54"/>
              <w:spacing w:line="340" w:lineRule="exact"/>
              <w:ind w:firstLine="420"/>
              <w:rPr>
                <w:rFonts w:ascii="宋体" w:hAnsi="宋体" w:cs="宋体"/>
                <w:color w:val="auto"/>
                <w:sz w:val="21"/>
                <w:szCs w:val="21"/>
              </w:rPr>
            </w:pPr>
            <w:r>
              <w:rPr>
                <w:rFonts w:hint="eastAsia" w:ascii="宋体" w:hAnsi="宋体" w:cs="宋体"/>
                <w:color w:val="auto"/>
                <w:sz w:val="21"/>
                <w:szCs w:val="21"/>
              </w:rPr>
              <w:t>在中标公示前</w:t>
            </w:r>
            <w:r>
              <w:rPr>
                <w:rFonts w:hint="eastAsia" w:ascii="宋体" w:hAnsi="宋体" w:cs="宋体"/>
                <w:color w:val="auto"/>
                <w:sz w:val="21"/>
                <w:szCs w:val="21"/>
                <w:lang w:val="en-US"/>
              </w:rPr>
              <w:t>，</w:t>
            </w:r>
            <w:r>
              <w:rPr>
                <w:rFonts w:hint="eastAsia" w:ascii="宋体" w:hAnsi="宋体" w:cs="宋体"/>
                <w:color w:val="auto"/>
                <w:sz w:val="21"/>
                <w:szCs w:val="21"/>
              </w:rPr>
              <w:t>招标人通过中国裁判文书网</w:t>
            </w:r>
            <w:r>
              <w:rPr>
                <w:rFonts w:hint="eastAsia" w:ascii="宋体" w:hAnsi="宋体" w:cs="宋体"/>
                <w:color w:val="auto"/>
                <w:sz w:val="21"/>
                <w:szCs w:val="21"/>
                <w:lang w:val="en-US"/>
              </w:rPr>
              <w:t>（</w:t>
            </w:r>
            <w:r>
              <w:rPr>
                <w:rFonts w:hint="eastAsia" w:ascii="宋体" w:hAnsi="宋体" w:cs="宋体"/>
                <w:color w:val="auto"/>
                <w:spacing w:val="-11"/>
                <w:sz w:val="21"/>
                <w:szCs w:val="21"/>
                <w:lang w:val="en-US"/>
              </w:rPr>
              <w:t>https：//wenshu.court.gov.cn/</w:t>
            </w:r>
            <w:r>
              <w:rPr>
                <w:rFonts w:hint="eastAsia" w:ascii="宋体" w:hAnsi="宋体" w:cs="宋体"/>
                <w:color w:val="auto"/>
                <w:sz w:val="21"/>
                <w:szCs w:val="21"/>
                <w:lang w:val="en-US"/>
              </w:rPr>
              <w:t>）</w:t>
            </w:r>
            <w:r>
              <w:rPr>
                <w:rFonts w:hint="eastAsia" w:ascii="宋体" w:hAnsi="宋体" w:cs="宋体"/>
                <w:color w:val="auto"/>
                <w:sz w:val="21"/>
                <w:szCs w:val="21"/>
              </w:rPr>
              <w:t>按照招标文件约定对拟中标单位及其拟派项目负责人的行贿犯罪记录进行查询</w:t>
            </w:r>
            <w:r>
              <w:rPr>
                <w:rFonts w:hint="eastAsia" w:ascii="宋体" w:hAnsi="宋体" w:cs="宋体"/>
                <w:color w:val="auto"/>
                <w:sz w:val="21"/>
                <w:szCs w:val="21"/>
                <w:lang w:val="en-US"/>
              </w:rPr>
              <w:t>，</w:t>
            </w:r>
            <w:r>
              <w:rPr>
                <w:rFonts w:hint="eastAsia" w:ascii="宋体" w:hAnsi="宋体" w:cs="宋体"/>
                <w:color w:val="auto"/>
                <w:sz w:val="21"/>
                <w:szCs w:val="21"/>
              </w:rPr>
              <w:t>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37"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7.1</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是否授权评标委员会确定中标人</w:t>
            </w:r>
          </w:p>
        </w:tc>
        <w:tc>
          <w:tcPr>
            <w:tcW w:w="3411"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eastAsiaTheme="minorEastAsia"/>
                <w:color w:val="auto"/>
                <w:szCs w:val="21"/>
              </w:rPr>
            </w:pPr>
            <w:r>
              <w:rPr>
                <w:rFonts w:hint="eastAsia" w:ascii="宋体" w:hAnsi="宋体" w:cs="宋体" w:eastAsiaTheme="minorEastAsia"/>
                <w:color w:val="auto"/>
                <w:szCs w:val="21"/>
              </w:rPr>
              <w:t>□是</w:t>
            </w:r>
          </w:p>
          <w:p>
            <w:pPr>
              <w:adjustRightInd w:val="0"/>
              <w:snapToGrid w:val="0"/>
              <w:spacing w:line="360" w:lineRule="exact"/>
              <w:ind w:firstLine="420" w:firstLineChars="200"/>
              <w:rPr>
                <w:rFonts w:ascii="宋体" w:hAnsi="宋体" w:cs="宋体"/>
                <w:color w:val="auto"/>
                <w:szCs w:val="21"/>
              </w:rPr>
            </w:pPr>
            <w:r>
              <w:rPr>
                <w:rFonts w:hint="eastAsia" w:ascii="MS Mincho" w:hAnsi="MS Mincho" w:eastAsia="MS Mincho" w:cs="MS Mincho"/>
                <w:color w:val="auto"/>
                <w:szCs w:val="21"/>
              </w:rPr>
              <w:t>☑</w:t>
            </w:r>
            <w:r>
              <w:rPr>
                <w:rFonts w:hint="eastAsia" w:ascii="宋体" w:hAnsi="宋体" w:cs="宋体" w:eastAsiaTheme="minorEastAsia"/>
                <w:color w:val="auto"/>
                <w:szCs w:val="21"/>
              </w:rPr>
              <w:t>否，推荐的中标候选人数量：</w:t>
            </w:r>
            <w:r>
              <w:rPr>
                <w:rFonts w:hint="eastAsia" w:ascii="宋体" w:hAnsi="宋体" w:cs="宋体" w:eastAsiaTheme="minorEastAsia"/>
                <w:color w:val="auto"/>
                <w:szCs w:val="21"/>
                <w:u w:val="single"/>
              </w:rPr>
              <w:t xml:space="preserve"> 1 </w:t>
            </w:r>
            <w:r>
              <w:rPr>
                <w:rFonts w:hint="eastAsia" w:ascii="宋体" w:hAnsi="宋体" w:cs="宋体" w:eastAsiaTheme="minorEastAsia"/>
                <w:color w:val="auto"/>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419"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7.3.1</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履约保证金</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履约保证金的形式：银行保函、保险公司保函或融资担保公司保函。</w:t>
            </w:r>
          </w:p>
          <w:p>
            <w:pPr>
              <w:spacing w:line="360" w:lineRule="exact"/>
              <w:ind w:firstLine="420" w:firstLineChars="200"/>
              <w:rPr>
                <w:rFonts w:ascii="宋体" w:hAnsi="宋体" w:cs="宋体"/>
                <w:color w:val="auto"/>
                <w:szCs w:val="21"/>
              </w:rPr>
            </w:pPr>
            <w:r>
              <w:rPr>
                <w:rFonts w:hint="eastAsia" w:ascii="宋体" w:hAnsi="宋体" w:cs="宋体"/>
                <w:color w:val="auto"/>
                <w:szCs w:val="21"/>
              </w:rPr>
              <w:t>履约保证金的金额：合同总价的2%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66"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8．2</w:t>
            </w:r>
          </w:p>
        </w:tc>
        <w:tc>
          <w:tcPr>
            <w:tcW w:w="1048" w:type="pct"/>
            <w:shd w:val="clear" w:color="000000" w:fill="FFFFFF"/>
            <w:tcMar>
              <w:left w:w="108" w:type="dxa"/>
              <w:right w:w="108" w:type="dxa"/>
            </w:tcMar>
            <w:vAlign w:val="center"/>
          </w:tcPr>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不再招标</w:t>
            </w:r>
          </w:p>
          <w:p>
            <w:pPr>
              <w:pStyle w:val="67"/>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的情形</w:t>
            </w:r>
          </w:p>
        </w:tc>
        <w:tc>
          <w:tcPr>
            <w:tcW w:w="3411"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69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10.1</w:t>
            </w:r>
          </w:p>
        </w:tc>
        <w:tc>
          <w:tcPr>
            <w:tcW w:w="104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否决投标的情形</w:t>
            </w:r>
          </w:p>
          <w:p>
            <w:pPr>
              <w:spacing w:line="360" w:lineRule="exact"/>
              <w:jc w:val="center"/>
              <w:rPr>
                <w:rFonts w:ascii="宋体" w:hAnsi="宋体" w:cs="宋体"/>
                <w:color w:val="auto"/>
                <w:szCs w:val="21"/>
              </w:rPr>
            </w:pPr>
          </w:p>
        </w:tc>
        <w:tc>
          <w:tcPr>
            <w:tcW w:w="3411" w:type="pct"/>
            <w:shd w:val="clear" w:color="000000" w:fill="FFFFFF"/>
            <w:tcMar>
              <w:left w:w="108" w:type="dxa"/>
              <w:right w:w="108" w:type="dxa"/>
            </w:tcMar>
            <w:vAlign w:val="center"/>
          </w:tcPr>
          <w:p>
            <w:pPr>
              <w:spacing w:line="350" w:lineRule="exact"/>
              <w:ind w:firstLine="420" w:firstLineChars="200"/>
              <w:rPr>
                <w:rFonts w:ascii="宋体" w:hAnsi="宋体" w:cs="宋体"/>
                <w:color w:val="auto"/>
                <w:szCs w:val="21"/>
              </w:rPr>
            </w:pPr>
            <w:r>
              <w:rPr>
                <w:rFonts w:hint="eastAsia" w:ascii="宋体" w:hAnsi="宋体" w:cs="宋体"/>
                <w:color w:val="auto"/>
                <w:szCs w:val="21"/>
              </w:rPr>
              <w:t>一、</w:t>
            </w:r>
            <w:r>
              <w:rPr>
                <w:rFonts w:hint="eastAsia" w:ascii="宋体" w:hAnsi="宋体" w:cs="宋体"/>
                <w:color w:val="auto"/>
                <w:szCs w:val="21"/>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350" w:lineRule="exact"/>
              <w:ind w:firstLine="420" w:firstLineChars="200"/>
              <w:rPr>
                <w:rFonts w:ascii="宋体" w:hAnsi="宋体" w:cs="宋体"/>
                <w:color w:val="auto"/>
                <w:szCs w:val="21"/>
              </w:rPr>
            </w:pPr>
            <w:r>
              <w:rPr>
                <w:rFonts w:hint="eastAsia" w:ascii="宋体" w:hAnsi="宋体" w:cs="宋体"/>
                <w:color w:val="auto"/>
                <w:szCs w:val="21"/>
              </w:rPr>
              <w:t>二、投标文件存在以下情形之一的，由评标委员会审核并经过询标程序，其投标文件将被否决：</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（一）符合性内容</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1.资格审查资料不符合要求；</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2.未按招标文件的要求加盖单位印章，或投标人的法定代表人（或其委托代理人）未按招标文件要求签字或盖章的，或委托代理人签字盖章但无有效的委托授权书的；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3.投标人存在投标人须知第1.4.3规定的不得存在的情形之一的；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4.投标函</w:t>
            </w:r>
            <w:r>
              <w:rPr>
                <w:rFonts w:hint="eastAsia" w:ascii="宋体" w:hAnsi="宋体" w:cs="宋体"/>
                <w:strike/>
                <w:color w:val="auto"/>
                <w:szCs w:val="21"/>
                <w:shd w:val="clear" w:color="auto" w:fill="FFFFFF"/>
              </w:rPr>
              <w:t>及投标函附录</w:t>
            </w:r>
            <w:r>
              <w:rPr>
                <w:rFonts w:hint="eastAsia" w:ascii="宋体" w:hAnsi="宋体" w:cs="宋体"/>
                <w:color w:val="auto"/>
                <w:szCs w:val="21"/>
                <w:shd w:val="clear" w:color="auto" w:fill="FFFFFF"/>
              </w:rPr>
              <w:t>载明的交货期不响应招标文件要求的；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5.投标人不以自己的名义或未按招标文件要求提供投标保证金，或提供的投标保证金有缺陷而不能接受的；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6.投标报价高于招标文件设定的最高投标限价的；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7.改变招标人提供的货物清单内容的（货物名称、单位、数量）；</w:t>
            </w:r>
          </w:p>
          <w:p>
            <w:pPr>
              <w:spacing w:line="350" w:lineRule="exact"/>
              <w:ind w:firstLine="422" w:firstLineChars="200"/>
              <w:rPr>
                <w:rFonts w:ascii="宋体" w:hAnsi="宋体" w:cs="宋体"/>
                <w:b/>
                <w:bCs/>
                <w:color w:val="auto"/>
                <w:szCs w:val="21"/>
                <w:shd w:val="clear" w:color="auto" w:fill="FFFFFF"/>
              </w:rPr>
            </w:pPr>
            <w:r>
              <w:rPr>
                <w:rFonts w:hint="eastAsia" w:ascii="宋体" w:hAnsi="宋体" w:cs="宋体"/>
                <w:b/>
                <w:bCs/>
                <w:color w:val="auto"/>
                <w:szCs w:val="21"/>
                <w:shd w:val="clear" w:color="auto" w:fill="FFFFFF"/>
              </w:rPr>
              <w:t>8. 投标人及其法定代表人控股的其他公司，不得同时参加同一标段投标。否则，均按否决投标处理；</w:t>
            </w:r>
          </w:p>
          <w:p>
            <w:pPr>
              <w:pStyle w:val="54"/>
              <w:spacing w:line="350" w:lineRule="exact"/>
              <w:ind w:firstLine="420"/>
              <w:rPr>
                <w:strike/>
                <w:color w:val="auto"/>
                <w:lang w:val="en-US"/>
              </w:rPr>
            </w:pPr>
            <w:r>
              <w:rPr>
                <w:rFonts w:hint="eastAsia" w:ascii="宋体" w:hAnsi="宋体" w:cs="宋体"/>
                <w:strike/>
                <w:color w:val="auto"/>
                <w:sz w:val="21"/>
                <w:szCs w:val="21"/>
                <w:shd w:val="clear" w:color="auto" w:fill="FFFFFF"/>
                <w:lang w:val="en-US"/>
              </w:rPr>
              <w:t>9.</w:t>
            </w:r>
            <w:r>
              <w:rPr>
                <w:rFonts w:hint="eastAsia" w:ascii="宋体" w:hAnsi="宋体" w:cs="宋体"/>
                <w:strike/>
                <w:color w:val="auto"/>
                <w:sz w:val="21"/>
                <w:szCs w:val="21"/>
              </w:rPr>
              <w:t>一个制造商对同一品牌同一型号的货物，仅能委托一个代理商参加投标，否则按否决投标处理。</w:t>
            </w:r>
          </w:p>
          <w:p>
            <w:pPr>
              <w:pStyle w:val="54"/>
              <w:spacing w:line="350" w:lineRule="exact"/>
              <w:ind w:firstLine="420"/>
              <w:rPr>
                <w:strike/>
                <w:color w:val="auto"/>
                <w:lang w:val="en-US"/>
              </w:rPr>
            </w:pPr>
            <w:r>
              <w:rPr>
                <w:rFonts w:hint="eastAsia" w:ascii="宋体" w:hAnsi="宋体" w:cs="宋体"/>
                <w:strike/>
                <w:color w:val="auto"/>
                <w:sz w:val="21"/>
                <w:szCs w:val="21"/>
              </w:rPr>
              <w:sym w:font="Wingdings 2" w:char="00A3"/>
            </w:r>
            <w:r>
              <w:rPr>
                <w:rFonts w:hint="eastAsia" w:ascii="宋体" w:hAnsi="宋体" w:cs="宋体"/>
                <w:strike/>
                <w:color w:val="auto"/>
                <w:sz w:val="21"/>
                <w:szCs w:val="21"/>
                <w:shd w:val="clear" w:color="auto" w:fill="FFFFFF"/>
                <w:lang w:val="en-US"/>
              </w:rPr>
              <w:t>10.投标人被省发展改革委列入招标投标失信黑名单，且在披露期内的；</w:t>
            </w:r>
          </w:p>
          <w:p>
            <w:pPr>
              <w:pStyle w:val="54"/>
              <w:spacing w:line="350" w:lineRule="exact"/>
              <w:ind w:firstLine="420"/>
              <w:rPr>
                <w:rFonts w:ascii="宋体" w:hAnsi="宋体" w:cs="宋体"/>
                <w:strike/>
                <w:color w:val="auto"/>
                <w:sz w:val="21"/>
                <w:szCs w:val="21"/>
                <w:shd w:val="clear" w:color="auto" w:fill="FFFFFF"/>
                <w:lang w:val="en-US"/>
              </w:rPr>
            </w:pPr>
            <w:r>
              <w:rPr>
                <w:rFonts w:hint="eastAsia" w:ascii="宋体" w:hAnsi="宋体" w:cs="宋体"/>
                <w:strike/>
                <w:color w:val="auto"/>
                <w:sz w:val="21"/>
                <w:szCs w:val="21"/>
                <w:shd w:val="clear" w:color="auto" w:fill="FFFFFF"/>
                <w:lang w:val="en-US"/>
              </w:rPr>
              <w:t>11.投标人在“信用中国”网站上，被列为失信被执行人的；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12.存在法律、法规、规章规定的其它无效投标情况的。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（二）技术标内容</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1.采用的验收标准和方法、主要技术指标达不到国家强制性标准的或要求的；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2.不符合以下技术规格、标准或性能指标的（招标人认为需要增加的，无则删除本条）：</w:t>
            </w:r>
            <w:r>
              <w:rPr>
                <w:rFonts w:hint="eastAsia" w:ascii="宋体" w:hAnsi="宋体" w:cs="宋体"/>
                <w:color w:val="auto"/>
                <w:szCs w:val="21"/>
                <w:u w:val="single"/>
                <w:shd w:val="clear" w:color="auto" w:fill="FFFFFF"/>
              </w:rPr>
              <w:t xml:space="preserve"> /</w:t>
            </w:r>
            <w:r>
              <w:rPr>
                <w:rFonts w:hint="eastAsia" w:ascii="宋体" w:hAnsi="宋体" w:cs="宋体"/>
                <w:color w:val="auto"/>
                <w:szCs w:val="21"/>
                <w:shd w:val="clear" w:color="auto" w:fill="FFFFFF"/>
              </w:rPr>
              <w:t xml:space="preserve">。            </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（三）商务标内容</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1.同一投标人提交两个以上不同的投标文件或者投标报价的；</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2.报价评审时，投标人拒绝按以下条款修正的：</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评标委员会认为投标人需要修正的投标内容；</w:t>
            </w:r>
          </w:p>
          <w:p>
            <w:pPr>
              <w:numPr>
                <w:ilvl w:val="0"/>
                <w:numId w:val="5"/>
              </w:numPr>
              <w:spacing w:line="360" w:lineRule="exact"/>
              <w:ind w:left="220" w:firstLine="200"/>
              <w:rPr>
                <w:rFonts w:ascii="宋体" w:hAnsi="宋体" w:cs="宋体"/>
                <w:color w:val="auto"/>
                <w:szCs w:val="21"/>
                <w:shd w:val="clear" w:color="auto" w:fill="FFFFFF"/>
              </w:rPr>
            </w:pPr>
            <w:r>
              <w:rPr>
                <w:rFonts w:hint="eastAsia" w:ascii="宋体" w:hAnsi="宋体" w:cs="宋体"/>
                <w:color w:val="auto"/>
                <w:szCs w:val="21"/>
                <w:shd w:val="clear" w:color="auto" w:fill="FFFFFF"/>
              </w:rPr>
              <w:t>投标函</w:t>
            </w:r>
            <w:r>
              <w:rPr>
                <w:rFonts w:hint="eastAsia" w:ascii="宋体" w:hAnsi="宋体" w:cs="宋体"/>
                <w:strike/>
                <w:color w:val="auto"/>
                <w:szCs w:val="21"/>
                <w:shd w:val="clear" w:color="auto" w:fill="FFFFFF"/>
              </w:rPr>
              <w:t>及投标函附录</w:t>
            </w:r>
            <w:r>
              <w:rPr>
                <w:rFonts w:hint="eastAsia" w:ascii="宋体" w:hAnsi="宋体" w:cs="宋体"/>
                <w:color w:val="auto"/>
                <w:szCs w:val="21"/>
                <w:shd w:val="clear" w:color="auto" w:fill="FFFFFF"/>
              </w:rPr>
              <w:t>载明的投标报价或其它关键内容字迹模糊或无法辨认的；</w:t>
            </w:r>
          </w:p>
          <w:p>
            <w:pPr>
              <w:pStyle w:val="13"/>
              <w:numPr>
                <w:ilvl w:val="0"/>
                <w:numId w:val="5"/>
              </w:numPr>
              <w:spacing w:line="360" w:lineRule="exact"/>
              <w:ind w:firstLine="480"/>
              <w:rPr>
                <w:color w:val="auto"/>
                <w:sz w:val="21"/>
                <w:szCs w:val="21"/>
                <w:u w:val="single"/>
              </w:rPr>
            </w:pPr>
            <w:r>
              <w:rPr>
                <w:rFonts w:hint="eastAsia"/>
                <w:color w:val="auto"/>
                <w:sz w:val="21"/>
                <w:szCs w:val="21"/>
              </w:rPr>
              <w:t>未按以下要求进行报价的：</w:t>
            </w:r>
            <w:r>
              <w:rPr>
                <w:rFonts w:hint="eastAsia"/>
                <w:color w:val="auto"/>
                <w:sz w:val="21"/>
                <w:szCs w:val="21"/>
                <w:u w:val="single"/>
              </w:rPr>
              <w:t>详见投标人须知前附表第3.2.4条款中第7点内容。</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除上述规定以外，还包括招标文件中其他条款有明确无效标情形的内容。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20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10.2</w:t>
            </w:r>
          </w:p>
        </w:tc>
        <w:tc>
          <w:tcPr>
            <w:tcW w:w="104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异议与投诉</w:t>
            </w:r>
          </w:p>
        </w:tc>
        <w:tc>
          <w:tcPr>
            <w:tcW w:w="3411" w:type="pct"/>
            <w:shd w:val="clear" w:color="000000" w:fill="FFFFFF"/>
            <w:tcMar>
              <w:left w:w="108" w:type="dxa"/>
              <w:right w:w="108" w:type="dxa"/>
            </w:tcMar>
            <w:vAlign w:val="center"/>
          </w:tcPr>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一、异议</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（三）投标人及其他利害关系人对评标结果有异议的，应当在中标候选人公示期内以书面形式向招标人或招标代理公司提出。招标人将在收</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到异议之日起3个日内作出书面答复；作出答复前，暂停招标投标活动。</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（四）对招标文件、评标结果的异议，提出和答复的形式只采用书面形式。</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二、投诉</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69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10.3</w:t>
            </w:r>
          </w:p>
        </w:tc>
        <w:tc>
          <w:tcPr>
            <w:tcW w:w="1048"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定标</w:t>
            </w:r>
          </w:p>
        </w:tc>
        <w:tc>
          <w:tcPr>
            <w:tcW w:w="3411"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vMerge w:val="restart"/>
            <w:shd w:val="clear" w:color="000000" w:fill="FFFFFF"/>
            <w:tcMar>
              <w:left w:w="108" w:type="dxa"/>
              <w:right w:w="108" w:type="dxa"/>
            </w:tcMar>
            <w:vAlign w:val="center"/>
          </w:tcPr>
          <w:p>
            <w:pPr>
              <w:spacing w:line="440" w:lineRule="auto"/>
              <w:jc w:val="center"/>
              <w:rPr>
                <w:rFonts w:ascii="宋体" w:hAnsi="宋体" w:cs="宋体"/>
                <w:color w:val="auto"/>
                <w:szCs w:val="21"/>
              </w:rPr>
            </w:pPr>
            <w:bookmarkStart w:id="2" w:name="_Toc29615"/>
            <w:r>
              <w:rPr>
                <w:rFonts w:hint="eastAsia" w:ascii="宋体" w:hAnsi="宋体" w:cs="宋体"/>
                <w:color w:val="auto"/>
                <w:szCs w:val="21"/>
              </w:rPr>
              <w:t>10.4</w:t>
            </w:r>
          </w:p>
        </w:tc>
        <w:tc>
          <w:tcPr>
            <w:tcW w:w="1048" w:type="pct"/>
            <w:vMerge w:val="restart"/>
            <w:shd w:val="clear" w:color="000000" w:fill="FFFFFF"/>
            <w:tcMar>
              <w:left w:w="108" w:type="dxa"/>
              <w:right w:w="108" w:type="dxa"/>
            </w:tcMar>
            <w:vAlign w:val="center"/>
          </w:tcPr>
          <w:p>
            <w:pPr>
              <w:pStyle w:val="35"/>
              <w:spacing w:line="360" w:lineRule="exact"/>
              <w:ind w:firstLine="0" w:firstLineChars="0"/>
              <w:jc w:val="center"/>
              <w:rPr>
                <w:rFonts w:ascii="宋体" w:hAnsi="宋体" w:cs="宋体"/>
                <w:color w:val="auto"/>
                <w:sz w:val="21"/>
                <w:szCs w:val="21"/>
                <w:shd w:val="clear" w:color="auto" w:fill="FFFFFF"/>
              </w:rPr>
            </w:pPr>
            <w:r>
              <w:rPr>
                <w:rFonts w:hint="eastAsia" w:ascii="宋体" w:hAnsi="宋体" w:cs="宋体"/>
                <w:color w:val="auto"/>
                <w:sz w:val="21"/>
                <w:szCs w:val="21"/>
                <w:shd w:val="clear" w:color="auto" w:fill="FFFFFF"/>
              </w:rPr>
              <w:t>招标人补充的其他</w:t>
            </w:r>
          </w:p>
          <w:p>
            <w:pPr>
              <w:pStyle w:val="35"/>
              <w:spacing w:line="360" w:lineRule="exact"/>
              <w:ind w:firstLine="0" w:firstLineChars="0"/>
              <w:jc w:val="center"/>
              <w:rPr>
                <w:rFonts w:ascii="宋体" w:hAnsi="宋体" w:cs="宋体"/>
                <w:color w:val="auto"/>
                <w:sz w:val="21"/>
                <w:szCs w:val="21"/>
                <w:shd w:val="clear" w:color="auto" w:fill="FFFFFF"/>
              </w:rPr>
            </w:pPr>
            <w:r>
              <w:rPr>
                <w:rFonts w:hint="eastAsia" w:ascii="宋体" w:hAnsi="宋体" w:cs="宋体"/>
                <w:color w:val="auto"/>
                <w:sz w:val="21"/>
                <w:szCs w:val="21"/>
                <w:shd w:val="clear" w:color="auto" w:fill="FFFFFF"/>
              </w:rPr>
              <w:t>内容</w:t>
            </w:r>
          </w:p>
        </w:tc>
        <w:tc>
          <w:tcPr>
            <w:tcW w:w="3411"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本招标项目由</w:t>
            </w:r>
            <w:r>
              <w:rPr>
                <w:rFonts w:hint="eastAsia" w:ascii="宋体" w:hAnsi="宋体" w:cs="宋体"/>
                <w:b/>
                <w:bCs/>
                <w:color w:val="auto"/>
                <w:szCs w:val="21"/>
                <w:u w:val="single"/>
                <w:shd w:val="clear" w:color="auto" w:fill="FFFFFF"/>
              </w:rPr>
              <w:t>绍兴市越城区公管办</w:t>
            </w:r>
            <w:r>
              <w:rPr>
                <w:rFonts w:hint="eastAsia" w:ascii="宋体" w:hAnsi="宋体" w:cs="宋体"/>
                <w:color w:val="auto"/>
                <w:szCs w:val="21"/>
                <w:shd w:val="clear" w:color="auto" w:fill="FFFFFF"/>
              </w:rPr>
              <w:t>参与监督，并请</w:t>
            </w:r>
            <w:r>
              <w:rPr>
                <w:rFonts w:hint="eastAsia" w:ascii="宋体" w:hAnsi="宋体" w:cs="宋体"/>
                <w:b/>
                <w:bCs/>
                <w:color w:val="auto"/>
                <w:szCs w:val="21"/>
                <w:u w:val="single"/>
                <w:shd w:val="clear" w:color="auto" w:fill="FFFFFF"/>
              </w:rPr>
              <w:t>绍兴市国信公证处</w:t>
            </w:r>
            <w:r>
              <w:rPr>
                <w:rFonts w:hint="eastAsia" w:ascii="宋体" w:hAnsi="宋体" w:cs="宋体"/>
                <w:color w:val="auto"/>
                <w:szCs w:val="21"/>
                <w:shd w:val="clear" w:color="auto" w:fill="FFFFFF"/>
              </w:rPr>
              <w:t>予以公证。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4762" w:hRule="atLeast"/>
          <w:jc w:val="center"/>
        </w:trPr>
        <w:tc>
          <w:tcPr>
            <w:tcW w:w="498" w:type="pct"/>
            <w:vMerge w:val="continue"/>
            <w:shd w:val="clear" w:color="000000" w:fill="FFFFFF"/>
            <w:tcMar>
              <w:left w:w="108" w:type="dxa"/>
              <w:right w:w="108" w:type="dxa"/>
            </w:tcMar>
            <w:vAlign w:val="center"/>
          </w:tcPr>
          <w:p>
            <w:pPr>
              <w:spacing w:line="440" w:lineRule="auto"/>
              <w:jc w:val="center"/>
              <w:rPr>
                <w:rFonts w:ascii="宋体" w:hAnsi="宋体" w:cs="宋体"/>
                <w:color w:val="auto"/>
                <w:szCs w:val="21"/>
              </w:rPr>
            </w:pPr>
          </w:p>
        </w:tc>
        <w:tc>
          <w:tcPr>
            <w:tcW w:w="1048" w:type="pct"/>
            <w:vMerge w:val="continue"/>
            <w:shd w:val="clear" w:color="000000" w:fill="FFFFFF"/>
            <w:tcMar>
              <w:left w:w="108" w:type="dxa"/>
              <w:right w:w="108" w:type="dxa"/>
            </w:tcMar>
            <w:vAlign w:val="center"/>
          </w:tcPr>
          <w:p>
            <w:pPr>
              <w:pStyle w:val="35"/>
              <w:spacing w:line="360" w:lineRule="exact"/>
              <w:ind w:firstLine="0" w:firstLineChars="0"/>
              <w:jc w:val="center"/>
              <w:rPr>
                <w:rFonts w:ascii="宋体" w:hAnsi="宋体" w:cs="宋体"/>
                <w:color w:val="auto"/>
                <w:sz w:val="21"/>
                <w:szCs w:val="21"/>
                <w:shd w:val="clear" w:color="auto" w:fill="FFFFFF"/>
              </w:rPr>
            </w:pPr>
          </w:p>
        </w:tc>
        <w:tc>
          <w:tcPr>
            <w:tcW w:w="3411" w:type="pct"/>
            <w:shd w:val="clear" w:color="000000" w:fill="FFFFFF"/>
            <w:tcMar>
              <w:left w:w="108" w:type="dxa"/>
              <w:right w:w="108" w:type="dxa"/>
            </w:tcMar>
            <w:vAlign w:val="center"/>
          </w:tcPr>
          <w:p>
            <w:pPr>
              <w:spacing w:line="400" w:lineRule="exact"/>
              <w:jc w:val="left"/>
              <w:rPr>
                <w:rFonts w:ascii="宋体" w:hAnsi="宋体" w:cs="宋体"/>
                <w:color w:val="auto"/>
                <w:szCs w:val="21"/>
              </w:rPr>
            </w:pPr>
            <w:r>
              <w:rPr>
                <w:rFonts w:hint="eastAsia" w:ascii="宋体" w:hAnsi="宋体" w:cs="宋体"/>
                <w:color w:val="auto"/>
                <w:szCs w:val="21"/>
              </w:rPr>
              <w:t>样品提供相关要求：</w:t>
            </w:r>
          </w:p>
          <w:p>
            <w:pPr>
              <w:pStyle w:val="2"/>
              <w:spacing w:line="360" w:lineRule="exact"/>
              <w:ind w:firstLine="420" w:firstLineChars="20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1.时间要求：开标当日9:30前截止；</w:t>
            </w:r>
          </w:p>
          <w:p>
            <w:pPr>
              <w:pStyle w:val="2"/>
              <w:spacing w:line="360" w:lineRule="exact"/>
              <w:ind w:firstLine="420" w:firstLineChars="20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2.样品规格：详见技术标</w:t>
            </w:r>
          </w:p>
          <w:p>
            <w:pPr>
              <w:pStyle w:val="2"/>
              <w:spacing w:line="360" w:lineRule="exact"/>
              <w:ind w:firstLine="420" w:firstLineChars="20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3.样品送达地点：绍兴市公共资源交易中心（地址：</w:t>
            </w:r>
            <w:r>
              <w:rPr>
                <w:color w:val="auto"/>
              </w:rPr>
              <w:fldChar w:fldCharType="begin"/>
            </w:r>
            <w:r>
              <w:rPr>
                <w:color w:val="auto"/>
              </w:rPr>
              <w:instrText xml:space="preserve"> HYPERLINK "http://www.sxztb.gov.cn/sxweb/ReadAttachFile.aspx?AttachID=37f9b03b-ad6a-42af-b0e6-b5a96971394e" \t "_blank" </w:instrText>
            </w:r>
            <w:r>
              <w:rPr>
                <w:color w:val="auto"/>
              </w:rPr>
              <w:fldChar w:fldCharType="separate"/>
            </w:r>
            <w:r>
              <w:rPr>
                <w:rFonts w:hint="eastAsia" w:ascii="宋体" w:hAnsi="宋体" w:eastAsia="宋体" w:cs="宋体"/>
                <w:b w:val="0"/>
                <w:bCs w:val="0"/>
                <w:color w:val="auto"/>
                <w:sz w:val="21"/>
                <w:szCs w:val="21"/>
              </w:rPr>
              <w:t>绍兴市迪荡新城惠利街20号鼎盛时代大厦</w:t>
            </w:r>
            <w:r>
              <w:rPr>
                <w:rFonts w:hint="eastAsia" w:ascii="宋体" w:hAnsi="宋体" w:eastAsia="宋体" w:cs="宋体"/>
                <w:b w:val="0"/>
                <w:bCs w:val="0"/>
                <w:color w:val="auto"/>
                <w:sz w:val="21"/>
                <w:szCs w:val="21"/>
              </w:rPr>
              <w:fldChar w:fldCharType="end"/>
            </w:r>
            <w:r>
              <w:rPr>
                <w:rFonts w:hint="eastAsia" w:ascii="宋体" w:hAnsi="宋体" w:eastAsia="宋体" w:cs="宋体"/>
                <w:b w:val="0"/>
                <w:bCs w:val="0"/>
                <w:color w:val="auto"/>
                <w:sz w:val="21"/>
                <w:szCs w:val="21"/>
              </w:rPr>
              <w:t>绍兴市公共资源交易中心</w:t>
            </w:r>
            <w:r>
              <w:rPr>
                <w:rFonts w:hint="eastAsia" w:ascii="宋体" w:hAnsi="宋体" w:eastAsia="宋体" w:cs="宋体"/>
                <w:b w:val="0"/>
                <w:bCs w:val="0"/>
                <w:color w:val="auto"/>
                <w:sz w:val="21"/>
                <w:szCs w:val="21"/>
                <w:lang w:eastAsia="zh-CN"/>
              </w:rPr>
              <w:t>五</w:t>
            </w:r>
            <w:r>
              <w:rPr>
                <w:rFonts w:hint="eastAsia" w:ascii="宋体" w:hAnsi="宋体" w:eastAsia="宋体" w:cs="宋体"/>
                <w:b w:val="0"/>
                <w:bCs w:val="0"/>
                <w:color w:val="auto"/>
                <w:sz w:val="21"/>
                <w:szCs w:val="21"/>
              </w:rPr>
              <w:t>楼）。</w:t>
            </w:r>
          </w:p>
          <w:p>
            <w:pPr>
              <w:pStyle w:val="2"/>
              <w:spacing w:line="360" w:lineRule="exact"/>
              <w:ind w:firstLine="420" w:firstLineChars="20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4.送样联系方式：联系人：金琴子；联系电话：18969515361。</w:t>
            </w:r>
          </w:p>
          <w:p>
            <w:pPr>
              <w:pStyle w:val="2"/>
              <w:spacing w:line="360" w:lineRule="exact"/>
              <w:ind w:firstLine="420" w:firstLineChars="20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5.其他：</w:t>
            </w:r>
          </w:p>
          <w:p>
            <w:pPr>
              <w:pStyle w:val="2"/>
              <w:spacing w:line="360" w:lineRule="exact"/>
              <w:ind w:firstLine="420" w:firstLineChars="200"/>
              <w:jc w:val="left"/>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1）样品需贴有标注投标人名称且加盖公章的标签。并从材质、耐用性、坚固性，美观度，生产工艺等方面进行简要说明。</w:t>
            </w:r>
          </w:p>
          <w:p>
            <w:pPr>
              <w:shd w:val="clear" w:color="auto" w:fill="FFFFFF"/>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rPr>
              <w:t>2）中标人样品不予退还，由招标人带回并妥善保管作为验收的参考；未中标人样品开标结束后请自行带回，绍兴市公共资源交易中心不予保管。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10.5</w:t>
            </w:r>
          </w:p>
        </w:tc>
        <w:tc>
          <w:tcPr>
            <w:tcW w:w="1048" w:type="pct"/>
            <w:shd w:val="clear" w:color="000000" w:fill="FFFFFF"/>
            <w:tcMar>
              <w:left w:w="108" w:type="dxa"/>
              <w:right w:w="108" w:type="dxa"/>
            </w:tcMar>
            <w:vAlign w:val="center"/>
          </w:tcPr>
          <w:p>
            <w:pPr>
              <w:pStyle w:val="35"/>
              <w:spacing w:line="360" w:lineRule="exact"/>
              <w:ind w:firstLine="0" w:firstLineChars="0"/>
              <w:jc w:val="center"/>
              <w:rPr>
                <w:rFonts w:ascii="宋体" w:hAnsi="宋体" w:cs="宋体"/>
                <w:color w:val="auto"/>
                <w:sz w:val="21"/>
                <w:szCs w:val="21"/>
                <w:shd w:val="clear" w:color="auto" w:fill="FFFFFF"/>
              </w:rPr>
            </w:pPr>
            <w:r>
              <w:rPr>
                <w:rFonts w:hint="eastAsia" w:ascii="宋体" w:hAnsi="宋体" w:cs="宋体"/>
                <w:color w:val="auto"/>
                <w:sz w:val="21"/>
                <w:szCs w:val="21"/>
                <w:shd w:val="clear" w:color="auto" w:fill="FFFFFF"/>
              </w:rPr>
              <w:t>特别提醒</w:t>
            </w:r>
          </w:p>
        </w:tc>
        <w:tc>
          <w:tcPr>
            <w:tcW w:w="3411"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rPr>
            </w:pPr>
            <w:r>
              <w:rPr>
                <w:rFonts w:hint="eastAsia" w:ascii="宋体" w:hAnsi="宋体" w:cs="宋体"/>
                <w:color w:val="auto"/>
                <w:szCs w:val="21"/>
                <w:shd w:val="clear" w:color="auto" w:fill="FFFFFF"/>
              </w:rPr>
              <w:t>投标人在投标过程中应认真审阅相关医疗专项图纸，原则按图施工，如发现图纸有原则性错误或不符合现行国家规范或标准，请投标人在要求</w:t>
            </w:r>
            <w:r>
              <w:rPr>
                <w:rFonts w:hint="eastAsia" w:ascii="宋体" w:hAnsi="宋体" w:cs="宋体"/>
                <w:color w:val="auto"/>
                <w:szCs w:val="21"/>
              </w:rPr>
              <w:t>提出问题的截止时间前（具体时间详见前附表第2.2.1条款）提交。</w:t>
            </w:r>
          </w:p>
          <w:p>
            <w:pPr>
              <w:shd w:val="clear" w:color="auto" w:fill="FFFFFF"/>
              <w:spacing w:line="360" w:lineRule="exact"/>
              <w:ind w:firstLine="420" w:firstLineChars="200"/>
              <w:rPr>
                <w:rFonts w:ascii="宋体" w:hAnsi="宋体" w:cs="宋体"/>
                <w:color w:val="auto"/>
                <w:szCs w:val="21"/>
              </w:rPr>
            </w:pPr>
            <w:r>
              <w:rPr>
                <w:rFonts w:hint="eastAsia" w:ascii="宋体" w:hAnsi="宋体" w:cs="宋体"/>
                <w:color w:val="auto"/>
                <w:szCs w:val="21"/>
              </w:rPr>
              <w:t>如发现清单中未包括交钥匙工程所须的全部内容，即有缺项漏项的，请在投标报价表中“其他清单”中补充完善，并列出详细的细目单。</w:t>
            </w:r>
          </w:p>
        </w:tc>
      </w:tr>
    </w:tbl>
    <w:p>
      <w:pPr>
        <w:pStyle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kern w:val="0"/>
          <w:sz w:val="24"/>
          <w:szCs w:val="24"/>
        </w:rPr>
        <w:t>第二节 投标人须知</w:t>
      </w:r>
      <w:bookmarkEnd w:id="2"/>
    </w:p>
    <w:p>
      <w:pPr>
        <w:pStyle w:val="55"/>
        <w:spacing w:before="0"/>
        <w:ind w:firstLine="420" w:firstLineChars="200"/>
        <w:rPr>
          <w:rFonts w:ascii="宋体" w:hAnsi="宋体" w:eastAsia="宋体"/>
          <w:color w:val="auto"/>
          <w:sz w:val="21"/>
          <w:szCs w:val="21"/>
        </w:rPr>
      </w:pPr>
      <w:bookmarkStart w:id="3" w:name="_Toc11269"/>
      <w:bookmarkStart w:id="4" w:name="_Toc392345909"/>
      <w:r>
        <w:rPr>
          <w:rFonts w:hint="eastAsia" w:ascii="宋体" w:hAnsi="宋体" w:eastAsia="宋体"/>
          <w:color w:val="auto"/>
          <w:sz w:val="21"/>
          <w:szCs w:val="21"/>
        </w:rPr>
        <w:t>1. 总则</w:t>
      </w:r>
      <w:bookmarkEnd w:id="3"/>
      <w:bookmarkEnd w:id="4"/>
    </w:p>
    <w:p>
      <w:pPr>
        <w:pStyle w:val="56"/>
        <w:ind w:firstLine="422" w:firstLineChars="200"/>
        <w:rPr>
          <w:rFonts w:ascii="宋体" w:hAnsi="宋体" w:eastAsia="宋体"/>
          <w:b/>
          <w:color w:val="auto"/>
          <w:sz w:val="21"/>
          <w:szCs w:val="21"/>
        </w:rPr>
      </w:pPr>
      <w:bookmarkStart w:id="5" w:name="_Toc152042306"/>
      <w:bookmarkStart w:id="6" w:name="_Toc9106"/>
      <w:bookmarkStart w:id="7" w:name="_Toc144974498"/>
      <w:bookmarkStart w:id="8" w:name="_Toc392345910"/>
      <w:bookmarkStart w:id="9" w:name="_Toc152045530"/>
      <w:bookmarkStart w:id="10" w:name="_Toc229646712"/>
      <w:r>
        <w:rPr>
          <w:rFonts w:hint="eastAsia" w:ascii="宋体" w:hAnsi="宋体" w:eastAsia="宋体"/>
          <w:b/>
          <w:color w:val="auto"/>
          <w:sz w:val="21"/>
          <w:szCs w:val="21"/>
        </w:rPr>
        <w:t>1.1 项目概况</w:t>
      </w:r>
      <w:bookmarkEnd w:id="5"/>
      <w:bookmarkEnd w:id="6"/>
      <w:bookmarkEnd w:id="7"/>
      <w:bookmarkEnd w:id="8"/>
      <w:bookmarkEnd w:id="9"/>
      <w:bookmarkEnd w:id="10"/>
    </w:p>
    <w:p>
      <w:pPr>
        <w:spacing w:line="400" w:lineRule="exact"/>
        <w:ind w:firstLine="420" w:firstLineChars="200"/>
        <w:rPr>
          <w:rFonts w:ascii="宋体" w:hAnsi="宋体" w:cs="宋体"/>
          <w:color w:val="auto"/>
          <w:szCs w:val="21"/>
        </w:rPr>
      </w:pPr>
      <w:r>
        <w:rPr>
          <w:rFonts w:hint="eastAsia" w:ascii="宋体" w:hAnsi="宋体" w:cs="宋体"/>
          <w:color w:val="auto"/>
          <w:szCs w:val="21"/>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1.1.2 本招标项目招标人：见投标人须知前附表。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1.1.3 本招标项目招标代理机构：见投标人须知前附表。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1.1.4 本招标项目名称：见投标人须知前附表。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1.1.5 本招标项目建设地点：见投标人须知前附表。</w:t>
      </w:r>
    </w:p>
    <w:p>
      <w:pPr>
        <w:pStyle w:val="56"/>
        <w:ind w:firstLine="422" w:firstLineChars="200"/>
        <w:rPr>
          <w:rFonts w:ascii="宋体" w:hAnsi="宋体" w:eastAsia="宋体"/>
          <w:b/>
          <w:color w:val="auto"/>
          <w:sz w:val="21"/>
          <w:szCs w:val="21"/>
        </w:rPr>
      </w:pPr>
      <w:bookmarkStart w:id="11" w:name="_Toc152042307"/>
      <w:bookmarkStart w:id="12" w:name="_Toc152045531"/>
      <w:bookmarkStart w:id="13" w:name="_Toc392345911"/>
      <w:bookmarkStart w:id="14" w:name="_Toc144974499"/>
      <w:bookmarkStart w:id="15" w:name="_Toc229646713"/>
      <w:bookmarkStart w:id="16" w:name="_Toc3629"/>
      <w:r>
        <w:rPr>
          <w:rFonts w:hint="eastAsia" w:ascii="宋体" w:hAnsi="宋体" w:eastAsia="宋体"/>
          <w:b/>
          <w:color w:val="auto"/>
          <w:sz w:val="21"/>
          <w:szCs w:val="21"/>
        </w:rPr>
        <w:t>1.2 资金来源和落实情况</w:t>
      </w:r>
      <w:bookmarkEnd w:id="11"/>
      <w:bookmarkEnd w:id="12"/>
      <w:bookmarkEnd w:id="13"/>
      <w:bookmarkEnd w:id="14"/>
      <w:bookmarkEnd w:id="15"/>
      <w:bookmarkEnd w:id="16"/>
    </w:p>
    <w:p>
      <w:pPr>
        <w:spacing w:line="400" w:lineRule="exact"/>
        <w:ind w:firstLine="420" w:firstLineChars="200"/>
        <w:rPr>
          <w:rFonts w:ascii="宋体" w:hAnsi="宋体" w:cs="宋体"/>
          <w:color w:val="auto"/>
          <w:szCs w:val="21"/>
        </w:rPr>
      </w:pPr>
      <w:r>
        <w:rPr>
          <w:rFonts w:hint="eastAsia" w:ascii="宋体" w:hAnsi="宋体" w:cs="宋体"/>
          <w:color w:val="auto"/>
          <w:szCs w:val="21"/>
        </w:rPr>
        <w:t>1.2.1 本招标项目的资金来源及出资比例：见投标人须知前附表。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1.2.2本招标项目的资金落实情况：见投标人须知前附表。</w:t>
      </w:r>
    </w:p>
    <w:p>
      <w:pPr>
        <w:pStyle w:val="56"/>
        <w:ind w:firstLine="422" w:firstLineChars="200"/>
        <w:rPr>
          <w:rFonts w:ascii="宋体" w:hAnsi="宋体" w:eastAsia="宋体"/>
          <w:b/>
          <w:color w:val="auto"/>
          <w:sz w:val="21"/>
          <w:szCs w:val="21"/>
        </w:rPr>
      </w:pPr>
      <w:bookmarkStart w:id="17" w:name="_Toc152045532"/>
      <w:bookmarkStart w:id="18" w:name="_Toc392345912"/>
      <w:bookmarkStart w:id="19" w:name="_Toc229646714"/>
      <w:bookmarkStart w:id="20" w:name="_Toc152042308"/>
      <w:bookmarkStart w:id="21" w:name="_Toc144974500"/>
      <w:bookmarkStart w:id="22" w:name="_Toc460"/>
      <w:r>
        <w:rPr>
          <w:rFonts w:hint="eastAsia" w:ascii="宋体" w:hAnsi="宋体" w:eastAsia="宋体"/>
          <w:b/>
          <w:color w:val="auto"/>
          <w:sz w:val="21"/>
          <w:szCs w:val="21"/>
        </w:rPr>
        <w:t>1.3 招标范围及计划服务期</w:t>
      </w:r>
      <w:bookmarkEnd w:id="17"/>
      <w:bookmarkEnd w:id="18"/>
      <w:bookmarkEnd w:id="19"/>
      <w:bookmarkEnd w:id="20"/>
      <w:bookmarkEnd w:id="21"/>
      <w:bookmarkEnd w:id="22"/>
    </w:p>
    <w:p>
      <w:pPr>
        <w:spacing w:line="400" w:lineRule="exact"/>
        <w:ind w:firstLine="420" w:firstLineChars="200"/>
        <w:rPr>
          <w:rFonts w:ascii="宋体" w:hAnsi="宋体" w:cs="宋体"/>
          <w:color w:val="auto"/>
          <w:szCs w:val="21"/>
        </w:rPr>
      </w:pPr>
      <w:r>
        <w:rPr>
          <w:rFonts w:hint="eastAsia" w:ascii="宋体" w:hAnsi="宋体" w:cs="宋体"/>
          <w:color w:val="auto"/>
          <w:szCs w:val="21"/>
        </w:rPr>
        <w:t>1.3.1 本次招标范围：见投标人须知前附表。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1.3.2 本招标项目的计划服务期：见投标人须知前附表。</w:t>
      </w:r>
    </w:p>
    <w:p>
      <w:pPr>
        <w:pStyle w:val="56"/>
        <w:ind w:firstLine="422" w:firstLineChars="200"/>
        <w:rPr>
          <w:rFonts w:ascii="宋体" w:hAnsi="宋体" w:eastAsia="宋体"/>
          <w:b/>
          <w:color w:val="auto"/>
          <w:sz w:val="21"/>
          <w:szCs w:val="21"/>
        </w:rPr>
      </w:pPr>
      <w:bookmarkStart w:id="23" w:name="_Toc229646715"/>
      <w:bookmarkStart w:id="24" w:name="_Toc152042310"/>
      <w:bookmarkStart w:id="25" w:name="_Toc22287"/>
      <w:bookmarkStart w:id="26" w:name="_Toc152045534"/>
      <w:bookmarkStart w:id="27" w:name="_Toc392345913"/>
      <w:bookmarkStart w:id="28" w:name="_Toc144974502"/>
      <w:r>
        <w:rPr>
          <w:rFonts w:hint="eastAsia" w:ascii="宋体" w:hAnsi="宋体" w:eastAsia="宋体"/>
          <w:b/>
          <w:color w:val="auto"/>
          <w:sz w:val="21"/>
          <w:szCs w:val="21"/>
        </w:rPr>
        <w:t>1.4 投标人资格要求</w:t>
      </w:r>
      <w:bookmarkEnd w:id="23"/>
      <w:bookmarkEnd w:id="24"/>
      <w:bookmarkEnd w:id="25"/>
      <w:bookmarkEnd w:id="26"/>
      <w:bookmarkEnd w:id="27"/>
      <w:bookmarkEnd w:id="28"/>
    </w:p>
    <w:p>
      <w:pPr>
        <w:spacing w:line="400" w:lineRule="exact"/>
        <w:ind w:firstLine="420" w:firstLineChars="200"/>
        <w:rPr>
          <w:rFonts w:ascii="宋体" w:hAnsi="宋体" w:cs="宋体"/>
          <w:color w:val="auto"/>
          <w:szCs w:val="21"/>
        </w:rPr>
      </w:pPr>
      <w:r>
        <w:rPr>
          <w:rFonts w:hint="eastAsia" w:ascii="宋体" w:hAnsi="宋体" w:cs="宋体"/>
          <w:color w:val="auto"/>
          <w:szCs w:val="21"/>
        </w:rPr>
        <w:t>1.4.1投标人应具备承担本标段服务的资格条件、要求。</w:t>
      </w:r>
    </w:p>
    <w:p>
      <w:pPr>
        <w:spacing w:line="400" w:lineRule="exact"/>
        <w:ind w:firstLine="420" w:firstLineChars="200"/>
        <w:rPr>
          <w:rFonts w:ascii="宋体" w:hAnsi="宋体" w:cs="宋体"/>
          <w:color w:val="auto"/>
          <w:szCs w:val="21"/>
        </w:rPr>
      </w:pPr>
      <w:r>
        <w:rPr>
          <w:rFonts w:hint="eastAsia" w:ascii="宋体" w:hAnsi="宋体" w:cs="宋体"/>
          <w:color w:val="auto"/>
          <w:szCs w:val="21"/>
        </w:rPr>
        <w:t>（1）资质条件：见投标人须知前附表；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（2）业绩要求：见投标人须知前附表；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（3）信誉要求：见投标人须知前附表；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（4）其他要求：见投标人须知前附表。</w:t>
      </w:r>
    </w:p>
    <w:p>
      <w:pPr>
        <w:spacing w:line="400" w:lineRule="exact"/>
        <w:ind w:firstLine="420" w:firstLineChars="200"/>
        <w:rPr>
          <w:rFonts w:ascii="宋体" w:hAnsi="宋体" w:cs="宋体"/>
          <w:color w:val="auto"/>
          <w:szCs w:val="21"/>
        </w:rPr>
      </w:pPr>
      <w:bookmarkStart w:id="29" w:name="_Toc144974503"/>
      <w:bookmarkStart w:id="30" w:name="_Toc152042311"/>
      <w:bookmarkStart w:id="31" w:name="_Toc152045535"/>
      <w:bookmarkStart w:id="32" w:name="_Toc229646716"/>
      <w:r>
        <w:rPr>
          <w:rFonts w:hint="eastAsia" w:ascii="宋体" w:hAnsi="宋体" w:cs="宋体"/>
          <w:color w:val="auto"/>
          <w:szCs w:val="21"/>
        </w:rPr>
        <w:t>1.4.2投标人须知前附表规定接受联合体投标的，除应符合本章第1.4.1项和投标人须知前附表的要求外，还应遵守以下规定：</w:t>
      </w:r>
    </w:p>
    <w:p>
      <w:pPr>
        <w:spacing w:line="400" w:lineRule="exact"/>
        <w:ind w:firstLine="420" w:firstLineChars="200"/>
        <w:rPr>
          <w:rFonts w:ascii="宋体" w:hAnsi="宋体" w:cs="宋体"/>
          <w:color w:val="auto"/>
          <w:szCs w:val="21"/>
        </w:rPr>
      </w:pPr>
      <w:r>
        <w:rPr>
          <w:rFonts w:hint="eastAsia" w:ascii="宋体" w:hAnsi="宋体" w:cs="宋体"/>
          <w:color w:val="auto"/>
          <w:szCs w:val="21"/>
        </w:rPr>
        <w:t>（1）联合体各方应按招标文件提供的格式签订联合体协议书，明确联合体牵头人和各方权利义务；</w:t>
      </w:r>
    </w:p>
    <w:p>
      <w:pPr>
        <w:spacing w:line="400" w:lineRule="exact"/>
        <w:ind w:firstLine="420" w:firstLineChars="200"/>
        <w:rPr>
          <w:rFonts w:ascii="宋体" w:hAnsi="宋体" w:cs="宋体"/>
          <w:color w:val="auto"/>
          <w:szCs w:val="21"/>
        </w:rPr>
      </w:pPr>
      <w:r>
        <w:rPr>
          <w:rFonts w:hint="eastAsia" w:ascii="宋体" w:hAnsi="宋体" w:cs="宋体"/>
          <w:color w:val="auto"/>
          <w:szCs w:val="21"/>
        </w:rPr>
        <w:t>（2）由同一专业的单位组成的联合体，按照资质等级较低的单位确定资质等级；</w:t>
      </w:r>
    </w:p>
    <w:p>
      <w:pPr>
        <w:spacing w:line="400" w:lineRule="exact"/>
        <w:ind w:firstLine="420" w:firstLineChars="200"/>
        <w:rPr>
          <w:rFonts w:ascii="宋体" w:hAnsi="宋体" w:cs="宋体"/>
          <w:color w:val="auto"/>
          <w:szCs w:val="21"/>
        </w:rPr>
      </w:pPr>
      <w:r>
        <w:rPr>
          <w:rFonts w:hint="eastAsia" w:ascii="宋体" w:hAnsi="宋体" w:cs="宋体"/>
          <w:color w:val="auto"/>
          <w:szCs w:val="21"/>
        </w:rPr>
        <w:t>（3）联合体各方不得再以自己名次单独或参加其他联合体在同一标段中投标。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1.4.3投标人不得存在下列情形之一：</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（1）为招标人不具有独立法人资格的附属机构（单位）； </w:t>
      </w:r>
    </w:p>
    <w:p>
      <w:pPr>
        <w:spacing w:line="400" w:lineRule="exact"/>
        <w:ind w:firstLine="420" w:firstLineChars="200"/>
        <w:rPr>
          <w:rFonts w:ascii="宋体" w:hAnsi="宋体" w:cs="宋体"/>
          <w:color w:val="auto"/>
          <w:szCs w:val="21"/>
        </w:rPr>
      </w:pPr>
      <w:r>
        <w:rPr>
          <w:rFonts w:hint="eastAsia" w:ascii="宋体" w:hAnsi="宋体" w:cs="宋体"/>
          <w:color w:val="auto"/>
          <w:szCs w:val="21"/>
        </w:rPr>
        <w:t>（2）为本标段的代建人；</w:t>
      </w:r>
    </w:p>
    <w:p>
      <w:pPr>
        <w:spacing w:line="400" w:lineRule="exact"/>
        <w:ind w:firstLine="420" w:firstLineChars="200"/>
        <w:rPr>
          <w:rFonts w:ascii="宋体" w:hAnsi="宋体" w:cs="宋体"/>
          <w:color w:val="auto"/>
          <w:szCs w:val="21"/>
        </w:rPr>
      </w:pPr>
      <w:r>
        <w:rPr>
          <w:rFonts w:hint="eastAsia" w:ascii="宋体" w:hAnsi="宋体" w:cs="宋体"/>
          <w:color w:val="auto"/>
          <w:szCs w:val="21"/>
        </w:rPr>
        <w:t>（3）为本标段提供招标代理服务的；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（4）单位负责人为同一人或者存在控股、管理关系的不同单位，同时参加本标段投标的；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（5）投标人及其法定代表人控股的其他公司，同时参加本标段投标的；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（6）与招标人存在利害关系可能影响招标公正性的法人、其他组织或者个人参加投标的；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（7）被责令停业的；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（8）被暂停或取消投标资格的；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（9）财产被接管或冻结的。</w:t>
      </w:r>
    </w:p>
    <w:p>
      <w:pPr>
        <w:pStyle w:val="56"/>
        <w:ind w:firstLine="422" w:firstLineChars="200"/>
        <w:rPr>
          <w:rFonts w:ascii="宋体" w:hAnsi="宋体" w:eastAsia="宋体"/>
          <w:b/>
          <w:color w:val="auto"/>
          <w:sz w:val="21"/>
          <w:szCs w:val="21"/>
        </w:rPr>
      </w:pPr>
      <w:bookmarkStart w:id="33" w:name="_Toc10130"/>
      <w:bookmarkStart w:id="34" w:name="_Toc392345914"/>
      <w:r>
        <w:rPr>
          <w:rFonts w:hint="eastAsia" w:ascii="宋体" w:hAnsi="宋体" w:eastAsia="宋体"/>
          <w:b/>
          <w:color w:val="auto"/>
          <w:sz w:val="21"/>
          <w:szCs w:val="21"/>
        </w:rPr>
        <w:t>1.5 费用承担</w:t>
      </w:r>
      <w:bookmarkEnd w:id="29"/>
      <w:bookmarkEnd w:id="30"/>
      <w:bookmarkEnd w:id="31"/>
      <w:bookmarkEnd w:id="32"/>
      <w:bookmarkEnd w:id="33"/>
      <w:bookmarkEnd w:id="34"/>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投标人准备和参加投标活动发生的费用自理。</w:t>
      </w:r>
    </w:p>
    <w:p>
      <w:pPr>
        <w:pStyle w:val="56"/>
        <w:ind w:firstLine="422" w:firstLineChars="200"/>
        <w:rPr>
          <w:rFonts w:ascii="宋体" w:hAnsi="宋体" w:eastAsia="宋体"/>
          <w:b/>
          <w:color w:val="auto"/>
          <w:sz w:val="21"/>
          <w:szCs w:val="21"/>
        </w:rPr>
      </w:pPr>
      <w:bookmarkStart w:id="35" w:name="_Toc245036603"/>
      <w:bookmarkStart w:id="36" w:name="_Toc322615398"/>
      <w:bookmarkStart w:id="37" w:name="_Toc392345915"/>
      <w:bookmarkStart w:id="38" w:name="_Toc152042312"/>
      <w:bookmarkStart w:id="39" w:name="_Toc152045536"/>
      <w:bookmarkStart w:id="40" w:name="_Toc319408072"/>
      <w:bookmarkStart w:id="41" w:name="_Toc25357"/>
      <w:bookmarkStart w:id="42" w:name="_Toc319407837"/>
      <w:bookmarkStart w:id="43" w:name="_Toc323711750"/>
      <w:bookmarkStart w:id="44" w:name="_Toc144974504"/>
      <w:bookmarkStart w:id="45" w:name="_Toc144974510"/>
      <w:bookmarkStart w:id="46" w:name="_Toc152042318"/>
      <w:bookmarkStart w:id="47" w:name="_Toc229646724"/>
      <w:bookmarkStart w:id="48" w:name="_Toc152045542"/>
      <w:r>
        <w:rPr>
          <w:rFonts w:hint="eastAsia" w:ascii="宋体" w:hAnsi="宋体" w:eastAsia="宋体"/>
          <w:b/>
          <w:color w:val="auto"/>
          <w:sz w:val="21"/>
          <w:szCs w:val="21"/>
        </w:rPr>
        <w:t>1.6 保密</w:t>
      </w:r>
      <w:bookmarkEnd w:id="35"/>
      <w:bookmarkEnd w:id="36"/>
      <w:bookmarkEnd w:id="37"/>
      <w:bookmarkEnd w:id="38"/>
      <w:bookmarkEnd w:id="39"/>
      <w:bookmarkEnd w:id="40"/>
      <w:bookmarkEnd w:id="41"/>
      <w:bookmarkEnd w:id="42"/>
      <w:bookmarkEnd w:id="43"/>
      <w:bookmarkEnd w:id="44"/>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参与招标投标活动的各方应对招标文件和投标文件中的商业和技术等秘密保密，违者应对由此造成的后果承担法律责任。 </w:t>
      </w:r>
    </w:p>
    <w:p>
      <w:pPr>
        <w:pStyle w:val="56"/>
        <w:ind w:firstLine="422" w:firstLineChars="200"/>
        <w:rPr>
          <w:rFonts w:ascii="宋体" w:hAnsi="宋体" w:eastAsia="宋体"/>
          <w:b/>
          <w:color w:val="auto"/>
          <w:sz w:val="21"/>
          <w:szCs w:val="21"/>
        </w:rPr>
      </w:pPr>
      <w:bookmarkStart w:id="49" w:name="_Toc144974505"/>
      <w:bookmarkStart w:id="50" w:name="_Toc319408073"/>
      <w:bookmarkStart w:id="51" w:name="_Toc152042313"/>
      <w:bookmarkStart w:id="52" w:name="_Toc4033"/>
      <w:bookmarkStart w:id="53" w:name="_Toc319407838"/>
      <w:bookmarkStart w:id="54" w:name="_Toc245036604"/>
      <w:bookmarkStart w:id="55" w:name="_Toc152045537"/>
      <w:bookmarkStart w:id="56" w:name="_Toc322615399"/>
      <w:bookmarkStart w:id="57" w:name="_Toc323711751"/>
      <w:bookmarkStart w:id="58" w:name="_Toc392345916"/>
      <w:r>
        <w:rPr>
          <w:rFonts w:hint="eastAsia" w:ascii="宋体" w:hAnsi="宋体" w:eastAsia="宋体"/>
          <w:b/>
          <w:color w:val="auto"/>
          <w:sz w:val="21"/>
          <w:szCs w:val="21"/>
        </w:rPr>
        <w:t>1.7 语言</w:t>
      </w:r>
      <w:bookmarkEnd w:id="49"/>
      <w:r>
        <w:rPr>
          <w:rFonts w:hint="eastAsia" w:ascii="宋体" w:hAnsi="宋体" w:eastAsia="宋体"/>
          <w:b/>
          <w:color w:val="auto"/>
          <w:sz w:val="21"/>
          <w:szCs w:val="21"/>
        </w:rPr>
        <w:t>文字</w:t>
      </w:r>
      <w:bookmarkEnd w:id="50"/>
      <w:bookmarkEnd w:id="51"/>
      <w:bookmarkEnd w:id="52"/>
      <w:bookmarkEnd w:id="53"/>
      <w:bookmarkEnd w:id="54"/>
      <w:bookmarkEnd w:id="55"/>
      <w:bookmarkEnd w:id="56"/>
      <w:bookmarkEnd w:id="57"/>
      <w:bookmarkEnd w:id="58"/>
    </w:p>
    <w:p>
      <w:pPr>
        <w:spacing w:line="400" w:lineRule="exact"/>
        <w:ind w:firstLine="420" w:firstLineChars="200"/>
        <w:rPr>
          <w:rFonts w:ascii="宋体" w:hAnsi="宋体" w:cs="宋体"/>
          <w:color w:val="auto"/>
          <w:szCs w:val="21"/>
        </w:rPr>
      </w:pPr>
      <w:r>
        <w:rPr>
          <w:rFonts w:hint="eastAsia" w:ascii="宋体" w:hAnsi="宋体" w:cs="宋体"/>
          <w:color w:val="auto"/>
          <w:szCs w:val="21"/>
        </w:rPr>
        <w:t>除专用术语外，与招标投标有关的语言均使用中文。必要时专用术语应附有中文注释。</w:t>
      </w:r>
    </w:p>
    <w:p>
      <w:pPr>
        <w:pStyle w:val="56"/>
        <w:ind w:firstLine="422" w:firstLineChars="200"/>
        <w:rPr>
          <w:rFonts w:ascii="宋体" w:hAnsi="宋体" w:eastAsia="宋体"/>
          <w:b/>
          <w:color w:val="auto"/>
          <w:sz w:val="21"/>
          <w:szCs w:val="21"/>
        </w:rPr>
      </w:pPr>
      <w:bookmarkStart w:id="59" w:name="_Toc144974506"/>
      <w:bookmarkStart w:id="60" w:name="_Toc245036605"/>
      <w:bookmarkStart w:id="61" w:name="_Toc392345917"/>
      <w:bookmarkStart w:id="62" w:name="_Toc152042314"/>
      <w:bookmarkStart w:id="63" w:name="_Toc31144"/>
      <w:bookmarkStart w:id="64" w:name="_Toc322615400"/>
      <w:bookmarkStart w:id="65" w:name="_Toc152045538"/>
      <w:bookmarkStart w:id="66" w:name="_Toc319408074"/>
      <w:bookmarkStart w:id="67" w:name="_Toc319407839"/>
      <w:bookmarkStart w:id="68" w:name="_Toc323711752"/>
      <w:r>
        <w:rPr>
          <w:rFonts w:hint="eastAsia" w:ascii="宋体" w:hAnsi="宋体" w:eastAsia="宋体"/>
          <w:b/>
          <w:color w:val="auto"/>
          <w:sz w:val="21"/>
          <w:szCs w:val="21"/>
        </w:rPr>
        <w:t>1.8 计量单位</w:t>
      </w:r>
      <w:bookmarkEnd w:id="59"/>
      <w:bookmarkEnd w:id="60"/>
      <w:bookmarkEnd w:id="61"/>
      <w:bookmarkEnd w:id="62"/>
      <w:bookmarkEnd w:id="63"/>
      <w:bookmarkEnd w:id="64"/>
      <w:bookmarkEnd w:id="65"/>
      <w:bookmarkEnd w:id="66"/>
      <w:bookmarkEnd w:id="67"/>
      <w:bookmarkEnd w:id="68"/>
    </w:p>
    <w:p>
      <w:pPr>
        <w:spacing w:line="400" w:lineRule="exact"/>
        <w:ind w:firstLine="420" w:firstLineChars="200"/>
        <w:rPr>
          <w:rFonts w:ascii="宋体" w:hAnsi="宋体" w:cs="宋体"/>
          <w:color w:val="auto"/>
          <w:szCs w:val="21"/>
        </w:rPr>
      </w:pPr>
      <w:r>
        <w:rPr>
          <w:rFonts w:hint="eastAsia" w:ascii="宋体" w:hAnsi="宋体" w:cs="宋体"/>
          <w:color w:val="auto"/>
          <w:szCs w:val="21"/>
        </w:rPr>
        <w:t>所有计量均采用中华人民共和国法定计量单位。</w:t>
      </w:r>
    </w:p>
    <w:p>
      <w:pPr>
        <w:pStyle w:val="56"/>
        <w:ind w:firstLine="422" w:firstLineChars="200"/>
        <w:rPr>
          <w:rFonts w:ascii="宋体" w:hAnsi="宋体" w:eastAsia="宋体"/>
          <w:b/>
          <w:color w:val="auto"/>
          <w:sz w:val="21"/>
          <w:szCs w:val="21"/>
        </w:rPr>
      </w:pPr>
      <w:bookmarkStart w:id="69" w:name="_Toc392345918"/>
      <w:bookmarkStart w:id="70" w:name="_Toc323711753"/>
      <w:bookmarkStart w:id="71" w:name="_Toc319407840"/>
      <w:bookmarkStart w:id="72" w:name="_Toc152042315"/>
      <w:bookmarkStart w:id="73" w:name="_Toc144974507"/>
      <w:bookmarkStart w:id="74" w:name="_Toc322615401"/>
      <w:bookmarkStart w:id="75" w:name="_Toc152045539"/>
      <w:bookmarkStart w:id="76" w:name="_Toc926"/>
      <w:bookmarkStart w:id="77" w:name="_Toc245036606"/>
      <w:bookmarkStart w:id="78" w:name="_Toc319408075"/>
      <w:r>
        <w:rPr>
          <w:rFonts w:hint="eastAsia" w:ascii="宋体" w:hAnsi="宋体" w:eastAsia="宋体"/>
          <w:b/>
          <w:color w:val="auto"/>
          <w:sz w:val="21"/>
          <w:szCs w:val="21"/>
        </w:rPr>
        <w:t>1.9 踏勘现场</w:t>
      </w:r>
      <w:bookmarkEnd w:id="69"/>
      <w:bookmarkEnd w:id="70"/>
      <w:bookmarkEnd w:id="71"/>
      <w:bookmarkEnd w:id="72"/>
      <w:bookmarkEnd w:id="73"/>
      <w:bookmarkEnd w:id="74"/>
      <w:bookmarkEnd w:id="75"/>
      <w:bookmarkEnd w:id="76"/>
      <w:bookmarkEnd w:id="77"/>
      <w:bookmarkEnd w:id="78"/>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1.9.1 投标人须知前附表规定组织踏勘现场的，招标人按投标人须知前附表规定的时间、地点组织投标人踏勘项目现场。 </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1.9.2 投标人踏勘现场发生的费用自理。</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1.9.3 除招标人的原因外，投标人自行负责在踏勘现场中所发生的人员伤亡和财产损失。</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1.9.4 招标人在踏勘现场中介绍的工程场地和相关的周边环境情况，供投标人在编制投标文件时参考，招标人不对投标人据此作出的判断和决策负责。</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1.9.5 招标人提供的本工程的相关参考资料，并不构成合同文件的组成部分，投标人应对上述资料的解释、推论和应用负责，招标人不对投标人据此作出的判断和决策承担任何责任。</w:t>
      </w:r>
    </w:p>
    <w:p>
      <w:pPr>
        <w:pStyle w:val="56"/>
        <w:ind w:firstLine="422" w:firstLineChars="200"/>
        <w:rPr>
          <w:rFonts w:ascii="宋体" w:hAnsi="宋体" w:eastAsia="宋体"/>
          <w:b/>
          <w:color w:val="auto"/>
          <w:sz w:val="21"/>
          <w:szCs w:val="21"/>
        </w:rPr>
      </w:pPr>
      <w:bookmarkStart w:id="79" w:name="_Toc323711754"/>
      <w:bookmarkStart w:id="80" w:name="_Toc319408076"/>
      <w:bookmarkStart w:id="81" w:name="_Toc322615402"/>
      <w:bookmarkStart w:id="82" w:name="_Toc152045540"/>
      <w:bookmarkStart w:id="83" w:name="_Toc144974508"/>
      <w:bookmarkStart w:id="84" w:name="_Toc319407841"/>
      <w:bookmarkStart w:id="85" w:name="_Toc152042316"/>
      <w:bookmarkStart w:id="86" w:name="_Toc392345919"/>
      <w:bookmarkStart w:id="87" w:name="_Toc245036607"/>
      <w:bookmarkStart w:id="88" w:name="_Toc1967"/>
      <w:r>
        <w:rPr>
          <w:rFonts w:hint="eastAsia" w:ascii="宋体" w:hAnsi="宋体" w:eastAsia="宋体"/>
          <w:b/>
          <w:color w:val="auto"/>
          <w:sz w:val="21"/>
          <w:szCs w:val="21"/>
        </w:rPr>
        <w:t xml:space="preserve">1.10 </w:t>
      </w:r>
      <w:bookmarkEnd w:id="79"/>
      <w:bookmarkEnd w:id="80"/>
      <w:bookmarkEnd w:id="81"/>
      <w:bookmarkEnd w:id="82"/>
      <w:bookmarkEnd w:id="83"/>
      <w:bookmarkEnd w:id="84"/>
      <w:bookmarkEnd w:id="85"/>
      <w:bookmarkEnd w:id="86"/>
      <w:bookmarkEnd w:id="87"/>
      <w:r>
        <w:rPr>
          <w:rFonts w:hint="eastAsia" w:ascii="宋体" w:hAnsi="宋体" w:eastAsia="宋体"/>
          <w:b/>
          <w:color w:val="auto"/>
          <w:sz w:val="21"/>
          <w:szCs w:val="21"/>
        </w:rPr>
        <w:t>投标预备会</w:t>
      </w:r>
      <w:bookmarkEnd w:id="88"/>
    </w:p>
    <w:p>
      <w:pPr>
        <w:spacing w:line="400" w:lineRule="exact"/>
        <w:ind w:firstLine="420" w:firstLineChars="200"/>
        <w:rPr>
          <w:rFonts w:ascii="宋体" w:hAnsi="宋体" w:cs="宋体"/>
          <w:color w:val="auto"/>
          <w:szCs w:val="21"/>
        </w:rPr>
      </w:pPr>
      <w:r>
        <w:rPr>
          <w:rFonts w:hint="eastAsia" w:ascii="宋体" w:hAnsi="宋体" w:cs="宋体"/>
          <w:color w:val="auto"/>
          <w:szCs w:val="21"/>
        </w:rPr>
        <w:t>1.10.1投标人须知前附表规定召开投标预备会的，招标人按投标人须知前附表规定的时间和地点召开投标预备会，澄清投标人提出的问题。</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1.10.2投标人应在投标人须知前附表规定的时间前，以电子邮件的形式（可匿名）将提出的问题发至招标人的电子邮箱。</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1.10.3招标人在投标人须知前附表规定的时间内，将对投标人所提问题进行澄清和对招标文件的补充、修改，并在投标人须知前附表1.10.4指定的网站上公开发布。该澄清内容为招标文件的组成部分。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1.10.4上传疑问邮箱，下载澄清、修改、补充文件网址见投标人须知前附表。</w:t>
      </w:r>
    </w:p>
    <w:p>
      <w:pPr>
        <w:pStyle w:val="56"/>
        <w:ind w:firstLine="422" w:firstLineChars="200"/>
        <w:rPr>
          <w:rFonts w:ascii="宋体" w:hAnsi="宋体" w:eastAsia="宋体"/>
          <w:b/>
          <w:color w:val="auto"/>
          <w:sz w:val="21"/>
          <w:szCs w:val="21"/>
        </w:rPr>
      </w:pPr>
      <w:bookmarkStart w:id="89" w:name="_Toc27344"/>
      <w:r>
        <w:rPr>
          <w:rFonts w:hint="eastAsia" w:ascii="宋体" w:hAnsi="宋体" w:eastAsia="宋体"/>
          <w:b/>
          <w:color w:val="auto"/>
          <w:sz w:val="21"/>
          <w:szCs w:val="21"/>
        </w:rPr>
        <w:t>1.11分包</w:t>
      </w:r>
      <w:bookmarkEnd w:id="89"/>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投标人拟在中标后将中标项目的部分非主体、非关键性工作进行分包的，应符合投标人须知前附表规定的分包内容、分包金额和资质要求等限制性条件。</w:t>
      </w:r>
    </w:p>
    <w:p>
      <w:pPr>
        <w:pStyle w:val="56"/>
        <w:ind w:firstLine="422" w:firstLineChars="200"/>
        <w:rPr>
          <w:rFonts w:ascii="宋体" w:hAnsi="宋体" w:eastAsia="宋体"/>
          <w:b/>
          <w:color w:val="auto"/>
          <w:sz w:val="21"/>
          <w:szCs w:val="21"/>
        </w:rPr>
      </w:pPr>
      <w:bookmarkStart w:id="90" w:name="_Toc13279"/>
      <w:r>
        <w:rPr>
          <w:rFonts w:hint="eastAsia" w:ascii="宋体" w:hAnsi="宋体" w:eastAsia="宋体"/>
          <w:b/>
          <w:color w:val="auto"/>
          <w:sz w:val="21"/>
          <w:szCs w:val="21"/>
        </w:rPr>
        <w:t>1.12偏离</w:t>
      </w:r>
      <w:bookmarkEnd w:id="90"/>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投标人须知前附表允许投标文件偏离招标文件某些要求的，偏离应当符合招标文件规定的偏离范围和幅度。</w:t>
      </w:r>
    </w:p>
    <w:bookmarkEnd w:id="45"/>
    <w:bookmarkEnd w:id="46"/>
    <w:bookmarkEnd w:id="47"/>
    <w:bookmarkEnd w:id="48"/>
    <w:p>
      <w:pPr>
        <w:pStyle w:val="55"/>
        <w:spacing w:before="0"/>
        <w:ind w:firstLine="420" w:firstLineChars="200"/>
        <w:rPr>
          <w:rFonts w:ascii="宋体" w:hAnsi="宋体" w:eastAsia="宋体"/>
          <w:color w:val="auto"/>
          <w:sz w:val="21"/>
          <w:szCs w:val="21"/>
        </w:rPr>
      </w:pPr>
      <w:bookmarkStart w:id="91" w:name="_Toc392345920"/>
      <w:bookmarkStart w:id="92" w:name="_Toc245036610"/>
      <w:bookmarkStart w:id="93" w:name="_Toc17"/>
      <w:bookmarkStart w:id="94" w:name="_Toc323711757"/>
      <w:bookmarkStart w:id="95" w:name="_Toc152042322"/>
      <w:bookmarkStart w:id="96" w:name="_Toc152045546"/>
      <w:bookmarkStart w:id="97" w:name="_Toc144974514"/>
      <w:bookmarkStart w:id="98" w:name="_Toc229646728"/>
      <w:bookmarkStart w:id="99" w:name="_Toc229646730"/>
      <w:bookmarkStart w:id="100" w:name="_Toc152042324"/>
      <w:bookmarkStart w:id="101" w:name="_Toc144974516"/>
      <w:bookmarkStart w:id="102" w:name="_Toc152045548"/>
      <w:r>
        <w:rPr>
          <w:rFonts w:hint="eastAsia" w:ascii="宋体" w:hAnsi="宋体" w:eastAsia="宋体"/>
          <w:color w:val="auto"/>
          <w:sz w:val="21"/>
          <w:szCs w:val="21"/>
        </w:rPr>
        <w:t>2. 招标文件</w:t>
      </w:r>
      <w:bookmarkEnd w:id="91"/>
      <w:bookmarkEnd w:id="92"/>
      <w:bookmarkEnd w:id="93"/>
      <w:bookmarkEnd w:id="94"/>
    </w:p>
    <w:p>
      <w:pPr>
        <w:pStyle w:val="56"/>
        <w:ind w:firstLine="422" w:firstLineChars="200"/>
        <w:rPr>
          <w:rFonts w:ascii="宋体" w:hAnsi="宋体" w:eastAsia="宋体"/>
          <w:b/>
          <w:color w:val="auto"/>
          <w:sz w:val="21"/>
          <w:szCs w:val="21"/>
        </w:rPr>
      </w:pPr>
      <w:bookmarkStart w:id="103" w:name="_Toc152042319"/>
      <w:bookmarkStart w:id="104" w:name="_Toc26955"/>
      <w:bookmarkStart w:id="105" w:name="_Toc322615406"/>
      <w:bookmarkStart w:id="106" w:name="_Toc392345921"/>
      <w:bookmarkStart w:id="107" w:name="_Toc144974511"/>
      <w:bookmarkStart w:id="108" w:name="_Toc319408080"/>
      <w:bookmarkStart w:id="109" w:name="_Toc152045543"/>
      <w:bookmarkStart w:id="110" w:name="_Toc245036611"/>
      <w:bookmarkStart w:id="111" w:name="_Toc323711758"/>
      <w:bookmarkStart w:id="112" w:name="_Toc319407845"/>
      <w:r>
        <w:rPr>
          <w:rFonts w:hint="eastAsia" w:ascii="宋体" w:hAnsi="宋体" w:eastAsia="宋体"/>
          <w:b/>
          <w:color w:val="auto"/>
          <w:sz w:val="21"/>
          <w:szCs w:val="21"/>
        </w:rPr>
        <w:t>2.1 招标文件的组成</w:t>
      </w:r>
      <w:bookmarkEnd w:id="103"/>
      <w:bookmarkEnd w:id="104"/>
      <w:bookmarkEnd w:id="105"/>
      <w:bookmarkEnd w:id="106"/>
      <w:bookmarkEnd w:id="107"/>
      <w:bookmarkEnd w:id="108"/>
      <w:bookmarkEnd w:id="109"/>
      <w:bookmarkEnd w:id="110"/>
      <w:bookmarkEnd w:id="111"/>
      <w:bookmarkEnd w:id="112"/>
    </w:p>
    <w:p>
      <w:pPr>
        <w:spacing w:line="400" w:lineRule="exact"/>
        <w:ind w:firstLine="420" w:firstLineChars="200"/>
        <w:rPr>
          <w:rFonts w:ascii="宋体" w:hAnsi="宋体" w:cs="宋体"/>
          <w:color w:val="auto"/>
          <w:szCs w:val="21"/>
        </w:rPr>
      </w:pPr>
      <w:r>
        <w:rPr>
          <w:rFonts w:hint="eastAsia" w:ascii="宋体" w:hAnsi="宋体" w:cs="宋体"/>
          <w:color w:val="auto"/>
          <w:szCs w:val="21"/>
        </w:rPr>
        <w:t>本招标文件包括：</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（1）招标公告；</w:t>
      </w:r>
    </w:p>
    <w:p>
      <w:pPr>
        <w:spacing w:line="400" w:lineRule="exact"/>
        <w:ind w:firstLine="420" w:firstLineChars="200"/>
        <w:rPr>
          <w:rFonts w:ascii="宋体" w:hAnsi="宋体" w:cs="宋体"/>
          <w:color w:val="auto"/>
          <w:szCs w:val="21"/>
        </w:rPr>
      </w:pPr>
      <w:r>
        <w:rPr>
          <w:rFonts w:hint="eastAsia" w:ascii="宋体" w:hAnsi="宋体" w:cs="宋体"/>
          <w:color w:val="auto"/>
          <w:szCs w:val="21"/>
        </w:rPr>
        <w:t>（2）投标人须知；</w:t>
      </w:r>
    </w:p>
    <w:p>
      <w:pPr>
        <w:spacing w:line="400" w:lineRule="exact"/>
        <w:ind w:firstLine="420" w:firstLineChars="200"/>
        <w:rPr>
          <w:rFonts w:ascii="宋体" w:hAnsi="宋体" w:cs="宋体"/>
          <w:color w:val="auto"/>
          <w:szCs w:val="21"/>
        </w:rPr>
      </w:pPr>
      <w:r>
        <w:rPr>
          <w:rFonts w:hint="eastAsia" w:ascii="宋体" w:hAnsi="宋体" w:cs="宋体"/>
          <w:color w:val="auto"/>
          <w:szCs w:val="21"/>
        </w:rPr>
        <w:t>（3）评标办法；</w:t>
      </w:r>
    </w:p>
    <w:p>
      <w:pPr>
        <w:spacing w:line="400" w:lineRule="exact"/>
        <w:ind w:firstLine="420" w:firstLineChars="200"/>
        <w:rPr>
          <w:rFonts w:ascii="宋体" w:hAnsi="宋体" w:cs="宋体"/>
          <w:color w:val="auto"/>
          <w:szCs w:val="21"/>
        </w:rPr>
      </w:pPr>
      <w:r>
        <w:rPr>
          <w:rFonts w:hint="eastAsia" w:ascii="宋体" w:hAnsi="宋体" w:cs="宋体"/>
          <w:color w:val="auto"/>
          <w:szCs w:val="21"/>
        </w:rPr>
        <w:t>（4）合同条款及格式；</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（5）招标内容和技术要求； </w:t>
      </w:r>
    </w:p>
    <w:p>
      <w:pPr>
        <w:spacing w:line="400" w:lineRule="exact"/>
        <w:ind w:firstLine="420" w:firstLineChars="200"/>
        <w:rPr>
          <w:rFonts w:ascii="宋体" w:hAnsi="宋体" w:cs="宋体"/>
          <w:color w:val="auto"/>
          <w:szCs w:val="21"/>
        </w:rPr>
      </w:pPr>
      <w:r>
        <w:rPr>
          <w:rFonts w:hint="eastAsia" w:ascii="宋体" w:hAnsi="宋体" w:cs="宋体"/>
          <w:color w:val="auto"/>
          <w:szCs w:val="21"/>
        </w:rPr>
        <w:t>（6）投标文件格式；</w:t>
      </w:r>
    </w:p>
    <w:p>
      <w:pPr>
        <w:spacing w:line="400" w:lineRule="exact"/>
        <w:ind w:firstLine="420" w:firstLineChars="200"/>
        <w:rPr>
          <w:rFonts w:ascii="宋体" w:hAnsi="宋体" w:cs="宋体"/>
          <w:color w:val="auto"/>
          <w:szCs w:val="21"/>
        </w:rPr>
      </w:pPr>
      <w:r>
        <w:rPr>
          <w:rFonts w:hint="eastAsia" w:ascii="宋体" w:hAnsi="宋体" w:cs="宋体"/>
          <w:color w:val="auto"/>
          <w:szCs w:val="21"/>
        </w:rPr>
        <w:t>（7）投标人须知前附表规定的其他材料。</w:t>
      </w:r>
    </w:p>
    <w:p>
      <w:pPr>
        <w:spacing w:line="400" w:lineRule="exact"/>
        <w:ind w:firstLine="420" w:firstLineChars="200"/>
        <w:rPr>
          <w:rFonts w:ascii="宋体" w:hAnsi="宋体" w:cs="宋体"/>
          <w:color w:val="auto"/>
          <w:szCs w:val="21"/>
        </w:rPr>
      </w:pPr>
      <w:r>
        <w:rPr>
          <w:rFonts w:hint="eastAsia" w:ascii="宋体" w:hAnsi="宋体" w:cs="宋体"/>
          <w:color w:val="auto"/>
          <w:szCs w:val="21"/>
        </w:rPr>
        <w:t>根据本章第1.10款、第2.2款对招标文件所作的澄清、修改，构成招标文件的组成部分。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招标文件、招标文件的澄清或修改等在同一内容的表述上不一致时，以最后发出的书面文件为准。</w:t>
      </w:r>
    </w:p>
    <w:p>
      <w:pPr>
        <w:pStyle w:val="56"/>
        <w:ind w:firstLine="422" w:firstLineChars="200"/>
        <w:rPr>
          <w:rFonts w:ascii="宋体" w:hAnsi="宋体" w:eastAsia="宋体"/>
          <w:b/>
          <w:color w:val="auto"/>
          <w:sz w:val="21"/>
          <w:szCs w:val="21"/>
        </w:rPr>
      </w:pPr>
      <w:bookmarkStart w:id="113" w:name="_Toc245036612"/>
      <w:bookmarkStart w:id="114" w:name="_Toc14430"/>
      <w:bookmarkStart w:id="115" w:name="_Toc392345922"/>
      <w:bookmarkStart w:id="116" w:name="_Toc152045544"/>
      <w:bookmarkStart w:id="117" w:name="_Toc152042320"/>
      <w:bookmarkStart w:id="118" w:name="_Toc322615407"/>
      <w:bookmarkStart w:id="119" w:name="_Toc319408081"/>
      <w:bookmarkStart w:id="120" w:name="_Toc144974512"/>
      <w:bookmarkStart w:id="121" w:name="_Toc319407846"/>
      <w:bookmarkStart w:id="122" w:name="_Toc323711759"/>
      <w:r>
        <w:rPr>
          <w:rFonts w:hint="eastAsia" w:ascii="宋体" w:hAnsi="宋体" w:eastAsia="宋体"/>
          <w:b/>
          <w:color w:val="auto"/>
          <w:sz w:val="21"/>
          <w:szCs w:val="21"/>
        </w:rPr>
        <w:t xml:space="preserve">2.2 </w:t>
      </w:r>
      <w:bookmarkEnd w:id="113"/>
      <w:bookmarkEnd w:id="114"/>
      <w:bookmarkEnd w:id="115"/>
      <w:bookmarkEnd w:id="116"/>
      <w:bookmarkEnd w:id="117"/>
      <w:bookmarkEnd w:id="118"/>
      <w:bookmarkEnd w:id="119"/>
      <w:bookmarkEnd w:id="120"/>
      <w:bookmarkEnd w:id="121"/>
      <w:bookmarkEnd w:id="122"/>
      <w:bookmarkStart w:id="123" w:name="_Toc3662"/>
      <w:bookmarkStart w:id="124" w:name="_Toc392345924"/>
      <w:r>
        <w:rPr>
          <w:rFonts w:hint="eastAsia" w:ascii="宋体" w:hAnsi="宋体" w:eastAsia="宋体"/>
          <w:b/>
          <w:color w:val="auto"/>
          <w:sz w:val="21"/>
          <w:szCs w:val="21"/>
        </w:rPr>
        <w:t xml:space="preserve"> 招标文件的澄清和修改</w:t>
      </w:r>
    </w:p>
    <w:p>
      <w:pPr>
        <w:spacing w:line="400" w:lineRule="exact"/>
        <w:ind w:firstLine="420" w:firstLineChars="200"/>
        <w:rPr>
          <w:rFonts w:ascii="宋体" w:hAnsi="宋体" w:cs="宋体"/>
          <w:color w:val="auto"/>
          <w:szCs w:val="21"/>
        </w:rPr>
      </w:pPr>
      <w:r>
        <w:rPr>
          <w:rFonts w:hint="eastAsia" w:ascii="宋体" w:hAnsi="宋体" w:cs="宋体"/>
          <w:color w:val="auto"/>
          <w:szCs w:val="21"/>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400" w:lineRule="exact"/>
        <w:ind w:firstLine="420" w:firstLineChars="200"/>
        <w:rPr>
          <w:rFonts w:ascii="宋体" w:hAnsi="宋体" w:cs="宋体"/>
          <w:color w:val="auto"/>
          <w:szCs w:val="21"/>
        </w:rPr>
      </w:pPr>
      <w:r>
        <w:rPr>
          <w:rFonts w:hint="eastAsia" w:ascii="宋体" w:hAnsi="宋体" w:cs="宋体"/>
          <w:color w:val="auto"/>
          <w:szCs w:val="21"/>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400" w:lineRule="exact"/>
        <w:ind w:firstLine="420" w:firstLineChars="200"/>
        <w:rPr>
          <w:rFonts w:ascii="宋体" w:hAnsi="宋体" w:cs="宋体"/>
          <w:color w:val="auto"/>
          <w:szCs w:val="21"/>
        </w:rPr>
      </w:pPr>
      <w:r>
        <w:rPr>
          <w:rFonts w:hint="eastAsia" w:ascii="宋体" w:hAnsi="宋体" w:cs="宋体"/>
          <w:color w:val="auto"/>
          <w:szCs w:val="21"/>
        </w:rPr>
        <w:t>2.2.3 投标人确认收到招标文件澄清和修改内容的时间：见投标人须知前附表。</w:t>
      </w:r>
    </w:p>
    <w:p>
      <w:pPr>
        <w:pStyle w:val="55"/>
        <w:spacing w:before="0"/>
        <w:ind w:firstLine="420" w:firstLineChars="200"/>
        <w:rPr>
          <w:rFonts w:ascii="宋体" w:hAnsi="宋体" w:eastAsia="宋体"/>
          <w:color w:val="auto"/>
          <w:sz w:val="21"/>
          <w:szCs w:val="21"/>
        </w:rPr>
      </w:pPr>
      <w:r>
        <w:rPr>
          <w:rFonts w:hint="eastAsia" w:ascii="宋体" w:hAnsi="宋体" w:eastAsia="宋体"/>
          <w:color w:val="auto"/>
          <w:sz w:val="21"/>
          <w:szCs w:val="21"/>
        </w:rPr>
        <w:t>3. 投标文件</w:t>
      </w:r>
      <w:bookmarkEnd w:id="95"/>
      <w:bookmarkEnd w:id="96"/>
      <w:bookmarkEnd w:id="97"/>
      <w:bookmarkEnd w:id="98"/>
      <w:bookmarkEnd w:id="123"/>
      <w:bookmarkEnd w:id="124"/>
    </w:p>
    <w:p>
      <w:pPr>
        <w:pStyle w:val="56"/>
        <w:ind w:firstLine="422" w:firstLineChars="200"/>
        <w:rPr>
          <w:rFonts w:ascii="宋体" w:hAnsi="宋体" w:eastAsia="宋体"/>
          <w:b/>
          <w:color w:val="auto"/>
          <w:sz w:val="21"/>
          <w:szCs w:val="21"/>
        </w:rPr>
      </w:pPr>
      <w:bookmarkStart w:id="125" w:name="_Toc392345925"/>
      <w:bookmarkStart w:id="126" w:name="_Toc152042323"/>
      <w:bookmarkStart w:id="127" w:name="_Toc229646729"/>
      <w:bookmarkStart w:id="128" w:name="_Toc144974515"/>
      <w:bookmarkStart w:id="129" w:name="_Toc152045547"/>
      <w:bookmarkStart w:id="130" w:name="_Toc22707"/>
      <w:r>
        <w:rPr>
          <w:rFonts w:hint="eastAsia" w:ascii="宋体" w:hAnsi="宋体" w:eastAsia="宋体"/>
          <w:b/>
          <w:color w:val="auto"/>
          <w:sz w:val="21"/>
          <w:szCs w:val="21"/>
        </w:rPr>
        <w:t>3.1 投标文件的组成</w:t>
      </w:r>
      <w:bookmarkEnd w:id="125"/>
      <w:bookmarkEnd w:id="126"/>
      <w:bookmarkEnd w:id="127"/>
      <w:bookmarkEnd w:id="128"/>
      <w:bookmarkEnd w:id="129"/>
      <w:bookmarkEnd w:id="130"/>
    </w:p>
    <w:p>
      <w:pPr>
        <w:pStyle w:val="9"/>
        <w:spacing w:line="400" w:lineRule="exact"/>
        <w:rPr>
          <w:rFonts w:ascii="宋体" w:hAnsi="宋体" w:cs="宋体"/>
          <w:color w:val="auto"/>
          <w:szCs w:val="21"/>
        </w:rPr>
      </w:pPr>
      <w:r>
        <w:rPr>
          <w:rFonts w:hint="eastAsia" w:ascii="宋体" w:hAnsi="宋体" w:cs="宋体"/>
          <w:color w:val="auto"/>
          <w:szCs w:val="21"/>
        </w:rPr>
        <w:t>3.1.1商务标部分</w:t>
      </w:r>
    </w:p>
    <w:p>
      <w:pPr>
        <w:pStyle w:val="9"/>
        <w:spacing w:line="400" w:lineRule="exact"/>
        <w:rPr>
          <w:rFonts w:ascii="宋体" w:hAnsi="宋体" w:cs="宋体"/>
          <w:color w:val="auto"/>
          <w:szCs w:val="21"/>
        </w:rPr>
      </w:pPr>
      <w:r>
        <w:rPr>
          <w:rFonts w:hint="eastAsia" w:ascii="宋体" w:hAnsi="宋体" w:cs="宋体"/>
          <w:color w:val="auto"/>
          <w:szCs w:val="21"/>
        </w:rPr>
        <w:t>（1）投标函(格式)</w:t>
      </w:r>
    </w:p>
    <w:p>
      <w:pPr>
        <w:pStyle w:val="9"/>
        <w:spacing w:line="400" w:lineRule="exact"/>
        <w:rPr>
          <w:rFonts w:ascii="宋体" w:hAnsi="宋体" w:cs="宋体"/>
          <w:color w:val="auto"/>
          <w:szCs w:val="21"/>
        </w:rPr>
      </w:pPr>
      <w:r>
        <w:rPr>
          <w:rFonts w:hint="eastAsia" w:ascii="宋体" w:hAnsi="宋体" w:cs="宋体"/>
          <w:color w:val="auto"/>
          <w:szCs w:val="21"/>
        </w:rPr>
        <w:t>（2）法定代表人授权书及法定代表人身份证明(格式)</w:t>
      </w:r>
    </w:p>
    <w:p>
      <w:pPr>
        <w:pStyle w:val="9"/>
        <w:spacing w:line="400" w:lineRule="exact"/>
        <w:rPr>
          <w:rFonts w:ascii="宋体" w:hAnsi="宋体" w:cs="宋体"/>
          <w:color w:val="auto"/>
          <w:szCs w:val="21"/>
        </w:rPr>
      </w:pPr>
      <w:r>
        <w:rPr>
          <w:rFonts w:hint="eastAsia" w:ascii="宋体" w:hAnsi="宋体" w:cs="宋体"/>
          <w:color w:val="auto"/>
          <w:szCs w:val="21"/>
        </w:rPr>
        <w:t>（3）投标报价表（格式）</w:t>
      </w:r>
    </w:p>
    <w:p>
      <w:pPr>
        <w:pStyle w:val="9"/>
        <w:spacing w:line="400" w:lineRule="exact"/>
        <w:ind w:firstLine="630" w:firstLineChars="300"/>
        <w:rPr>
          <w:rFonts w:ascii="宋体" w:hAnsi="宋体" w:cs="宋体"/>
          <w:color w:val="auto"/>
          <w:szCs w:val="21"/>
        </w:rPr>
      </w:pPr>
      <w:r>
        <w:rPr>
          <w:rFonts w:hint="eastAsia" w:ascii="宋体" w:hAnsi="宋体" w:cs="宋体"/>
          <w:color w:val="auto"/>
          <w:szCs w:val="21"/>
          <w:u w:val="single"/>
        </w:rPr>
        <w:t xml:space="preserve">   </w:t>
      </w:r>
      <w:r>
        <w:rPr>
          <w:rFonts w:hint="eastAsia" w:ascii="宋体" w:hAnsi="宋体" w:eastAsia="宋体" w:cs="宋体"/>
          <w:i w:val="0"/>
          <w:iCs w:val="0"/>
          <w:color w:val="auto"/>
          <w:szCs w:val="21"/>
          <w:u w:val="single"/>
        </w:rPr>
        <w:t>拟投入的主要施工人员一览表</w:t>
      </w:r>
      <w:r>
        <w:rPr>
          <w:rFonts w:hint="eastAsia" w:ascii="宋体" w:hAnsi="宋体" w:eastAsia="宋体" w:cs="宋体"/>
          <w:i w:val="0"/>
          <w:iCs w:val="0"/>
          <w:color w:val="auto"/>
          <w:szCs w:val="21"/>
          <w:u w:val="single"/>
          <w:lang w:eastAsia="zh-CN"/>
        </w:rPr>
        <w:t>（格式）</w:t>
      </w:r>
      <w:r>
        <w:rPr>
          <w:rFonts w:hint="eastAsia" w:ascii="宋体" w:hAnsi="宋体" w:cs="宋体"/>
          <w:color w:val="auto"/>
          <w:szCs w:val="21"/>
          <w:u w:val="single"/>
        </w:rPr>
        <w:t xml:space="preserve">  </w:t>
      </w:r>
      <w:r>
        <w:rPr>
          <w:rFonts w:hint="eastAsia" w:ascii="宋体" w:hAnsi="宋体" w:cs="宋体"/>
          <w:i/>
          <w:color w:val="auto"/>
          <w:szCs w:val="21"/>
          <w:u w:val="single"/>
        </w:rPr>
        <w:t>（</w:t>
      </w:r>
      <w:r>
        <w:rPr>
          <w:rFonts w:hint="eastAsia" w:ascii="宋体" w:hAnsi="宋体" w:cs="宋体"/>
          <w:i/>
          <w:color w:val="auto"/>
          <w:szCs w:val="21"/>
        </w:rPr>
        <w:t>招标人需要增加的其他商务内容）</w:t>
      </w:r>
      <w:r>
        <w:rPr>
          <w:rFonts w:hint="eastAsia" w:ascii="宋体" w:hAnsi="宋体" w:cs="宋体"/>
          <w:color w:val="auto"/>
          <w:szCs w:val="21"/>
        </w:rPr>
        <w:t>。</w:t>
      </w:r>
    </w:p>
    <w:p>
      <w:pPr>
        <w:pStyle w:val="9"/>
        <w:spacing w:line="400" w:lineRule="exact"/>
        <w:rPr>
          <w:rFonts w:ascii="宋体" w:hAnsi="宋体" w:cs="宋体"/>
          <w:color w:val="auto"/>
          <w:szCs w:val="21"/>
        </w:rPr>
      </w:pPr>
      <w:r>
        <w:rPr>
          <w:rFonts w:hint="eastAsia" w:ascii="宋体" w:hAnsi="宋体" w:cs="宋体"/>
          <w:color w:val="auto"/>
          <w:szCs w:val="21"/>
        </w:rPr>
        <w:t>3.1.2技术标部分</w:t>
      </w:r>
    </w:p>
    <w:p>
      <w:pPr>
        <w:pStyle w:val="9"/>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1</w:t>
      </w:r>
      <w:r>
        <w:rPr>
          <w:rFonts w:hint="eastAsia" w:ascii="宋体" w:hAnsi="宋体" w:cs="宋体"/>
          <w:color w:val="auto"/>
          <w:szCs w:val="21"/>
        </w:rPr>
        <w:t>）技术响应表(格式)</w:t>
      </w:r>
    </w:p>
    <w:p>
      <w:pPr>
        <w:pStyle w:val="9"/>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2</w:t>
      </w:r>
      <w:r>
        <w:rPr>
          <w:rFonts w:hint="eastAsia" w:ascii="宋体" w:hAnsi="宋体" w:cs="宋体"/>
          <w:color w:val="auto"/>
          <w:szCs w:val="21"/>
        </w:rPr>
        <w:t>）产品的主要技术、结构、性能、特点和质量水平的详细描述</w:t>
      </w:r>
    </w:p>
    <w:p>
      <w:pPr>
        <w:pStyle w:val="9"/>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3</w:t>
      </w:r>
      <w:r>
        <w:rPr>
          <w:rFonts w:hint="eastAsia" w:ascii="宋体" w:hAnsi="宋体" w:cs="宋体"/>
          <w:color w:val="auto"/>
          <w:szCs w:val="21"/>
        </w:rPr>
        <w:t>）产品制造、安装、验收标准</w:t>
      </w:r>
    </w:p>
    <w:p>
      <w:pPr>
        <w:pStyle w:val="9"/>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4</w:t>
      </w:r>
      <w:r>
        <w:rPr>
          <w:rFonts w:hint="eastAsia" w:ascii="宋体" w:hAnsi="宋体" w:cs="宋体"/>
          <w:color w:val="auto"/>
          <w:szCs w:val="21"/>
        </w:rPr>
        <w:t>）主要工艺装备和主要检测设施的拥有情况和现状</w:t>
      </w:r>
    </w:p>
    <w:p>
      <w:pPr>
        <w:pStyle w:val="9"/>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5</w:t>
      </w:r>
      <w:r>
        <w:rPr>
          <w:rFonts w:hint="eastAsia" w:ascii="宋体" w:hAnsi="宋体" w:cs="宋体"/>
          <w:color w:val="auto"/>
          <w:szCs w:val="21"/>
        </w:rPr>
        <w:t>）质量手册或关于质量管理、质量体系、质量控制、质量保证的详细介绍</w:t>
      </w:r>
    </w:p>
    <w:p>
      <w:pPr>
        <w:pStyle w:val="9"/>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6</w:t>
      </w:r>
      <w:r>
        <w:rPr>
          <w:rFonts w:hint="eastAsia" w:ascii="宋体" w:hAnsi="宋体" w:cs="宋体"/>
          <w:color w:val="auto"/>
          <w:szCs w:val="21"/>
        </w:rPr>
        <w:t>) 产品的技术服务和售后服务的内容和措施</w:t>
      </w:r>
    </w:p>
    <w:p>
      <w:pPr>
        <w:pStyle w:val="9"/>
        <w:spacing w:line="400" w:lineRule="exact"/>
        <w:rPr>
          <w:rFonts w:ascii="宋体" w:hAnsi="宋体" w:cs="宋体"/>
          <w:color w:val="auto"/>
          <w:szCs w:val="21"/>
        </w:rPr>
      </w:pPr>
      <w:r>
        <w:rPr>
          <w:rFonts w:hint="eastAsia" w:ascii="宋体" w:hAnsi="宋体" w:cs="宋体"/>
          <w:color w:val="auto"/>
          <w:szCs w:val="21"/>
          <w:u w:val="single"/>
        </w:rPr>
        <w:t>投标人提供的材料、辅助材料、专用工具及备品备件（易损件）(格式)</w:t>
      </w:r>
      <w:r>
        <w:rPr>
          <w:rFonts w:hint="eastAsia" w:ascii="宋体" w:hAnsi="宋体" w:cs="宋体"/>
          <w:color w:val="auto"/>
          <w:szCs w:val="21"/>
          <w:u w:val="single"/>
          <w:lang w:eastAsia="zh-CN"/>
        </w:rPr>
        <w:t>，</w:t>
      </w:r>
      <w:r>
        <w:rPr>
          <w:rFonts w:hint="eastAsia" w:ascii="宋体" w:hAnsi="宋体" w:cs="宋体"/>
          <w:color w:val="auto"/>
          <w:szCs w:val="21"/>
          <w:u w:val="single"/>
        </w:rPr>
        <w:t>品牌偏离表(格式)</w:t>
      </w:r>
      <w:r>
        <w:rPr>
          <w:rFonts w:hint="eastAsia" w:ascii="宋体" w:hAnsi="宋体" w:cs="宋体"/>
          <w:i/>
          <w:color w:val="auto"/>
          <w:szCs w:val="21"/>
          <w:u w:val="none"/>
        </w:rPr>
        <w:t>（</w:t>
      </w:r>
      <w:r>
        <w:rPr>
          <w:rFonts w:hint="eastAsia" w:ascii="宋体" w:hAnsi="宋体" w:cs="宋体"/>
          <w:i/>
          <w:color w:val="auto"/>
          <w:szCs w:val="21"/>
        </w:rPr>
        <w:t>招标人需要增加的其他技术内容）</w:t>
      </w:r>
      <w:r>
        <w:rPr>
          <w:rFonts w:hint="eastAsia" w:ascii="宋体" w:hAnsi="宋体" w:cs="宋体"/>
          <w:color w:val="auto"/>
          <w:szCs w:val="21"/>
        </w:rPr>
        <w:t>。</w:t>
      </w:r>
    </w:p>
    <w:p>
      <w:pPr>
        <w:pStyle w:val="9"/>
        <w:spacing w:line="400" w:lineRule="exact"/>
        <w:rPr>
          <w:rFonts w:ascii="宋体" w:hAnsi="宋体" w:cs="宋体"/>
          <w:color w:val="auto"/>
          <w:szCs w:val="21"/>
        </w:rPr>
      </w:pPr>
      <w:r>
        <w:rPr>
          <w:rFonts w:hint="eastAsia" w:ascii="宋体" w:hAnsi="宋体" w:cs="宋体"/>
          <w:color w:val="auto"/>
          <w:szCs w:val="21"/>
        </w:rPr>
        <w:t>注：未尽事宜请各投标单位按技术部分评分标准制作(重要)！</w:t>
      </w:r>
    </w:p>
    <w:p>
      <w:pPr>
        <w:pStyle w:val="9"/>
        <w:spacing w:line="400" w:lineRule="exact"/>
        <w:rPr>
          <w:rFonts w:ascii="宋体" w:hAnsi="宋体" w:cs="宋体"/>
          <w:color w:val="auto"/>
          <w:szCs w:val="21"/>
        </w:rPr>
      </w:pPr>
      <w:r>
        <w:rPr>
          <w:rFonts w:hint="eastAsia" w:ascii="宋体" w:hAnsi="宋体" w:cs="宋体"/>
          <w:color w:val="auto"/>
          <w:szCs w:val="21"/>
        </w:rPr>
        <w:t>3.1.3资格审查资料</w:t>
      </w:r>
    </w:p>
    <w:p>
      <w:pPr>
        <w:pStyle w:val="9"/>
        <w:spacing w:line="400" w:lineRule="exact"/>
        <w:rPr>
          <w:rFonts w:ascii="宋体" w:hAnsi="宋体" w:cs="宋体"/>
          <w:color w:val="auto"/>
          <w:szCs w:val="21"/>
        </w:rPr>
      </w:pPr>
      <w:r>
        <w:rPr>
          <w:rFonts w:hint="eastAsia" w:ascii="宋体" w:hAnsi="宋体" w:cs="宋体"/>
          <w:color w:val="auto"/>
          <w:szCs w:val="21"/>
        </w:rPr>
        <w:t>详见投标人须知前附表第3.5条款。</w:t>
      </w:r>
    </w:p>
    <w:p>
      <w:pPr>
        <w:pStyle w:val="56"/>
        <w:ind w:firstLine="422" w:firstLineChars="200"/>
        <w:rPr>
          <w:rFonts w:ascii="宋体" w:hAnsi="宋体" w:eastAsia="宋体"/>
          <w:b/>
          <w:color w:val="auto"/>
          <w:sz w:val="21"/>
          <w:szCs w:val="21"/>
        </w:rPr>
      </w:pPr>
      <w:bookmarkStart w:id="131" w:name="_Toc392345926"/>
      <w:bookmarkStart w:id="132" w:name="_Toc5081"/>
      <w:r>
        <w:rPr>
          <w:rFonts w:hint="eastAsia" w:ascii="宋体" w:hAnsi="宋体" w:eastAsia="宋体"/>
          <w:b/>
          <w:color w:val="auto"/>
          <w:sz w:val="21"/>
          <w:szCs w:val="21"/>
        </w:rPr>
        <w:t>3.2 投标报价</w:t>
      </w:r>
      <w:bookmarkEnd w:id="99"/>
      <w:bookmarkEnd w:id="100"/>
      <w:bookmarkEnd w:id="101"/>
      <w:bookmarkEnd w:id="102"/>
      <w:bookmarkEnd w:id="131"/>
      <w:bookmarkEnd w:id="132"/>
    </w:p>
    <w:p>
      <w:pPr>
        <w:spacing w:line="400" w:lineRule="exact"/>
        <w:ind w:firstLine="420" w:firstLineChars="200"/>
        <w:rPr>
          <w:rFonts w:ascii="宋体" w:hAnsi="宋体" w:cs="宋体"/>
          <w:color w:val="auto"/>
          <w:szCs w:val="21"/>
        </w:rPr>
      </w:pPr>
      <w:bookmarkStart w:id="133" w:name="_Toc152045549"/>
      <w:bookmarkStart w:id="134" w:name="_Toc229646731"/>
      <w:bookmarkStart w:id="135" w:name="_Toc144974517"/>
      <w:bookmarkStart w:id="136" w:name="_Toc152042325"/>
      <w:r>
        <w:rPr>
          <w:rFonts w:hint="eastAsia" w:ascii="宋体" w:hAnsi="宋体" w:cs="宋体"/>
          <w:color w:val="auto"/>
          <w:szCs w:val="21"/>
        </w:rPr>
        <w:t>3.2.1 投标人应按本招标文件中“投标文件格式”的要求填写相应表格。</w:t>
      </w:r>
    </w:p>
    <w:p>
      <w:pPr>
        <w:spacing w:line="400" w:lineRule="exact"/>
        <w:ind w:firstLine="420" w:firstLineChars="200"/>
        <w:rPr>
          <w:rFonts w:ascii="宋体" w:hAnsi="宋体" w:cs="宋体"/>
          <w:color w:val="auto"/>
          <w:szCs w:val="21"/>
        </w:rPr>
      </w:pPr>
      <w:r>
        <w:rPr>
          <w:rFonts w:hint="eastAsia" w:ascii="宋体" w:hAnsi="宋体" w:cs="宋体"/>
          <w:color w:val="auto"/>
          <w:szCs w:val="21"/>
        </w:rPr>
        <w:t>3.2.2 投标人在投标截止时间前修改投标函中的投标总报价，应同时修改本招标文件中“投标文件格式”中的相应报价。此修改须符合本章第4.3款的有关要求。</w:t>
      </w:r>
    </w:p>
    <w:p>
      <w:pPr>
        <w:spacing w:line="400" w:lineRule="exact"/>
        <w:ind w:firstLine="420" w:firstLineChars="200"/>
        <w:rPr>
          <w:rFonts w:ascii="宋体" w:hAnsi="宋体" w:cs="宋体"/>
          <w:color w:val="auto"/>
          <w:szCs w:val="21"/>
        </w:rPr>
      </w:pPr>
      <w:r>
        <w:rPr>
          <w:rFonts w:hint="eastAsia" w:ascii="宋体" w:hAnsi="宋体" w:cs="宋体"/>
          <w:color w:val="auto"/>
          <w:szCs w:val="21"/>
        </w:rPr>
        <w:t>3.2.3招标人设有最高投标限价的，投标人的投标报价不得超过最高投标限价，最高投标限价详见投标人须知前附表。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3.2.4投标报价的其他要求详见投标人须知前附表。</w:t>
      </w:r>
    </w:p>
    <w:p>
      <w:pPr>
        <w:pStyle w:val="56"/>
        <w:ind w:firstLine="422" w:firstLineChars="200"/>
        <w:rPr>
          <w:rFonts w:ascii="宋体" w:hAnsi="宋体" w:eastAsia="宋体"/>
          <w:b/>
          <w:color w:val="auto"/>
          <w:sz w:val="21"/>
          <w:szCs w:val="21"/>
        </w:rPr>
      </w:pPr>
      <w:bookmarkStart w:id="137" w:name="_Toc22162"/>
      <w:bookmarkStart w:id="138" w:name="_Toc392345927"/>
      <w:r>
        <w:rPr>
          <w:rFonts w:hint="eastAsia" w:ascii="宋体" w:hAnsi="宋体" w:eastAsia="宋体"/>
          <w:b/>
          <w:color w:val="auto"/>
          <w:sz w:val="21"/>
          <w:szCs w:val="21"/>
        </w:rPr>
        <w:t>3.3 投标有效期</w:t>
      </w:r>
      <w:bookmarkEnd w:id="133"/>
      <w:bookmarkEnd w:id="134"/>
      <w:bookmarkEnd w:id="135"/>
      <w:bookmarkEnd w:id="136"/>
      <w:bookmarkEnd w:id="137"/>
      <w:bookmarkEnd w:id="138"/>
    </w:p>
    <w:p>
      <w:pPr>
        <w:spacing w:line="400" w:lineRule="exact"/>
        <w:ind w:firstLine="420" w:firstLineChars="200"/>
        <w:rPr>
          <w:rFonts w:ascii="宋体" w:hAnsi="宋体" w:cs="宋体"/>
          <w:color w:val="auto"/>
          <w:szCs w:val="21"/>
        </w:rPr>
      </w:pPr>
      <w:bookmarkStart w:id="139" w:name="_Toc152042326"/>
      <w:bookmarkStart w:id="140" w:name="_Toc144974518"/>
      <w:bookmarkStart w:id="141" w:name="_Toc229646732"/>
      <w:bookmarkStart w:id="142" w:name="_Toc152045550"/>
      <w:r>
        <w:rPr>
          <w:rFonts w:hint="eastAsia" w:ascii="宋体" w:hAnsi="宋体" w:cs="宋体"/>
          <w:color w:val="auto"/>
          <w:szCs w:val="21"/>
        </w:rPr>
        <w:t>3.3.1 在投标人须知前附表规定的投标有效期内，投标人不得撤销其投标文件。</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56"/>
        <w:ind w:firstLine="422" w:firstLineChars="200"/>
        <w:rPr>
          <w:rFonts w:ascii="宋体" w:hAnsi="宋体" w:eastAsia="宋体"/>
          <w:b/>
          <w:color w:val="auto"/>
          <w:sz w:val="21"/>
          <w:szCs w:val="21"/>
        </w:rPr>
      </w:pPr>
      <w:bookmarkStart w:id="143" w:name="_Toc10327"/>
      <w:bookmarkStart w:id="144" w:name="_Toc392345928"/>
      <w:r>
        <w:rPr>
          <w:rFonts w:hint="eastAsia" w:ascii="宋体" w:hAnsi="宋体" w:eastAsia="宋体"/>
          <w:b/>
          <w:color w:val="auto"/>
          <w:sz w:val="21"/>
          <w:szCs w:val="21"/>
        </w:rPr>
        <w:t>3.4 投标保证金</w:t>
      </w:r>
      <w:bookmarkEnd w:id="139"/>
      <w:bookmarkEnd w:id="140"/>
      <w:bookmarkEnd w:id="141"/>
      <w:bookmarkEnd w:id="142"/>
      <w:bookmarkEnd w:id="143"/>
      <w:bookmarkEnd w:id="144"/>
    </w:p>
    <w:p>
      <w:pPr>
        <w:spacing w:line="400" w:lineRule="exact"/>
        <w:ind w:firstLine="420" w:firstLineChars="200"/>
        <w:rPr>
          <w:rFonts w:ascii="宋体" w:hAnsi="宋体" w:cs="宋体"/>
          <w:color w:val="auto"/>
          <w:szCs w:val="21"/>
        </w:rPr>
      </w:pPr>
      <w:bookmarkStart w:id="145" w:name="_Toc144974520"/>
      <w:bookmarkStart w:id="146" w:name="_Toc229646733"/>
      <w:bookmarkStart w:id="147" w:name="_Toc152042328"/>
      <w:bookmarkStart w:id="148" w:name="_Toc152045552"/>
      <w:r>
        <w:rPr>
          <w:rFonts w:hint="eastAsia" w:ascii="宋体" w:hAnsi="宋体" w:cs="宋体"/>
          <w:color w:val="auto"/>
          <w:szCs w:val="21"/>
        </w:rPr>
        <w:t>3.4.1 投标人应按投标人须知前附表规定的金额、时间及形式递交投标保证金，并作为其投标文件的组成部分。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3.4.2投标人应按本章第3.4.1 项要求提交投标保证金。</w:t>
      </w:r>
    </w:p>
    <w:p>
      <w:pPr>
        <w:spacing w:line="400" w:lineRule="exact"/>
        <w:ind w:firstLine="420" w:firstLineChars="200"/>
        <w:rPr>
          <w:rFonts w:ascii="宋体" w:hAnsi="宋体" w:cs="宋体"/>
          <w:color w:val="auto"/>
          <w:szCs w:val="21"/>
        </w:rPr>
      </w:pPr>
      <w:r>
        <w:rPr>
          <w:rFonts w:hint="eastAsia" w:ascii="宋体" w:hAnsi="宋体" w:cs="宋体"/>
          <w:color w:val="auto"/>
          <w:szCs w:val="21"/>
        </w:rPr>
        <w:t>3.4.3</w:t>
      </w:r>
      <w:r>
        <w:rPr>
          <w:rFonts w:hint="eastAsia" w:ascii="宋体" w:hAnsi="宋体" w:cs="宋体"/>
          <w:color w:val="auto"/>
          <w:sz w:val="20"/>
          <w:szCs w:val="20"/>
        </w:rPr>
        <w:t>投标保证金的退还：</w:t>
      </w:r>
      <w:r>
        <w:rPr>
          <w:rFonts w:hint="eastAsia"/>
          <w:color w:val="auto"/>
        </w:rPr>
        <w:t>按现行规定退还</w:t>
      </w:r>
      <w:r>
        <w:rPr>
          <w:rFonts w:hint="eastAsia" w:ascii="宋体" w:hAnsi="宋体" w:cs="宋体"/>
          <w:color w:val="auto"/>
          <w:sz w:val="20"/>
          <w:szCs w:val="20"/>
        </w:rPr>
        <w:t>。</w:t>
      </w:r>
    </w:p>
    <w:p>
      <w:pPr>
        <w:spacing w:line="440" w:lineRule="exact"/>
        <w:ind w:firstLine="420" w:firstLineChars="200"/>
        <w:rPr>
          <w:color w:val="auto"/>
        </w:rPr>
      </w:pPr>
      <w:r>
        <w:rPr>
          <w:rFonts w:hint="eastAsia" w:ascii="宋体" w:hAnsi="宋体" w:cs="宋体"/>
          <w:color w:val="auto"/>
          <w:szCs w:val="21"/>
        </w:rPr>
        <w:t>3.4.4</w:t>
      </w:r>
      <w:r>
        <w:rPr>
          <w:rFonts w:hint="eastAsia"/>
          <w:color w:val="auto"/>
        </w:rPr>
        <w:t xml:space="preserve">有下列情形之一的，投标保证金将不予退还： </w:t>
      </w:r>
    </w:p>
    <w:p>
      <w:pPr>
        <w:spacing w:line="440" w:lineRule="exact"/>
        <w:ind w:firstLine="420" w:firstLineChars="200"/>
        <w:rPr>
          <w:color w:val="auto"/>
        </w:rPr>
      </w:pPr>
      <w:r>
        <w:rPr>
          <w:rFonts w:hint="eastAsia"/>
          <w:color w:val="auto"/>
        </w:rPr>
        <w:t>（1）投标人在规定的投标有效期内撤销或修改其投标文件；</w:t>
      </w:r>
    </w:p>
    <w:p>
      <w:pPr>
        <w:spacing w:line="440" w:lineRule="exact"/>
        <w:ind w:firstLine="420" w:firstLineChars="200"/>
        <w:rPr>
          <w:color w:val="auto"/>
        </w:rPr>
      </w:pPr>
      <w:r>
        <w:rPr>
          <w:rFonts w:hint="eastAsia"/>
          <w:color w:val="auto"/>
        </w:rPr>
        <w:t>（2）中标人在收到中标通知书后，无正当理由拒签合同协议书或未按招标文件规定提交履约担保。</w:t>
      </w:r>
    </w:p>
    <w:p>
      <w:pPr>
        <w:spacing w:line="400" w:lineRule="exact"/>
        <w:ind w:firstLine="420" w:firstLineChars="200"/>
        <w:rPr>
          <w:rFonts w:ascii="宋体" w:hAnsi="宋体" w:cs="宋体"/>
          <w:color w:val="auto"/>
          <w:szCs w:val="21"/>
        </w:rPr>
      </w:pPr>
      <w:r>
        <w:rPr>
          <w:rFonts w:hint="eastAsia"/>
          <w:color w:val="auto"/>
        </w:rPr>
        <w:t>（3）其他法律法规规定情形。</w:t>
      </w:r>
      <w:r>
        <w:rPr>
          <w:rFonts w:hint="eastAsia" w:ascii="宋体" w:hAnsi="宋体" w:cs="宋体"/>
          <w:color w:val="auto"/>
          <w:szCs w:val="21"/>
        </w:rPr>
        <w:t xml:space="preserve"> </w:t>
      </w:r>
    </w:p>
    <w:bookmarkEnd w:id="145"/>
    <w:bookmarkEnd w:id="146"/>
    <w:bookmarkEnd w:id="147"/>
    <w:bookmarkEnd w:id="148"/>
    <w:p>
      <w:pPr>
        <w:pStyle w:val="56"/>
        <w:ind w:firstLine="422" w:firstLineChars="200"/>
        <w:rPr>
          <w:rFonts w:ascii="宋体" w:hAnsi="宋体" w:eastAsia="宋体"/>
          <w:b/>
          <w:strike/>
          <w:color w:val="auto"/>
          <w:sz w:val="21"/>
          <w:szCs w:val="21"/>
        </w:rPr>
      </w:pPr>
      <w:bookmarkStart w:id="149" w:name="_Toc245036620"/>
      <w:bookmarkStart w:id="150" w:name="_Toc144974521"/>
      <w:bookmarkStart w:id="151" w:name="_Toc152045553"/>
      <w:bookmarkStart w:id="152" w:name="_Toc323711767"/>
      <w:bookmarkStart w:id="153" w:name="_Toc322615415"/>
      <w:bookmarkStart w:id="154" w:name="_Toc152042329"/>
      <w:bookmarkStart w:id="155" w:name="_Toc319408089"/>
      <w:bookmarkStart w:id="156" w:name="_Toc319407854"/>
      <w:bookmarkStart w:id="157" w:name="_Toc16875"/>
      <w:bookmarkStart w:id="158" w:name="_Toc392345930"/>
      <w:bookmarkStart w:id="159" w:name="_Toc229646740"/>
      <w:bookmarkStart w:id="160" w:name="_Toc152045559"/>
      <w:bookmarkStart w:id="161" w:name="_Toc144974527"/>
      <w:bookmarkStart w:id="162" w:name="_Toc152042335"/>
      <w:r>
        <w:rPr>
          <w:rFonts w:hint="eastAsia" w:ascii="宋体" w:hAnsi="宋体" w:eastAsia="宋体"/>
          <w:b/>
          <w:strike/>
          <w:color w:val="auto"/>
          <w:sz w:val="21"/>
          <w:szCs w:val="21"/>
        </w:rPr>
        <w:t>3.</w:t>
      </w:r>
      <w:bookmarkEnd w:id="149"/>
      <w:bookmarkEnd w:id="150"/>
      <w:bookmarkEnd w:id="151"/>
      <w:bookmarkEnd w:id="152"/>
      <w:bookmarkEnd w:id="153"/>
      <w:bookmarkEnd w:id="154"/>
      <w:bookmarkEnd w:id="155"/>
      <w:bookmarkEnd w:id="156"/>
      <w:bookmarkStart w:id="163" w:name="_Toc245036621"/>
      <w:bookmarkStart w:id="164" w:name="_Toc319407855"/>
      <w:bookmarkStart w:id="165" w:name="_Toc322615416"/>
      <w:bookmarkStart w:id="166" w:name="_Toc323711768"/>
      <w:bookmarkStart w:id="167" w:name="_Toc319408090"/>
      <w:r>
        <w:rPr>
          <w:rFonts w:hint="eastAsia" w:ascii="宋体" w:hAnsi="宋体" w:eastAsia="宋体"/>
          <w:b/>
          <w:strike/>
          <w:color w:val="auto"/>
          <w:sz w:val="21"/>
          <w:szCs w:val="21"/>
        </w:rPr>
        <w:t>5资格审查资料</w:t>
      </w:r>
      <w:bookmarkEnd w:id="157"/>
    </w:p>
    <w:p>
      <w:pPr>
        <w:spacing w:line="400" w:lineRule="exact"/>
        <w:ind w:firstLine="420" w:firstLineChars="200"/>
        <w:rPr>
          <w:rFonts w:ascii="宋体" w:hAnsi="宋体" w:cs="宋体"/>
          <w:strike/>
          <w:color w:val="auto"/>
          <w:szCs w:val="21"/>
        </w:rPr>
      </w:pPr>
      <w:bookmarkStart w:id="168" w:name="_Toc229646735"/>
      <w:bookmarkStart w:id="169" w:name="_Toc247527578"/>
      <w:bookmarkStart w:id="170" w:name="_Toc152042330"/>
      <w:bookmarkStart w:id="171" w:name="_Toc247513977"/>
      <w:bookmarkStart w:id="172" w:name="_Toc144974522"/>
      <w:bookmarkStart w:id="173" w:name="_Toc300834974"/>
      <w:bookmarkStart w:id="174" w:name="_Toc152045554"/>
      <w:r>
        <w:rPr>
          <w:rFonts w:hint="eastAsia" w:ascii="宋体" w:hAnsi="宋体" w:cs="宋体"/>
          <w:strike/>
          <w:color w:val="auto"/>
          <w:szCs w:val="21"/>
        </w:rPr>
        <w:t>3.5.1 “投标人基本情况表”应附投标人营业执照副本、资质证书副本等材料的复印件。</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3.5.2 “近年完成的类似项目情况表”应附中标通知书、合同复印件及医院验收证明，具体年份要求见投标人须知前附表。每张表格只填写一个项目，并标明序号。</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3.5.3“正在进行的项目和新承接的项目情况表”应附中标通知书和合同复印件。每张表格只填写一个项目，并标明序号。</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3.5.5 “近年发生的诉讼及仲裁情况”应说明相关情况，并附法院或仲裁机构作出的判决、裁决等有关法律文书复印件，具体年份要求见投标人须知前附表。</w:t>
      </w:r>
    </w:p>
    <w:p>
      <w:pPr>
        <w:spacing w:line="400" w:lineRule="exact"/>
        <w:ind w:firstLine="420" w:firstLineChars="200"/>
        <w:rPr>
          <w:rFonts w:ascii="宋体" w:hAnsi="宋体" w:cs="宋体"/>
          <w:bCs/>
          <w:strike/>
          <w:color w:val="auto"/>
          <w:szCs w:val="21"/>
        </w:rPr>
      </w:pPr>
      <w:r>
        <w:rPr>
          <w:rFonts w:hint="eastAsia" w:ascii="宋体" w:hAnsi="宋体" w:cs="宋体"/>
          <w:strike/>
          <w:color w:val="auto"/>
          <w:szCs w:val="21"/>
        </w:rPr>
        <w:t>3.5.6 投标单位应本着诚实信用的原则，提供真实可信的资格审查资料。若投标单位提供虚假资料，一经查实，</w:t>
      </w:r>
      <w:r>
        <w:rPr>
          <w:rFonts w:hint="eastAsia" w:ascii="宋体" w:hAnsi="宋体" w:cs="宋体"/>
          <w:bCs/>
          <w:strike/>
          <w:color w:val="auto"/>
          <w:szCs w:val="21"/>
        </w:rPr>
        <w:t>除</w:t>
      </w:r>
      <w:r>
        <w:rPr>
          <w:rFonts w:hint="eastAsia" w:ascii="宋体" w:hAnsi="宋体" w:cs="宋体"/>
          <w:strike/>
          <w:color w:val="auto"/>
          <w:szCs w:val="21"/>
        </w:rPr>
        <w:t>按否决投标处理</w:t>
      </w:r>
      <w:r>
        <w:rPr>
          <w:rFonts w:hint="eastAsia" w:ascii="宋体" w:hAnsi="宋体" w:cs="宋体"/>
          <w:bCs/>
          <w:strike/>
          <w:color w:val="auto"/>
          <w:szCs w:val="21"/>
        </w:rPr>
        <w:t>外，其投标保证金不予退还。</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3.5.7资格审查资料详见投标人须知前附表。</w:t>
      </w:r>
    </w:p>
    <w:bookmarkEnd w:id="168"/>
    <w:bookmarkEnd w:id="169"/>
    <w:bookmarkEnd w:id="170"/>
    <w:bookmarkEnd w:id="171"/>
    <w:bookmarkEnd w:id="172"/>
    <w:bookmarkEnd w:id="173"/>
    <w:bookmarkEnd w:id="174"/>
    <w:p>
      <w:pPr>
        <w:pStyle w:val="56"/>
        <w:ind w:firstLine="422" w:firstLineChars="200"/>
        <w:rPr>
          <w:rFonts w:ascii="宋体" w:hAnsi="宋体" w:eastAsia="宋体"/>
          <w:b/>
          <w:color w:val="auto"/>
          <w:sz w:val="21"/>
          <w:szCs w:val="21"/>
        </w:rPr>
      </w:pPr>
      <w:bookmarkStart w:id="175" w:name="_Toc29305"/>
      <w:r>
        <w:rPr>
          <w:rFonts w:hint="eastAsia" w:ascii="宋体" w:hAnsi="宋体" w:eastAsia="宋体"/>
          <w:b/>
          <w:color w:val="auto"/>
          <w:sz w:val="21"/>
          <w:szCs w:val="21"/>
        </w:rPr>
        <w:t>3.6备选投标方案</w:t>
      </w:r>
      <w:bookmarkEnd w:id="175"/>
    </w:p>
    <w:p>
      <w:pPr>
        <w:spacing w:line="400" w:lineRule="exact"/>
        <w:ind w:firstLine="420" w:firstLineChars="200"/>
        <w:rPr>
          <w:rFonts w:ascii="宋体" w:hAnsi="宋体" w:cs="宋体"/>
          <w:color w:val="auto"/>
          <w:szCs w:val="21"/>
        </w:rPr>
      </w:pPr>
      <w:r>
        <w:rPr>
          <w:rFonts w:hint="eastAsia" w:ascii="宋体" w:hAnsi="宋体" w:cs="宋体"/>
          <w:color w:val="auto"/>
          <w:szCs w:val="21"/>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56"/>
        <w:ind w:firstLine="422" w:firstLineChars="200"/>
        <w:rPr>
          <w:rFonts w:ascii="宋体" w:hAnsi="宋体" w:eastAsia="宋体"/>
          <w:b/>
          <w:color w:val="auto"/>
          <w:sz w:val="21"/>
          <w:szCs w:val="21"/>
        </w:rPr>
      </w:pPr>
      <w:bookmarkStart w:id="176" w:name="_Toc11039"/>
      <w:r>
        <w:rPr>
          <w:rFonts w:hint="eastAsia" w:ascii="宋体" w:hAnsi="宋体" w:eastAsia="宋体"/>
          <w:b/>
          <w:color w:val="auto"/>
          <w:sz w:val="21"/>
          <w:szCs w:val="21"/>
        </w:rPr>
        <w:t>3.7投标文件的编制</w:t>
      </w:r>
      <w:bookmarkEnd w:id="158"/>
      <w:bookmarkEnd w:id="163"/>
      <w:bookmarkEnd w:id="164"/>
      <w:bookmarkEnd w:id="165"/>
      <w:bookmarkEnd w:id="166"/>
      <w:bookmarkEnd w:id="167"/>
      <w:bookmarkEnd w:id="176"/>
    </w:p>
    <w:p>
      <w:pPr>
        <w:spacing w:line="400" w:lineRule="exact"/>
        <w:ind w:firstLine="420" w:firstLineChars="200"/>
        <w:rPr>
          <w:rFonts w:ascii="宋体" w:hAnsi="宋体" w:cs="宋体"/>
          <w:color w:val="auto"/>
          <w:szCs w:val="21"/>
        </w:rPr>
      </w:pPr>
      <w:r>
        <w:rPr>
          <w:rFonts w:hint="eastAsia" w:ascii="宋体" w:hAnsi="宋体" w:cs="宋体"/>
          <w:color w:val="auto"/>
          <w:szCs w:val="21"/>
        </w:rPr>
        <w:t>3.7.1投标文件应按第七章“投标文件格式”进行编写，如有必要，可以增加附页，作为投标文件的组成部分。其中，投标函在满足招标文件实质性要求的基础上，可以提出比招标文件要求更有利于招标人的承诺。</w:t>
      </w:r>
    </w:p>
    <w:p>
      <w:pPr>
        <w:spacing w:line="400" w:lineRule="exact"/>
        <w:ind w:firstLine="420" w:firstLineChars="200"/>
        <w:rPr>
          <w:rFonts w:ascii="宋体" w:hAnsi="宋体" w:cs="宋体"/>
          <w:color w:val="auto"/>
          <w:szCs w:val="21"/>
        </w:rPr>
      </w:pPr>
      <w:r>
        <w:rPr>
          <w:rFonts w:hint="eastAsia" w:ascii="宋体" w:hAnsi="宋体" w:cs="宋体"/>
          <w:color w:val="auto"/>
          <w:szCs w:val="21"/>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3.7.3投标文件正本一份, 副本份数见投标人须知前附表。正本和副本的封面上应清楚地标记“正本”或“副本”的字样。当副本和正本不一致时，以正本为准。</w:t>
      </w:r>
    </w:p>
    <w:p>
      <w:pPr>
        <w:spacing w:line="400" w:lineRule="exact"/>
        <w:ind w:firstLine="420" w:firstLineChars="200"/>
        <w:rPr>
          <w:rFonts w:ascii="宋体" w:hAnsi="宋体" w:cs="宋体"/>
          <w:color w:val="auto"/>
          <w:szCs w:val="21"/>
        </w:rPr>
      </w:pPr>
      <w:r>
        <w:rPr>
          <w:rFonts w:hint="eastAsia" w:ascii="宋体" w:hAnsi="宋体" w:cs="宋体"/>
          <w:color w:val="auto"/>
          <w:szCs w:val="21"/>
        </w:rPr>
        <w:t>3.7.4投标文件的正本与副本应分别装订成册，</w:t>
      </w:r>
      <w:r>
        <w:rPr>
          <w:rFonts w:hint="eastAsia" w:ascii="宋体" w:hAnsi="宋体" w:cs="宋体"/>
          <w:color w:val="auto"/>
          <w:szCs w:val="21"/>
          <w:lang w:eastAsia="zh-CN"/>
        </w:rPr>
        <w:t>建议</w:t>
      </w:r>
      <w:r>
        <w:rPr>
          <w:rFonts w:hint="eastAsia" w:ascii="宋体" w:hAnsi="宋体" w:cs="宋体"/>
          <w:color w:val="auto"/>
          <w:szCs w:val="21"/>
        </w:rPr>
        <w:t>编制目录。</w:t>
      </w:r>
      <w:bookmarkStart w:id="177" w:name="_Toc152042331"/>
      <w:bookmarkStart w:id="178" w:name="_Toc245036622"/>
      <w:bookmarkStart w:id="179" w:name="_Toc144974523"/>
      <w:bookmarkStart w:id="180" w:name="_Toc152045555"/>
      <w:bookmarkStart w:id="181" w:name="_Toc392345931"/>
      <w:bookmarkStart w:id="182" w:name="_Toc323711769"/>
      <w:r>
        <w:rPr>
          <w:rFonts w:hint="eastAsia" w:ascii="宋体" w:hAnsi="宋体" w:cs="宋体"/>
          <w:color w:val="auto"/>
          <w:szCs w:val="21"/>
        </w:rPr>
        <w:t>具体装订要求见投标人须知前附表规定。</w:t>
      </w:r>
    </w:p>
    <w:p>
      <w:pPr>
        <w:pStyle w:val="55"/>
        <w:spacing w:before="0"/>
        <w:ind w:firstLine="420" w:firstLineChars="200"/>
        <w:rPr>
          <w:rFonts w:ascii="宋体" w:hAnsi="宋体" w:eastAsia="宋体"/>
          <w:color w:val="auto"/>
          <w:sz w:val="21"/>
          <w:szCs w:val="21"/>
        </w:rPr>
      </w:pPr>
      <w:bookmarkStart w:id="183" w:name="_Toc7085"/>
      <w:r>
        <w:rPr>
          <w:rFonts w:hint="eastAsia" w:ascii="宋体" w:hAnsi="宋体" w:eastAsia="宋体"/>
          <w:color w:val="auto"/>
          <w:sz w:val="21"/>
          <w:szCs w:val="21"/>
        </w:rPr>
        <w:t>4. 投标</w:t>
      </w:r>
      <w:bookmarkEnd w:id="177"/>
      <w:bookmarkEnd w:id="178"/>
      <w:bookmarkEnd w:id="179"/>
      <w:bookmarkEnd w:id="180"/>
      <w:bookmarkEnd w:id="181"/>
      <w:bookmarkEnd w:id="182"/>
      <w:bookmarkEnd w:id="183"/>
    </w:p>
    <w:p>
      <w:pPr>
        <w:pStyle w:val="56"/>
        <w:ind w:firstLine="422" w:firstLineChars="200"/>
        <w:rPr>
          <w:rFonts w:ascii="宋体" w:hAnsi="宋体" w:eastAsia="宋体"/>
          <w:b/>
          <w:color w:val="auto"/>
          <w:sz w:val="21"/>
          <w:szCs w:val="21"/>
        </w:rPr>
      </w:pPr>
      <w:bookmarkStart w:id="184" w:name="_Toc323711770"/>
      <w:bookmarkStart w:id="185" w:name="_Toc319407857"/>
      <w:bookmarkStart w:id="186" w:name="_Toc144974524"/>
      <w:bookmarkStart w:id="187" w:name="_Toc322615418"/>
      <w:bookmarkStart w:id="188" w:name="_Toc319408092"/>
      <w:bookmarkStart w:id="189" w:name="_Toc152045556"/>
      <w:bookmarkStart w:id="190" w:name="_Toc245036623"/>
      <w:bookmarkStart w:id="191" w:name="_Toc152042332"/>
      <w:bookmarkStart w:id="192" w:name="_Toc20016"/>
      <w:bookmarkStart w:id="193" w:name="_Toc392345932"/>
      <w:r>
        <w:rPr>
          <w:rFonts w:hint="eastAsia" w:ascii="宋体" w:hAnsi="宋体" w:eastAsia="宋体"/>
          <w:b/>
          <w:color w:val="auto"/>
          <w:sz w:val="21"/>
          <w:szCs w:val="21"/>
        </w:rPr>
        <w:t>4.1 投标文件的密封和标记</w:t>
      </w:r>
      <w:bookmarkEnd w:id="184"/>
      <w:bookmarkEnd w:id="185"/>
      <w:bookmarkEnd w:id="186"/>
      <w:bookmarkEnd w:id="187"/>
      <w:bookmarkEnd w:id="188"/>
      <w:bookmarkEnd w:id="189"/>
      <w:bookmarkEnd w:id="190"/>
      <w:bookmarkEnd w:id="191"/>
      <w:bookmarkEnd w:id="192"/>
      <w:bookmarkEnd w:id="193"/>
    </w:p>
    <w:p>
      <w:pPr>
        <w:spacing w:line="400" w:lineRule="exact"/>
        <w:ind w:firstLine="420" w:firstLineChars="200"/>
        <w:rPr>
          <w:rFonts w:ascii="宋体" w:hAnsi="宋体" w:cs="宋体"/>
          <w:color w:val="auto"/>
          <w:szCs w:val="21"/>
        </w:rPr>
      </w:pPr>
      <w:r>
        <w:rPr>
          <w:rFonts w:hint="eastAsia" w:ascii="宋体" w:hAnsi="宋体" w:cs="宋体"/>
          <w:color w:val="auto"/>
          <w:szCs w:val="21"/>
        </w:rPr>
        <w:t>4.1.1投标文件的正本与副本</w:t>
      </w:r>
      <w:r>
        <w:rPr>
          <w:rFonts w:hint="eastAsia" w:ascii="宋体" w:hAnsi="宋体" w:cs="宋体"/>
          <w:strike/>
          <w:color w:val="auto"/>
          <w:szCs w:val="21"/>
        </w:rPr>
        <w:t>可分开或</w:t>
      </w:r>
      <w:r>
        <w:rPr>
          <w:rFonts w:hint="eastAsia" w:ascii="宋体" w:hAnsi="宋体" w:cs="宋体"/>
          <w:color w:val="auto"/>
          <w:szCs w:val="21"/>
        </w:rPr>
        <w:t>合并密封包装（包装要求见投标人须知前附表）。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4.1.2 投标文件封套上应写明的内容见投标人须知前附表。</w:t>
      </w:r>
    </w:p>
    <w:p>
      <w:pPr>
        <w:pStyle w:val="56"/>
        <w:ind w:firstLine="422" w:firstLineChars="200"/>
        <w:rPr>
          <w:rFonts w:ascii="宋体" w:hAnsi="宋体" w:eastAsia="宋体"/>
          <w:b/>
          <w:color w:val="auto"/>
          <w:sz w:val="21"/>
          <w:szCs w:val="21"/>
        </w:rPr>
      </w:pPr>
      <w:bookmarkStart w:id="194" w:name="_Toc245036624"/>
      <w:bookmarkStart w:id="195" w:name="_Toc319407858"/>
      <w:bookmarkStart w:id="196" w:name="_Toc323711771"/>
      <w:bookmarkStart w:id="197" w:name="_Toc28433"/>
      <w:bookmarkStart w:id="198" w:name="_Toc319408093"/>
      <w:bookmarkStart w:id="199" w:name="_Toc392345933"/>
      <w:bookmarkStart w:id="200" w:name="_Toc322615419"/>
      <w:bookmarkStart w:id="201" w:name="_Toc152045557"/>
      <w:bookmarkStart w:id="202" w:name="_Toc144974525"/>
      <w:bookmarkStart w:id="203" w:name="_Toc152042333"/>
      <w:r>
        <w:rPr>
          <w:rFonts w:hint="eastAsia" w:ascii="宋体" w:hAnsi="宋体" w:eastAsia="宋体"/>
          <w:b/>
          <w:color w:val="auto"/>
          <w:sz w:val="21"/>
          <w:szCs w:val="21"/>
        </w:rPr>
        <w:t>4.2 投标文件的递交</w:t>
      </w:r>
      <w:bookmarkEnd w:id="194"/>
      <w:bookmarkEnd w:id="195"/>
      <w:bookmarkEnd w:id="196"/>
      <w:bookmarkEnd w:id="197"/>
      <w:bookmarkEnd w:id="198"/>
      <w:bookmarkEnd w:id="199"/>
      <w:bookmarkEnd w:id="200"/>
      <w:bookmarkEnd w:id="201"/>
      <w:bookmarkEnd w:id="202"/>
      <w:bookmarkEnd w:id="203"/>
    </w:p>
    <w:p>
      <w:pPr>
        <w:spacing w:line="400" w:lineRule="exact"/>
        <w:ind w:firstLine="420" w:firstLineChars="200"/>
        <w:rPr>
          <w:rFonts w:ascii="宋体" w:hAnsi="宋体" w:cs="宋体"/>
          <w:color w:val="auto"/>
          <w:szCs w:val="21"/>
        </w:rPr>
      </w:pPr>
      <w:r>
        <w:rPr>
          <w:rFonts w:hint="eastAsia" w:ascii="宋体" w:hAnsi="宋体" w:cs="宋体"/>
          <w:color w:val="auto"/>
          <w:szCs w:val="21"/>
        </w:rPr>
        <w:t>4.2.1 投标人应在前附表第2.2.2项规定的投标截止时间前递交投标文件。</w:t>
      </w:r>
    </w:p>
    <w:p>
      <w:pPr>
        <w:spacing w:line="400" w:lineRule="exact"/>
        <w:ind w:firstLine="420" w:firstLineChars="200"/>
        <w:rPr>
          <w:rFonts w:ascii="宋体" w:hAnsi="宋体" w:cs="宋体"/>
          <w:color w:val="auto"/>
          <w:szCs w:val="21"/>
        </w:rPr>
      </w:pPr>
      <w:r>
        <w:rPr>
          <w:rFonts w:hint="eastAsia" w:ascii="宋体" w:hAnsi="宋体" w:cs="宋体"/>
          <w:color w:val="auto"/>
          <w:szCs w:val="21"/>
        </w:rPr>
        <w:t>4.2.2 投标人递交投标文件的地点：见投标人须知前附表。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4.2.3 除投标人须知前附表另有规定外，投标人所递交的投标文件不予退还。</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4.2.4 招标人收到投标文件后，向投标人出具签收凭证。</w:t>
      </w:r>
    </w:p>
    <w:p>
      <w:pPr>
        <w:pStyle w:val="56"/>
        <w:ind w:firstLine="422" w:firstLineChars="200"/>
        <w:rPr>
          <w:rFonts w:ascii="宋体" w:hAnsi="宋体" w:eastAsia="宋体"/>
          <w:b/>
          <w:color w:val="auto"/>
          <w:sz w:val="21"/>
          <w:szCs w:val="21"/>
        </w:rPr>
      </w:pPr>
      <w:bookmarkStart w:id="204" w:name="_Toc21598"/>
      <w:bookmarkStart w:id="205" w:name="_Toc319408094"/>
      <w:bookmarkStart w:id="206" w:name="_Toc392345934"/>
      <w:bookmarkStart w:id="207" w:name="_Toc322615420"/>
      <w:bookmarkStart w:id="208" w:name="_Toc323711772"/>
      <w:bookmarkStart w:id="209" w:name="_Toc144974526"/>
      <w:bookmarkStart w:id="210" w:name="_Toc245036625"/>
      <w:bookmarkStart w:id="211" w:name="_Toc152042334"/>
      <w:bookmarkStart w:id="212" w:name="_Toc319407859"/>
      <w:bookmarkStart w:id="213" w:name="_Toc152045558"/>
      <w:r>
        <w:rPr>
          <w:rFonts w:hint="eastAsia" w:ascii="宋体" w:hAnsi="宋体" w:eastAsia="宋体"/>
          <w:b/>
          <w:color w:val="auto"/>
          <w:sz w:val="21"/>
          <w:szCs w:val="21"/>
        </w:rPr>
        <w:t>4.3 投标文件的修改与撤回</w:t>
      </w:r>
      <w:bookmarkEnd w:id="204"/>
      <w:bookmarkEnd w:id="205"/>
      <w:bookmarkEnd w:id="206"/>
      <w:bookmarkEnd w:id="207"/>
      <w:bookmarkEnd w:id="208"/>
      <w:bookmarkEnd w:id="209"/>
      <w:bookmarkEnd w:id="210"/>
      <w:bookmarkEnd w:id="211"/>
      <w:bookmarkEnd w:id="212"/>
      <w:bookmarkEnd w:id="213"/>
    </w:p>
    <w:p>
      <w:pPr>
        <w:spacing w:line="400" w:lineRule="exact"/>
        <w:ind w:firstLine="420" w:firstLineChars="200"/>
        <w:rPr>
          <w:rFonts w:ascii="宋体" w:hAnsi="宋体" w:cs="宋体"/>
          <w:color w:val="auto"/>
          <w:szCs w:val="21"/>
        </w:rPr>
      </w:pPr>
      <w:r>
        <w:rPr>
          <w:rFonts w:hint="eastAsia" w:ascii="宋体" w:hAnsi="宋体" w:cs="宋体"/>
          <w:color w:val="auto"/>
          <w:szCs w:val="21"/>
        </w:rPr>
        <w:t>4.3.1 在前附表第2.2.2项规定的投标截止时间前，投标人可以修改或撤回已递交的投标文件，但应以书面形式通知招标人。</w:t>
      </w:r>
    </w:p>
    <w:p>
      <w:pPr>
        <w:spacing w:line="400" w:lineRule="exact"/>
        <w:ind w:firstLine="420" w:firstLineChars="200"/>
        <w:rPr>
          <w:rFonts w:ascii="宋体" w:hAnsi="宋体" w:cs="宋体"/>
          <w:strike/>
          <w:dstrike w:val="0"/>
          <w:color w:val="auto"/>
          <w:szCs w:val="21"/>
        </w:rPr>
      </w:pPr>
      <w:r>
        <w:rPr>
          <w:rFonts w:hint="eastAsia" w:ascii="宋体" w:hAnsi="宋体" w:cs="宋体"/>
          <w:color w:val="auto"/>
          <w:szCs w:val="21"/>
        </w:rPr>
        <w:t>4.3.2 投标人修改或撤回已递交投标文件的书面通知应按照本章第3.7.2项的要求签字或盖章。</w:t>
      </w:r>
      <w:r>
        <w:rPr>
          <w:rFonts w:hint="eastAsia" w:ascii="宋体" w:hAnsi="宋体" w:cs="宋体"/>
          <w:strike/>
          <w:dstrike w:val="0"/>
          <w:color w:val="auto"/>
          <w:szCs w:val="21"/>
        </w:rPr>
        <w:t>招标人收到书面通知后，向投标人出具签收凭证。</w:t>
      </w:r>
    </w:p>
    <w:p>
      <w:pPr>
        <w:spacing w:line="400" w:lineRule="exact"/>
        <w:ind w:firstLine="420" w:firstLineChars="200"/>
        <w:rPr>
          <w:rFonts w:ascii="宋体" w:hAnsi="宋体" w:cs="宋体"/>
          <w:color w:val="auto"/>
          <w:szCs w:val="21"/>
        </w:rPr>
      </w:pPr>
      <w:r>
        <w:rPr>
          <w:rFonts w:hint="eastAsia" w:ascii="宋体" w:hAnsi="宋体" w:cs="宋体"/>
          <w:color w:val="auto"/>
          <w:szCs w:val="21"/>
        </w:rPr>
        <w:t>4.3.3 修改的内容为投标文件的组成部分。修改的投标文件应按照本章第3条、第4条规定进行编制、密封、标记和递交，并标明“修改”字样。</w:t>
      </w:r>
    </w:p>
    <w:p>
      <w:pPr>
        <w:pStyle w:val="56"/>
        <w:ind w:firstLine="422" w:firstLineChars="200"/>
        <w:rPr>
          <w:rFonts w:ascii="宋体" w:hAnsi="宋体" w:eastAsia="宋体"/>
          <w:b/>
          <w:color w:val="auto"/>
          <w:sz w:val="21"/>
          <w:szCs w:val="21"/>
        </w:rPr>
      </w:pPr>
      <w:bookmarkStart w:id="214" w:name="_Toc14614"/>
      <w:bookmarkStart w:id="215" w:name="_Toc392345935"/>
      <w:r>
        <w:rPr>
          <w:rFonts w:hint="eastAsia" w:ascii="宋体" w:hAnsi="宋体" w:eastAsia="宋体"/>
          <w:b/>
          <w:color w:val="auto"/>
          <w:sz w:val="21"/>
          <w:szCs w:val="21"/>
        </w:rPr>
        <w:t>4.4 投标文件的拒收情形</w:t>
      </w:r>
      <w:bookmarkEnd w:id="214"/>
      <w:bookmarkEnd w:id="215"/>
    </w:p>
    <w:p>
      <w:pPr>
        <w:spacing w:line="400" w:lineRule="exact"/>
        <w:ind w:firstLine="420" w:firstLineChars="200"/>
        <w:rPr>
          <w:rFonts w:ascii="宋体" w:hAnsi="宋体" w:cs="宋体"/>
          <w:color w:val="auto"/>
          <w:szCs w:val="21"/>
        </w:rPr>
      </w:pPr>
      <w:r>
        <w:rPr>
          <w:rFonts w:hint="eastAsia" w:ascii="宋体" w:hAnsi="宋体" w:cs="宋体"/>
          <w:color w:val="auto"/>
          <w:szCs w:val="21"/>
        </w:rPr>
        <w:t>详见投标人须知前附表。</w:t>
      </w:r>
      <w:bookmarkStart w:id="216" w:name="_Toc392345936"/>
      <w:bookmarkStart w:id="217" w:name="_Toc18369"/>
    </w:p>
    <w:p>
      <w:pPr>
        <w:spacing w:line="400" w:lineRule="exact"/>
        <w:ind w:firstLine="422" w:firstLineChars="200"/>
        <w:rPr>
          <w:rFonts w:ascii="宋体" w:hAnsi="宋体" w:cs="宋体"/>
          <w:color w:val="auto"/>
          <w:szCs w:val="21"/>
        </w:rPr>
      </w:pPr>
      <w:r>
        <w:rPr>
          <w:rFonts w:hint="eastAsia" w:ascii="宋体" w:hAnsi="宋体" w:cs="宋体"/>
          <w:b/>
          <w:bCs/>
          <w:color w:val="auto"/>
          <w:szCs w:val="21"/>
        </w:rPr>
        <w:t>5. 开标</w:t>
      </w:r>
      <w:bookmarkEnd w:id="159"/>
      <w:bookmarkEnd w:id="160"/>
      <w:bookmarkEnd w:id="161"/>
      <w:bookmarkEnd w:id="162"/>
      <w:r>
        <w:rPr>
          <w:rFonts w:hint="eastAsia" w:ascii="宋体" w:hAnsi="宋体" w:cs="宋体"/>
          <w:b/>
          <w:bCs/>
          <w:color w:val="auto"/>
          <w:szCs w:val="21"/>
        </w:rPr>
        <w:t>程序</w:t>
      </w:r>
      <w:bookmarkEnd w:id="216"/>
      <w:bookmarkEnd w:id="217"/>
      <w:r>
        <w:rPr>
          <w:rFonts w:hint="eastAsia" w:ascii="宋体" w:hAnsi="宋体" w:cs="宋体"/>
          <w:b/>
          <w:bCs/>
          <w:color w:val="auto"/>
          <w:szCs w:val="21"/>
        </w:rPr>
        <w:t>（为确保开评标现场的疫情防控安全，到现场参与开评标的各类人员应出示健康码。为减少人员聚集程度及滞留时间，投标人不需在开标现场。）</w:t>
      </w:r>
    </w:p>
    <w:p>
      <w:pPr>
        <w:pStyle w:val="56"/>
        <w:ind w:firstLine="422" w:firstLineChars="200"/>
        <w:rPr>
          <w:rFonts w:ascii="宋体" w:hAnsi="宋体" w:eastAsia="宋体"/>
          <w:b/>
          <w:color w:val="auto"/>
          <w:sz w:val="21"/>
          <w:szCs w:val="21"/>
        </w:rPr>
      </w:pPr>
      <w:bookmarkStart w:id="218" w:name="_Toc152045560"/>
      <w:bookmarkStart w:id="219" w:name="_Toc229646741"/>
      <w:bookmarkStart w:id="220" w:name="_Toc144974528"/>
      <w:bookmarkStart w:id="221" w:name="_Toc392345937"/>
      <w:bookmarkStart w:id="222" w:name="_Toc152042336"/>
      <w:bookmarkStart w:id="223" w:name="_Toc13624"/>
      <w:r>
        <w:rPr>
          <w:rFonts w:hint="eastAsia" w:ascii="宋体" w:hAnsi="宋体" w:eastAsia="宋体"/>
          <w:b/>
          <w:color w:val="auto"/>
          <w:sz w:val="21"/>
          <w:szCs w:val="21"/>
        </w:rPr>
        <w:t>5.1 开标时间和地点</w:t>
      </w:r>
      <w:bookmarkEnd w:id="218"/>
      <w:bookmarkEnd w:id="219"/>
      <w:bookmarkEnd w:id="220"/>
      <w:bookmarkEnd w:id="221"/>
      <w:bookmarkEnd w:id="222"/>
      <w:r>
        <w:rPr>
          <w:rFonts w:hint="eastAsia" w:ascii="宋体" w:hAnsi="宋体" w:eastAsia="宋体"/>
          <w:b/>
          <w:color w:val="auto"/>
          <w:sz w:val="21"/>
          <w:szCs w:val="21"/>
        </w:rPr>
        <w:t>、参加开标会议的要求</w:t>
      </w:r>
      <w:bookmarkEnd w:id="223"/>
    </w:p>
    <w:p>
      <w:pPr>
        <w:spacing w:line="400" w:lineRule="exact"/>
        <w:ind w:firstLine="420" w:firstLineChars="200"/>
        <w:rPr>
          <w:rFonts w:ascii="宋体" w:hAnsi="宋体" w:cs="宋体"/>
          <w:color w:val="auto"/>
          <w:szCs w:val="21"/>
        </w:rPr>
      </w:pPr>
      <w:r>
        <w:rPr>
          <w:rFonts w:hint="eastAsia" w:ascii="宋体" w:hAnsi="宋体" w:cs="宋体"/>
          <w:color w:val="auto"/>
          <w:szCs w:val="21"/>
        </w:rPr>
        <w:t>招标人在投标人须知前附表第2.2.2项规定的投标截止时间（开标时间）和投标人须知前附表规定的地点公开开标，参加开标会议的要求见投标人须知前附表。</w:t>
      </w:r>
    </w:p>
    <w:p>
      <w:pPr>
        <w:pStyle w:val="56"/>
        <w:ind w:firstLine="422" w:firstLineChars="200"/>
        <w:rPr>
          <w:rFonts w:ascii="宋体" w:hAnsi="宋体" w:eastAsia="宋体"/>
          <w:b/>
          <w:color w:val="auto"/>
          <w:sz w:val="21"/>
          <w:szCs w:val="21"/>
        </w:rPr>
      </w:pPr>
      <w:bookmarkStart w:id="224" w:name="_Toc229646742"/>
      <w:bookmarkStart w:id="225" w:name="_Toc392345938"/>
      <w:bookmarkStart w:id="226" w:name="_Toc144974529"/>
      <w:bookmarkStart w:id="227" w:name="_Toc152042337"/>
      <w:bookmarkStart w:id="228" w:name="_Toc152045561"/>
      <w:bookmarkStart w:id="229" w:name="_Toc28832"/>
      <w:r>
        <w:rPr>
          <w:rFonts w:hint="eastAsia" w:ascii="宋体" w:hAnsi="宋体" w:eastAsia="宋体"/>
          <w:b/>
          <w:color w:val="auto"/>
          <w:sz w:val="21"/>
          <w:szCs w:val="21"/>
        </w:rPr>
        <w:t>5.2 开标</w:t>
      </w:r>
      <w:bookmarkEnd w:id="224"/>
      <w:bookmarkEnd w:id="225"/>
      <w:bookmarkEnd w:id="226"/>
      <w:bookmarkEnd w:id="227"/>
      <w:bookmarkEnd w:id="228"/>
      <w:bookmarkEnd w:id="229"/>
    </w:p>
    <w:p>
      <w:pPr>
        <w:spacing w:line="400" w:lineRule="exact"/>
        <w:ind w:firstLine="420" w:firstLineChars="200"/>
        <w:rPr>
          <w:rFonts w:ascii="宋体" w:hAnsi="宋体" w:cs="宋体"/>
          <w:color w:val="auto"/>
          <w:szCs w:val="21"/>
        </w:rPr>
      </w:pPr>
      <w:bookmarkStart w:id="230" w:name="_Toc152042338"/>
      <w:bookmarkStart w:id="231" w:name="_Toc152045562"/>
      <w:bookmarkStart w:id="232" w:name="_Toc144974530"/>
      <w:r>
        <w:rPr>
          <w:rFonts w:hint="eastAsia" w:ascii="宋体" w:hAnsi="宋体" w:cs="宋体"/>
          <w:color w:val="auto"/>
          <w:szCs w:val="21"/>
        </w:rPr>
        <w:t>主持人按下列程序进行开标：</w:t>
      </w:r>
    </w:p>
    <w:p>
      <w:pPr>
        <w:spacing w:line="400" w:lineRule="exact"/>
        <w:ind w:firstLine="420" w:firstLineChars="200"/>
        <w:rPr>
          <w:rFonts w:ascii="宋体" w:hAnsi="宋体" w:cs="宋体"/>
          <w:color w:val="auto"/>
          <w:szCs w:val="21"/>
        </w:rPr>
      </w:pPr>
      <w:bookmarkStart w:id="233" w:name="_Toc296602450"/>
      <w:r>
        <w:rPr>
          <w:rFonts w:hint="eastAsia" w:ascii="宋体" w:hAnsi="宋体" w:cs="宋体"/>
          <w:color w:val="auto"/>
          <w:szCs w:val="21"/>
        </w:rPr>
        <w:t>（1）宣布开标纪律；</w:t>
      </w:r>
    </w:p>
    <w:p>
      <w:pPr>
        <w:spacing w:line="400" w:lineRule="exact"/>
        <w:ind w:firstLine="420" w:firstLineChars="200"/>
        <w:rPr>
          <w:rFonts w:ascii="宋体" w:hAnsi="宋体" w:cs="宋体"/>
          <w:color w:val="auto"/>
          <w:szCs w:val="21"/>
        </w:rPr>
      </w:pPr>
      <w:r>
        <w:rPr>
          <w:rFonts w:hint="eastAsia" w:ascii="宋体" w:hAnsi="宋体" w:cs="宋体"/>
          <w:color w:val="auto"/>
          <w:szCs w:val="21"/>
        </w:rPr>
        <w:t>（2）公布在投标截止时间前递交投标文件的投标人名称，</w:t>
      </w:r>
      <w:r>
        <w:rPr>
          <w:rFonts w:hint="eastAsia" w:ascii="宋体" w:hAnsi="宋体" w:cs="宋体"/>
          <w:b/>
          <w:bCs/>
          <w:color w:val="auto"/>
          <w:szCs w:val="21"/>
        </w:rPr>
        <w:t>投标人不需到场</w:t>
      </w:r>
      <w:r>
        <w:rPr>
          <w:rFonts w:hint="eastAsia" w:ascii="宋体" w:hAnsi="宋体" w:cs="宋体"/>
          <w:color w:val="auto"/>
          <w:szCs w:val="21"/>
        </w:rPr>
        <w:t>。</w:t>
      </w:r>
    </w:p>
    <w:p>
      <w:pPr>
        <w:spacing w:line="400" w:lineRule="exact"/>
        <w:ind w:firstLine="420" w:firstLineChars="200"/>
        <w:rPr>
          <w:rFonts w:ascii="宋体" w:hAnsi="宋体" w:cs="宋体"/>
          <w:color w:val="auto"/>
          <w:szCs w:val="21"/>
        </w:rPr>
      </w:pPr>
      <w:r>
        <w:rPr>
          <w:rFonts w:hint="eastAsia" w:ascii="宋体" w:hAnsi="宋体" w:cs="宋体"/>
          <w:color w:val="auto"/>
          <w:szCs w:val="21"/>
        </w:rPr>
        <w:t>（3）宣布开标人、唱标人、记录人、监标人等有关人员姓名；</w:t>
      </w:r>
    </w:p>
    <w:p>
      <w:pPr>
        <w:spacing w:line="400" w:lineRule="exact"/>
        <w:ind w:firstLine="420" w:firstLineChars="200"/>
        <w:rPr>
          <w:rFonts w:ascii="宋体" w:hAnsi="宋体" w:cs="宋体"/>
          <w:color w:val="auto"/>
          <w:szCs w:val="21"/>
        </w:rPr>
      </w:pPr>
      <w:r>
        <w:rPr>
          <w:rFonts w:hint="eastAsia" w:ascii="宋体" w:hAnsi="宋体" w:cs="宋体"/>
          <w:color w:val="auto"/>
          <w:szCs w:val="21"/>
        </w:rPr>
        <w:t>（4）按照投标人须知前附表规定检查投标文件的密封情况；</w:t>
      </w:r>
    </w:p>
    <w:p>
      <w:pPr>
        <w:spacing w:line="400" w:lineRule="exact"/>
        <w:ind w:firstLine="420" w:firstLineChars="200"/>
        <w:rPr>
          <w:rFonts w:ascii="宋体" w:hAnsi="宋体" w:cs="宋体"/>
          <w:color w:val="auto"/>
          <w:szCs w:val="21"/>
        </w:rPr>
      </w:pPr>
      <w:r>
        <w:rPr>
          <w:rFonts w:hint="eastAsia" w:ascii="宋体" w:hAnsi="宋体" w:cs="宋体"/>
          <w:color w:val="auto"/>
          <w:szCs w:val="21"/>
        </w:rPr>
        <w:t>（5）按照投标人须知前附表的规定确定并宣布投标文件开标顺序；</w:t>
      </w:r>
    </w:p>
    <w:p>
      <w:pPr>
        <w:spacing w:line="400" w:lineRule="exact"/>
        <w:ind w:firstLine="420" w:firstLineChars="200"/>
        <w:rPr>
          <w:rFonts w:ascii="宋体" w:hAnsi="宋体" w:cs="宋体"/>
          <w:color w:val="auto"/>
          <w:szCs w:val="21"/>
        </w:rPr>
      </w:pPr>
      <w:r>
        <w:rPr>
          <w:rFonts w:hint="eastAsia" w:ascii="宋体" w:hAnsi="宋体" w:cs="宋体"/>
          <w:strike/>
          <w:color w:val="auto"/>
          <w:szCs w:val="21"/>
        </w:rPr>
        <w:t>（6）设有标底的，公布标底；</w:t>
      </w:r>
      <w:r>
        <w:rPr>
          <w:rFonts w:hint="eastAsia" w:ascii="宋体" w:hAnsi="宋体" w:cs="宋体"/>
          <w:color w:val="auto"/>
          <w:szCs w:val="21"/>
        </w:rPr>
        <w:t xml:space="preserve"> </w:t>
      </w:r>
    </w:p>
    <w:p>
      <w:pPr>
        <w:spacing w:line="400" w:lineRule="exact"/>
        <w:ind w:firstLine="420" w:firstLineChars="200"/>
        <w:rPr>
          <w:rFonts w:ascii="宋体" w:hAnsi="宋体" w:cs="宋体"/>
          <w:color w:val="auto"/>
          <w:szCs w:val="21"/>
        </w:rPr>
      </w:pPr>
      <w:r>
        <w:rPr>
          <w:rFonts w:hint="eastAsia" w:ascii="宋体" w:hAnsi="宋体" w:cs="宋体"/>
          <w:color w:val="auto"/>
          <w:szCs w:val="21"/>
        </w:rPr>
        <w:t>（7）按照宣布的开标顺序当众开标，公布投标人名称、标段名称、投标保证金的递交情况，评标委员会先对投标人进行资格审查；</w:t>
      </w:r>
    </w:p>
    <w:p>
      <w:pPr>
        <w:spacing w:line="400" w:lineRule="exact"/>
        <w:ind w:firstLine="420" w:firstLineChars="200"/>
        <w:rPr>
          <w:rFonts w:ascii="宋体" w:hAnsi="宋体"/>
          <w:color w:val="auto"/>
          <w:szCs w:val="21"/>
        </w:rPr>
      </w:pPr>
      <w:r>
        <w:rPr>
          <w:rFonts w:hint="eastAsia" w:ascii="宋体" w:hAnsi="宋体" w:cs="宋体"/>
          <w:color w:val="auto"/>
          <w:szCs w:val="21"/>
        </w:rPr>
        <w:t>（8）</w:t>
      </w:r>
      <w:r>
        <w:rPr>
          <w:rFonts w:hint="eastAsia" w:ascii="宋体" w:hAnsi="宋体"/>
          <w:color w:val="auto"/>
          <w:szCs w:val="21"/>
        </w:rPr>
        <w:t>启封技术标，由评标委员会对投标人的技术标进行综合评议并打分，宣布各投标人技术标得分；</w:t>
      </w:r>
    </w:p>
    <w:p>
      <w:pPr>
        <w:spacing w:line="400" w:lineRule="exact"/>
        <w:ind w:left="420" w:leftChars="200"/>
        <w:rPr>
          <w:rFonts w:ascii="宋体" w:hAnsi="宋体"/>
          <w:color w:val="auto"/>
          <w:szCs w:val="21"/>
        </w:rPr>
      </w:pPr>
      <w:r>
        <w:rPr>
          <w:rFonts w:hint="eastAsia" w:ascii="宋体" w:hAnsi="宋体"/>
          <w:color w:val="auto"/>
          <w:szCs w:val="21"/>
        </w:rPr>
        <w:t>（9）启封商务标，评标委员会对商务标进行评议并计算得分，宣布商务标得分；</w:t>
      </w:r>
    </w:p>
    <w:p>
      <w:pPr>
        <w:spacing w:line="400" w:lineRule="exact"/>
        <w:ind w:left="420" w:leftChars="200"/>
        <w:rPr>
          <w:rFonts w:ascii="宋体" w:hAnsi="宋体"/>
          <w:color w:val="auto"/>
          <w:szCs w:val="21"/>
        </w:rPr>
      </w:pPr>
      <w:r>
        <w:rPr>
          <w:rFonts w:hint="eastAsia" w:ascii="宋体" w:hAnsi="宋体"/>
          <w:color w:val="auto"/>
          <w:szCs w:val="21"/>
        </w:rPr>
        <w:t>（10）宣布各投标人总得分，宣布中标候选人；</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w:t>
      </w:r>
      <w:r>
        <w:rPr>
          <w:rFonts w:hint="eastAsia" w:ascii="宋体" w:hAnsi="宋体" w:cs="宋体"/>
          <w:strike/>
          <w:color w:val="auto"/>
          <w:szCs w:val="21"/>
        </w:rPr>
        <w:t>投标人代表</w:t>
      </w:r>
      <w:r>
        <w:rPr>
          <w:rFonts w:hint="eastAsia" w:ascii="宋体" w:hAnsi="宋体" w:cs="宋体"/>
          <w:b/>
          <w:bCs/>
          <w:color w:val="auto"/>
          <w:szCs w:val="21"/>
        </w:rPr>
        <w:t>（投标人不需签字确认）</w:t>
      </w:r>
      <w:r>
        <w:rPr>
          <w:rFonts w:hint="eastAsia" w:ascii="宋体" w:hAnsi="宋体" w:cs="宋体"/>
          <w:color w:val="auto"/>
          <w:szCs w:val="21"/>
        </w:rPr>
        <w:t>、招标人代表、监标人、记录人等有关人员在开标记录上签字确认；</w:t>
      </w:r>
    </w:p>
    <w:p>
      <w:pPr>
        <w:spacing w:line="400" w:lineRule="exact"/>
        <w:ind w:firstLine="420" w:firstLineChars="200"/>
        <w:rPr>
          <w:rFonts w:ascii="宋体" w:hAnsi="宋体" w:cs="宋体"/>
          <w:color w:val="auto"/>
          <w:szCs w:val="21"/>
        </w:rPr>
      </w:pPr>
      <w:r>
        <w:rPr>
          <w:rFonts w:hint="eastAsia" w:ascii="宋体" w:hAnsi="宋体" w:cs="宋体"/>
          <w:color w:val="auto"/>
          <w:szCs w:val="21"/>
        </w:rPr>
        <w:t>（12）</w:t>
      </w:r>
      <w:r>
        <w:rPr>
          <w:rFonts w:hint="eastAsia" w:ascii="宋体" w:hAnsi="宋体"/>
          <w:color w:val="auto"/>
          <w:szCs w:val="21"/>
        </w:rPr>
        <w:t>根据招标人要求，公证员对开标评标全过程进行公证</w:t>
      </w:r>
      <w:r>
        <w:rPr>
          <w:rFonts w:hint="eastAsia" w:ascii="宋体" w:hAnsi="宋体" w:cs="宋体"/>
          <w:color w:val="auto"/>
          <w:szCs w:val="21"/>
        </w:rPr>
        <w:t>。</w:t>
      </w:r>
    </w:p>
    <w:p>
      <w:pPr>
        <w:pStyle w:val="56"/>
        <w:ind w:firstLine="422" w:firstLineChars="200"/>
        <w:rPr>
          <w:rFonts w:ascii="宋体" w:hAnsi="宋体" w:eastAsia="宋体"/>
          <w:b/>
          <w:color w:val="auto"/>
          <w:sz w:val="21"/>
          <w:szCs w:val="21"/>
        </w:rPr>
      </w:pPr>
      <w:bookmarkStart w:id="234" w:name="_Toc624"/>
      <w:bookmarkStart w:id="235" w:name="_Toc392345939"/>
      <w:r>
        <w:rPr>
          <w:rFonts w:hint="eastAsia" w:ascii="宋体" w:hAnsi="宋体" w:eastAsia="宋体"/>
          <w:b/>
          <w:color w:val="auto"/>
          <w:sz w:val="21"/>
          <w:szCs w:val="21"/>
        </w:rPr>
        <w:t>5.3 开标异议</w:t>
      </w:r>
      <w:bookmarkEnd w:id="233"/>
      <w:bookmarkEnd w:id="234"/>
      <w:bookmarkEnd w:id="235"/>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投标人对开标有异议的，应当在开标现场提出，招标人当场作出答复，并制作记录。</w:t>
      </w:r>
    </w:p>
    <w:p>
      <w:pPr>
        <w:pStyle w:val="55"/>
        <w:spacing w:before="0"/>
        <w:ind w:firstLine="420" w:firstLineChars="200"/>
        <w:rPr>
          <w:rFonts w:ascii="宋体" w:hAnsi="宋体" w:eastAsia="宋体"/>
          <w:color w:val="auto"/>
          <w:sz w:val="21"/>
          <w:szCs w:val="21"/>
        </w:rPr>
      </w:pPr>
      <w:bookmarkStart w:id="236" w:name="_Toc392345940"/>
      <w:bookmarkStart w:id="237" w:name="_Toc21142"/>
      <w:bookmarkStart w:id="238" w:name="_Toc229646744"/>
      <w:r>
        <w:rPr>
          <w:rFonts w:hint="eastAsia" w:ascii="宋体" w:hAnsi="宋体" w:eastAsia="宋体"/>
          <w:color w:val="auto"/>
          <w:sz w:val="21"/>
          <w:szCs w:val="21"/>
        </w:rPr>
        <w:t>6. 评标</w:t>
      </w:r>
      <w:bookmarkEnd w:id="230"/>
      <w:bookmarkEnd w:id="231"/>
      <w:bookmarkEnd w:id="232"/>
      <w:bookmarkEnd w:id="236"/>
      <w:bookmarkEnd w:id="237"/>
      <w:bookmarkEnd w:id="238"/>
    </w:p>
    <w:p>
      <w:pPr>
        <w:pStyle w:val="56"/>
        <w:ind w:firstLine="422" w:firstLineChars="200"/>
        <w:rPr>
          <w:rFonts w:ascii="宋体" w:hAnsi="宋体" w:eastAsia="宋体"/>
          <w:b/>
          <w:color w:val="auto"/>
          <w:sz w:val="21"/>
          <w:szCs w:val="21"/>
        </w:rPr>
      </w:pPr>
      <w:bookmarkStart w:id="239" w:name="_Toc152045563"/>
      <w:bookmarkStart w:id="240" w:name="_Toc152042339"/>
      <w:bookmarkStart w:id="241" w:name="_Toc144974531"/>
      <w:bookmarkStart w:id="242" w:name="_Toc229646745"/>
      <w:bookmarkStart w:id="243" w:name="_Toc7251"/>
      <w:bookmarkStart w:id="244" w:name="_Toc392345941"/>
      <w:r>
        <w:rPr>
          <w:rFonts w:hint="eastAsia" w:ascii="宋体" w:hAnsi="宋体" w:eastAsia="宋体"/>
          <w:b/>
          <w:color w:val="auto"/>
          <w:sz w:val="21"/>
          <w:szCs w:val="21"/>
        </w:rPr>
        <w:t>6.1 评标委员会</w:t>
      </w:r>
      <w:bookmarkEnd w:id="239"/>
      <w:bookmarkEnd w:id="240"/>
      <w:bookmarkEnd w:id="241"/>
      <w:bookmarkEnd w:id="242"/>
      <w:bookmarkEnd w:id="243"/>
      <w:bookmarkEnd w:id="244"/>
    </w:p>
    <w:p>
      <w:pPr>
        <w:spacing w:line="400" w:lineRule="exact"/>
        <w:ind w:firstLine="420" w:firstLineChars="200"/>
        <w:rPr>
          <w:rFonts w:ascii="宋体" w:hAnsi="宋体" w:cs="宋体"/>
          <w:color w:val="auto"/>
          <w:szCs w:val="21"/>
        </w:rPr>
      </w:pPr>
      <w:bookmarkStart w:id="245" w:name="_Toc152042340"/>
      <w:bookmarkStart w:id="246" w:name="_Toc152045564"/>
      <w:bookmarkStart w:id="247" w:name="_Toc144974532"/>
      <w:bookmarkStart w:id="248" w:name="_Toc229646746"/>
      <w:r>
        <w:rPr>
          <w:rFonts w:hint="eastAsia" w:ascii="宋体" w:hAnsi="宋体" w:cs="宋体"/>
          <w:color w:val="auto"/>
          <w:szCs w:val="21"/>
        </w:rPr>
        <w:t>6.1.1 评标由招标人依法组建的评标委员会负责。评标委员会成员人数以及技术、经济等方面专家的确定方式见投标人须知前附表。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6.1.2 评标委员会成员有下列情形之一的，应当回避：</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（1）招标人或投标人的主要负责人的近亲属；</w:t>
      </w:r>
    </w:p>
    <w:p>
      <w:pPr>
        <w:spacing w:line="400" w:lineRule="exact"/>
        <w:ind w:firstLine="420" w:firstLineChars="200"/>
        <w:rPr>
          <w:rFonts w:ascii="宋体" w:hAnsi="宋体" w:cs="宋体"/>
          <w:color w:val="auto"/>
          <w:szCs w:val="21"/>
        </w:rPr>
      </w:pPr>
      <w:r>
        <w:rPr>
          <w:rFonts w:hint="eastAsia" w:ascii="宋体" w:hAnsi="宋体" w:cs="宋体"/>
          <w:color w:val="auto"/>
          <w:szCs w:val="21"/>
        </w:rPr>
        <w:t>（2）项目主管部门或者行政监督部门的人员；</w:t>
      </w:r>
    </w:p>
    <w:p>
      <w:pPr>
        <w:spacing w:line="400" w:lineRule="exact"/>
        <w:ind w:firstLine="420" w:firstLineChars="200"/>
        <w:rPr>
          <w:rFonts w:ascii="宋体" w:hAnsi="宋体" w:cs="宋体"/>
          <w:color w:val="auto"/>
          <w:szCs w:val="21"/>
        </w:rPr>
      </w:pPr>
      <w:r>
        <w:rPr>
          <w:rFonts w:hint="eastAsia" w:ascii="宋体" w:hAnsi="宋体" w:cs="宋体"/>
          <w:color w:val="auto"/>
          <w:szCs w:val="21"/>
        </w:rPr>
        <w:t>（3）与投标人有经济利益关系，可能影响对投标公正评审的；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（4）曾因在招标、评标以及其他与招标投标有关活动中从事违法行为而受过行政处罚或刑事处罚的。</w:t>
      </w:r>
    </w:p>
    <w:p>
      <w:pPr>
        <w:pStyle w:val="56"/>
        <w:tabs>
          <w:tab w:val="left" w:pos="2620"/>
        </w:tabs>
        <w:ind w:firstLine="422" w:firstLineChars="200"/>
        <w:rPr>
          <w:rFonts w:ascii="宋体" w:hAnsi="宋体" w:eastAsia="宋体"/>
          <w:b/>
          <w:color w:val="auto"/>
          <w:sz w:val="21"/>
          <w:szCs w:val="21"/>
        </w:rPr>
      </w:pPr>
      <w:bookmarkStart w:id="249" w:name="_Toc28610"/>
      <w:bookmarkStart w:id="250" w:name="_Toc392345942"/>
      <w:r>
        <w:rPr>
          <w:rFonts w:hint="eastAsia" w:ascii="宋体" w:hAnsi="宋体" w:eastAsia="宋体"/>
          <w:b/>
          <w:color w:val="auto"/>
          <w:sz w:val="21"/>
          <w:szCs w:val="21"/>
        </w:rPr>
        <w:t>6.2 评标原则</w:t>
      </w:r>
      <w:bookmarkEnd w:id="245"/>
      <w:bookmarkEnd w:id="246"/>
      <w:bookmarkEnd w:id="247"/>
      <w:bookmarkEnd w:id="248"/>
      <w:bookmarkEnd w:id="249"/>
      <w:bookmarkEnd w:id="250"/>
      <w:r>
        <w:rPr>
          <w:rFonts w:hint="eastAsia" w:ascii="宋体" w:hAnsi="宋体" w:eastAsia="宋体"/>
          <w:b/>
          <w:color w:val="auto"/>
          <w:sz w:val="21"/>
          <w:szCs w:val="21"/>
        </w:rPr>
        <w:tab/>
      </w:r>
    </w:p>
    <w:p>
      <w:pPr>
        <w:spacing w:line="400" w:lineRule="exact"/>
        <w:ind w:firstLine="420" w:firstLineChars="200"/>
        <w:rPr>
          <w:rFonts w:ascii="宋体" w:hAnsi="宋体" w:cs="宋体"/>
          <w:color w:val="auto"/>
          <w:szCs w:val="21"/>
        </w:rPr>
      </w:pPr>
      <w:r>
        <w:rPr>
          <w:rFonts w:hint="eastAsia" w:ascii="宋体" w:hAnsi="宋体" w:cs="宋体"/>
          <w:color w:val="auto"/>
          <w:szCs w:val="21"/>
        </w:rPr>
        <w:t>评标活动遵循公平、公正、科学和择优的原则。</w:t>
      </w:r>
    </w:p>
    <w:p>
      <w:pPr>
        <w:pStyle w:val="56"/>
        <w:ind w:firstLine="422" w:firstLineChars="200"/>
        <w:rPr>
          <w:rFonts w:ascii="宋体" w:hAnsi="宋体" w:eastAsia="宋体"/>
          <w:b/>
          <w:color w:val="auto"/>
          <w:sz w:val="21"/>
          <w:szCs w:val="21"/>
          <w:u w:val="single"/>
        </w:rPr>
      </w:pPr>
      <w:bookmarkStart w:id="251" w:name="_Toc229646747"/>
      <w:bookmarkStart w:id="252" w:name="_Toc144974533"/>
      <w:bookmarkStart w:id="253" w:name="_Toc392345943"/>
      <w:bookmarkStart w:id="254" w:name="_Toc152045565"/>
      <w:bookmarkStart w:id="255" w:name="_Toc152042341"/>
      <w:bookmarkStart w:id="256" w:name="_Toc1522"/>
      <w:r>
        <w:rPr>
          <w:rFonts w:hint="eastAsia" w:ascii="宋体" w:hAnsi="宋体" w:eastAsia="宋体"/>
          <w:b/>
          <w:color w:val="auto"/>
          <w:sz w:val="21"/>
          <w:szCs w:val="21"/>
        </w:rPr>
        <w:t>6.3 评标</w:t>
      </w:r>
      <w:bookmarkEnd w:id="251"/>
      <w:bookmarkEnd w:id="252"/>
      <w:bookmarkEnd w:id="253"/>
      <w:bookmarkEnd w:id="254"/>
      <w:bookmarkEnd w:id="255"/>
      <w:bookmarkEnd w:id="256"/>
    </w:p>
    <w:p>
      <w:pPr>
        <w:spacing w:line="400" w:lineRule="exact"/>
        <w:ind w:firstLine="420" w:firstLineChars="200"/>
        <w:rPr>
          <w:rFonts w:ascii="宋体" w:hAnsi="宋体" w:cs="宋体"/>
          <w:color w:val="auto"/>
          <w:szCs w:val="21"/>
        </w:rPr>
      </w:pPr>
      <w:bookmarkStart w:id="257" w:name="_Toc152045566"/>
      <w:bookmarkStart w:id="258" w:name="_Toc229646748"/>
      <w:bookmarkStart w:id="259" w:name="_Toc144974534"/>
      <w:bookmarkStart w:id="260" w:name="_Toc152042342"/>
      <w:r>
        <w:rPr>
          <w:rFonts w:hint="eastAsia" w:ascii="宋体" w:hAnsi="宋体" w:cs="宋体"/>
          <w:color w:val="auto"/>
          <w:szCs w:val="21"/>
        </w:rPr>
        <w:t>评标方法见投标人须知前附表，评标委员会按照招标文件规定的评标标准和方法，客观、公正地对投标文件提出评审意见。招标文件没有规定的评标标准和方法，不作为评标依据。</w:t>
      </w:r>
    </w:p>
    <w:p>
      <w:pPr>
        <w:pStyle w:val="56"/>
        <w:ind w:firstLine="422" w:firstLineChars="200"/>
        <w:rPr>
          <w:rFonts w:ascii="宋体" w:hAnsi="宋体" w:eastAsia="宋体"/>
          <w:b/>
          <w:color w:val="auto"/>
          <w:sz w:val="21"/>
          <w:szCs w:val="21"/>
        </w:rPr>
      </w:pPr>
      <w:bookmarkStart w:id="261" w:name="_Toc27286"/>
      <w:bookmarkStart w:id="262" w:name="_Toc413488678"/>
      <w:r>
        <w:rPr>
          <w:rFonts w:hint="eastAsia" w:ascii="宋体" w:hAnsi="宋体" w:eastAsia="宋体"/>
          <w:b/>
          <w:color w:val="auto"/>
          <w:sz w:val="21"/>
          <w:szCs w:val="21"/>
        </w:rPr>
        <w:t>6.4中标候选人公示媒介</w:t>
      </w:r>
      <w:bookmarkEnd w:id="261"/>
      <w:bookmarkEnd w:id="262"/>
    </w:p>
    <w:p>
      <w:pPr>
        <w:spacing w:line="400" w:lineRule="exact"/>
        <w:ind w:firstLine="420" w:firstLineChars="200"/>
        <w:rPr>
          <w:rFonts w:ascii="宋体" w:hAnsi="宋体" w:cs="宋体"/>
          <w:color w:val="auto"/>
          <w:szCs w:val="21"/>
        </w:rPr>
      </w:pPr>
      <w:r>
        <w:rPr>
          <w:rFonts w:hint="eastAsia" w:ascii="宋体" w:hAnsi="宋体" w:cs="宋体"/>
          <w:color w:val="auto"/>
          <w:szCs w:val="21"/>
        </w:rPr>
        <w:t>见投标人须知前附表。</w:t>
      </w:r>
    </w:p>
    <w:p>
      <w:pPr>
        <w:pStyle w:val="55"/>
        <w:spacing w:before="0"/>
        <w:ind w:firstLine="420" w:firstLineChars="200"/>
        <w:rPr>
          <w:rFonts w:ascii="宋体" w:hAnsi="宋体" w:eastAsia="宋体"/>
          <w:color w:val="auto"/>
          <w:sz w:val="21"/>
          <w:szCs w:val="21"/>
        </w:rPr>
      </w:pPr>
      <w:bookmarkStart w:id="263" w:name="_Toc392345944"/>
      <w:bookmarkStart w:id="264" w:name="_Toc31997"/>
      <w:r>
        <w:rPr>
          <w:rFonts w:hint="eastAsia" w:ascii="宋体" w:hAnsi="宋体" w:eastAsia="宋体"/>
          <w:color w:val="auto"/>
          <w:sz w:val="21"/>
          <w:szCs w:val="21"/>
        </w:rPr>
        <w:t>7. 合同授予</w:t>
      </w:r>
      <w:bookmarkEnd w:id="257"/>
      <w:bookmarkEnd w:id="258"/>
      <w:bookmarkEnd w:id="259"/>
      <w:bookmarkEnd w:id="260"/>
      <w:bookmarkEnd w:id="263"/>
      <w:bookmarkEnd w:id="264"/>
    </w:p>
    <w:p>
      <w:pPr>
        <w:pStyle w:val="56"/>
        <w:ind w:firstLine="422" w:firstLineChars="200"/>
        <w:rPr>
          <w:rFonts w:ascii="宋体" w:hAnsi="宋体" w:eastAsia="宋体"/>
          <w:b/>
          <w:color w:val="auto"/>
          <w:sz w:val="21"/>
          <w:szCs w:val="21"/>
        </w:rPr>
      </w:pPr>
      <w:bookmarkStart w:id="265" w:name="_Toc152042343"/>
      <w:bookmarkStart w:id="266" w:name="_Toc144974535"/>
      <w:bookmarkStart w:id="267" w:name="_Toc152045567"/>
      <w:bookmarkStart w:id="268" w:name="_Toc392345945"/>
      <w:bookmarkStart w:id="269" w:name="_Toc8962"/>
      <w:bookmarkStart w:id="270" w:name="_Toc229646749"/>
      <w:r>
        <w:rPr>
          <w:rFonts w:hint="eastAsia" w:ascii="宋体" w:hAnsi="宋体" w:eastAsia="宋体"/>
          <w:b/>
          <w:color w:val="auto"/>
          <w:sz w:val="21"/>
          <w:szCs w:val="21"/>
        </w:rPr>
        <w:t>7.1 定标方式</w:t>
      </w:r>
      <w:bookmarkEnd w:id="265"/>
      <w:bookmarkEnd w:id="266"/>
      <w:bookmarkEnd w:id="267"/>
      <w:bookmarkEnd w:id="268"/>
      <w:bookmarkEnd w:id="269"/>
      <w:bookmarkEnd w:id="270"/>
    </w:p>
    <w:p>
      <w:pPr>
        <w:spacing w:line="400" w:lineRule="exact"/>
        <w:ind w:firstLine="420" w:firstLineChars="200"/>
        <w:rPr>
          <w:rFonts w:ascii="宋体" w:hAnsi="宋体" w:cs="宋体"/>
          <w:color w:val="auto"/>
          <w:szCs w:val="21"/>
        </w:rPr>
      </w:pPr>
      <w:bookmarkStart w:id="271" w:name="_Toc152045568"/>
      <w:bookmarkStart w:id="272" w:name="_Toc152042344"/>
      <w:bookmarkStart w:id="273" w:name="_Toc144974536"/>
      <w:bookmarkStart w:id="274" w:name="_Toc229646750"/>
      <w:r>
        <w:rPr>
          <w:rFonts w:hint="eastAsia" w:ascii="宋体" w:hAnsi="宋体" w:cs="宋体"/>
          <w:color w:val="auto"/>
          <w:szCs w:val="21"/>
        </w:rPr>
        <w:t>除投标人须知前附表规定评标委员会直接确定中标人外，招标人依据评标委员会推荐的中标候选人确定中标人，评标委员会推荐中标候选人的人数及定标方式见投标人须知前附表。</w:t>
      </w:r>
    </w:p>
    <w:p>
      <w:pPr>
        <w:pStyle w:val="56"/>
        <w:ind w:firstLine="422" w:firstLineChars="200"/>
        <w:rPr>
          <w:rFonts w:ascii="宋体" w:hAnsi="宋体" w:eastAsia="宋体"/>
          <w:b/>
          <w:color w:val="auto"/>
          <w:sz w:val="21"/>
          <w:szCs w:val="21"/>
        </w:rPr>
      </w:pPr>
      <w:bookmarkStart w:id="275" w:name="_Toc32437"/>
      <w:bookmarkStart w:id="276" w:name="_Toc392345946"/>
      <w:r>
        <w:rPr>
          <w:rFonts w:hint="eastAsia" w:ascii="宋体" w:hAnsi="宋体" w:eastAsia="宋体"/>
          <w:b/>
          <w:color w:val="auto"/>
          <w:sz w:val="21"/>
          <w:szCs w:val="21"/>
        </w:rPr>
        <w:t>7.2中标公示</w:t>
      </w:r>
      <w:bookmarkEnd w:id="271"/>
      <w:bookmarkEnd w:id="272"/>
      <w:bookmarkEnd w:id="273"/>
      <w:bookmarkEnd w:id="274"/>
      <w:bookmarkEnd w:id="275"/>
      <w:bookmarkEnd w:id="276"/>
    </w:p>
    <w:p>
      <w:pPr>
        <w:spacing w:line="400" w:lineRule="exact"/>
        <w:ind w:firstLine="420" w:firstLineChars="200"/>
        <w:rPr>
          <w:rFonts w:ascii="宋体" w:hAnsi="宋体" w:cs="宋体"/>
          <w:color w:val="auto"/>
          <w:szCs w:val="21"/>
        </w:rPr>
      </w:pPr>
      <w:bookmarkStart w:id="277" w:name="_Toc229646751"/>
      <w:bookmarkStart w:id="278" w:name="_Toc152045569"/>
      <w:bookmarkStart w:id="279" w:name="_Toc144974537"/>
      <w:bookmarkStart w:id="280" w:name="_Toc152042345"/>
      <w:r>
        <w:rPr>
          <w:rFonts w:hint="eastAsia" w:ascii="宋体" w:hAnsi="宋体" w:cs="宋体"/>
          <w:color w:val="auto"/>
          <w:szCs w:val="21"/>
        </w:rPr>
        <w:t>招标人自确定中标候选人之日起，应在与发布招标公告或资格预审公告一致的媒介上发布中标公示 ，公示期为3个工作日。</w:t>
      </w:r>
    </w:p>
    <w:bookmarkEnd w:id="277"/>
    <w:bookmarkEnd w:id="278"/>
    <w:bookmarkEnd w:id="279"/>
    <w:bookmarkEnd w:id="280"/>
    <w:p>
      <w:pPr>
        <w:pStyle w:val="56"/>
        <w:ind w:firstLine="422" w:firstLineChars="200"/>
        <w:rPr>
          <w:rFonts w:ascii="宋体" w:hAnsi="宋体" w:eastAsia="宋体"/>
          <w:b/>
          <w:color w:val="auto"/>
          <w:sz w:val="21"/>
          <w:szCs w:val="21"/>
        </w:rPr>
      </w:pPr>
      <w:bookmarkStart w:id="281" w:name="_Toc246996212"/>
      <w:bookmarkStart w:id="282" w:name="_Toc392345947"/>
      <w:bookmarkStart w:id="283" w:name="_Toc246996955"/>
      <w:bookmarkStart w:id="284" w:name="_Toc179632586"/>
      <w:bookmarkStart w:id="285" w:name="_Toc296602458"/>
      <w:bookmarkStart w:id="286" w:name="_Toc247085726"/>
      <w:bookmarkStart w:id="287" w:name="_Toc4618"/>
      <w:r>
        <w:rPr>
          <w:rFonts w:hint="eastAsia" w:ascii="宋体" w:hAnsi="宋体" w:eastAsia="宋体"/>
          <w:b/>
          <w:color w:val="auto"/>
          <w:sz w:val="21"/>
          <w:szCs w:val="21"/>
        </w:rPr>
        <w:t>7.3 中标通知</w:t>
      </w:r>
      <w:bookmarkEnd w:id="281"/>
      <w:bookmarkEnd w:id="282"/>
      <w:bookmarkEnd w:id="283"/>
      <w:bookmarkEnd w:id="284"/>
      <w:bookmarkEnd w:id="285"/>
      <w:bookmarkEnd w:id="286"/>
      <w:bookmarkEnd w:id="287"/>
    </w:p>
    <w:p>
      <w:pPr>
        <w:pStyle w:val="9"/>
        <w:spacing w:line="400" w:lineRule="exact"/>
        <w:rPr>
          <w:rFonts w:ascii="宋体" w:hAnsi="宋体" w:cs="宋体"/>
          <w:color w:val="auto"/>
          <w:szCs w:val="21"/>
        </w:rPr>
      </w:pPr>
      <w:bookmarkStart w:id="288" w:name="_Toc296602459"/>
      <w:bookmarkStart w:id="289" w:name="_Toc246996956"/>
      <w:bookmarkStart w:id="290" w:name="_Toc179632587"/>
      <w:bookmarkStart w:id="291" w:name="_Toc247085727"/>
      <w:bookmarkStart w:id="292" w:name="_Toc392345948"/>
      <w:bookmarkStart w:id="293" w:name="_Toc246996213"/>
      <w:r>
        <w:rPr>
          <w:rFonts w:hint="eastAsia" w:ascii="宋体" w:hAnsi="宋体" w:cs="宋体"/>
          <w:color w:val="auto"/>
          <w:szCs w:val="21"/>
        </w:rPr>
        <w:t>7.3.1中标人确定后，招标人将在投标有效期内以书面形式向中标人发出中标通知书。</w:t>
      </w:r>
    </w:p>
    <w:p>
      <w:pPr>
        <w:pStyle w:val="9"/>
        <w:spacing w:line="400" w:lineRule="exact"/>
        <w:rPr>
          <w:rFonts w:ascii="宋体" w:hAnsi="宋体" w:cs="宋体"/>
          <w:color w:val="auto"/>
          <w:szCs w:val="21"/>
        </w:rPr>
      </w:pPr>
      <w:r>
        <w:rPr>
          <w:rFonts w:hint="eastAsia" w:ascii="宋体" w:hAnsi="宋体" w:cs="宋体"/>
          <w:color w:val="auto"/>
          <w:szCs w:val="21"/>
        </w:rPr>
        <w:t>7.3.2招标人将在发出中标通知书的同时，将中标结果以书面形式通知所有未中标的投标人。</w:t>
      </w:r>
    </w:p>
    <w:p>
      <w:pPr>
        <w:pStyle w:val="56"/>
        <w:ind w:firstLine="422" w:firstLineChars="200"/>
        <w:rPr>
          <w:rFonts w:ascii="宋体" w:hAnsi="宋体" w:eastAsia="宋体"/>
          <w:b/>
          <w:color w:val="auto"/>
          <w:sz w:val="21"/>
          <w:szCs w:val="21"/>
        </w:rPr>
      </w:pPr>
      <w:bookmarkStart w:id="294" w:name="_Toc30125"/>
      <w:r>
        <w:rPr>
          <w:rFonts w:hint="eastAsia" w:ascii="宋体" w:hAnsi="宋体" w:eastAsia="宋体"/>
          <w:b/>
          <w:color w:val="auto"/>
          <w:sz w:val="21"/>
          <w:szCs w:val="21"/>
        </w:rPr>
        <w:t>7.4 履约担保</w:t>
      </w:r>
      <w:bookmarkEnd w:id="288"/>
      <w:bookmarkEnd w:id="289"/>
      <w:bookmarkEnd w:id="290"/>
      <w:bookmarkEnd w:id="291"/>
      <w:bookmarkEnd w:id="292"/>
      <w:bookmarkEnd w:id="293"/>
      <w:bookmarkEnd w:id="294"/>
    </w:p>
    <w:p>
      <w:pPr>
        <w:spacing w:line="400" w:lineRule="exact"/>
        <w:ind w:firstLine="420" w:firstLineChars="200"/>
        <w:rPr>
          <w:rFonts w:ascii="宋体" w:hAnsi="宋体" w:cs="宋体"/>
          <w:color w:val="auto"/>
          <w:szCs w:val="21"/>
        </w:rPr>
      </w:pPr>
      <w:bookmarkStart w:id="295" w:name="_Toc152045570"/>
      <w:bookmarkStart w:id="296" w:name="_Toc246996957"/>
      <w:bookmarkStart w:id="297" w:name="_Toc296602460"/>
      <w:bookmarkStart w:id="298" w:name="_Toc179632588"/>
      <w:bookmarkStart w:id="299" w:name="_Toc247085728"/>
      <w:bookmarkStart w:id="300" w:name="_Toc246996214"/>
      <w:bookmarkStart w:id="301" w:name="_Toc152042346"/>
      <w:bookmarkStart w:id="302" w:name="_Toc144974538"/>
      <w:r>
        <w:rPr>
          <w:rFonts w:hint="eastAsia" w:ascii="宋体" w:hAnsi="宋体" w:cs="宋体"/>
          <w:color w:val="auto"/>
          <w:szCs w:val="21"/>
        </w:rPr>
        <w:t>7.4.1在签订合同前，中标人应按投标人须知前附表规定的金额、担保形式和招标文件第四章“合同条款及格式”规定的履约担保格式向招标人提交履约担保。</w:t>
      </w:r>
    </w:p>
    <w:p>
      <w:pPr>
        <w:spacing w:line="400" w:lineRule="exact"/>
        <w:ind w:firstLine="420" w:firstLineChars="200"/>
        <w:rPr>
          <w:rFonts w:ascii="宋体" w:hAnsi="宋体" w:cs="宋体"/>
          <w:color w:val="auto"/>
          <w:szCs w:val="21"/>
        </w:rPr>
      </w:pPr>
      <w:r>
        <w:rPr>
          <w:rFonts w:hint="eastAsia" w:ascii="宋体" w:hAnsi="宋体" w:cs="宋体"/>
          <w:color w:val="auto"/>
          <w:szCs w:val="21"/>
        </w:rPr>
        <w:t>7.4.2 中标人不能按本章第7.4.1项要求提交履约担保的，视为放弃中标，其投标保证金不予退还，给招标人造成的损失超过投标保证金数额的，中标人还应当对超过部分予以赔偿。</w:t>
      </w:r>
    </w:p>
    <w:p>
      <w:pPr>
        <w:pStyle w:val="56"/>
        <w:ind w:firstLine="422" w:firstLineChars="200"/>
        <w:rPr>
          <w:rFonts w:ascii="宋体" w:hAnsi="宋体" w:eastAsia="宋体"/>
          <w:b/>
          <w:color w:val="auto"/>
          <w:sz w:val="21"/>
          <w:szCs w:val="21"/>
        </w:rPr>
      </w:pPr>
      <w:bookmarkStart w:id="303" w:name="_Toc32528"/>
      <w:bookmarkStart w:id="304" w:name="_Toc392345949"/>
      <w:r>
        <w:rPr>
          <w:rFonts w:hint="eastAsia" w:ascii="宋体" w:hAnsi="宋体" w:eastAsia="宋体"/>
          <w:b/>
          <w:color w:val="auto"/>
          <w:sz w:val="21"/>
          <w:szCs w:val="21"/>
        </w:rPr>
        <w:t>7.5 签订合同</w:t>
      </w:r>
      <w:bookmarkEnd w:id="295"/>
      <w:bookmarkEnd w:id="296"/>
      <w:bookmarkEnd w:id="297"/>
      <w:bookmarkEnd w:id="298"/>
      <w:bookmarkEnd w:id="299"/>
      <w:bookmarkEnd w:id="300"/>
      <w:bookmarkEnd w:id="301"/>
      <w:bookmarkEnd w:id="302"/>
      <w:bookmarkEnd w:id="303"/>
      <w:bookmarkEnd w:id="304"/>
    </w:p>
    <w:p>
      <w:pPr>
        <w:spacing w:line="400" w:lineRule="exact"/>
        <w:ind w:firstLine="420" w:firstLineChars="200"/>
        <w:rPr>
          <w:rFonts w:ascii="宋体" w:hAnsi="宋体" w:cs="宋体"/>
          <w:color w:val="auto"/>
          <w:szCs w:val="21"/>
        </w:rPr>
      </w:pPr>
      <w:r>
        <w:rPr>
          <w:rFonts w:hint="eastAsia" w:ascii="宋体" w:hAnsi="宋体" w:cs="宋体"/>
          <w:color w:val="auto"/>
          <w:szCs w:val="21"/>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400" w:lineRule="exact"/>
        <w:ind w:firstLine="420" w:firstLineChars="200"/>
        <w:rPr>
          <w:rFonts w:ascii="宋体" w:hAnsi="宋体" w:cs="宋体"/>
          <w:color w:val="auto"/>
          <w:szCs w:val="21"/>
        </w:rPr>
      </w:pPr>
      <w:r>
        <w:rPr>
          <w:rFonts w:hint="eastAsia" w:ascii="宋体" w:hAnsi="宋体" w:cs="宋体"/>
          <w:color w:val="auto"/>
          <w:szCs w:val="21"/>
        </w:rPr>
        <w:t>7.5.2 发出中标通知书后，招标人无正当理由拒签合同的，招标人向中标人退还投标保证金；给中标人造成损失的，还应当赔偿损失。</w:t>
      </w:r>
    </w:p>
    <w:p>
      <w:pPr>
        <w:pStyle w:val="55"/>
        <w:spacing w:before="0"/>
        <w:ind w:firstLine="420" w:firstLineChars="200"/>
        <w:rPr>
          <w:rFonts w:ascii="宋体" w:hAnsi="宋体" w:eastAsia="宋体"/>
          <w:color w:val="auto"/>
          <w:sz w:val="21"/>
          <w:szCs w:val="21"/>
        </w:rPr>
      </w:pPr>
      <w:bookmarkStart w:id="305" w:name="_Toc152042347"/>
      <w:bookmarkStart w:id="306" w:name="_Toc323711786"/>
      <w:bookmarkStart w:id="307" w:name="_Toc245036638"/>
      <w:bookmarkStart w:id="308" w:name="_Toc152045571"/>
      <w:bookmarkStart w:id="309" w:name="_Toc392345950"/>
      <w:bookmarkStart w:id="310" w:name="_Toc24179"/>
      <w:bookmarkStart w:id="311" w:name="_Toc144974539"/>
      <w:r>
        <w:rPr>
          <w:rFonts w:hint="eastAsia" w:ascii="宋体" w:hAnsi="宋体" w:eastAsia="宋体"/>
          <w:color w:val="auto"/>
          <w:sz w:val="21"/>
          <w:szCs w:val="21"/>
        </w:rPr>
        <w:t>8. 重新招标和不再招标</w:t>
      </w:r>
      <w:bookmarkEnd w:id="305"/>
      <w:bookmarkEnd w:id="306"/>
      <w:bookmarkEnd w:id="307"/>
      <w:bookmarkEnd w:id="308"/>
      <w:bookmarkEnd w:id="309"/>
      <w:bookmarkEnd w:id="310"/>
      <w:bookmarkEnd w:id="311"/>
    </w:p>
    <w:p>
      <w:pPr>
        <w:pStyle w:val="56"/>
        <w:ind w:firstLine="422" w:firstLineChars="200"/>
        <w:rPr>
          <w:rFonts w:ascii="宋体" w:hAnsi="宋体" w:eastAsia="宋体"/>
          <w:b/>
          <w:color w:val="auto"/>
          <w:sz w:val="21"/>
          <w:szCs w:val="21"/>
        </w:rPr>
      </w:pPr>
      <w:bookmarkStart w:id="312" w:name="_Toc392345951"/>
      <w:bookmarkStart w:id="313" w:name="_Toc245036639"/>
      <w:bookmarkStart w:id="314" w:name="_Toc17490"/>
      <w:bookmarkStart w:id="315" w:name="_Toc322615435"/>
      <w:bookmarkStart w:id="316" w:name="_Toc152045572"/>
      <w:bookmarkStart w:id="317" w:name="_Toc319408108"/>
      <w:bookmarkStart w:id="318" w:name="_Toc144974540"/>
      <w:bookmarkStart w:id="319" w:name="_Toc323711787"/>
      <w:bookmarkStart w:id="320" w:name="_Toc319407873"/>
      <w:bookmarkStart w:id="321" w:name="_Toc152042348"/>
      <w:r>
        <w:rPr>
          <w:rFonts w:hint="eastAsia" w:ascii="宋体" w:hAnsi="宋体" w:eastAsia="宋体"/>
          <w:b/>
          <w:color w:val="auto"/>
          <w:sz w:val="21"/>
          <w:szCs w:val="21"/>
        </w:rPr>
        <w:t>8.1 重新招标</w:t>
      </w:r>
      <w:bookmarkEnd w:id="312"/>
      <w:bookmarkEnd w:id="313"/>
      <w:bookmarkEnd w:id="314"/>
      <w:bookmarkEnd w:id="315"/>
      <w:bookmarkEnd w:id="316"/>
      <w:bookmarkEnd w:id="317"/>
      <w:bookmarkEnd w:id="318"/>
      <w:bookmarkEnd w:id="319"/>
      <w:bookmarkEnd w:id="320"/>
      <w:bookmarkEnd w:id="321"/>
    </w:p>
    <w:p>
      <w:pPr>
        <w:spacing w:line="400" w:lineRule="exact"/>
        <w:ind w:firstLine="420" w:firstLineChars="200"/>
        <w:rPr>
          <w:rFonts w:ascii="宋体" w:hAnsi="宋体" w:cs="宋体"/>
          <w:color w:val="auto"/>
          <w:szCs w:val="21"/>
        </w:rPr>
      </w:pPr>
      <w:r>
        <w:rPr>
          <w:rFonts w:hint="eastAsia" w:ascii="宋体" w:hAnsi="宋体" w:cs="宋体"/>
          <w:color w:val="auto"/>
          <w:szCs w:val="21"/>
        </w:rPr>
        <w:t>有下列情形之一的，招标人将重新招标：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（1）投标截止时间止，投标人少于3个的；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（2）经评标委员会评审后否决所有投标的。</w:t>
      </w:r>
    </w:p>
    <w:p>
      <w:pPr>
        <w:pStyle w:val="56"/>
        <w:ind w:firstLine="422" w:firstLineChars="200"/>
        <w:rPr>
          <w:rFonts w:ascii="宋体" w:hAnsi="宋体" w:eastAsia="宋体"/>
          <w:b/>
          <w:color w:val="auto"/>
          <w:sz w:val="21"/>
          <w:szCs w:val="21"/>
        </w:rPr>
      </w:pPr>
      <w:bookmarkStart w:id="322" w:name="_Toc152045573"/>
      <w:bookmarkStart w:id="323" w:name="_Toc322615436"/>
      <w:bookmarkStart w:id="324" w:name="_Toc323711788"/>
      <w:bookmarkStart w:id="325" w:name="_Toc245036640"/>
      <w:bookmarkStart w:id="326" w:name="_Toc392345952"/>
      <w:bookmarkStart w:id="327" w:name="_Toc25234"/>
      <w:bookmarkStart w:id="328" w:name="_Toc319407874"/>
      <w:bookmarkStart w:id="329" w:name="_Toc144974541"/>
      <w:bookmarkStart w:id="330" w:name="_Toc319408109"/>
      <w:bookmarkStart w:id="331" w:name="_Toc152042349"/>
      <w:r>
        <w:rPr>
          <w:rFonts w:hint="eastAsia" w:ascii="宋体" w:hAnsi="宋体" w:eastAsia="宋体"/>
          <w:b/>
          <w:color w:val="auto"/>
          <w:sz w:val="21"/>
          <w:szCs w:val="21"/>
        </w:rPr>
        <w:t>8.2 不再招标</w:t>
      </w:r>
      <w:bookmarkEnd w:id="322"/>
      <w:bookmarkEnd w:id="323"/>
      <w:bookmarkEnd w:id="324"/>
      <w:bookmarkEnd w:id="325"/>
      <w:bookmarkEnd w:id="326"/>
      <w:bookmarkEnd w:id="327"/>
      <w:bookmarkEnd w:id="328"/>
      <w:bookmarkEnd w:id="329"/>
      <w:bookmarkEnd w:id="330"/>
      <w:bookmarkEnd w:id="331"/>
    </w:p>
    <w:p>
      <w:pPr>
        <w:spacing w:line="400" w:lineRule="exact"/>
        <w:ind w:firstLine="420" w:firstLineChars="200"/>
        <w:rPr>
          <w:rFonts w:ascii="宋体" w:hAnsi="宋体" w:cs="宋体"/>
          <w:color w:val="auto"/>
          <w:szCs w:val="21"/>
        </w:rPr>
      </w:pPr>
      <w:r>
        <w:rPr>
          <w:rFonts w:hint="eastAsia" w:ascii="宋体" w:hAnsi="宋体" w:cs="宋体"/>
          <w:color w:val="auto"/>
          <w:szCs w:val="21"/>
        </w:rPr>
        <w:t>重新招标后投标人仍少于3个的，经原审批或核准部门批准后不再进行招标。</w:t>
      </w:r>
    </w:p>
    <w:p>
      <w:pPr>
        <w:pStyle w:val="55"/>
        <w:spacing w:before="0"/>
        <w:ind w:firstLine="420" w:firstLineChars="200"/>
        <w:rPr>
          <w:rFonts w:ascii="宋体" w:hAnsi="宋体" w:eastAsia="宋体"/>
          <w:color w:val="auto"/>
          <w:sz w:val="21"/>
          <w:szCs w:val="21"/>
        </w:rPr>
      </w:pPr>
      <w:bookmarkStart w:id="332" w:name="_Toc392345953"/>
      <w:bookmarkStart w:id="333" w:name="_Toc144974542"/>
      <w:bookmarkStart w:id="334" w:name="_Toc152042350"/>
      <w:bookmarkStart w:id="335" w:name="_Toc245036641"/>
      <w:bookmarkStart w:id="336" w:name="_Toc17513"/>
      <w:bookmarkStart w:id="337" w:name="_Toc323711789"/>
      <w:bookmarkStart w:id="338" w:name="_Toc152045574"/>
      <w:r>
        <w:rPr>
          <w:rFonts w:hint="eastAsia" w:ascii="宋体" w:hAnsi="宋体" w:eastAsia="宋体"/>
          <w:color w:val="auto"/>
          <w:sz w:val="21"/>
          <w:szCs w:val="21"/>
        </w:rPr>
        <w:t>9. 纪律和监督</w:t>
      </w:r>
      <w:bookmarkEnd w:id="332"/>
      <w:bookmarkEnd w:id="333"/>
      <w:bookmarkEnd w:id="334"/>
      <w:bookmarkEnd w:id="335"/>
      <w:bookmarkEnd w:id="336"/>
      <w:bookmarkEnd w:id="337"/>
      <w:bookmarkEnd w:id="338"/>
    </w:p>
    <w:p>
      <w:pPr>
        <w:pStyle w:val="56"/>
        <w:ind w:firstLine="422" w:firstLineChars="200"/>
        <w:rPr>
          <w:rFonts w:ascii="宋体" w:hAnsi="宋体" w:eastAsia="宋体"/>
          <w:b/>
          <w:color w:val="auto"/>
          <w:sz w:val="21"/>
          <w:szCs w:val="21"/>
        </w:rPr>
      </w:pPr>
      <w:bookmarkStart w:id="339" w:name="_Toc319408111"/>
      <w:bookmarkStart w:id="340" w:name="_Toc144974543"/>
      <w:bookmarkStart w:id="341" w:name="_Toc152045575"/>
      <w:bookmarkStart w:id="342" w:name="_Toc323711790"/>
      <w:bookmarkStart w:id="343" w:name="_Toc392345954"/>
      <w:bookmarkStart w:id="344" w:name="_Toc319407876"/>
      <w:bookmarkStart w:id="345" w:name="_Toc152042351"/>
      <w:bookmarkStart w:id="346" w:name="_Toc245036642"/>
      <w:bookmarkStart w:id="347" w:name="_Toc322615438"/>
      <w:bookmarkStart w:id="348" w:name="_Toc9358"/>
      <w:r>
        <w:rPr>
          <w:rFonts w:hint="eastAsia" w:ascii="宋体" w:hAnsi="宋体" w:eastAsia="宋体"/>
          <w:b/>
          <w:color w:val="auto"/>
          <w:sz w:val="21"/>
          <w:szCs w:val="21"/>
        </w:rPr>
        <w:t>9.1 对招标人的纪律要求</w:t>
      </w:r>
      <w:bookmarkEnd w:id="339"/>
      <w:bookmarkEnd w:id="340"/>
      <w:bookmarkEnd w:id="341"/>
      <w:bookmarkEnd w:id="342"/>
      <w:bookmarkEnd w:id="343"/>
      <w:bookmarkEnd w:id="344"/>
      <w:bookmarkEnd w:id="345"/>
      <w:bookmarkEnd w:id="346"/>
      <w:bookmarkEnd w:id="347"/>
      <w:bookmarkEnd w:id="348"/>
    </w:p>
    <w:p>
      <w:pPr>
        <w:spacing w:line="400" w:lineRule="exact"/>
        <w:ind w:firstLine="420" w:firstLineChars="200"/>
        <w:rPr>
          <w:rFonts w:ascii="宋体" w:hAnsi="宋体" w:cs="宋体"/>
          <w:color w:val="auto"/>
          <w:szCs w:val="21"/>
        </w:rPr>
      </w:pPr>
      <w:r>
        <w:rPr>
          <w:rFonts w:hint="eastAsia" w:ascii="宋体" w:hAnsi="宋体" w:cs="宋体"/>
          <w:color w:val="auto"/>
          <w:szCs w:val="21"/>
        </w:rPr>
        <w:t>招标人不得泄漏招标投标活动中应当保密的情况和资料，不得与投标人串通损害国家利益、社会公共利益或者他人合法权益。</w:t>
      </w:r>
    </w:p>
    <w:p>
      <w:pPr>
        <w:pStyle w:val="56"/>
        <w:ind w:firstLine="422" w:firstLineChars="200"/>
        <w:rPr>
          <w:rFonts w:ascii="宋体" w:hAnsi="宋体" w:eastAsia="宋体"/>
          <w:b/>
          <w:color w:val="auto"/>
          <w:sz w:val="21"/>
          <w:szCs w:val="21"/>
        </w:rPr>
      </w:pPr>
      <w:bookmarkStart w:id="349" w:name="_Toc245036643"/>
      <w:bookmarkStart w:id="350" w:name="_Toc144974544"/>
      <w:bookmarkStart w:id="351" w:name="_Toc323711791"/>
      <w:bookmarkStart w:id="352" w:name="_Toc214"/>
      <w:bookmarkStart w:id="353" w:name="_Toc319407877"/>
      <w:bookmarkStart w:id="354" w:name="_Toc319408112"/>
      <w:bookmarkStart w:id="355" w:name="_Toc152045576"/>
      <w:bookmarkStart w:id="356" w:name="_Toc152042352"/>
      <w:bookmarkStart w:id="357" w:name="_Toc392345955"/>
      <w:bookmarkStart w:id="358" w:name="_Toc322615439"/>
      <w:r>
        <w:rPr>
          <w:rFonts w:hint="eastAsia" w:ascii="宋体" w:hAnsi="宋体" w:eastAsia="宋体"/>
          <w:b/>
          <w:color w:val="auto"/>
          <w:sz w:val="21"/>
          <w:szCs w:val="21"/>
        </w:rPr>
        <w:t>9.2 对投标人的纪律要求</w:t>
      </w:r>
      <w:bookmarkEnd w:id="349"/>
      <w:bookmarkEnd w:id="350"/>
      <w:bookmarkEnd w:id="351"/>
      <w:bookmarkEnd w:id="352"/>
      <w:bookmarkEnd w:id="353"/>
      <w:bookmarkEnd w:id="354"/>
      <w:bookmarkEnd w:id="355"/>
      <w:bookmarkEnd w:id="356"/>
      <w:bookmarkEnd w:id="357"/>
      <w:bookmarkEnd w:id="358"/>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56"/>
        <w:ind w:firstLine="422" w:firstLineChars="200"/>
        <w:rPr>
          <w:rFonts w:ascii="宋体" w:hAnsi="宋体" w:eastAsia="宋体"/>
          <w:b/>
          <w:color w:val="auto"/>
          <w:sz w:val="21"/>
          <w:szCs w:val="21"/>
        </w:rPr>
      </w:pPr>
      <w:bookmarkStart w:id="359" w:name="_Toc392345956"/>
      <w:bookmarkStart w:id="360" w:name="_Toc3266"/>
      <w:bookmarkStart w:id="361" w:name="_Toc319407878"/>
      <w:bookmarkStart w:id="362" w:name="_Toc152045577"/>
      <w:bookmarkStart w:id="363" w:name="_Toc245036644"/>
      <w:bookmarkStart w:id="364" w:name="_Toc323711792"/>
      <w:bookmarkStart w:id="365" w:name="_Toc144974545"/>
      <w:bookmarkStart w:id="366" w:name="_Toc322615440"/>
      <w:bookmarkStart w:id="367" w:name="_Toc152042353"/>
      <w:bookmarkStart w:id="368" w:name="_Toc319408113"/>
      <w:r>
        <w:rPr>
          <w:rFonts w:hint="eastAsia" w:ascii="宋体" w:hAnsi="宋体" w:eastAsia="宋体"/>
          <w:b/>
          <w:color w:val="auto"/>
          <w:sz w:val="21"/>
          <w:szCs w:val="21"/>
        </w:rPr>
        <w:t>9.3 对评标委员会成员的纪律要求</w:t>
      </w:r>
      <w:bookmarkEnd w:id="359"/>
      <w:bookmarkEnd w:id="360"/>
      <w:bookmarkEnd w:id="361"/>
      <w:bookmarkEnd w:id="362"/>
      <w:bookmarkEnd w:id="363"/>
      <w:bookmarkEnd w:id="364"/>
      <w:bookmarkEnd w:id="365"/>
      <w:bookmarkEnd w:id="366"/>
      <w:bookmarkEnd w:id="367"/>
      <w:bookmarkEnd w:id="368"/>
    </w:p>
    <w:p>
      <w:pPr>
        <w:spacing w:line="400" w:lineRule="exact"/>
        <w:ind w:firstLine="420" w:firstLineChars="200"/>
        <w:rPr>
          <w:rFonts w:ascii="宋体" w:hAnsi="宋体" w:cs="宋体"/>
          <w:color w:val="auto"/>
          <w:szCs w:val="21"/>
        </w:rPr>
      </w:pPr>
      <w:r>
        <w:rPr>
          <w:rFonts w:hint="eastAsia" w:ascii="宋体" w:hAnsi="宋体" w:cs="宋体"/>
          <w:color w:val="auto"/>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56"/>
        <w:ind w:firstLine="422" w:firstLineChars="200"/>
        <w:rPr>
          <w:rFonts w:ascii="宋体" w:hAnsi="宋体" w:eastAsia="宋体"/>
          <w:b/>
          <w:color w:val="auto"/>
          <w:sz w:val="21"/>
          <w:szCs w:val="21"/>
        </w:rPr>
      </w:pPr>
      <w:bookmarkStart w:id="369" w:name="_Toc152045578"/>
      <w:bookmarkStart w:id="370" w:name="_Toc245036645"/>
      <w:bookmarkStart w:id="371" w:name="_Toc319407879"/>
      <w:bookmarkStart w:id="372" w:name="_Toc392345957"/>
      <w:bookmarkStart w:id="373" w:name="_Toc152042354"/>
      <w:bookmarkStart w:id="374" w:name="_Toc319408114"/>
      <w:bookmarkStart w:id="375" w:name="_Toc322615441"/>
      <w:bookmarkStart w:id="376" w:name="_Toc480"/>
      <w:bookmarkStart w:id="377" w:name="_Toc323711793"/>
      <w:bookmarkStart w:id="378" w:name="_Toc144974546"/>
      <w:r>
        <w:rPr>
          <w:rFonts w:hint="eastAsia" w:ascii="宋体" w:hAnsi="宋体" w:eastAsia="宋体"/>
          <w:b/>
          <w:color w:val="auto"/>
          <w:sz w:val="21"/>
          <w:szCs w:val="21"/>
        </w:rPr>
        <w:t>9.4 对与评标活动有关的工作人员的纪律要求</w:t>
      </w:r>
      <w:bookmarkEnd w:id="369"/>
      <w:bookmarkEnd w:id="370"/>
      <w:bookmarkEnd w:id="371"/>
      <w:bookmarkEnd w:id="372"/>
      <w:bookmarkEnd w:id="373"/>
      <w:bookmarkEnd w:id="374"/>
      <w:bookmarkEnd w:id="375"/>
      <w:bookmarkEnd w:id="376"/>
      <w:bookmarkEnd w:id="377"/>
    </w:p>
    <w:p>
      <w:pPr>
        <w:spacing w:line="400" w:lineRule="exact"/>
        <w:ind w:firstLine="420" w:firstLineChars="200"/>
        <w:rPr>
          <w:rFonts w:ascii="宋体" w:hAnsi="宋体" w:cs="宋体"/>
          <w:color w:val="auto"/>
          <w:szCs w:val="21"/>
        </w:rPr>
      </w:pPr>
      <w:bookmarkStart w:id="379" w:name="_Toc152042355"/>
      <w:r>
        <w:rPr>
          <w:rFonts w:hint="eastAsia" w:ascii="宋体" w:hAnsi="宋体" w:cs="宋体"/>
          <w:color w:val="auto"/>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pPr>
        <w:pStyle w:val="56"/>
        <w:ind w:firstLine="422" w:firstLineChars="200"/>
        <w:rPr>
          <w:rFonts w:ascii="宋体" w:hAnsi="宋体" w:eastAsia="宋体"/>
          <w:b/>
          <w:color w:val="auto"/>
          <w:sz w:val="21"/>
          <w:szCs w:val="21"/>
        </w:rPr>
      </w:pPr>
      <w:bookmarkStart w:id="380" w:name="_Toc319407880"/>
      <w:bookmarkStart w:id="381" w:name="_Toc152045579"/>
      <w:bookmarkStart w:id="382" w:name="_Toc152042356"/>
      <w:bookmarkStart w:id="383" w:name="_Toc392345958"/>
      <w:bookmarkStart w:id="384" w:name="_Toc323711794"/>
      <w:bookmarkStart w:id="385" w:name="_Toc319408115"/>
      <w:bookmarkStart w:id="386" w:name="_Toc245036646"/>
      <w:bookmarkStart w:id="387" w:name="_Toc322615442"/>
      <w:bookmarkStart w:id="388" w:name="_Toc9812"/>
      <w:r>
        <w:rPr>
          <w:rFonts w:hint="eastAsia" w:ascii="宋体" w:hAnsi="宋体" w:eastAsia="宋体"/>
          <w:b/>
          <w:color w:val="auto"/>
          <w:sz w:val="21"/>
          <w:szCs w:val="21"/>
        </w:rPr>
        <w:t>9.5</w:t>
      </w:r>
      <w:bookmarkEnd w:id="378"/>
      <w:bookmarkEnd w:id="380"/>
      <w:bookmarkEnd w:id="381"/>
      <w:bookmarkEnd w:id="382"/>
      <w:bookmarkEnd w:id="383"/>
      <w:bookmarkEnd w:id="384"/>
      <w:bookmarkEnd w:id="385"/>
      <w:bookmarkEnd w:id="386"/>
      <w:bookmarkEnd w:id="387"/>
      <w:bookmarkStart w:id="389" w:name="_Toc357955317"/>
      <w:bookmarkStart w:id="390" w:name="_Toc246996223"/>
      <w:bookmarkStart w:id="391" w:name="_Toc296602466"/>
      <w:bookmarkStart w:id="392" w:name="_Toc179632597"/>
      <w:bookmarkStart w:id="393" w:name="_Toc246996966"/>
      <w:bookmarkStart w:id="394" w:name="_Toc247085737"/>
      <w:bookmarkStart w:id="395" w:name="_Toc392345959"/>
      <w:bookmarkStart w:id="396" w:name="_Toc152042357"/>
      <w:bookmarkStart w:id="397" w:name="_Toc152045580"/>
      <w:bookmarkStart w:id="398" w:name="_Toc323711795"/>
      <w:bookmarkStart w:id="399" w:name="_Toc144974547"/>
      <w:bookmarkStart w:id="400" w:name="_Toc245036647"/>
      <w:r>
        <w:rPr>
          <w:rFonts w:hint="eastAsia" w:ascii="宋体" w:hAnsi="宋体" w:eastAsia="宋体"/>
          <w:b/>
          <w:color w:val="auto"/>
          <w:sz w:val="21"/>
          <w:szCs w:val="21"/>
        </w:rPr>
        <w:t>异议与投诉</w:t>
      </w:r>
      <w:bookmarkEnd w:id="388"/>
      <w:bookmarkEnd w:id="389"/>
      <w:bookmarkEnd w:id="390"/>
      <w:bookmarkEnd w:id="391"/>
      <w:bookmarkEnd w:id="392"/>
      <w:bookmarkEnd w:id="393"/>
      <w:bookmarkEnd w:id="394"/>
    </w:p>
    <w:p>
      <w:pPr>
        <w:spacing w:line="400" w:lineRule="exact"/>
        <w:ind w:firstLine="420" w:firstLineChars="200"/>
        <w:rPr>
          <w:rFonts w:ascii="宋体" w:hAnsi="宋体" w:cs="宋体"/>
          <w:color w:val="auto"/>
          <w:szCs w:val="21"/>
        </w:rPr>
      </w:pPr>
      <w:r>
        <w:rPr>
          <w:rFonts w:hint="eastAsia" w:ascii="宋体" w:hAnsi="宋体" w:cs="宋体"/>
          <w:iCs/>
          <w:color w:val="auto"/>
          <w:szCs w:val="21"/>
        </w:rPr>
        <w:t>投标人及其他利害关系人由提出异议与投诉的权利，但应遵守国家相关法律法规的规定和本章第10.2条的要求。</w:t>
      </w:r>
    </w:p>
    <w:p>
      <w:pPr>
        <w:pStyle w:val="56"/>
        <w:ind w:firstLine="420" w:firstLineChars="200"/>
        <w:rPr>
          <w:rFonts w:ascii="宋体" w:hAnsi="宋体" w:eastAsia="宋体"/>
          <w:color w:val="auto"/>
          <w:sz w:val="21"/>
          <w:szCs w:val="21"/>
        </w:rPr>
      </w:pPr>
      <w:bookmarkStart w:id="401" w:name="_Toc576"/>
      <w:r>
        <w:rPr>
          <w:rFonts w:hint="eastAsia" w:ascii="宋体" w:hAnsi="宋体" w:eastAsia="宋体"/>
          <w:color w:val="auto"/>
          <w:sz w:val="21"/>
          <w:szCs w:val="21"/>
        </w:rPr>
        <w:t xml:space="preserve">10. </w:t>
      </w:r>
      <w:bookmarkEnd w:id="395"/>
      <w:bookmarkEnd w:id="396"/>
      <w:bookmarkEnd w:id="397"/>
      <w:bookmarkEnd w:id="398"/>
      <w:bookmarkEnd w:id="399"/>
      <w:bookmarkEnd w:id="400"/>
      <w:r>
        <w:rPr>
          <w:rFonts w:hint="eastAsia" w:ascii="宋体" w:hAnsi="宋体" w:eastAsia="宋体"/>
          <w:color w:val="auto"/>
          <w:sz w:val="21"/>
          <w:szCs w:val="21"/>
        </w:rPr>
        <w:t>需要补充的其他内容</w:t>
      </w:r>
      <w:bookmarkEnd w:id="401"/>
    </w:p>
    <w:p>
      <w:pPr>
        <w:spacing w:line="400" w:lineRule="exact"/>
        <w:ind w:firstLine="420" w:firstLineChars="200"/>
        <w:rPr>
          <w:rFonts w:ascii="宋体" w:hAnsi="宋体" w:cs="宋体"/>
          <w:color w:val="auto"/>
          <w:szCs w:val="21"/>
        </w:rPr>
      </w:pPr>
      <w:bookmarkStart w:id="402" w:name="_Toc322615444"/>
      <w:bookmarkStart w:id="403" w:name="_Toc323711796"/>
      <w:r>
        <w:rPr>
          <w:rFonts w:hint="eastAsia" w:ascii="宋体" w:hAnsi="宋体" w:cs="宋体"/>
          <w:color w:val="auto"/>
          <w:szCs w:val="21"/>
        </w:rPr>
        <w:t>10.1否决投标的情形</w:t>
      </w:r>
      <w:bookmarkEnd w:id="402"/>
      <w:bookmarkEnd w:id="403"/>
      <w:r>
        <w:rPr>
          <w:rFonts w:hint="eastAsia" w:ascii="宋体" w:hAnsi="宋体" w:cs="宋体"/>
          <w:color w:val="auto"/>
          <w:szCs w:val="21"/>
        </w:rPr>
        <w:t>：见投标人须知前附表</w:t>
      </w:r>
    </w:p>
    <w:p>
      <w:pPr>
        <w:spacing w:line="400" w:lineRule="exact"/>
        <w:ind w:firstLine="420" w:firstLineChars="200"/>
        <w:rPr>
          <w:rFonts w:ascii="宋体" w:hAnsi="宋体" w:cs="宋体"/>
          <w:color w:val="auto"/>
          <w:szCs w:val="21"/>
        </w:rPr>
      </w:pPr>
      <w:bookmarkStart w:id="404" w:name="_Toc322615445"/>
      <w:bookmarkStart w:id="405" w:name="_Toc323711797"/>
      <w:r>
        <w:rPr>
          <w:rFonts w:hint="eastAsia" w:ascii="宋体" w:hAnsi="宋体" w:cs="宋体"/>
          <w:color w:val="auto"/>
          <w:szCs w:val="21"/>
        </w:rPr>
        <w:t>10.2</w:t>
      </w:r>
      <w:bookmarkEnd w:id="404"/>
      <w:bookmarkEnd w:id="405"/>
      <w:r>
        <w:rPr>
          <w:rFonts w:hint="eastAsia" w:ascii="宋体" w:hAnsi="宋体" w:cs="宋体"/>
          <w:color w:val="auto"/>
          <w:szCs w:val="21"/>
        </w:rPr>
        <w:t>异议与投诉：见投标人须知前附表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10.3定标：见投标人须知前附表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10.4特别说明：见投标人须知前附表</w:t>
      </w:r>
    </w:p>
    <w:p>
      <w:pPr>
        <w:spacing w:line="400" w:lineRule="exact"/>
        <w:ind w:firstLine="420" w:firstLineChars="200"/>
        <w:rPr>
          <w:rFonts w:asciiTheme="minorEastAsia" w:hAnsiTheme="minorEastAsia" w:eastAsiaTheme="minorEastAsia" w:cstheme="minorEastAsia"/>
          <w:color w:val="auto"/>
          <w:sz w:val="24"/>
          <w:szCs w:val="24"/>
        </w:rPr>
      </w:pPr>
      <w:r>
        <w:rPr>
          <w:rFonts w:hint="eastAsia" w:ascii="宋体" w:hAnsi="宋体" w:cs="宋体"/>
          <w:color w:val="auto"/>
          <w:szCs w:val="21"/>
        </w:rPr>
        <w:br w:type="page"/>
      </w:r>
    </w:p>
    <w:p>
      <w:pPr>
        <w:pStyle w:val="4"/>
        <w:ind w:firstLine="0" w:firstLineChars="0"/>
        <w:rPr>
          <w:rFonts w:asciiTheme="minorEastAsia" w:hAnsiTheme="minorEastAsia" w:eastAsiaTheme="minorEastAsia" w:cstheme="minorEastAsia"/>
          <w:color w:val="auto"/>
          <w:sz w:val="24"/>
          <w:szCs w:val="24"/>
        </w:rPr>
      </w:pPr>
      <w:bookmarkStart w:id="406" w:name="_Toc21652"/>
      <w:bookmarkStart w:id="407" w:name="_Toc323711800"/>
      <w:bookmarkStart w:id="408" w:name="_Toc184635081"/>
      <w:bookmarkStart w:id="409" w:name="_Toc413527432"/>
      <w:r>
        <w:rPr>
          <w:rFonts w:hint="eastAsia" w:asciiTheme="minorEastAsia" w:hAnsiTheme="minorEastAsia" w:eastAsiaTheme="minorEastAsia" w:cstheme="minorEastAsia"/>
          <w:color w:val="auto"/>
          <w:sz w:val="24"/>
          <w:szCs w:val="24"/>
        </w:rPr>
        <w:t>附表一：开标记录表</w:t>
      </w:r>
      <w:bookmarkEnd w:id="406"/>
      <w:r>
        <w:rPr>
          <w:rFonts w:hint="eastAsia" w:asciiTheme="minorEastAsia" w:hAnsiTheme="minorEastAsia" w:eastAsiaTheme="minorEastAsia" w:cstheme="minorEastAsia"/>
          <w:color w:val="auto"/>
          <w:sz w:val="24"/>
          <w:szCs w:val="24"/>
        </w:rPr>
        <w:t>（略）</w:t>
      </w:r>
    </w:p>
    <w:p>
      <w:pPr>
        <w:spacing w:line="360" w:lineRule="auto"/>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附表二：问题澄清通知</w:t>
      </w:r>
    </w:p>
    <w:p>
      <w:pPr>
        <w:spacing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                          编号：</w:t>
      </w:r>
    </w:p>
    <w:p>
      <w:pPr>
        <w:spacing w:line="360" w:lineRule="auto"/>
        <w:ind w:firstLine="480" w:firstLineChars="200"/>
        <w:rPr>
          <w:rFonts w:asciiTheme="minorEastAsia" w:hAnsiTheme="minorEastAsia" w:eastAsiaTheme="minorEastAsia" w:cstheme="minorEastAsia"/>
          <w:color w:val="auto"/>
          <w:sz w:val="24"/>
          <w:szCs w:val="24"/>
          <w:u w:val="single"/>
        </w:rPr>
      </w:pPr>
    </w:p>
    <w:p>
      <w:pPr>
        <w:spacing w:line="360" w:lineRule="auto"/>
        <w:ind w:firstLine="420" w:firstLineChars="200"/>
        <w:rPr>
          <w:rFonts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rPr>
        <w:t xml:space="preserve">（投标人名称）: </w:t>
      </w:r>
    </w:p>
    <w:p>
      <w:pPr>
        <w:spacing w:line="360" w:lineRule="auto"/>
        <w:ind w:firstLine="420" w:firstLineChars="200"/>
        <w:rPr>
          <w:rFonts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rPr>
        <w:t>（项目名称）标段招标的评标委员会，对你方的投标文件进行了仔细的审查，现需你方对下列问题以书面形式予以澄清：</w:t>
      </w:r>
    </w:p>
    <w:p>
      <w:pPr>
        <w:spacing w:line="360" w:lineRule="auto"/>
        <w:ind w:firstLine="420" w:firstLineChars="200"/>
        <w:rPr>
          <w:rFonts w:ascii="宋体" w:hAnsi="宋体" w:cs="宋体"/>
          <w:color w:val="auto"/>
          <w:szCs w:val="21"/>
        </w:rPr>
      </w:pPr>
      <w:r>
        <w:rPr>
          <w:rFonts w:hint="eastAsia" w:ascii="宋体" w:hAnsi="宋体" w:cs="宋体"/>
          <w:color w:val="auto"/>
          <w:szCs w:val="21"/>
        </w:rPr>
        <w:t>1、</w:t>
      </w:r>
    </w:p>
    <w:p>
      <w:pPr>
        <w:spacing w:line="360" w:lineRule="auto"/>
        <w:ind w:firstLine="420" w:firstLineChars="200"/>
        <w:rPr>
          <w:rFonts w:ascii="宋体" w:hAnsi="宋体" w:cs="宋体"/>
          <w:color w:val="auto"/>
          <w:szCs w:val="21"/>
        </w:rPr>
      </w:pPr>
      <w:r>
        <w:rPr>
          <w:rFonts w:hint="eastAsia" w:ascii="宋体" w:hAnsi="宋体" w:cs="宋体"/>
          <w:color w:val="auto"/>
          <w:szCs w:val="21"/>
        </w:rPr>
        <w:t>2、</w:t>
      </w:r>
    </w:p>
    <w:p>
      <w:pPr>
        <w:spacing w:line="360" w:lineRule="auto"/>
        <w:ind w:firstLine="420" w:firstLineChars="200"/>
        <w:rPr>
          <w:rFonts w:ascii="宋体" w:hAnsi="宋体" w:cs="宋体"/>
          <w:color w:val="auto"/>
          <w:szCs w:val="21"/>
        </w:rPr>
      </w:pPr>
      <w:r>
        <w:rPr>
          <w:rFonts w:hint="eastAsia" w:ascii="宋体" w:hAnsi="宋体" w:cs="宋体"/>
          <w:color w:val="auto"/>
          <w:szCs w:val="21"/>
        </w:rPr>
        <w:t>……</w:t>
      </w:r>
    </w:p>
    <w:p>
      <w:pPr>
        <w:spacing w:line="360" w:lineRule="auto"/>
        <w:ind w:firstLine="420" w:firstLineChars="200"/>
        <w:rPr>
          <w:rFonts w:ascii="宋体" w:hAnsi="宋体" w:cs="宋体"/>
          <w:color w:val="auto"/>
          <w:szCs w:val="21"/>
        </w:rPr>
      </w:pPr>
      <w:r>
        <w:rPr>
          <w:rFonts w:hint="eastAsia" w:ascii="宋体" w:hAnsi="宋体" w:cs="宋体"/>
          <w:color w:val="auto"/>
          <w:szCs w:val="21"/>
        </w:rPr>
        <w:t>请将上述问题的澄清于</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日时前递交至</w:t>
      </w:r>
      <w:r>
        <w:rPr>
          <w:rFonts w:hint="eastAsia" w:ascii="宋体" w:hAnsi="宋体" w:cs="宋体"/>
          <w:color w:val="auto"/>
          <w:szCs w:val="21"/>
          <w:u w:val="single"/>
        </w:rPr>
        <w:t xml:space="preserve">     </w:t>
      </w:r>
      <w:r>
        <w:rPr>
          <w:rFonts w:hint="eastAsia" w:ascii="宋体" w:hAnsi="宋体" w:cs="宋体"/>
          <w:color w:val="auto"/>
          <w:szCs w:val="21"/>
        </w:rPr>
        <w:t>（详细地址）或传真至</w:t>
      </w:r>
      <w:r>
        <w:rPr>
          <w:rFonts w:hint="eastAsia" w:ascii="宋体" w:hAnsi="宋体" w:cs="宋体"/>
          <w:color w:val="auto"/>
          <w:szCs w:val="21"/>
          <w:u w:val="single"/>
        </w:rPr>
        <w:t xml:space="preserve">     </w:t>
      </w:r>
      <w:r>
        <w:rPr>
          <w:rFonts w:hint="eastAsia" w:ascii="宋体" w:hAnsi="宋体" w:cs="宋体"/>
          <w:color w:val="auto"/>
          <w:szCs w:val="21"/>
        </w:rPr>
        <w:t>（传真号码）。采用传真方式的，应在</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日时前将原件递交至</w:t>
      </w:r>
      <w:r>
        <w:rPr>
          <w:rFonts w:hint="eastAsia" w:ascii="宋体" w:hAnsi="宋体" w:cs="宋体"/>
          <w:color w:val="auto"/>
          <w:szCs w:val="21"/>
          <w:u w:val="single"/>
        </w:rPr>
        <w:t xml:space="preserve">     </w:t>
      </w:r>
      <w:r>
        <w:rPr>
          <w:rFonts w:hint="eastAsia" w:ascii="宋体" w:hAnsi="宋体" w:cs="宋体"/>
          <w:color w:val="auto"/>
          <w:szCs w:val="21"/>
        </w:rPr>
        <w:t>（详细地址）。</w:t>
      </w:r>
    </w:p>
    <w:p>
      <w:pPr>
        <w:spacing w:line="360" w:lineRule="auto"/>
        <w:ind w:firstLine="5145" w:firstLineChars="2450"/>
        <w:rPr>
          <w:rFonts w:ascii="宋体" w:hAnsi="宋体" w:cs="宋体"/>
          <w:color w:val="auto"/>
          <w:szCs w:val="21"/>
        </w:rPr>
      </w:pPr>
    </w:p>
    <w:p>
      <w:pPr>
        <w:spacing w:line="360" w:lineRule="auto"/>
        <w:ind w:firstLine="5145" w:firstLineChars="2450"/>
        <w:rPr>
          <w:rFonts w:ascii="宋体" w:hAnsi="宋体" w:cs="宋体"/>
          <w:color w:val="auto"/>
          <w:szCs w:val="21"/>
        </w:rPr>
      </w:pPr>
    </w:p>
    <w:p>
      <w:pPr>
        <w:spacing w:line="360" w:lineRule="auto"/>
        <w:ind w:firstLine="4620" w:firstLineChars="2200"/>
        <w:rPr>
          <w:rFonts w:ascii="宋体" w:hAnsi="宋体" w:cs="宋体"/>
          <w:color w:val="auto"/>
          <w:szCs w:val="21"/>
        </w:rPr>
      </w:pPr>
      <w:r>
        <w:rPr>
          <w:rFonts w:hint="eastAsia" w:ascii="宋体" w:hAnsi="宋体" w:cs="宋体"/>
          <w:color w:val="auto"/>
          <w:szCs w:val="21"/>
        </w:rPr>
        <w:t>评标委员会负责人：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auto"/>
        <w:ind w:firstLine="210"/>
        <w:rPr>
          <w:rFonts w:ascii="宋体" w:hAnsi="宋体" w:cs="宋体"/>
          <w:color w:val="auto"/>
          <w:szCs w:val="21"/>
          <w:u w:val="single"/>
        </w:rPr>
      </w:pPr>
    </w:p>
    <w:p>
      <w:pPr>
        <w:spacing w:line="360" w:lineRule="auto"/>
        <w:ind w:firstLine="5460" w:firstLineChars="2600"/>
        <w:rPr>
          <w:rFonts w:ascii="宋体" w:hAnsi="宋体" w:cs="宋体"/>
          <w:color w:val="auto"/>
          <w:szCs w:val="21"/>
        </w:rPr>
      </w:pPr>
      <w:r>
        <w:rPr>
          <w:rFonts w:hint="eastAsia" w:ascii="宋体" w:hAnsi="宋体" w:cs="宋体"/>
          <w:color w:val="auto"/>
          <w:szCs w:val="21"/>
        </w:rPr>
        <w:t>年   月   日</w:t>
      </w:r>
    </w:p>
    <w:p>
      <w:pPr>
        <w:spacing w:line="360" w:lineRule="auto"/>
        <w:ind w:firstLine="5460" w:firstLineChars="2600"/>
        <w:rPr>
          <w:rFonts w:ascii="宋体" w:hAnsi="宋体" w:cs="宋体"/>
          <w:color w:val="auto"/>
          <w:szCs w:val="21"/>
        </w:rPr>
        <w:sectPr>
          <w:footerReference r:id="rId4" w:type="default"/>
          <w:pgSz w:w="11906" w:h="16838"/>
          <w:pgMar w:top="1440" w:right="1134" w:bottom="1440" w:left="1134" w:header="851" w:footer="992" w:gutter="0"/>
          <w:cols w:space="0" w:num="1"/>
          <w:docGrid w:type="lines" w:linePitch="312" w:charSpace="0"/>
        </w:sectPr>
      </w:pPr>
    </w:p>
    <w:p>
      <w:pPr>
        <w:pStyle w:val="4"/>
        <w:ind w:firstLine="482"/>
        <w:rPr>
          <w:rFonts w:asciiTheme="minorEastAsia" w:hAnsiTheme="minorEastAsia" w:eastAsiaTheme="minorEastAsia" w:cstheme="minorEastAsia"/>
          <w:color w:val="auto"/>
          <w:sz w:val="24"/>
          <w:szCs w:val="24"/>
        </w:rPr>
      </w:pPr>
      <w:bookmarkStart w:id="410" w:name="_Toc9597"/>
      <w:r>
        <w:rPr>
          <w:rFonts w:hint="eastAsia" w:asciiTheme="minorEastAsia" w:hAnsiTheme="minorEastAsia" w:eastAsiaTheme="minorEastAsia" w:cstheme="minorEastAsia"/>
          <w:color w:val="auto"/>
          <w:sz w:val="24"/>
          <w:szCs w:val="24"/>
        </w:rPr>
        <w:t>附表三：问题的澄清</w:t>
      </w:r>
      <w:bookmarkEnd w:id="410"/>
    </w:p>
    <w:p>
      <w:pPr>
        <w:spacing w:before="156" w:beforeLines="50" w:after="156" w:afterLines="50"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问题的澄清</w:t>
      </w:r>
    </w:p>
    <w:p>
      <w:pPr>
        <w:spacing w:line="360" w:lineRule="auto"/>
        <w:ind w:firstLine="6480" w:firstLineChars="27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编号：</w:t>
      </w:r>
    </w:p>
    <w:p>
      <w:pPr>
        <w:spacing w:line="360" w:lineRule="auto"/>
        <w:ind w:firstLine="420" w:firstLineChars="200"/>
        <w:rPr>
          <w:rFonts w:asciiTheme="minorEastAsia" w:hAnsiTheme="minorEastAsia" w:eastAsiaTheme="minorEastAsia" w:cstheme="minorEastAsia"/>
          <w:color w:val="auto"/>
          <w:szCs w:val="21"/>
        </w:rPr>
      </w:pP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(项目名称）</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标段招标评标委员会：</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问题澄清通知（编号： </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）已收悉，现澄清如下：</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725" w:firstLineChars="2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3675" w:firstLineChars="17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法定代表人或其委托代理人：</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（签字）</w:t>
      </w:r>
    </w:p>
    <w:p>
      <w:pPr>
        <w:spacing w:line="360" w:lineRule="auto"/>
        <w:ind w:firstLine="5145" w:firstLineChars="2450"/>
        <w:rPr>
          <w:rFonts w:asciiTheme="minorEastAsia" w:hAnsiTheme="minorEastAsia" w:eastAsiaTheme="minorEastAsia" w:cstheme="minorEastAsia"/>
          <w:color w:val="auto"/>
          <w:szCs w:val="21"/>
          <w:u w:val="single"/>
        </w:rPr>
      </w:pPr>
    </w:p>
    <w:p>
      <w:pPr>
        <w:spacing w:line="360" w:lineRule="auto"/>
        <w:ind w:firstLine="5145" w:firstLineChars="24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p>
      <w:pPr>
        <w:spacing w:line="360" w:lineRule="auto"/>
        <w:ind w:firstLine="5145" w:firstLineChars="2450"/>
        <w:rPr>
          <w:rFonts w:asciiTheme="minorEastAsia" w:hAnsiTheme="minorEastAsia" w:eastAsiaTheme="minorEastAsia" w:cstheme="minorEastAsia"/>
          <w:color w:val="auto"/>
          <w:szCs w:val="21"/>
        </w:rPr>
        <w:sectPr>
          <w:pgSz w:w="11906" w:h="16838"/>
          <w:pgMar w:top="1440" w:right="1134" w:bottom="1440" w:left="1134" w:header="851" w:footer="992" w:gutter="0"/>
          <w:cols w:space="720" w:num="1"/>
          <w:docGrid w:type="lines" w:linePitch="312" w:charSpace="0"/>
        </w:sectPr>
      </w:pPr>
    </w:p>
    <w:p>
      <w:pPr>
        <w:pStyle w:val="4"/>
        <w:ind w:firstLine="482"/>
        <w:rPr>
          <w:rFonts w:ascii="宋体" w:hAnsi="宋体" w:cs="宋体"/>
          <w:color w:val="auto"/>
          <w:sz w:val="24"/>
          <w:szCs w:val="24"/>
        </w:rPr>
      </w:pPr>
      <w:bookmarkStart w:id="411" w:name="_Toc11393"/>
      <w:r>
        <w:rPr>
          <w:rFonts w:hint="eastAsia" w:ascii="宋体" w:hAnsi="宋体" w:cs="宋体"/>
          <w:color w:val="auto"/>
          <w:sz w:val="24"/>
          <w:szCs w:val="24"/>
        </w:rPr>
        <w:t>附表四：中标通知书</w:t>
      </w:r>
      <w:bookmarkEnd w:id="411"/>
    </w:p>
    <w:p>
      <w:pPr>
        <w:spacing w:before="156" w:beforeLines="50" w:after="156" w:afterLines="50"/>
        <w:ind w:firstLine="482" w:firstLineChars="200"/>
        <w:jc w:val="center"/>
        <w:rPr>
          <w:rFonts w:ascii="宋体" w:hAnsi="宋体" w:cs="宋体"/>
          <w:b/>
          <w:color w:val="auto"/>
          <w:sz w:val="24"/>
          <w:szCs w:val="24"/>
        </w:rPr>
      </w:pPr>
      <w:r>
        <w:rPr>
          <w:rFonts w:hint="eastAsia" w:ascii="宋体" w:hAnsi="宋体" w:cs="宋体"/>
          <w:b/>
          <w:color w:val="auto"/>
          <w:sz w:val="24"/>
          <w:szCs w:val="24"/>
        </w:rPr>
        <w:t>中标通知书</w:t>
      </w:r>
    </w:p>
    <w:p>
      <w:pPr>
        <w:spacing w:after="156" w:afterLines="50" w:line="360" w:lineRule="exact"/>
        <w:ind w:firstLine="420" w:firstLineChars="200"/>
        <w:rPr>
          <w:rFonts w:ascii="宋体" w:hAnsi="宋体" w:cs="宋体"/>
          <w:color w:val="auto"/>
          <w:szCs w:val="21"/>
        </w:rPr>
      </w:pPr>
      <w:r>
        <w:rPr>
          <w:rFonts w:hint="eastAsia" w:ascii="宋体" w:hAnsi="宋体" w:cs="宋体"/>
          <w:color w:val="auto"/>
          <w:szCs w:val="21"/>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Style w:val="37"/>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招标项目名称</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招标人名称</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中标人名称</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中标金额</w:t>
            </w:r>
          </w:p>
        </w:tc>
        <w:tc>
          <w:tcPr>
            <w:tcW w:w="8106" w:type="dxa"/>
            <w:vAlign w:val="center"/>
          </w:tcPr>
          <w:p>
            <w:pPr>
              <w:spacing w:line="360" w:lineRule="auto"/>
              <w:rPr>
                <w:rFonts w:ascii="宋体" w:hAnsi="宋体" w:cs="宋体"/>
                <w:color w:val="auto"/>
                <w:szCs w:val="21"/>
              </w:rPr>
            </w:pPr>
            <w:r>
              <w:rPr>
                <w:rFonts w:hint="eastAsia" w:ascii="宋体" w:hAnsi="宋体" w:cs="宋体"/>
                <w:color w:val="auto"/>
                <w:szCs w:val="21"/>
              </w:rPr>
              <w:t xml:space="preserve">（大写）：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pacing w:val="-1"/>
                <w:szCs w:val="21"/>
              </w:rPr>
              <w:t>（</w:t>
            </w:r>
            <w:r>
              <w:rPr>
                <w:rFonts w:hint="eastAsia" w:ascii="宋体" w:hAnsi="宋体" w:cs="宋体"/>
                <w:color w:val="auto"/>
                <w:szCs w:val="21"/>
              </w:rPr>
              <w:t>小写）：</w:t>
            </w:r>
            <w:r>
              <w:rPr>
                <w:rFonts w:hint="eastAsia" w:ascii="宋体" w:hAnsi="宋体" w:cs="宋体"/>
                <w:color w:val="auto"/>
                <w:szCs w:val="21"/>
                <w:u w:val="single"/>
              </w:rPr>
              <w:tab/>
            </w:r>
            <w:r>
              <w:rPr>
                <w:rFonts w:hint="eastAsia" w:ascii="宋体" w:hAnsi="宋体" w:cs="宋体"/>
                <w:color w:val="auto"/>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中标内容范围</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中标人与招标人签订中标合同期限</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签订中标合同</w:t>
            </w:r>
          </w:p>
          <w:p>
            <w:pPr>
              <w:spacing w:line="360" w:lineRule="auto"/>
              <w:jc w:val="center"/>
              <w:rPr>
                <w:rFonts w:ascii="宋体" w:hAnsi="宋体" w:cs="宋体"/>
                <w:color w:val="auto"/>
                <w:szCs w:val="21"/>
              </w:rPr>
            </w:pPr>
            <w:r>
              <w:rPr>
                <w:rFonts w:hint="eastAsia" w:ascii="宋体" w:hAnsi="宋体" w:cs="宋体"/>
                <w:color w:val="auto"/>
                <w:szCs w:val="21"/>
              </w:rPr>
              <w:t>地址</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其他需说明内容</w:t>
            </w:r>
          </w:p>
        </w:tc>
        <w:tc>
          <w:tcPr>
            <w:tcW w:w="8106" w:type="dxa"/>
            <w:vAlign w:val="center"/>
          </w:tcPr>
          <w:p>
            <w:pPr>
              <w:spacing w:line="360" w:lineRule="auto"/>
              <w:ind w:firstLine="210"/>
              <w:jc w:val="center"/>
              <w:rPr>
                <w:rFonts w:ascii="宋体" w:hAnsi="宋体" w:cs="宋体"/>
                <w:color w:val="auto"/>
                <w:szCs w:val="21"/>
              </w:rPr>
            </w:pPr>
          </w:p>
        </w:tc>
      </w:tr>
    </w:tbl>
    <w:p>
      <w:pPr>
        <w:spacing w:line="360" w:lineRule="auto"/>
        <w:ind w:firstLine="210"/>
        <w:rPr>
          <w:rFonts w:ascii="宋体" w:hAnsi="宋体" w:cs="宋体"/>
          <w:color w:val="auto"/>
          <w:szCs w:val="21"/>
        </w:rPr>
      </w:pPr>
      <w:r>
        <w:rPr>
          <w:rFonts w:hint="eastAsia" w:ascii="宋体" w:hAnsi="宋体" w:cs="宋体"/>
          <w:color w:val="auto"/>
          <w:szCs w:val="21"/>
        </w:rPr>
        <w:t xml:space="preserve">                                </w:t>
      </w:r>
    </w:p>
    <w:p>
      <w:pPr>
        <w:spacing w:line="520" w:lineRule="exact"/>
        <w:ind w:firstLine="210"/>
        <w:jc w:val="center"/>
        <w:rPr>
          <w:rFonts w:ascii="宋体" w:hAnsi="宋体" w:cs="宋体"/>
          <w:color w:val="auto"/>
          <w:szCs w:val="21"/>
          <w:u w:val="single"/>
        </w:rPr>
      </w:pPr>
      <w:r>
        <w:rPr>
          <w:rFonts w:hint="eastAsia" w:ascii="宋体" w:hAnsi="宋体" w:cs="宋体"/>
          <w:color w:val="auto"/>
          <w:szCs w:val="21"/>
        </w:rPr>
        <w:t xml:space="preserve">                         招标人：</w:t>
      </w:r>
      <w:r>
        <w:rPr>
          <w:rFonts w:hint="eastAsia" w:ascii="宋体" w:hAnsi="宋体" w:cs="宋体"/>
          <w:color w:val="auto"/>
          <w:szCs w:val="21"/>
          <w:u w:val="single"/>
        </w:rPr>
        <w:t xml:space="preserve">                     </w:t>
      </w:r>
      <w:r>
        <w:rPr>
          <w:rFonts w:hint="eastAsia" w:ascii="宋体" w:hAnsi="宋体" w:cs="宋体"/>
          <w:color w:val="auto"/>
          <w:szCs w:val="21"/>
        </w:rPr>
        <w:t>（盖章）</w:t>
      </w:r>
    </w:p>
    <w:p>
      <w:pPr>
        <w:pStyle w:val="13"/>
        <w:spacing w:line="520" w:lineRule="exact"/>
        <w:ind w:firstLine="4320" w:firstLineChars="1800"/>
        <w:rPr>
          <w:color w:val="auto"/>
          <w:sz w:val="21"/>
          <w:szCs w:val="21"/>
        </w:rPr>
      </w:pPr>
      <w:r>
        <w:rPr>
          <w:rFonts w:hint="eastAsia" w:ascii="宋体" w:hAnsi="宋体" w:cs="宋体"/>
          <w:color w:val="auto"/>
          <w:szCs w:val="21"/>
          <w:u w:val="single"/>
        </w:rPr>
        <w:t xml:space="preserve">     </w:t>
      </w:r>
      <w:r>
        <w:rPr>
          <w:rFonts w:hint="eastAsia"/>
          <w:color w:val="auto"/>
          <w:sz w:val="21"/>
          <w:szCs w:val="21"/>
        </w:rPr>
        <w:t>年</w:t>
      </w:r>
      <w:r>
        <w:rPr>
          <w:rFonts w:hint="eastAsia" w:ascii="宋体" w:hAnsi="宋体" w:cs="宋体"/>
          <w:color w:val="auto"/>
          <w:szCs w:val="21"/>
          <w:u w:val="single"/>
        </w:rPr>
        <w:t xml:space="preserve">    </w:t>
      </w:r>
      <w:r>
        <w:rPr>
          <w:rFonts w:hint="eastAsia"/>
          <w:color w:val="auto"/>
          <w:sz w:val="21"/>
          <w:szCs w:val="21"/>
        </w:rPr>
        <w:t>月</w:t>
      </w:r>
      <w:r>
        <w:rPr>
          <w:rFonts w:hint="eastAsia" w:ascii="宋体" w:hAnsi="宋体" w:cs="宋体"/>
          <w:color w:val="auto"/>
          <w:szCs w:val="21"/>
          <w:u w:val="single"/>
        </w:rPr>
        <w:t xml:space="preserve">    </w:t>
      </w:r>
      <w:r>
        <w:rPr>
          <w:rFonts w:hint="eastAsia"/>
          <w:color w:val="auto"/>
          <w:sz w:val="21"/>
          <w:szCs w:val="21"/>
        </w:rPr>
        <w:t>日</w:t>
      </w:r>
    </w:p>
    <w:p>
      <w:pPr>
        <w:spacing w:line="520" w:lineRule="exact"/>
        <w:ind w:firstLine="210"/>
        <w:jc w:val="center"/>
        <w:rPr>
          <w:rFonts w:ascii="宋体" w:hAnsi="宋体" w:cs="宋体"/>
          <w:color w:val="auto"/>
          <w:szCs w:val="21"/>
          <w:u w:val="single"/>
        </w:rPr>
      </w:pPr>
      <w:r>
        <w:rPr>
          <w:rFonts w:hint="eastAsia"/>
          <w:color w:val="auto"/>
          <w:szCs w:val="21"/>
        </w:rPr>
        <w:t xml:space="preserve">                                                 招标代理机构盖章：</w:t>
      </w:r>
      <w:r>
        <w:rPr>
          <w:rFonts w:hint="eastAsia" w:ascii="宋体" w:hAnsi="宋体" w:cs="宋体"/>
          <w:color w:val="auto"/>
          <w:szCs w:val="21"/>
          <w:u w:val="single"/>
        </w:rPr>
        <w:t xml:space="preserve">             </w:t>
      </w:r>
      <w:r>
        <w:rPr>
          <w:rFonts w:hint="eastAsia" w:ascii="宋体" w:hAnsi="宋体" w:cs="宋体"/>
          <w:color w:val="auto"/>
          <w:szCs w:val="21"/>
        </w:rPr>
        <w:t>（盖章）</w:t>
      </w:r>
    </w:p>
    <w:p>
      <w:pPr>
        <w:pStyle w:val="13"/>
        <w:spacing w:line="520" w:lineRule="exact"/>
        <w:ind w:firstLine="4320" w:firstLineChars="1800"/>
        <w:rPr>
          <w:color w:val="auto"/>
          <w:sz w:val="21"/>
          <w:szCs w:val="21"/>
        </w:rPr>
      </w:pPr>
      <w:r>
        <w:rPr>
          <w:rFonts w:hint="eastAsia" w:ascii="宋体" w:hAnsi="宋体" w:cs="宋体"/>
          <w:color w:val="auto"/>
          <w:szCs w:val="21"/>
          <w:u w:val="single"/>
        </w:rPr>
        <w:t xml:space="preserve">     </w:t>
      </w:r>
      <w:r>
        <w:rPr>
          <w:rFonts w:hint="eastAsia"/>
          <w:color w:val="auto"/>
          <w:sz w:val="21"/>
          <w:szCs w:val="21"/>
        </w:rPr>
        <w:t>年</w:t>
      </w:r>
      <w:r>
        <w:rPr>
          <w:rFonts w:hint="eastAsia" w:ascii="宋体" w:hAnsi="宋体" w:cs="宋体"/>
          <w:color w:val="auto"/>
          <w:szCs w:val="21"/>
          <w:u w:val="single"/>
        </w:rPr>
        <w:t xml:space="preserve">    </w:t>
      </w:r>
      <w:r>
        <w:rPr>
          <w:rFonts w:hint="eastAsia"/>
          <w:color w:val="auto"/>
          <w:sz w:val="21"/>
          <w:szCs w:val="21"/>
        </w:rPr>
        <w:t>月</w:t>
      </w:r>
      <w:r>
        <w:rPr>
          <w:rFonts w:hint="eastAsia" w:ascii="宋体" w:hAnsi="宋体" w:cs="宋体"/>
          <w:color w:val="auto"/>
          <w:szCs w:val="21"/>
          <w:u w:val="single"/>
        </w:rPr>
        <w:t xml:space="preserve">    </w:t>
      </w:r>
      <w:r>
        <w:rPr>
          <w:rFonts w:hint="eastAsia"/>
          <w:color w:val="auto"/>
          <w:sz w:val="21"/>
          <w:szCs w:val="21"/>
        </w:rPr>
        <w:t>日</w:t>
      </w:r>
    </w:p>
    <w:p>
      <w:pPr>
        <w:pStyle w:val="13"/>
        <w:spacing w:line="520" w:lineRule="exact"/>
        <w:ind w:firstLine="4410" w:firstLineChars="2100"/>
        <w:rPr>
          <w:color w:val="auto"/>
          <w:sz w:val="21"/>
          <w:szCs w:val="21"/>
        </w:rPr>
      </w:pPr>
    </w:p>
    <w:p>
      <w:pPr>
        <w:pStyle w:val="14"/>
        <w:rPr>
          <w:color w:val="auto"/>
        </w:rPr>
      </w:pPr>
    </w:p>
    <w:p>
      <w:pPr>
        <w:pStyle w:val="13"/>
        <w:rPr>
          <w:rFonts w:ascii="宋体" w:hAnsi="宋体" w:cs="宋体"/>
          <w:color w:val="auto"/>
          <w:sz w:val="21"/>
          <w:szCs w:val="21"/>
        </w:rPr>
      </w:pPr>
      <w:r>
        <w:rPr>
          <w:color w:val="auto"/>
          <w:sz w:val="21"/>
          <w:szCs w:val="21"/>
        </w:rPr>
        <w:t>备案部门：</w:t>
      </w:r>
      <w:r>
        <w:rPr>
          <w:rFonts w:hint="eastAsia" w:ascii="宋体" w:hAnsi="宋体" w:cs="宋体"/>
          <w:color w:val="auto"/>
          <w:sz w:val="21"/>
          <w:szCs w:val="21"/>
          <w:u w:val="single"/>
        </w:rPr>
        <w:t xml:space="preserve">             </w:t>
      </w:r>
      <w:r>
        <w:rPr>
          <w:rFonts w:hint="eastAsia" w:ascii="宋体" w:hAnsi="宋体" w:cs="宋体"/>
          <w:color w:val="auto"/>
          <w:sz w:val="21"/>
          <w:szCs w:val="21"/>
        </w:rPr>
        <w:t>（盖章）</w:t>
      </w:r>
    </w:p>
    <w:p>
      <w:pPr>
        <w:pStyle w:val="13"/>
        <w:spacing w:line="520" w:lineRule="exact"/>
        <w:rPr>
          <w:color w:val="auto"/>
          <w:sz w:val="21"/>
          <w:szCs w:val="21"/>
        </w:rPr>
      </w:pPr>
      <w:r>
        <w:rPr>
          <w:rFonts w:hint="eastAsia" w:ascii="宋体" w:hAnsi="宋体" w:cs="宋体"/>
          <w:color w:val="auto"/>
          <w:sz w:val="21"/>
          <w:szCs w:val="21"/>
          <w:u w:val="single"/>
        </w:rPr>
        <w:t xml:space="preserve">     </w:t>
      </w:r>
      <w:r>
        <w:rPr>
          <w:rFonts w:hint="eastAsia"/>
          <w:color w:val="auto"/>
          <w:sz w:val="21"/>
          <w:szCs w:val="21"/>
        </w:rPr>
        <w:t>年</w:t>
      </w:r>
      <w:r>
        <w:rPr>
          <w:rFonts w:hint="eastAsia" w:ascii="宋体" w:hAnsi="宋体" w:cs="宋体"/>
          <w:color w:val="auto"/>
          <w:sz w:val="21"/>
          <w:szCs w:val="21"/>
          <w:u w:val="single"/>
        </w:rPr>
        <w:t xml:space="preserve">    </w:t>
      </w:r>
      <w:r>
        <w:rPr>
          <w:rFonts w:hint="eastAsia"/>
          <w:color w:val="auto"/>
          <w:sz w:val="21"/>
          <w:szCs w:val="21"/>
        </w:rPr>
        <w:t>月</w:t>
      </w:r>
      <w:r>
        <w:rPr>
          <w:rFonts w:hint="eastAsia" w:ascii="宋体" w:hAnsi="宋体" w:cs="宋体"/>
          <w:color w:val="auto"/>
          <w:sz w:val="21"/>
          <w:szCs w:val="21"/>
          <w:u w:val="single"/>
        </w:rPr>
        <w:t xml:space="preserve">    </w:t>
      </w:r>
      <w:r>
        <w:rPr>
          <w:rFonts w:hint="eastAsia"/>
          <w:color w:val="auto"/>
          <w:sz w:val="21"/>
          <w:szCs w:val="21"/>
        </w:rPr>
        <w:t>日</w:t>
      </w:r>
    </w:p>
    <w:p>
      <w:pPr>
        <w:spacing w:line="360" w:lineRule="auto"/>
        <w:rPr>
          <w:rFonts w:asciiTheme="minorEastAsia" w:hAnsiTheme="minorEastAsia" w:eastAsiaTheme="minorEastAsia" w:cstheme="minorEastAsia"/>
          <w:color w:val="auto"/>
          <w:sz w:val="24"/>
          <w:szCs w:val="24"/>
        </w:rPr>
      </w:pPr>
      <w:r>
        <w:rPr>
          <w:rFonts w:hint="eastAsia" w:ascii="宋体" w:hAnsi="宋体" w:cs="宋体"/>
          <w:color w:val="auto"/>
          <w:szCs w:val="21"/>
        </w:rPr>
        <w:t xml:space="preserve">                                     </w:t>
      </w:r>
      <w:bookmarkStart w:id="412" w:name="_Toc30185"/>
    </w:p>
    <w:p>
      <w:pPr>
        <w:pStyle w:val="4"/>
        <w:ind w:firstLine="0" w:firstLineChars="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附表五：中标结果通知书</w:t>
      </w:r>
      <w:bookmarkEnd w:id="412"/>
    </w:p>
    <w:p>
      <w:pPr>
        <w:spacing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中标结果通知书</w:t>
      </w:r>
    </w:p>
    <w:p>
      <w:pPr>
        <w:spacing w:line="360" w:lineRule="auto"/>
        <w:ind w:firstLine="210"/>
        <w:rPr>
          <w:rFonts w:asciiTheme="minorEastAsia" w:hAnsiTheme="minorEastAsia" w:eastAsiaTheme="minorEastAsia" w:cstheme="minorEastAsia"/>
          <w:color w:val="auto"/>
          <w:sz w:val="24"/>
          <w:szCs w:val="24"/>
          <w:u w:val="single"/>
        </w:rPr>
      </w:pPr>
    </w:p>
    <w:p>
      <w:pPr>
        <w:spacing w:line="360" w:lineRule="auto"/>
        <w:ind w:firstLine="210"/>
        <w:rPr>
          <w:rFonts w:asciiTheme="minorEastAsia" w:hAnsiTheme="minorEastAsia" w:eastAsiaTheme="minorEastAsia" w:cstheme="minorEastAsia"/>
          <w:color w:val="auto"/>
          <w:sz w:val="24"/>
          <w:szCs w:val="24"/>
          <w:u w:val="single"/>
        </w:rPr>
      </w:pPr>
    </w:p>
    <w:p>
      <w:pPr>
        <w:spacing w:line="360" w:lineRule="auto"/>
        <w:ind w:firstLine="210"/>
        <w:rPr>
          <w:rFonts w:asciiTheme="minorEastAsia" w:hAnsiTheme="minorEastAsia" w:eastAsiaTheme="minorEastAsia" w:cstheme="minorEastAsia"/>
          <w:color w:val="auto"/>
          <w:szCs w:val="21"/>
        </w:rPr>
      </w:pP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 xml:space="preserve">（未中标人名称）: </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我方已接受</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（中标人名称）于</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（投标日期）所递交的</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（项目名称）</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标段投标文件，确定</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（中标人名称）为中标人。</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感谢你单位对我们工作的大力支持！</w:t>
      </w: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招标人：</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830" w:firstLineChars="2300"/>
        <w:rPr>
          <w:rFonts w:asciiTheme="minorEastAsia" w:hAnsiTheme="minorEastAsia" w:eastAsiaTheme="minorEastAsia" w:cstheme="minorEastAsia"/>
          <w:color w:val="auto"/>
          <w:szCs w:val="21"/>
          <w:u w:val="single"/>
        </w:rPr>
      </w:pPr>
    </w:p>
    <w:p>
      <w:pPr>
        <w:spacing w:line="360" w:lineRule="auto"/>
        <w:ind w:firstLine="4830" w:firstLineChars="23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p>
      <w:pPr>
        <w:spacing w:line="360" w:lineRule="auto"/>
        <w:ind w:firstLine="480" w:firstLineChars="20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pPr>
    </w:p>
    <w:p>
      <w:pPr>
        <w:tabs>
          <w:tab w:val="left" w:pos="6624"/>
        </w:tabs>
        <w:ind w:firstLine="21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ab/>
      </w:r>
    </w:p>
    <w:p>
      <w:pPr>
        <w:ind w:firstLine="21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sectPr>
          <w:pgSz w:w="11906" w:h="16838"/>
          <w:pgMar w:top="1440" w:right="1134" w:bottom="1440" w:left="1134" w:header="851" w:footer="992" w:gutter="0"/>
          <w:cols w:space="720" w:num="1"/>
          <w:docGrid w:type="lines" w:linePitch="312" w:charSpace="0"/>
        </w:sectPr>
      </w:pPr>
    </w:p>
    <w:p>
      <w:pPr>
        <w:pStyle w:val="4"/>
        <w:ind w:firstLine="482"/>
        <w:rPr>
          <w:rFonts w:asciiTheme="minorEastAsia" w:hAnsiTheme="minorEastAsia" w:eastAsiaTheme="minorEastAsia" w:cstheme="minorEastAsia"/>
          <w:color w:val="auto"/>
          <w:sz w:val="24"/>
          <w:szCs w:val="24"/>
        </w:rPr>
      </w:pPr>
      <w:bookmarkStart w:id="413" w:name="_Toc23370"/>
      <w:r>
        <w:rPr>
          <w:rFonts w:hint="eastAsia" w:asciiTheme="minorEastAsia" w:hAnsiTheme="minorEastAsia" w:eastAsiaTheme="minorEastAsia" w:cstheme="minorEastAsia"/>
          <w:color w:val="auto"/>
          <w:sz w:val="24"/>
          <w:szCs w:val="24"/>
        </w:rPr>
        <w:t>附表六：确认通知</w:t>
      </w:r>
      <w:bookmarkEnd w:id="413"/>
    </w:p>
    <w:p>
      <w:pPr>
        <w:spacing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确 认 通 知</w:t>
      </w:r>
    </w:p>
    <w:p>
      <w:pPr>
        <w:spacing w:line="360" w:lineRule="auto"/>
        <w:ind w:firstLine="480" w:firstLineChars="200"/>
        <w:rPr>
          <w:rFonts w:asciiTheme="minorEastAsia" w:hAnsiTheme="minorEastAsia" w:eastAsiaTheme="minorEastAsia" w:cstheme="minorEastAsia"/>
          <w:color w:val="auto"/>
          <w:sz w:val="24"/>
          <w:szCs w:val="24"/>
          <w:u w:val="single"/>
        </w:rPr>
      </w:pPr>
    </w:p>
    <w:p>
      <w:pPr>
        <w:spacing w:line="360" w:lineRule="auto"/>
        <w:ind w:firstLine="210"/>
        <w:rPr>
          <w:rFonts w:asciiTheme="minorEastAsia" w:hAnsiTheme="minorEastAsia" w:eastAsiaTheme="minorEastAsia" w:cstheme="minorEastAsia"/>
          <w:color w:val="auto"/>
          <w:szCs w:val="21"/>
        </w:rPr>
      </w:pP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 xml:space="preserve">（招标人名称）: </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我方已接到你方</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日发出的</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（项目名称）</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标段招标确认的通知，我方已于</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日收到。</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特此确认。</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042" w:firstLineChars="1925"/>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420" w:firstLineChars="200"/>
        <w:rPr>
          <w:rFonts w:asciiTheme="minorEastAsia" w:hAnsiTheme="minorEastAsia" w:eastAsiaTheme="minorEastAsia" w:cstheme="minorEastAsia"/>
          <w:color w:val="auto"/>
          <w:szCs w:val="21"/>
        </w:rPr>
      </w:pPr>
    </w:p>
    <w:p>
      <w:pPr>
        <w:ind w:firstLine="5040" w:firstLineChars="24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bookmarkEnd w:id="407"/>
    <w:bookmarkEnd w:id="408"/>
    <w:bookmarkEnd w:id="409"/>
    <w:p>
      <w:pPr>
        <w:rPr>
          <w:rFonts w:asciiTheme="minorEastAsia" w:hAnsiTheme="minorEastAsia" w:eastAsiaTheme="minorEastAsia" w:cstheme="minorEastAsia"/>
          <w:color w:val="auto"/>
          <w:szCs w:val="21"/>
          <w:u w:val="single"/>
        </w:rPr>
      </w:pPr>
    </w:p>
    <w:p>
      <w:pPr>
        <w:rPr>
          <w:rFonts w:asciiTheme="minorEastAsia" w:hAnsiTheme="minorEastAsia" w:eastAsiaTheme="minorEastAsia" w:cstheme="minorEastAsia"/>
          <w:color w:val="auto"/>
          <w:sz w:val="24"/>
          <w:szCs w:val="24"/>
        </w:rPr>
      </w:pPr>
      <w:bookmarkStart w:id="414" w:name="_Toc321687881"/>
      <w:bookmarkStart w:id="415" w:name="_Toc413527636"/>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pStyle w:val="2"/>
        <w:spacing w:before="200" w:after="200" w:line="440" w:lineRule="exact"/>
        <w:rPr>
          <w:rFonts w:asciiTheme="minorEastAsia" w:hAnsiTheme="minorEastAsia" w:eastAsiaTheme="minorEastAsia" w:cstheme="minorEastAsia"/>
          <w:b w:val="0"/>
          <w:bCs w:val="0"/>
          <w:color w:val="auto"/>
          <w:sz w:val="24"/>
          <w:szCs w:val="24"/>
        </w:rPr>
      </w:pPr>
      <w:bookmarkStart w:id="416" w:name="_Toc3979"/>
      <w:r>
        <w:rPr>
          <w:rFonts w:hint="eastAsia" w:asciiTheme="minorEastAsia" w:hAnsiTheme="minorEastAsia" w:eastAsiaTheme="minorEastAsia" w:cstheme="minorEastAsia"/>
          <w:color w:val="auto"/>
        </w:rPr>
        <w:t>第三章 评标办法</w:t>
      </w:r>
      <w:bookmarkEnd w:id="414"/>
      <w:bookmarkEnd w:id="415"/>
      <w:bookmarkEnd w:id="416"/>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一、评标原则</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评标应遵循公平、公正、科学、择优的原则。</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二、评标组织</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评标工作由招标人依法组建的评标委员会负责，评标委员会的组建见投标人须知前附表，评标委员会成员数量见投标人须知前附表。</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评标委员会应当按照招标文件确定的评标标准和方法，客观、公正对投标文件进行评审和比较，招标文件没有规定的评标标准和方法不得作为评标的依据。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评标委员会对投标文件作出的评审结论，应当符合有关法律、法规、规章和招标文件的规定。</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三、评标程序和内容</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（一）熟悉招标文件和评标办法；</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（二）投标文件的符合性评审；</w:t>
      </w:r>
    </w:p>
    <w:p>
      <w:pPr>
        <w:adjustRightInd w:val="0"/>
        <w:snapToGrid w:val="0"/>
        <w:spacing w:line="360" w:lineRule="exact"/>
        <w:ind w:firstLine="420" w:firstLineChars="200"/>
        <w:rPr>
          <w:rFonts w:ascii="宋体" w:hAnsi="宋体" w:cs="宋体"/>
          <w:strike/>
          <w:color w:val="auto"/>
          <w:szCs w:val="21"/>
        </w:rPr>
      </w:pPr>
      <w:r>
        <w:rPr>
          <w:rFonts w:hint="eastAsia" w:ascii="宋体" w:hAnsi="宋体" w:cs="宋体"/>
          <w:strike/>
          <w:color w:val="auto"/>
          <w:szCs w:val="21"/>
        </w:rPr>
        <w:t>（三）投标文件的资信、业绩评审；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（四）投标文件的技术标评审；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（五）投标文件的商务标评审；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（六）必要时对投标文件中的问题进行询标，包括拟作出否决投标决定前对相关投标人进行的询问核实；</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（七）根据评标办法和标准对投标文件进行综合评分、排序；</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（八）完成评标报告，推荐中标候选人。</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四、评审细则</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（一）投标文件的符合性评审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1.评标委员会应依照招标文件的要求和规定，首先对投标人的投标资格和投标文件进行符合性评审。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2.询标</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（1）投标文件中有含义不明确的内容、明显文字或计算错误，评标委员会认为需要投标人作出必要澄清、说明的，应当组织询标。</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w:t>
      </w:r>
      <w:r>
        <w:rPr>
          <w:rFonts w:hint="eastAsia" w:ascii="宋体" w:hAnsi="宋体" w:cs="宋体"/>
          <w:strike/>
          <w:color w:val="auto"/>
          <w:szCs w:val="21"/>
        </w:rPr>
        <w:t>询标应通过专用录音电话通知相关投标人。</w:t>
      </w:r>
      <w:r>
        <w:rPr>
          <w:rFonts w:hint="eastAsia" w:ascii="宋体" w:hAnsi="宋体" w:cs="宋体"/>
          <w:color w:val="auto"/>
          <w:szCs w:val="21"/>
        </w:rPr>
        <w:t>询标内容及投标人的澄清、说明应当采用书面形式，并不得超出投标文件的范围或者改变投标文件的实质性内容。</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（4）评标委员会不得暗示或者诱导投标人作出澄清、说明，不得接受投标人主动提出的澄清、说明。</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（5）投标人不得通过补充、修改或撤消投标文件中的内容使其成为实质性响应的投标，投标人在投标截止时间以后不得提交任何资料作为评标依据。</w:t>
      </w:r>
    </w:p>
    <w:p>
      <w:pPr>
        <w:adjustRightInd w:val="0"/>
        <w:snapToGrid w:val="0"/>
        <w:spacing w:after="120" w:afterLines="50" w:line="360" w:lineRule="exact"/>
        <w:ind w:firstLine="422" w:firstLineChars="200"/>
        <w:rPr>
          <w:rFonts w:ascii="宋体" w:hAnsi="宋体" w:cs="宋体"/>
          <w:b/>
          <w:color w:val="auto"/>
          <w:szCs w:val="21"/>
        </w:rPr>
      </w:pPr>
      <w:r>
        <w:rPr>
          <w:rFonts w:hint="eastAsia" w:ascii="宋体" w:hAnsi="宋体" w:cs="宋体"/>
          <w:b/>
          <w:color w:val="auto"/>
          <w:szCs w:val="21"/>
        </w:rPr>
        <w:t>（二）技术标（满分70分）</w:t>
      </w:r>
    </w:p>
    <w:tbl>
      <w:tblPr>
        <w:tblStyle w:val="37"/>
        <w:tblW w:w="52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7"/>
        <w:gridCol w:w="7366"/>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820" w:type="pct"/>
            <w:noWrap/>
            <w:vAlign w:val="center"/>
          </w:tcPr>
          <w:p>
            <w:pPr>
              <w:spacing w:line="360" w:lineRule="exact"/>
              <w:rPr>
                <w:rFonts w:ascii="宋体" w:hAnsi="宋体" w:cs="宋体"/>
                <w:b/>
                <w:bCs/>
                <w:color w:val="auto"/>
                <w:szCs w:val="21"/>
              </w:rPr>
            </w:pPr>
            <w:r>
              <w:rPr>
                <w:rFonts w:hint="eastAsia" w:ascii="宋体" w:hAnsi="宋体" w:cs="宋体"/>
                <w:b/>
                <w:color w:val="auto"/>
                <w:szCs w:val="21"/>
              </w:rPr>
              <w:t>评分项目</w:t>
            </w:r>
          </w:p>
        </w:tc>
        <w:tc>
          <w:tcPr>
            <w:tcW w:w="3580" w:type="pct"/>
            <w:noWrap/>
            <w:vAlign w:val="center"/>
          </w:tcPr>
          <w:p>
            <w:pPr>
              <w:spacing w:line="360" w:lineRule="exact"/>
              <w:ind w:firstLine="422"/>
              <w:jc w:val="center"/>
              <w:rPr>
                <w:rFonts w:ascii="宋体" w:hAnsi="宋体" w:cs="宋体"/>
                <w:b/>
                <w:color w:val="auto"/>
                <w:szCs w:val="21"/>
              </w:rPr>
            </w:pPr>
            <w:r>
              <w:rPr>
                <w:rFonts w:hint="eastAsia" w:ascii="宋体" w:hAnsi="宋体" w:cs="宋体"/>
                <w:b/>
                <w:color w:val="auto"/>
                <w:szCs w:val="21"/>
              </w:rPr>
              <w:t>评分标准（细则）</w:t>
            </w:r>
          </w:p>
        </w:tc>
        <w:tc>
          <w:tcPr>
            <w:tcW w:w="598" w:type="pct"/>
            <w:noWrap/>
            <w:vAlign w:val="center"/>
          </w:tcPr>
          <w:p>
            <w:pPr>
              <w:spacing w:line="360" w:lineRule="exact"/>
              <w:jc w:val="center"/>
              <w:rPr>
                <w:rFonts w:ascii="宋体" w:hAnsi="宋体" w:cs="宋体"/>
                <w:b/>
                <w:color w:val="auto"/>
                <w:szCs w:val="21"/>
              </w:rPr>
            </w:pPr>
            <w:r>
              <w:rPr>
                <w:rFonts w:hint="eastAsia" w:ascii="宋体" w:hAnsi="宋体" w:cs="宋体"/>
                <w:b/>
                <w:color w:val="auto"/>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5000" w:type="pct"/>
            <w:gridSpan w:val="3"/>
            <w:noWrap/>
            <w:vAlign w:val="center"/>
          </w:tcPr>
          <w:p>
            <w:pPr>
              <w:spacing w:line="360" w:lineRule="exact"/>
              <w:jc w:val="left"/>
              <w:rPr>
                <w:rFonts w:ascii="宋体" w:hAnsi="宋体" w:cs="宋体"/>
                <w:color w:val="auto"/>
                <w:szCs w:val="21"/>
              </w:rPr>
            </w:pPr>
            <w:r>
              <w:rPr>
                <w:rFonts w:hint="eastAsia" w:ascii="宋体" w:hAnsi="宋体" w:cs="宋体"/>
                <w:color w:val="auto"/>
                <w:szCs w:val="21"/>
              </w:rPr>
              <w:t>一、商务资信部分（21分）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jc w:val="center"/>
        </w:trPr>
        <w:tc>
          <w:tcPr>
            <w:tcW w:w="820" w:type="pct"/>
            <w:noWrap/>
            <w:vAlign w:val="center"/>
          </w:tcPr>
          <w:p>
            <w:pPr>
              <w:spacing w:line="360" w:lineRule="exact"/>
              <w:jc w:val="center"/>
              <w:rPr>
                <w:rFonts w:ascii="宋体" w:hAnsi="宋体" w:cs="宋体"/>
                <w:color w:val="auto"/>
                <w:szCs w:val="21"/>
              </w:rPr>
            </w:pPr>
            <w:r>
              <w:rPr>
                <w:rFonts w:hint="eastAsia" w:ascii="宋体" w:hAnsi="宋体" w:cs="宋体"/>
                <w:b/>
                <w:bCs/>
                <w:color w:val="auto"/>
                <w:szCs w:val="21"/>
              </w:rPr>
              <w:t>业绩</w:t>
            </w:r>
          </w:p>
        </w:tc>
        <w:tc>
          <w:tcPr>
            <w:tcW w:w="3580" w:type="pct"/>
            <w:noWrap/>
            <w:vAlign w:val="center"/>
          </w:tcPr>
          <w:p>
            <w:pPr>
              <w:spacing w:line="360" w:lineRule="exact"/>
              <w:jc w:val="left"/>
              <w:rPr>
                <w:rFonts w:ascii="宋体" w:hAnsi="宋体" w:cs="宋体"/>
                <w:color w:val="auto"/>
                <w:szCs w:val="21"/>
              </w:rPr>
            </w:pPr>
            <w:r>
              <w:rPr>
                <w:rFonts w:hint="eastAsia" w:ascii="宋体" w:hAnsi="宋体" w:cs="宋体"/>
                <w:color w:val="auto"/>
                <w:szCs w:val="21"/>
              </w:rPr>
              <w:t>投标人自2016年1月1日以来（以验收证明时间为准）完成过类似放(辐)射防护项目合同金额在200万元及以上业绩，每个得2分，最高6分。</w:t>
            </w:r>
          </w:p>
          <w:p>
            <w:pPr>
              <w:spacing w:line="360" w:lineRule="exact"/>
              <w:rPr>
                <w:rFonts w:ascii="宋体" w:hAnsi="宋体" w:cs="宋体"/>
                <w:color w:val="auto"/>
                <w:szCs w:val="21"/>
              </w:rPr>
            </w:pPr>
            <w:r>
              <w:rPr>
                <w:rFonts w:hint="eastAsia" w:ascii="宋体" w:hAnsi="宋体" w:cs="宋体"/>
                <w:b/>
                <w:bCs/>
                <w:color w:val="auto"/>
                <w:szCs w:val="21"/>
              </w:rPr>
              <w:t>投标文件中提供合同、验收证明（业主方盖章）复印件，未提供不得分。</w:t>
            </w:r>
          </w:p>
        </w:tc>
        <w:tc>
          <w:tcPr>
            <w:tcW w:w="598" w:type="pct"/>
            <w:noWrap/>
            <w:vAlign w:val="center"/>
          </w:tcPr>
          <w:p>
            <w:pPr>
              <w:spacing w:line="360" w:lineRule="exact"/>
              <w:jc w:val="center"/>
              <w:rPr>
                <w:rFonts w:ascii="宋体" w:hAnsi="宋体" w:cs="宋体"/>
                <w:color w:val="auto"/>
                <w:szCs w:val="21"/>
              </w:rPr>
            </w:pPr>
            <w:r>
              <w:rPr>
                <w:rFonts w:hint="eastAsia" w:ascii="宋体" w:hAnsi="宋体" w:cs="宋体"/>
                <w:color w:val="auto"/>
                <w:szCs w:val="21"/>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820" w:type="pct"/>
            <w:vMerge w:val="restart"/>
            <w:noWrap/>
            <w:vAlign w:val="center"/>
          </w:tcPr>
          <w:p>
            <w:pPr>
              <w:spacing w:line="360" w:lineRule="exact"/>
              <w:jc w:val="center"/>
              <w:rPr>
                <w:rFonts w:ascii="宋体" w:hAnsi="宋体" w:cs="宋体"/>
                <w:b/>
                <w:bCs/>
                <w:color w:val="auto"/>
                <w:szCs w:val="21"/>
              </w:rPr>
            </w:pPr>
            <w:r>
              <w:rPr>
                <w:rFonts w:hint="eastAsia" w:ascii="宋体" w:hAnsi="宋体" w:cs="宋体"/>
                <w:b/>
                <w:bCs/>
                <w:color w:val="auto"/>
                <w:szCs w:val="21"/>
              </w:rPr>
              <w:t>投标人</w:t>
            </w:r>
          </w:p>
          <w:p>
            <w:pPr>
              <w:spacing w:line="360" w:lineRule="exact"/>
              <w:jc w:val="center"/>
              <w:rPr>
                <w:rFonts w:ascii="宋体" w:hAnsi="宋体" w:cs="宋体"/>
                <w:b/>
                <w:bCs/>
                <w:color w:val="auto"/>
                <w:szCs w:val="21"/>
              </w:rPr>
            </w:pPr>
            <w:r>
              <w:rPr>
                <w:rFonts w:hint="eastAsia" w:ascii="宋体" w:hAnsi="宋体" w:cs="宋体"/>
                <w:b/>
                <w:bCs/>
                <w:color w:val="auto"/>
                <w:szCs w:val="21"/>
              </w:rPr>
              <w:t>综合实力</w:t>
            </w:r>
          </w:p>
        </w:tc>
        <w:tc>
          <w:tcPr>
            <w:tcW w:w="3580" w:type="pct"/>
            <w:noWrap/>
            <w:vAlign w:val="center"/>
          </w:tcPr>
          <w:p>
            <w:pPr>
              <w:tabs>
                <w:tab w:val="left" w:pos="4652"/>
                <w:tab w:val="left" w:pos="4836"/>
              </w:tabs>
              <w:spacing w:line="360" w:lineRule="exact"/>
              <w:rPr>
                <w:rFonts w:ascii="宋体" w:hAnsi="宋体" w:cs="宋体"/>
                <w:color w:val="auto"/>
                <w:szCs w:val="21"/>
              </w:rPr>
            </w:pPr>
            <w:r>
              <w:rPr>
                <w:rFonts w:hint="eastAsia" w:ascii="宋体" w:hAnsi="宋体" w:cs="宋体"/>
                <w:color w:val="auto"/>
                <w:szCs w:val="21"/>
              </w:rPr>
              <w:t>具有防护产品相关的发明专利或实用新型专利证书，每提供一个得1分，最高得2分。</w:t>
            </w:r>
          </w:p>
          <w:p>
            <w:pPr>
              <w:tabs>
                <w:tab w:val="left" w:pos="4652"/>
                <w:tab w:val="left" w:pos="4836"/>
              </w:tabs>
              <w:spacing w:line="360" w:lineRule="exact"/>
              <w:rPr>
                <w:rFonts w:ascii="宋体" w:hAnsi="宋体" w:cs="宋体"/>
                <w:b/>
                <w:bCs/>
                <w:color w:val="auto"/>
                <w:szCs w:val="21"/>
              </w:rPr>
            </w:pPr>
            <w:r>
              <w:rPr>
                <w:rFonts w:hint="eastAsia" w:ascii="宋体" w:hAnsi="宋体" w:cs="宋体"/>
                <w:b/>
                <w:bCs/>
                <w:color w:val="auto"/>
                <w:szCs w:val="21"/>
              </w:rPr>
              <w:t>投标文件中提供证书复印件，未提供不得分。</w:t>
            </w:r>
          </w:p>
        </w:tc>
        <w:tc>
          <w:tcPr>
            <w:tcW w:w="598" w:type="pct"/>
            <w:noWrap/>
            <w:vAlign w:val="center"/>
          </w:tcPr>
          <w:p>
            <w:pPr>
              <w:spacing w:line="360" w:lineRule="exact"/>
              <w:jc w:val="center"/>
              <w:rPr>
                <w:rFonts w:ascii="宋体" w:hAnsi="宋体" w:cs="宋体"/>
                <w:color w:val="auto"/>
                <w:szCs w:val="21"/>
              </w:rPr>
            </w:pPr>
            <w:r>
              <w:rPr>
                <w:rFonts w:hint="eastAsia" w:ascii="宋体" w:hAnsi="宋体" w:cs="宋体"/>
                <w:color w:val="auto"/>
                <w:szCs w:val="21"/>
              </w:rPr>
              <w:t>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820" w:type="pct"/>
            <w:vMerge w:val="continue"/>
            <w:noWrap/>
            <w:vAlign w:val="center"/>
          </w:tcPr>
          <w:p>
            <w:pPr>
              <w:spacing w:line="360" w:lineRule="exact"/>
              <w:jc w:val="center"/>
              <w:rPr>
                <w:rFonts w:ascii="宋体" w:hAnsi="宋体" w:cs="宋体"/>
                <w:b/>
                <w:bCs/>
                <w:color w:val="auto"/>
                <w:szCs w:val="21"/>
              </w:rPr>
            </w:pPr>
          </w:p>
        </w:tc>
        <w:tc>
          <w:tcPr>
            <w:tcW w:w="3580" w:type="pct"/>
            <w:noWrap/>
            <w:vAlign w:val="center"/>
          </w:tcPr>
          <w:p>
            <w:pPr>
              <w:tabs>
                <w:tab w:val="left" w:pos="4652"/>
                <w:tab w:val="left" w:pos="4836"/>
              </w:tabs>
              <w:spacing w:line="360" w:lineRule="exact"/>
              <w:rPr>
                <w:rFonts w:ascii="宋体" w:hAnsi="宋体" w:cs="宋体"/>
                <w:color w:val="auto"/>
                <w:szCs w:val="21"/>
              </w:rPr>
            </w:pPr>
            <w:r>
              <w:rPr>
                <w:rFonts w:hint="eastAsia" w:ascii="宋体" w:hAnsi="宋体" w:cs="宋体"/>
                <w:color w:val="auto"/>
                <w:szCs w:val="21"/>
              </w:rPr>
              <w:t>投标人具有信用评级机构出具的资信等级证书，AAA级的得1分；AA级的得0.5分。</w:t>
            </w:r>
          </w:p>
          <w:p>
            <w:pPr>
              <w:tabs>
                <w:tab w:val="left" w:pos="4652"/>
                <w:tab w:val="left" w:pos="4836"/>
              </w:tabs>
              <w:spacing w:line="360" w:lineRule="exact"/>
              <w:rPr>
                <w:rFonts w:ascii="宋体" w:hAnsi="宋体" w:cs="宋体"/>
                <w:bCs/>
                <w:color w:val="auto"/>
                <w:szCs w:val="21"/>
              </w:rPr>
            </w:pPr>
            <w:r>
              <w:rPr>
                <w:rFonts w:hint="eastAsia" w:ascii="宋体" w:hAnsi="宋体" w:cs="宋体"/>
                <w:b/>
                <w:bCs/>
                <w:color w:val="auto"/>
                <w:szCs w:val="21"/>
              </w:rPr>
              <w:t>投标文件中提供证书复印件，未提供不得分。</w:t>
            </w:r>
          </w:p>
        </w:tc>
        <w:tc>
          <w:tcPr>
            <w:tcW w:w="598" w:type="pct"/>
            <w:noWrap/>
            <w:vAlign w:val="center"/>
          </w:tcPr>
          <w:p>
            <w:pPr>
              <w:spacing w:line="360" w:lineRule="exact"/>
              <w:jc w:val="center"/>
              <w:rPr>
                <w:rFonts w:ascii="宋体" w:hAnsi="宋体" w:cs="宋体"/>
                <w:color w:val="auto"/>
                <w:szCs w:val="21"/>
              </w:rPr>
            </w:pPr>
            <w:r>
              <w:rPr>
                <w:rFonts w:hint="eastAsia" w:ascii="宋体" w:hAnsi="宋体" w:cs="宋体"/>
                <w:color w:val="auto"/>
                <w:szCs w:val="21"/>
              </w:rPr>
              <w:t>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820" w:type="pct"/>
            <w:vMerge w:val="continue"/>
            <w:noWrap/>
            <w:vAlign w:val="center"/>
          </w:tcPr>
          <w:p>
            <w:pPr>
              <w:spacing w:line="360" w:lineRule="exact"/>
              <w:jc w:val="center"/>
              <w:rPr>
                <w:rFonts w:ascii="宋体" w:hAnsi="宋体" w:cs="宋体"/>
                <w:b/>
                <w:bCs/>
                <w:color w:val="auto"/>
                <w:szCs w:val="21"/>
              </w:rPr>
            </w:pPr>
          </w:p>
        </w:tc>
        <w:tc>
          <w:tcPr>
            <w:tcW w:w="3580" w:type="pct"/>
            <w:noWrap/>
            <w:vAlign w:val="center"/>
          </w:tcPr>
          <w:p>
            <w:pPr>
              <w:tabs>
                <w:tab w:val="left" w:pos="4652"/>
                <w:tab w:val="left" w:pos="4836"/>
              </w:tabs>
              <w:spacing w:line="360" w:lineRule="exact"/>
              <w:rPr>
                <w:rFonts w:ascii="宋体" w:hAnsi="宋体" w:cs="宋体"/>
                <w:color w:val="auto"/>
                <w:szCs w:val="21"/>
              </w:rPr>
            </w:pPr>
            <w:r>
              <w:rPr>
                <w:rFonts w:hint="eastAsia" w:ascii="宋体" w:hAnsi="宋体" w:cs="宋体"/>
                <w:color w:val="auto"/>
                <w:szCs w:val="21"/>
              </w:rPr>
              <w:t>投标人具备环保工程专业承包三级及以上资质的，得1分。</w:t>
            </w:r>
          </w:p>
          <w:p>
            <w:pPr>
              <w:tabs>
                <w:tab w:val="left" w:pos="4652"/>
                <w:tab w:val="left" w:pos="4836"/>
              </w:tabs>
              <w:spacing w:line="360" w:lineRule="exact"/>
              <w:rPr>
                <w:rFonts w:ascii="宋体" w:hAnsi="宋体" w:cs="宋体"/>
                <w:color w:val="auto"/>
                <w:szCs w:val="21"/>
              </w:rPr>
            </w:pPr>
            <w:r>
              <w:rPr>
                <w:rFonts w:hint="eastAsia" w:ascii="宋体" w:hAnsi="宋体" w:cs="宋体"/>
                <w:b/>
                <w:bCs/>
                <w:color w:val="auto"/>
                <w:szCs w:val="21"/>
              </w:rPr>
              <w:t>投标文件中提供资质证书复印件，未提供不得分。</w:t>
            </w:r>
          </w:p>
        </w:tc>
        <w:tc>
          <w:tcPr>
            <w:tcW w:w="598" w:type="pct"/>
            <w:noWrap/>
            <w:vAlign w:val="center"/>
          </w:tcPr>
          <w:p>
            <w:pPr>
              <w:spacing w:line="360" w:lineRule="exact"/>
              <w:jc w:val="center"/>
              <w:rPr>
                <w:rFonts w:ascii="宋体" w:hAnsi="宋体" w:cs="宋体"/>
                <w:color w:val="auto"/>
                <w:szCs w:val="21"/>
              </w:rPr>
            </w:pPr>
            <w:r>
              <w:rPr>
                <w:rFonts w:hint="eastAsia" w:ascii="宋体" w:hAnsi="宋体" w:cs="宋体"/>
                <w:color w:val="auto"/>
                <w:szCs w:val="21"/>
              </w:rPr>
              <w:t>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2" w:hRule="atLeast"/>
          <w:jc w:val="center"/>
        </w:trPr>
        <w:tc>
          <w:tcPr>
            <w:tcW w:w="820" w:type="pct"/>
            <w:vMerge w:val="continue"/>
            <w:noWrap/>
            <w:vAlign w:val="center"/>
          </w:tcPr>
          <w:p>
            <w:pPr>
              <w:spacing w:line="360" w:lineRule="exact"/>
              <w:ind w:firstLine="422"/>
              <w:jc w:val="center"/>
              <w:rPr>
                <w:rFonts w:ascii="宋体" w:hAnsi="宋体" w:cs="宋体"/>
                <w:b/>
                <w:bCs/>
                <w:color w:val="auto"/>
                <w:szCs w:val="21"/>
              </w:rPr>
            </w:pPr>
          </w:p>
        </w:tc>
        <w:tc>
          <w:tcPr>
            <w:tcW w:w="3580" w:type="pct"/>
            <w:noWrap/>
            <w:vAlign w:val="center"/>
          </w:tcPr>
          <w:p>
            <w:pPr>
              <w:spacing w:line="360" w:lineRule="exact"/>
              <w:rPr>
                <w:rFonts w:ascii="宋体" w:hAnsi="宋体" w:cs="宋体"/>
                <w:color w:val="auto"/>
                <w:szCs w:val="21"/>
              </w:rPr>
            </w:pPr>
            <w:r>
              <w:rPr>
                <w:rFonts w:hint="eastAsia" w:ascii="宋体" w:hAnsi="宋体" w:cs="宋体"/>
                <w:color w:val="auto"/>
                <w:szCs w:val="21"/>
              </w:rPr>
              <w:t>投标人所投主要产品铅板、防护涂料（板）、铅玻璃（观察窗）的技术先进性、科学性比较，铅板、防护涂料（板）、铅玻璃（观察窗）符合X 射线防护材料衰减性能的测定（ GBZ/T147-2002)且具备检测报告，检测报告的委托单位须为投标人）。</w:t>
            </w:r>
          </w:p>
          <w:p>
            <w:pPr>
              <w:spacing w:line="360" w:lineRule="exact"/>
              <w:rPr>
                <w:rFonts w:ascii="宋体" w:hAnsi="宋体" w:cs="宋体"/>
                <w:color w:val="auto"/>
                <w:szCs w:val="21"/>
              </w:rPr>
            </w:pPr>
            <w:r>
              <w:rPr>
                <w:rFonts w:hint="eastAsia" w:ascii="宋体" w:hAnsi="宋体" w:cs="宋体"/>
                <w:color w:val="auto"/>
                <w:szCs w:val="21"/>
              </w:rPr>
              <w:t>须提供印有CNAS或CMA标识的《放射防护器材检测报告》，其中须涵盖有铅板、防护涂料（板）、铅玻璃（观察窗）的，每具备一项合格的，得2分，最高6分。</w:t>
            </w:r>
          </w:p>
          <w:p>
            <w:pPr>
              <w:spacing w:line="360" w:lineRule="exact"/>
              <w:rPr>
                <w:rFonts w:ascii="宋体" w:hAnsi="宋体" w:cs="宋体"/>
                <w:b/>
                <w:bCs/>
                <w:color w:val="auto"/>
                <w:szCs w:val="21"/>
              </w:rPr>
            </w:pPr>
            <w:r>
              <w:rPr>
                <w:rFonts w:hint="eastAsia" w:ascii="宋体" w:hAnsi="宋体" w:cs="宋体"/>
                <w:b/>
                <w:bCs/>
                <w:color w:val="auto"/>
                <w:szCs w:val="21"/>
              </w:rPr>
              <w:t>投标文件中提供检测报告复印件，未提供不得分。</w:t>
            </w:r>
          </w:p>
        </w:tc>
        <w:tc>
          <w:tcPr>
            <w:tcW w:w="598" w:type="pct"/>
            <w:noWrap/>
            <w:vAlign w:val="center"/>
          </w:tcPr>
          <w:p>
            <w:pPr>
              <w:spacing w:line="360" w:lineRule="exact"/>
              <w:jc w:val="center"/>
              <w:rPr>
                <w:rFonts w:ascii="宋体" w:hAnsi="宋体" w:cs="宋体"/>
                <w:color w:val="auto"/>
                <w:szCs w:val="21"/>
              </w:rPr>
            </w:pPr>
            <w:r>
              <w:rPr>
                <w:rFonts w:hint="eastAsia" w:ascii="宋体" w:hAnsi="宋体" w:cs="宋体"/>
                <w:color w:val="auto"/>
                <w:szCs w:val="21"/>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820" w:type="pct"/>
            <w:noWrap/>
            <w:vAlign w:val="center"/>
          </w:tcPr>
          <w:p>
            <w:pPr>
              <w:spacing w:line="360" w:lineRule="exact"/>
              <w:jc w:val="center"/>
              <w:rPr>
                <w:rFonts w:ascii="宋体" w:hAnsi="宋体" w:cs="宋体"/>
                <w:b/>
                <w:bCs/>
                <w:color w:val="auto"/>
                <w:szCs w:val="21"/>
              </w:rPr>
            </w:pPr>
            <w:r>
              <w:rPr>
                <w:rFonts w:hint="eastAsia" w:ascii="宋体" w:hAnsi="宋体" w:cs="宋体"/>
                <w:b/>
                <w:bCs/>
                <w:color w:val="auto"/>
                <w:szCs w:val="21"/>
              </w:rPr>
              <w:t>样品</w:t>
            </w:r>
          </w:p>
        </w:tc>
        <w:tc>
          <w:tcPr>
            <w:tcW w:w="3580" w:type="pct"/>
            <w:noWrap/>
            <w:vAlign w:val="center"/>
          </w:tcPr>
          <w:p>
            <w:pPr>
              <w:pStyle w:val="9"/>
              <w:spacing w:line="360" w:lineRule="exact"/>
              <w:ind w:firstLine="0" w:firstLineChars="0"/>
              <w:rPr>
                <w:rFonts w:ascii="宋体" w:hAnsi="宋体" w:cs="宋体"/>
                <w:color w:val="auto"/>
                <w:szCs w:val="21"/>
              </w:rPr>
            </w:pPr>
            <w:r>
              <w:rPr>
                <w:rFonts w:hint="eastAsia" w:ascii="宋体" w:hAnsi="宋体" w:cs="宋体"/>
                <w:color w:val="auto"/>
                <w:szCs w:val="21"/>
              </w:rPr>
              <w:t>对投标人提供的防护门小样（尺寸不超过650mm×400mm），从其材质、耐用性、坚固性，美观度，生产工艺等情况进行评审，优得4.1-5分，良得2.1-4分，一般得0.1-2分。未提供不得分。</w:t>
            </w:r>
          </w:p>
        </w:tc>
        <w:tc>
          <w:tcPr>
            <w:tcW w:w="598" w:type="pct"/>
            <w:noWrap/>
            <w:vAlign w:val="center"/>
          </w:tcPr>
          <w:p>
            <w:pPr>
              <w:spacing w:line="360" w:lineRule="exact"/>
              <w:jc w:val="center"/>
              <w:rPr>
                <w:rFonts w:ascii="宋体" w:hAnsi="宋体" w:cs="宋体"/>
                <w:color w:val="auto"/>
                <w:szCs w:val="21"/>
              </w:rPr>
            </w:pPr>
            <w:r>
              <w:rPr>
                <w:rFonts w:hint="eastAsia" w:ascii="宋体" w:hAnsi="宋体" w:cs="宋体"/>
                <w:color w:val="auto"/>
                <w:szCs w:val="21"/>
              </w:rPr>
              <w:t>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5000" w:type="pct"/>
            <w:gridSpan w:val="3"/>
            <w:noWrap/>
            <w:vAlign w:val="center"/>
          </w:tcPr>
          <w:p>
            <w:pPr>
              <w:spacing w:line="360" w:lineRule="exact"/>
              <w:jc w:val="left"/>
              <w:rPr>
                <w:rFonts w:ascii="宋体" w:hAnsi="宋体" w:cs="宋体"/>
                <w:color w:val="auto"/>
                <w:szCs w:val="21"/>
              </w:rPr>
            </w:pPr>
            <w:r>
              <w:rPr>
                <w:rFonts w:hint="eastAsia" w:ascii="宋体" w:hAnsi="宋体" w:cs="宋体"/>
                <w:color w:val="auto"/>
                <w:szCs w:val="21"/>
              </w:rPr>
              <w:t>二、技术部分（49分）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820" w:type="pct"/>
            <w:noWrap/>
            <w:vAlign w:val="center"/>
          </w:tcPr>
          <w:p>
            <w:pPr>
              <w:spacing w:line="360" w:lineRule="exact"/>
              <w:jc w:val="center"/>
              <w:rPr>
                <w:rFonts w:ascii="宋体" w:hAnsi="宋体" w:cs="宋体"/>
                <w:b/>
                <w:bCs/>
                <w:color w:val="auto"/>
                <w:szCs w:val="21"/>
              </w:rPr>
            </w:pPr>
            <w:r>
              <w:rPr>
                <w:rFonts w:hint="eastAsia" w:ascii="宋体" w:hAnsi="宋体" w:cs="宋体"/>
                <w:b/>
                <w:bCs/>
                <w:color w:val="auto"/>
                <w:szCs w:val="21"/>
              </w:rPr>
              <w:t>设计施工、</w:t>
            </w:r>
          </w:p>
          <w:p>
            <w:pPr>
              <w:spacing w:line="360" w:lineRule="exact"/>
              <w:jc w:val="center"/>
              <w:rPr>
                <w:rFonts w:ascii="宋体" w:hAnsi="宋体" w:cs="宋体"/>
                <w:b/>
                <w:bCs/>
                <w:color w:val="auto"/>
                <w:szCs w:val="21"/>
              </w:rPr>
            </w:pPr>
            <w:r>
              <w:rPr>
                <w:rFonts w:hint="eastAsia" w:ascii="宋体" w:hAnsi="宋体" w:cs="宋体"/>
                <w:b/>
                <w:bCs/>
                <w:color w:val="auto"/>
                <w:szCs w:val="21"/>
              </w:rPr>
              <w:t>安装实施方案</w:t>
            </w:r>
          </w:p>
        </w:tc>
        <w:tc>
          <w:tcPr>
            <w:tcW w:w="3580" w:type="pct"/>
            <w:noWrap/>
            <w:vAlign w:val="center"/>
          </w:tcPr>
          <w:p>
            <w:pPr>
              <w:spacing w:line="360" w:lineRule="exact"/>
              <w:rPr>
                <w:rFonts w:ascii="宋体" w:hAnsi="宋体" w:cs="宋体"/>
                <w:color w:val="auto"/>
                <w:szCs w:val="21"/>
              </w:rPr>
            </w:pPr>
            <w:r>
              <w:rPr>
                <w:rFonts w:hint="eastAsia" w:ascii="宋体" w:hAnsi="宋体" w:cs="宋体"/>
                <w:color w:val="auto"/>
                <w:szCs w:val="21"/>
              </w:rPr>
              <w:t>根据投标人提供的设计、施工及安装实施方案，包括施工准备、供货、安装调试、施工工艺、使用维护培训、项目验收等内容。评委对其科学性、合理性、规范性、可操作性等进行评审，优得8.1-10分，良得4.1-8分，一般得0.1-4分。</w:t>
            </w:r>
          </w:p>
        </w:tc>
        <w:tc>
          <w:tcPr>
            <w:tcW w:w="598" w:type="pct"/>
            <w:noWrap/>
            <w:vAlign w:val="center"/>
          </w:tcPr>
          <w:p>
            <w:pPr>
              <w:spacing w:line="360" w:lineRule="exact"/>
              <w:ind w:right="-250" w:rightChars="-119"/>
              <w:rPr>
                <w:rFonts w:ascii="宋体" w:hAnsi="宋体" w:cs="宋体"/>
                <w:color w:val="auto"/>
                <w:szCs w:val="21"/>
              </w:rPr>
            </w:pPr>
            <w:r>
              <w:rPr>
                <w:rFonts w:hint="eastAsia" w:ascii="宋体" w:hAnsi="宋体" w:cs="宋体"/>
                <w:color w:val="auto"/>
                <w:szCs w:val="21"/>
              </w:rPr>
              <w:t>0-10分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820" w:type="pct"/>
            <w:noWrap/>
            <w:vAlign w:val="center"/>
          </w:tcPr>
          <w:p>
            <w:pPr>
              <w:spacing w:line="360" w:lineRule="exact"/>
              <w:jc w:val="center"/>
              <w:rPr>
                <w:rFonts w:ascii="宋体" w:hAnsi="宋体" w:cs="宋体"/>
                <w:color w:val="auto"/>
                <w:szCs w:val="21"/>
              </w:rPr>
            </w:pPr>
            <w:r>
              <w:rPr>
                <w:rFonts w:hint="eastAsia" w:ascii="宋体" w:hAnsi="宋体" w:cs="宋体"/>
                <w:b/>
                <w:bCs/>
                <w:color w:val="auto"/>
                <w:szCs w:val="21"/>
              </w:rPr>
              <w:t>进度计划</w:t>
            </w:r>
          </w:p>
        </w:tc>
        <w:tc>
          <w:tcPr>
            <w:tcW w:w="3580" w:type="pct"/>
            <w:noWrap/>
            <w:vAlign w:val="center"/>
          </w:tcPr>
          <w:p>
            <w:pPr>
              <w:spacing w:line="360" w:lineRule="exact"/>
              <w:rPr>
                <w:rFonts w:ascii="宋体" w:hAnsi="宋体" w:cs="宋体"/>
                <w:color w:val="auto"/>
                <w:szCs w:val="21"/>
              </w:rPr>
            </w:pPr>
            <w:r>
              <w:rPr>
                <w:rFonts w:hint="eastAsia" w:ascii="宋体" w:hAnsi="宋体" w:cs="宋体"/>
                <w:color w:val="auto"/>
                <w:szCs w:val="21"/>
              </w:rPr>
              <w:t>进度计划合理、可行的，得4.1-5分；</w:t>
            </w:r>
          </w:p>
          <w:p>
            <w:pPr>
              <w:spacing w:line="360" w:lineRule="exact"/>
              <w:rPr>
                <w:rFonts w:ascii="宋体" w:hAnsi="宋体" w:cs="宋体"/>
                <w:color w:val="auto"/>
                <w:szCs w:val="21"/>
              </w:rPr>
            </w:pPr>
            <w:r>
              <w:rPr>
                <w:rFonts w:hint="eastAsia" w:ascii="宋体" w:hAnsi="宋体" w:cs="宋体"/>
                <w:color w:val="auto"/>
                <w:szCs w:val="21"/>
              </w:rPr>
              <w:t>进度计划较合理、可行的，得2.1-4分；</w:t>
            </w:r>
          </w:p>
          <w:p>
            <w:pPr>
              <w:spacing w:line="360" w:lineRule="exact"/>
              <w:rPr>
                <w:rFonts w:ascii="宋体" w:hAnsi="宋体" w:cs="宋体"/>
                <w:color w:val="auto"/>
                <w:szCs w:val="21"/>
              </w:rPr>
            </w:pPr>
            <w:r>
              <w:rPr>
                <w:rFonts w:hint="eastAsia" w:ascii="宋体" w:hAnsi="宋体" w:cs="宋体"/>
                <w:color w:val="auto"/>
                <w:szCs w:val="21"/>
              </w:rPr>
              <w:t>进度计划一般的，得0.1-2分。</w:t>
            </w:r>
          </w:p>
        </w:tc>
        <w:tc>
          <w:tcPr>
            <w:tcW w:w="598" w:type="pct"/>
            <w:noWrap/>
            <w:vAlign w:val="center"/>
          </w:tcPr>
          <w:p>
            <w:pPr>
              <w:spacing w:line="360" w:lineRule="exact"/>
              <w:rPr>
                <w:rFonts w:ascii="宋体" w:hAnsi="宋体" w:cs="宋体"/>
                <w:color w:val="auto"/>
                <w:szCs w:val="21"/>
              </w:rPr>
            </w:pPr>
            <w:r>
              <w:rPr>
                <w:rFonts w:hint="eastAsia" w:ascii="宋体" w:hAnsi="宋体" w:cs="宋体"/>
                <w:color w:val="auto"/>
                <w:szCs w:val="21"/>
              </w:rPr>
              <w:t>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820" w:type="pct"/>
            <w:noWrap/>
            <w:vAlign w:val="center"/>
          </w:tcPr>
          <w:p>
            <w:pPr>
              <w:spacing w:line="360" w:lineRule="exact"/>
              <w:jc w:val="center"/>
              <w:rPr>
                <w:rFonts w:ascii="宋体" w:hAnsi="宋体" w:cs="宋体"/>
                <w:b/>
                <w:bCs/>
                <w:color w:val="auto"/>
                <w:szCs w:val="21"/>
              </w:rPr>
            </w:pPr>
            <w:r>
              <w:rPr>
                <w:rFonts w:hint="eastAsia" w:ascii="宋体" w:hAnsi="宋体" w:cs="宋体"/>
                <w:b/>
                <w:bCs/>
                <w:color w:val="auto"/>
                <w:szCs w:val="21"/>
              </w:rPr>
              <w:t>合理化建议和改进措施</w:t>
            </w:r>
          </w:p>
        </w:tc>
        <w:tc>
          <w:tcPr>
            <w:tcW w:w="3580" w:type="pct"/>
            <w:noWrap/>
            <w:vAlign w:val="center"/>
          </w:tcPr>
          <w:p>
            <w:pPr>
              <w:spacing w:line="360" w:lineRule="exact"/>
              <w:rPr>
                <w:rFonts w:ascii="宋体" w:hAnsi="宋体" w:cs="宋体"/>
                <w:color w:val="auto"/>
                <w:szCs w:val="21"/>
              </w:rPr>
            </w:pPr>
            <w:r>
              <w:rPr>
                <w:rFonts w:hint="eastAsia" w:ascii="宋体" w:hAnsi="宋体" w:cs="宋体"/>
                <w:color w:val="auto"/>
                <w:szCs w:val="21"/>
              </w:rPr>
              <w:t>根据投标人对本项目提出的合理化建议和改进措施进行评审。优得4.1-6分，良得2.1-4分，一般得0.1-2分。</w:t>
            </w:r>
          </w:p>
        </w:tc>
        <w:tc>
          <w:tcPr>
            <w:tcW w:w="598" w:type="pct"/>
            <w:noWrap/>
            <w:vAlign w:val="center"/>
          </w:tcPr>
          <w:p>
            <w:pPr>
              <w:spacing w:line="360" w:lineRule="exact"/>
              <w:rPr>
                <w:rFonts w:ascii="宋体" w:hAnsi="宋体" w:cs="宋体"/>
                <w:color w:val="auto"/>
                <w:szCs w:val="21"/>
              </w:rPr>
            </w:pPr>
            <w:r>
              <w:rPr>
                <w:rFonts w:hint="eastAsia" w:ascii="宋体" w:hAnsi="宋体" w:cs="宋体"/>
                <w:color w:val="auto"/>
                <w:szCs w:val="21"/>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820" w:type="pct"/>
            <w:noWrap/>
            <w:vAlign w:val="center"/>
          </w:tcPr>
          <w:p>
            <w:pPr>
              <w:spacing w:line="360" w:lineRule="exact"/>
              <w:jc w:val="center"/>
              <w:rPr>
                <w:rFonts w:ascii="宋体" w:hAnsi="宋体" w:cs="宋体"/>
                <w:b/>
                <w:bCs/>
                <w:color w:val="auto"/>
                <w:szCs w:val="21"/>
              </w:rPr>
            </w:pPr>
            <w:r>
              <w:rPr>
                <w:rFonts w:hint="eastAsia" w:ascii="宋体" w:hAnsi="宋体" w:cs="宋体"/>
                <w:b/>
                <w:bCs/>
                <w:color w:val="auto"/>
                <w:szCs w:val="21"/>
              </w:rPr>
              <w:t>项目难点、</w:t>
            </w:r>
          </w:p>
          <w:p>
            <w:pPr>
              <w:spacing w:line="360" w:lineRule="exact"/>
              <w:jc w:val="center"/>
              <w:rPr>
                <w:rFonts w:ascii="宋体" w:hAnsi="宋体" w:cs="宋体"/>
                <w:b/>
                <w:bCs/>
                <w:color w:val="auto"/>
                <w:szCs w:val="21"/>
              </w:rPr>
            </w:pPr>
            <w:r>
              <w:rPr>
                <w:rFonts w:hint="eastAsia" w:ascii="宋体" w:hAnsi="宋体" w:cs="宋体"/>
                <w:b/>
                <w:bCs/>
                <w:color w:val="auto"/>
                <w:szCs w:val="21"/>
              </w:rPr>
              <w:t>要点剖析</w:t>
            </w:r>
          </w:p>
        </w:tc>
        <w:tc>
          <w:tcPr>
            <w:tcW w:w="3580" w:type="pct"/>
            <w:noWrap/>
            <w:vAlign w:val="center"/>
          </w:tcPr>
          <w:p>
            <w:pPr>
              <w:spacing w:line="360" w:lineRule="exact"/>
              <w:rPr>
                <w:rFonts w:ascii="宋体" w:hAnsi="宋体" w:cs="宋体"/>
                <w:color w:val="auto"/>
                <w:szCs w:val="21"/>
              </w:rPr>
            </w:pPr>
            <w:r>
              <w:rPr>
                <w:rFonts w:hint="eastAsia" w:ascii="宋体" w:hAnsi="宋体" w:cs="宋体"/>
                <w:color w:val="auto"/>
                <w:szCs w:val="21"/>
              </w:rPr>
              <w:t>根据投标人对项目现状存在的问题，以及设备拆除、搬迁的难点、要点等问题进行调查剖析，同时提出相应解决方案。优得4.1-5分，良得2.1-4分，一般得0.1-2分。</w:t>
            </w:r>
          </w:p>
        </w:tc>
        <w:tc>
          <w:tcPr>
            <w:tcW w:w="598" w:type="pct"/>
            <w:noWrap/>
            <w:vAlign w:val="center"/>
          </w:tcPr>
          <w:p>
            <w:pPr>
              <w:spacing w:line="360" w:lineRule="exact"/>
              <w:rPr>
                <w:rFonts w:ascii="宋体" w:hAnsi="宋体" w:cs="宋体"/>
                <w:color w:val="auto"/>
                <w:szCs w:val="21"/>
              </w:rPr>
            </w:pPr>
            <w:r>
              <w:rPr>
                <w:rFonts w:hint="eastAsia" w:ascii="宋体" w:hAnsi="宋体" w:cs="宋体"/>
                <w:color w:val="auto"/>
                <w:szCs w:val="21"/>
              </w:rPr>
              <w:t>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820" w:type="pct"/>
            <w:noWrap/>
            <w:vAlign w:val="center"/>
          </w:tcPr>
          <w:p>
            <w:pPr>
              <w:spacing w:line="360" w:lineRule="exact"/>
              <w:jc w:val="center"/>
              <w:rPr>
                <w:rFonts w:ascii="宋体" w:hAnsi="宋体" w:cs="宋体"/>
                <w:b/>
                <w:bCs/>
                <w:color w:val="auto"/>
                <w:szCs w:val="21"/>
              </w:rPr>
            </w:pPr>
            <w:r>
              <w:rPr>
                <w:rFonts w:hint="eastAsia" w:ascii="宋体" w:hAnsi="宋体" w:cs="宋体"/>
                <w:b/>
                <w:bCs/>
                <w:color w:val="auto"/>
                <w:szCs w:val="21"/>
              </w:rPr>
              <w:t>防护材料技术方案</w:t>
            </w:r>
          </w:p>
        </w:tc>
        <w:tc>
          <w:tcPr>
            <w:tcW w:w="3580" w:type="pct"/>
            <w:noWrap/>
            <w:vAlign w:val="center"/>
          </w:tcPr>
          <w:p>
            <w:pPr>
              <w:spacing w:line="360" w:lineRule="exact"/>
              <w:rPr>
                <w:rFonts w:ascii="宋体" w:hAnsi="宋体" w:cs="宋体"/>
                <w:color w:val="auto"/>
                <w:szCs w:val="21"/>
              </w:rPr>
            </w:pPr>
            <w:r>
              <w:rPr>
                <w:rFonts w:hint="eastAsia" w:ascii="宋体" w:hAnsi="宋体" w:cs="宋体"/>
                <w:color w:val="auto"/>
                <w:szCs w:val="21"/>
              </w:rPr>
              <w:t>根据投标人对防护材料技术先进性、可靠性（包括但不限于对各项技术参数、性能，选型、配置的优劣等方面阐述），设计的合理性，制造工艺和质量保证措施，内部零配件等内容进行评审。优得4.1-6分，良得2.1-4分，一般得0.1-2分。</w:t>
            </w:r>
          </w:p>
        </w:tc>
        <w:tc>
          <w:tcPr>
            <w:tcW w:w="598" w:type="pct"/>
            <w:noWrap/>
            <w:vAlign w:val="center"/>
          </w:tcPr>
          <w:p>
            <w:pPr>
              <w:spacing w:line="360" w:lineRule="exact"/>
              <w:rPr>
                <w:rFonts w:ascii="宋体" w:hAnsi="宋体" w:cs="宋体"/>
                <w:color w:val="auto"/>
                <w:szCs w:val="21"/>
              </w:rPr>
            </w:pPr>
            <w:r>
              <w:rPr>
                <w:rFonts w:hint="eastAsia" w:ascii="宋体" w:hAnsi="宋体" w:cs="宋体"/>
                <w:color w:val="auto"/>
                <w:szCs w:val="21"/>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820" w:type="pct"/>
            <w:noWrap/>
            <w:vAlign w:val="center"/>
          </w:tcPr>
          <w:p>
            <w:pPr>
              <w:spacing w:line="360" w:lineRule="exact"/>
              <w:jc w:val="center"/>
              <w:rPr>
                <w:rFonts w:ascii="宋体" w:hAnsi="宋体" w:cs="宋体"/>
                <w:b/>
                <w:bCs/>
                <w:color w:val="auto"/>
                <w:szCs w:val="21"/>
              </w:rPr>
            </w:pPr>
            <w:r>
              <w:rPr>
                <w:rFonts w:hint="eastAsia" w:ascii="宋体" w:hAnsi="宋体" w:cs="宋体"/>
                <w:b/>
                <w:bCs/>
                <w:color w:val="auto"/>
                <w:szCs w:val="21"/>
              </w:rPr>
              <w:t>应急响应方案</w:t>
            </w:r>
          </w:p>
        </w:tc>
        <w:tc>
          <w:tcPr>
            <w:tcW w:w="3580" w:type="pct"/>
            <w:noWrap/>
            <w:vAlign w:val="center"/>
          </w:tcPr>
          <w:p>
            <w:pPr>
              <w:spacing w:line="360" w:lineRule="exact"/>
              <w:rPr>
                <w:rFonts w:ascii="宋体" w:hAnsi="宋体" w:cs="宋体"/>
                <w:color w:val="auto"/>
                <w:szCs w:val="21"/>
              </w:rPr>
            </w:pPr>
            <w:r>
              <w:rPr>
                <w:rFonts w:hint="eastAsia" w:ascii="宋体" w:hAnsi="宋体" w:cs="宋体"/>
                <w:color w:val="auto"/>
                <w:szCs w:val="21"/>
              </w:rPr>
              <w:t>根据投标人提供的应急响应方案的全面性、时效性、科学性等情况进行评审。优得4.1-5分，良得2.1-4分，一般得0.1-2分。</w:t>
            </w:r>
          </w:p>
        </w:tc>
        <w:tc>
          <w:tcPr>
            <w:tcW w:w="598" w:type="pct"/>
            <w:noWrap/>
            <w:vAlign w:val="center"/>
          </w:tcPr>
          <w:p>
            <w:pPr>
              <w:spacing w:line="360" w:lineRule="exact"/>
              <w:rPr>
                <w:rFonts w:ascii="宋体" w:hAnsi="宋体" w:cs="宋体"/>
                <w:color w:val="auto"/>
                <w:szCs w:val="21"/>
              </w:rPr>
            </w:pPr>
            <w:r>
              <w:rPr>
                <w:rFonts w:hint="eastAsia" w:ascii="宋体" w:hAnsi="宋体" w:cs="宋体"/>
                <w:color w:val="auto"/>
                <w:szCs w:val="21"/>
              </w:rPr>
              <w:t>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820" w:type="pct"/>
            <w:noWrap/>
            <w:vAlign w:val="center"/>
          </w:tcPr>
          <w:p>
            <w:pPr>
              <w:spacing w:line="360" w:lineRule="exact"/>
              <w:jc w:val="center"/>
              <w:rPr>
                <w:rFonts w:ascii="宋体" w:hAnsi="宋体" w:cs="宋体"/>
                <w:b/>
                <w:bCs/>
                <w:color w:val="auto"/>
                <w:szCs w:val="21"/>
              </w:rPr>
            </w:pPr>
            <w:r>
              <w:rPr>
                <w:rFonts w:hint="eastAsia" w:ascii="宋体" w:hAnsi="宋体" w:cs="宋体"/>
                <w:color w:val="auto"/>
                <w:szCs w:val="21"/>
              </w:rPr>
              <w:t>售后服务体系、服务标准、备件支持、保修措施</w:t>
            </w:r>
          </w:p>
        </w:tc>
        <w:tc>
          <w:tcPr>
            <w:tcW w:w="3580" w:type="pct"/>
            <w:noWrap/>
            <w:vAlign w:val="center"/>
          </w:tcPr>
          <w:p>
            <w:pPr>
              <w:spacing w:line="360" w:lineRule="exact"/>
              <w:rPr>
                <w:rFonts w:ascii="宋体" w:hAnsi="宋体" w:cs="宋体"/>
                <w:color w:val="auto"/>
                <w:szCs w:val="21"/>
              </w:rPr>
            </w:pPr>
            <w:r>
              <w:rPr>
                <w:rFonts w:hint="eastAsia" w:ascii="宋体" w:hAnsi="宋体" w:cs="宋体"/>
                <w:color w:val="auto"/>
                <w:szCs w:val="21"/>
              </w:rPr>
              <w:t>售后服务体系完善、服务标准规范化程度高、备件齐全、保修措施完善、备品备件质保期后优惠率大的投标单位得4.1-6分；</w:t>
            </w:r>
          </w:p>
          <w:p>
            <w:pPr>
              <w:spacing w:line="360" w:lineRule="exact"/>
              <w:rPr>
                <w:rFonts w:ascii="宋体" w:hAnsi="宋体" w:cs="宋体"/>
                <w:color w:val="auto"/>
                <w:szCs w:val="21"/>
              </w:rPr>
            </w:pPr>
            <w:r>
              <w:rPr>
                <w:rFonts w:hint="eastAsia" w:ascii="宋体" w:hAnsi="宋体" w:cs="宋体"/>
                <w:color w:val="auto"/>
                <w:szCs w:val="21"/>
              </w:rPr>
              <w:t>售后服务体系较完善、服务标准规范化程度较高、备件较齐全、保修措施较完善、备品备件质保期后优惠率较大的投标单位得2.1-4分；</w:t>
            </w:r>
          </w:p>
          <w:p>
            <w:pPr>
              <w:spacing w:line="360" w:lineRule="exact"/>
              <w:rPr>
                <w:rFonts w:ascii="宋体" w:hAnsi="宋体" w:cs="宋体"/>
                <w:color w:val="auto"/>
                <w:szCs w:val="21"/>
              </w:rPr>
            </w:pPr>
            <w:r>
              <w:rPr>
                <w:rFonts w:hint="eastAsia" w:ascii="宋体" w:hAnsi="宋体" w:cs="宋体"/>
                <w:color w:val="auto"/>
                <w:szCs w:val="21"/>
              </w:rPr>
              <w:t>售后服务体系一般、服务标准规范化程度一般、备件量一般、保修措施一般、备品备件质保期后优惠率一般的投标单位得0.1-2分。</w:t>
            </w:r>
          </w:p>
        </w:tc>
        <w:tc>
          <w:tcPr>
            <w:tcW w:w="598" w:type="pct"/>
            <w:noWrap/>
            <w:vAlign w:val="center"/>
          </w:tcPr>
          <w:p>
            <w:pPr>
              <w:spacing w:line="360" w:lineRule="exact"/>
              <w:rPr>
                <w:rFonts w:ascii="宋体" w:hAnsi="宋体" w:cs="宋体"/>
                <w:color w:val="auto"/>
                <w:szCs w:val="21"/>
              </w:rPr>
            </w:pPr>
            <w:r>
              <w:rPr>
                <w:rFonts w:hint="eastAsia" w:ascii="宋体" w:hAnsi="宋体" w:cs="宋体"/>
                <w:color w:val="auto"/>
                <w:szCs w:val="21"/>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0" w:type="pct"/>
            <w:noWrap/>
            <w:vAlign w:val="center"/>
          </w:tcPr>
          <w:p>
            <w:pPr>
              <w:spacing w:line="360" w:lineRule="exact"/>
              <w:jc w:val="center"/>
              <w:rPr>
                <w:rFonts w:ascii="宋体" w:hAnsi="宋体" w:cs="宋体"/>
                <w:b/>
                <w:color w:val="auto"/>
                <w:szCs w:val="21"/>
              </w:rPr>
            </w:pPr>
            <w:r>
              <w:rPr>
                <w:rFonts w:hint="eastAsia" w:ascii="宋体" w:hAnsi="宋体" w:cs="宋体"/>
                <w:b/>
                <w:color w:val="auto"/>
                <w:szCs w:val="21"/>
              </w:rPr>
              <w:t>质保期优惠</w:t>
            </w:r>
          </w:p>
        </w:tc>
        <w:tc>
          <w:tcPr>
            <w:tcW w:w="3580" w:type="pct"/>
            <w:noWrap/>
          </w:tcPr>
          <w:p>
            <w:pPr>
              <w:spacing w:line="360" w:lineRule="exact"/>
              <w:rPr>
                <w:rFonts w:ascii="宋体" w:hAnsi="宋体" w:cs="宋体"/>
                <w:color w:val="auto"/>
                <w:szCs w:val="21"/>
              </w:rPr>
            </w:pPr>
            <w:r>
              <w:rPr>
                <w:rFonts w:hint="eastAsia" w:ascii="宋体" w:hAnsi="宋体" w:cs="宋体"/>
                <w:color w:val="auto"/>
                <w:szCs w:val="21"/>
              </w:rPr>
              <w:t>质保期期限仅满足招标文件规定的质保期要求的，得0分；超过招标文件规定的质保期每12个月的，得2分，最高得6分。（不足12个月的不计分）</w:t>
            </w:r>
          </w:p>
          <w:p>
            <w:pPr>
              <w:pStyle w:val="35"/>
              <w:spacing w:line="360" w:lineRule="exact"/>
              <w:ind w:firstLine="0" w:firstLineChars="0"/>
              <w:rPr>
                <w:rFonts w:ascii="宋体" w:hAnsi="宋体" w:cs="宋体"/>
                <w:color w:val="auto"/>
                <w:sz w:val="21"/>
                <w:szCs w:val="21"/>
              </w:rPr>
            </w:pPr>
            <w:r>
              <w:rPr>
                <w:rFonts w:hint="eastAsia" w:ascii="宋体" w:hAnsi="宋体" w:cs="宋体"/>
                <w:b/>
                <w:bCs/>
                <w:color w:val="auto"/>
                <w:sz w:val="21"/>
                <w:szCs w:val="21"/>
              </w:rPr>
              <w:t>注：质保期优惠包含人工、材料及配件费（含附件列表）等。</w:t>
            </w:r>
          </w:p>
        </w:tc>
        <w:tc>
          <w:tcPr>
            <w:tcW w:w="598" w:type="pct"/>
            <w:noWrap/>
            <w:vAlign w:val="center"/>
          </w:tcPr>
          <w:p>
            <w:pPr>
              <w:spacing w:line="360" w:lineRule="exact"/>
              <w:rPr>
                <w:rFonts w:ascii="宋体" w:hAnsi="宋体" w:cs="宋体"/>
                <w:color w:val="auto"/>
                <w:szCs w:val="21"/>
              </w:rPr>
            </w:pPr>
            <w:r>
              <w:rPr>
                <w:rFonts w:hint="eastAsia" w:ascii="宋体" w:hAnsi="宋体" w:cs="宋体"/>
                <w:color w:val="auto"/>
                <w:szCs w:val="21"/>
              </w:rPr>
              <w:t>0-6分</w:t>
            </w:r>
          </w:p>
        </w:tc>
      </w:tr>
    </w:tbl>
    <w:p>
      <w:pPr>
        <w:adjustRightInd w:val="0"/>
        <w:snapToGrid w:val="0"/>
        <w:spacing w:line="360" w:lineRule="exact"/>
        <w:ind w:firstLine="422" w:firstLineChars="200"/>
        <w:rPr>
          <w:rFonts w:ascii="宋体" w:hAnsi="宋体" w:cs="宋体"/>
          <w:b/>
          <w:color w:val="auto"/>
          <w:szCs w:val="21"/>
          <w:u w:val="single"/>
        </w:rPr>
      </w:pPr>
      <w:r>
        <w:rPr>
          <w:rFonts w:hint="eastAsia" w:ascii="宋体" w:hAnsi="宋体" w:cs="宋体"/>
          <w:b/>
          <w:color w:val="auto"/>
          <w:szCs w:val="21"/>
          <w:u w:val="single"/>
        </w:rPr>
        <w:t>注：</w:t>
      </w:r>
      <w:r>
        <w:rPr>
          <w:rFonts w:hint="eastAsia" w:ascii="宋体" w:hAnsi="宋体" w:cs="宋体"/>
          <w:b/>
          <w:bCs/>
          <w:iCs/>
          <w:color w:val="auto"/>
          <w:szCs w:val="21"/>
          <w:u w:val="single"/>
        </w:rPr>
        <w:t>1.所有证书都应在有效期内，逾期不得分。2.上述评分项目，任何由于投标人原因导致书面及证明材料缺失、字迹模糊无法分辨、内容错漏的情形，均可能导致该投标人的评审项失分。3.中标后招标人将对中标单位的相关评分（包括技术标准和要求中要求提供的证书、报告等内容，如有）原件进行核查，投标人须对提供的相关证明材料真实性负责，如有虚假，将依法承担相应责任，如中标则作无效标处理。</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由评标委员会全体成员负责对投标文件的服务大纲部分采用记名方式各自评分。如发现某个单项的评分超出了规定的分值范围的，则该张评分表无效。各投标人技术标得分为：如评标专家为7人及以上，从评标专家的有效评分中扣除一个最高总分和一个最低总分后的算术平均值（保留小数2位）。</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（三）投标文件的商务标评审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2、报价评审应以报价口径范围一致的投标评标价为依据。投标评标价应在最终报价的基础上，按照招标文件约定的因素和方法进行计算。</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3、评标基准价由评标委员会依据下述方法计算，除计算差错外，确认后的评标基准价在本次招标期间保持不变。</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4、报价评分（0-30分）</w:t>
      </w:r>
    </w:p>
    <w:p>
      <w:pPr>
        <w:adjustRightInd w:val="0"/>
        <w:snapToGrid w:val="0"/>
        <w:spacing w:after="120" w:afterLines="50" w:line="360" w:lineRule="exact"/>
        <w:ind w:firstLine="420" w:firstLineChars="200"/>
        <w:jc w:val="left"/>
        <w:rPr>
          <w:rFonts w:ascii="宋体" w:hAnsi="宋体" w:cs="宋体"/>
          <w:b/>
          <w:color w:val="auto"/>
          <w:szCs w:val="21"/>
        </w:rPr>
      </w:pPr>
      <w:r>
        <w:rPr>
          <w:rFonts w:hint="eastAsia" w:ascii="宋体" w:hAnsi="宋体" w:cs="宋体"/>
          <w:color w:val="auto"/>
          <w:szCs w:val="21"/>
        </w:rPr>
        <w:t>☑</w:t>
      </w:r>
      <w:r>
        <w:rPr>
          <w:rFonts w:hint="eastAsia" w:ascii="宋体" w:hAnsi="宋体" w:cs="宋体"/>
          <w:b/>
          <w:color w:val="auto"/>
          <w:szCs w:val="21"/>
        </w:rPr>
        <w:t xml:space="preserve">  平均价法</w:t>
      </w:r>
    </w:p>
    <w:tbl>
      <w:tblPr>
        <w:tblStyle w:val="3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0"/>
        <w:gridCol w:w="757"/>
        <w:gridCol w:w="6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32" w:type="pct"/>
            <w:vAlign w:val="center"/>
          </w:tcPr>
          <w:p>
            <w:pPr>
              <w:pStyle w:val="84"/>
              <w:spacing w:afterLines="0"/>
              <w:ind w:firstLine="0" w:firstLineChars="0"/>
              <w:jc w:val="center"/>
              <w:rPr>
                <w:rFonts w:ascii="宋体" w:hAnsi="宋体" w:cs="宋体"/>
                <w:b/>
                <w:color w:val="auto"/>
                <w:sz w:val="21"/>
              </w:rPr>
            </w:pPr>
            <w:r>
              <w:rPr>
                <w:rFonts w:hint="eastAsia" w:ascii="宋体" w:hAnsi="宋体" w:cs="宋体"/>
                <w:b/>
                <w:color w:val="auto"/>
                <w:sz w:val="21"/>
              </w:rPr>
              <w:t>评价项目</w:t>
            </w:r>
          </w:p>
        </w:tc>
        <w:tc>
          <w:tcPr>
            <w:tcW w:w="384" w:type="pct"/>
            <w:vAlign w:val="center"/>
          </w:tcPr>
          <w:p>
            <w:pPr>
              <w:pStyle w:val="84"/>
              <w:spacing w:afterLines="0"/>
              <w:ind w:firstLine="0" w:firstLineChars="0"/>
              <w:jc w:val="center"/>
              <w:rPr>
                <w:rFonts w:ascii="宋体" w:hAnsi="宋体" w:cs="宋体"/>
                <w:b/>
                <w:color w:val="auto"/>
                <w:sz w:val="21"/>
              </w:rPr>
            </w:pPr>
            <w:r>
              <w:rPr>
                <w:rFonts w:hint="eastAsia" w:ascii="宋体" w:hAnsi="宋体" w:cs="宋体"/>
                <w:b/>
                <w:color w:val="auto"/>
                <w:sz w:val="21"/>
              </w:rPr>
              <w:t>分值</w:t>
            </w:r>
          </w:p>
        </w:tc>
        <w:tc>
          <w:tcPr>
            <w:tcW w:w="3482" w:type="pct"/>
            <w:vAlign w:val="center"/>
          </w:tcPr>
          <w:p>
            <w:pPr>
              <w:pStyle w:val="84"/>
              <w:spacing w:afterLines="0"/>
              <w:ind w:firstLine="0" w:firstLineChars="0"/>
              <w:jc w:val="center"/>
              <w:rPr>
                <w:rFonts w:ascii="宋体" w:hAnsi="宋体" w:cs="宋体"/>
                <w:b/>
                <w:color w:val="auto"/>
                <w:sz w:val="21"/>
              </w:rPr>
            </w:pPr>
            <w:r>
              <w:rPr>
                <w:rFonts w:hint="eastAsia" w:ascii="宋体" w:hAnsi="宋体" w:cs="宋体"/>
                <w:b/>
                <w:color w:val="auto"/>
                <w:sz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32" w:type="pct"/>
            <w:vAlign w:val="center"/>
          </w:tcPr>
          <w:p>
            <w:pPr>
              <w:pStyle w:val="84"/>
              <w:spacing w:afterLines="0"/>
              <w:ind w:firstLine="0" w:firstLineChars="0"/>
              <w:jc w:val="center"/>
              <w:rPr>
                <w:rFonts w:ascii="宋体" w:hAnsi="宋体" w:cs="宋体"/>
                <w:color w:val="auto"/>
                <w:sz w:val="21"/>
              </w:rPr>
            </w:pPr>
            <w:r>
              <w:rPr>
                <w:rFonts w:hint="eastAsia" w:ascii="宋体" w:hAnsi="宋体" w:cs="宋体"/>
                <w:color w:val="auto"/>
                <w:sz w:val="21"/>
              </w:rPr>
              <w:t>投标报价</w:t>
            </w:r>
          </w:p>
          <w:p>
            <w:pPr>
              <w:pStyle w:val="84"/>
              <w:spacing w:afterLines="0"/>
              <w:ind w:firstLine="0" w:firstLineChars="0"/>
              <w:jc w:val="center"/>
              <w:rPr>
                <w:rFonts w:ascii="宋体" w:hAnsi="宋体" w:cs="宋体"/>
                <w:color w:val="auto"/>
                <w:sz w:val="21"/>
              </w:rPr>
            </w:pPr>
          </w:p>
        </w:tc>
        <w:tc>
          <w:tcPr>
            <w:tcW w:w="384" w:type="pct"/>
            <w:vAlign w:val="center"/>
          </w:tcPr>
          <w:p>
            <w:pPr>
              <w:pStyle w:val="84"/>
              <w:spacing w:afterLines="0"/>
              <w:ind w:firstLine="0" w:firstLineChars="0"/>
              <w:jc w:val="center"/>
              <w:rPr>
                <w:rFonts w:ascii="宋体" w:hAnsi="宋体" w:cs="宋体"/>
                <w:color w:val="auto"/>
                <w:sz w:val="21"/>
              </w:rPr>
            </w:pPr>
            <w:r>
              <w:rPr>
                <w:rFonts w:hint="eastAsia" w:ascii="宋体" w:hAnsi="宋体" w:cs="宋体"/>
                <w:color w:val="auto"/>
                <w:sz w:val="21"/>
              </w:rPr>
              <w:t>30分</w:t>
            </w:r>
          </w:p>
        </w:tc>
        <w:tc>
          <w:tcPr>
            <w:tcW w:w="3482" w:type="pct"/>
            <w:vAlign w:val="center"/>
          </w:tcPr>
          <w:p>
            <w:pPr>
              <w:adjustRightInd w:val="0"/>
              <w:snapToGrid w:val="0"/>
              <w:spacing w:line="360" w:lineRule="exact"/>
              <w:jc w:val="left"/>
              <w:rPr>
                <w:rFonts w:ascii="宋体" w:hAnsi="宋体" w:cs="宋体"/>
                <w:color w:val="auto"/>
                <w:szCs w:val="21"/>
              </w:rPr>
            </w:pPr>
            <w:r>
              <w:rPr>
                <w:rFonts w:hint="eastAsia" w:ascii="宋体" w:hAnsi="宋体" w:cs="宋体"/>
                <w:color w:val="auto"/>
                <w:szCs w:val="21"/>
              </w:rPr>
              <w:t>（1）评分范围：通过符合性审查的所有投标文件进入评分范围。</w:t>
            </w:r>
          </w:p>
          <w:p>
            <w:pPr>
              <w:pStyle w:val="84"/>
              <w:spacing w:afterLines="0" w:line="360" w:lineRule="exact"/>
              <w:ind w:firstLine="0" w:firstLineChars="0"/>
              <w:rPr>
                <w:rFonts w:ascii="宋体" w:hAnsi="宋体" w:cs="宋体"/>
                <w:color w:val="auto"/>
                <w:sz w:val="21"/>
              </w:rPr>
            </w:pPr>
            <w:r>
              <w:rPr>
                <w:rFonts w:hint="eastAsia" w:ascii="宋体" w:hAnsi="宋体" w:cs="宋体"/>
                <w:color w:val="auto"/>
                <w:sz w:val="21"/>
              </w:rPr>
              <w:t>（2）评标基准价：进入评分范围的投标评标价的算术平均值为评标基准价（投标评标价在5个（含）至7个（含）时，去除一个最高价和一个最低价；投标评标价在8个及以上时，去除一个最高、次高价和一个最低、次低价）。</w:t>
            </w:r>
          </w:p>
          <w:p>
            <w:pPr>
              <w:adjustRightInd w:val="0"/>
              <w:snapToGrid w:val="0"/>
              <w:spacing w:line="360" w:lineRule="exact"/>
              <w:jc w:val="left"/>
              <w:rPr>
                <w:rFonts w:ascii="宋体" w:hAnsi="宋体" w:cs="宋体"/>
                <w:color w:val="auto"/>
                <w:szCs w:val="21"/>
              </w:rPr>
            </w:pPr>
            <w:r>
              <w:rPr>
                <w:rFonts w:hint="eastAsia" w:ascii="宋体" w:hAnsi="宋体" w:cs="宋体"/>
                <w:color w:val="auto"/>
                <w:szCs w:val="21"/>
              </w:rPr>
              <w:t>（3）根据投标文件的投标评标价与评标基准价对比，计算各投标人商务报价的得分值。即：</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a.投标评标价等于评标基准价时，得满分</w:t>
            </w:r>
            <w:r>
              <w:rPr>
                <w:rFonts w:hint="eastAsia" w:ascii="宋体" w:hAnsi="宋体" w:cs="宋体"/>
                <w:b/>
                <w:color w:val="auto"/>
                <w:szCs w:val="21"/>
              </w:rPr>
              <w:t>（30分）</w:t>
            </w:r>
            <w:r>
              <w:rPr>
                <w:rFonts w:hint="eastAsia" w:ascii="宋体" w:hAnsi="宋体" w:cs="宋体"/>
                <w:color w:val="auto"/>
                <w:szCs w:val="21"/>
              </w:rPr>
              <w:t>；</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b.投标评标价每低于评标基准价1个百分点，扣1分；</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c.投标评标价每高于评标基准价1个百分点，扣2分。</w:t>
            </w:r>
          </w:p>
          <w:p>
            <w:pPr>
              <w:pStyle w:val="84"/>
              <w:spacing w:afterLines="0" w:line="360" w:lineRule="exact"/>
              <w:ind w:firstLine="0" w:firstLineChars="0"/>
              <w:rPr>
                <w:rFonts w:ascii="宋体" w:hAnsi="宋体" w:cs="宋体"/>
                <w:color w:val="auto"/>
                <w:sz w:val="21"/>
              </w:rPr>
            </w:pPr>
            <w:r>
              <w:rPr>
                <w:rFonts w:hint="eastAsia" w:ascii="宋体" w:hAnsi="宋体" w:cs="宋体"/>
                <w:color w:val="auto"/>
                <w:sz w:val="21"/>
              </w:rPr>
              <w:t>以上报价得分不足一个百分点时，使用直线插入法计算，保留小数2位。</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如投标报价评分不足0分的，则按0分计取。</w:t>
            </w:r>
          </w:p>
        </w:tc>
      </w:tr>
    </w:tbl>
    <w:p>
      <w:pPr>
        <w:pStyle w:val="13"/>
        <w:rPr>
          <w:rFonts w:ascii="宋体" w:hAnsi="宋体" w:cs="宋体"/>
          <w:color w:val="auto"/>
          <w:sz w:val="21"/>
          <w:szCs w:val="21"/>
        </w:rPr>
      </w:pPr>
    </w:p>
    <w:p>
      <w:pPr>
        <w:adjustRightInd w:val="0"/>
        <w:snapToGrid w:val="0"/>
        <w:spacing w:line="360" w:lineRule="exact"/>
        <w:ind w:firstLine="422" w:firstLineChars="200"/>
        <w:rPr>
          <w:rFonts w:ascii="宋体" w:hAnsi="宋体" w:cs="宋体"/>
          <w:color w:val="auto"/>
          <w:szCs w:val="21"/>
        </w:rPr>
      </w:pPr>
      <w:r>
        <w:rPr>
          <w:rFonts w:hint="eastAsia" w:ascii="宋体" w:hAnsi="宋体" w:cs="宋体"/>
          <w:b/>
          <w:color w:val="auto"/>
          <w:szCs w:val="21"/>
        </w:rPr>
        <w:t>（四）投标文件的综合评分：</w:t>
      </w:r>
      <w:r>
        <w:rPr>
          <w:rFonts w:hint="eastAsia" w:ascii="宋体" w:hAnsi="宋体" w:cs="宋体"/>
          <w:color w:val="auto"/>
          <w:szCs w:val="21"/>
        </w:rPr>
        <w:t>投标文件的技术标评分、商务标评分的总和。</w:t>
      </w:r>
    </w:p>
    <w:p>
      <w:pPr>
        <w:adjustRightInd w:val="0"/>
        <w:snapToGrid w:val="0"/>
        <w:spacing w:line="360" w:lineRule="exact"/>
        <w:ind w:firstLine="422" w:firstLineChars="200"/>
        <w:rPr>
          <w:rFonts w:ascii="宋体" w:hAnsi="宋体" w:cs="宋体"/>
          <w:color w:val="auto"/>
          <w:szCs w:val="21"/>
        </w:rPr>
      </w:pPr>
      <w:r>
        <w:rPr>
          <w:rFonts w:hint="eastAsia" w:ascii="宋体" w:hAnsi="宋体" w:cs="宋体"/>
          <w:b/>
          <w:color w:val="auto"/>
          <w:szCs w:val="21"/>
        </w:rPr>
        <w:t>（五）对投标人进行排序，推荐中标候选人</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评标委员会根据综合评分对进入评分范围的投标文件按最终得分由高到低进行排序，评分相同时，报价低者优先；评分、报价均相同时，技术得分高优先；评分、报价、技术得分均相同时，由招标人通过抽签方式排序。</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2、评标委员会根据投标人须知前附表7.1规定，</w:t>
      </w:r>
      <w:r>
        <w:rPr>
          <w:rFonts w:hint="eastAsia" w:ascii="宋体" w:hAnsi="宋体" w:cs="宋体"/>
          <w:strike/>
          <w:color w:val="auto"/>
          <w:szCs w:val="21"/>
        </w:rPr>
        <w:t>确定中标人或</w:t>
      </w:r>
      <w:r>
        <w:rPr>
          <w:rFonts w:hint="eastAsia" w:ascii="宋体" w:hAnsi="宋体" w:cs="宋体"/>
          <w:color w:val="auto"/>
          <w:szCs w:val="21"/>
        </w:rPr>
        <w:t>推荐中标候选人。</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五、完成评标报告</w:t>
      </w:r>
    </w:p>
    <w:p>
      <w:pPr>
        <w:adjustRightInd w:val="0"/>
        <w:snapToGrid w:val="0"/>
        <w:spacing w:line="360" w:lineRule="exact"/>
        <w:ind w:firstLine="422" w:firstLineChars="200"/>
        <w:rPr>
          <w:rFonts w:ascii="宋体" w:hAnsi="宋体" w:cs="宋体"/>
          <w:color w:val="auto"/>
          <w:szCs w:val="21"/>
        </w:rPr>
      </w:pPr>
      <w:r>
        <w:rPr>
          <w:rFonts w:hint="eastAsia" w:ascii="宋体" w:hAnsi="宋体" w:cs="宋体"/>
          <w:b/>
          <w:color w:val="auto"/>
          <w:szCs w:val="21"/>
        </w:rPr>
        <w:t>（一）评标委员会应当向招标人提交书面评标报告。</w:t>
      </w:r>
      <w:r>
        <w:rPr>
          <w:rFonts w:hint="eastAsia" w:ascii="宋体" w:hAnsi="宋体" w:cs="宋体"/>
          <w:color w:val="auto"/>
          <w:szCs w:val="21"/>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（二）评标报告应包括以下内容：</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1、开标记录；</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2、评标内容、过程和结果；</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3、询标澄清纪要；</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4、否决投标情况说明及依据；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5、推荐中标候选人；</w:t>
      </w:r>
    </w:p>
    <w:p>
      <w:pPr>
        <w:adjustRightInd w:val="0"/>
        <w:snapToGrid w:val="0"/>
        <w:spacing w:line="360" w:lineRule="exact"/>
        <w:ind w:firstLine="420" w:firstLineChars="200"/>
        <w:rPr>
          <w:rFonts w:ascii="宋体" w:hAnsi="宋体" w:cs="宋体"/>
          <w:iCs/>
          <w:color w:val="auto"/>
          <w:szCs w:val="21"/>
        </w:rPr>
      </w:pPr>
      <w:r>
        <w:rPr>
          <w:rFonts w:hint="eastAsia" w:ascii="宋体" w:hAnsi="宋体" w:cs="宋体"/>
          <w:color w:val="auto"/>
          <w:szCs w:val="21"/>
        </w:rPr>
        <w:t>6、中标候选人投标资格条件业绩和评分业绩</w:t>
      </w:r>
      <w:r>
        <w:rPr>
          <w:rFonts w:hint="eastAsia" w:ascii="宋体" w:hAnsi="宋体" w:cs="宋体"/>
          <w:iCs/>
          <w:color w:val="auto"/>
          <w:szCs w:val="21"/>
        </w:rPr>
        <w:t>（招标文件对投标资格或评分有业绩要求的）；</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7、其他建议。</w:t>
      </w:r>
      <w:bookmarkStart w:id="417" w:name="_Toc152042387"/>
      <w:bookmarkStart w:id="418" w:name="_Toc144974577"/>
      <w:bookmarkStart w:id="419" w:name="_Toc152045609"/>
      <w:bookmarkStart w:id="420" w:name="_Toc392345963"/>
      <w:bookmarkStart w:id="421" w:name="_Toc229646768"/>
    </w:p>
    <w:p>
      <w:pPr>
        <w:pStyle w:val="2"/>
        <w:spacing w:before="120" w:after="120" w:line="400" w:lineRule="exact"/>
        <w:ind w:firstLine="65" w:firstLineChars="31"/>
        <w:rPr>
          <w:rFonts w:asciiTheme="minorEastAsia" w:hAnsiTheme="minorEastAsia" w:eastAsiaTheme="minorEastAsia" w:cstheme="minorEastAsia"/>
          <w:color w:val="auto"/>
        </w:rPr>
      </w:pPr>
      <w:bookmarkStart w:id="422" w:name="_Toc2565"/>
      <w:r>
        <w:rPr>
          <w:rFonts w:hint="eastAsia" w:ascii="宋体" w:hAnsi="宋体" w:eastAsia="宋体" w:cs="宋体"/>
          <w:bCs w:val="0"/>
          <w:color w:val="auto"/>
          <w:sz w:val="21"/>
          <w:szCs w:val="21"/>
        </w:rPr>
        <w:br w:type="page"/>
      </w:r>
      <w:r>
        <w:rPr>
          <w:rFonts w:hint="eastAsia" w:asciiTheme="minorEastAsia" w:hAnsiTheme="minorEastAsia" w:eastAsiaTheme="minorEastAsia" w:cstheme="minorEastAsia"/>
          <w:color w:val="auto"/>
        </w:rPr>
        <w:t>第四章 合同条款及格式</w:t>
      </w:r>
      <w:bookmarkEnd w:id="417"/>
      <w:bookmarkEnd w:id="418"/>
      <w:bookmarkEnd w:id="419"/>
      <w:bookmarkEnd w:id="420"/>
      <w:bookmarkEnd w:id="421"/>
      <w:bookmarkEnd w:id="422"/>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rPr>
      </w:pPr>
      <w:bookmarkStart w:id="423" w:name="_Toc18320"/>
      <w:bookmarkStart w:id="424" w:name="_Toc406074420"/>
      <w:bookmarkStart w:id="425" w:name="_Toc297017781"/>
      <w:r>
        <w:rPr>
          <w:rFonts w:hint="eastAsia" w:asciiTheme="minorEastAsia" w:hAnsiTheme="minorEastAsia" w:eastAsiaTheme="minorEastAsia" w:cstheme="minorEastAsia"/>
          <w:b/>
          <w:bCs/>
          <w:color w:val="auto"/>
          <w:sz w:val="24"/>
          <w:szCs w:val="24"/>
        </w:rPr>
        <w:t>一、合同协议书</w:t>
      </w:r>
      <w:bookmarkEnd w:id="423"/>
      <w:bookmarkEnd w:id="424"/>
      <w:bookmarkEnd w:id="425"/>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甲方（发包人、总承包单位）：</w:t>
      </w:r>
      <w:r>
        <w:rPr>
          <w:rFonts w:hint="eastAsia" w:ascii="宋体" w:hAnsi="宋体" w:cs="宋体"/>
          <w:color w:val="auto"/>
          <w:szCs w:val="21"/>
          <w:u w:val="single"/>
        </w:rPr>
        <w:t>浙江中成建工集团有限公司</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乙方（承包人）：</w:t>
      </w:r>
      <w:r>
        <w:rPr>
          <w:rFonts w:hint="eastAsia" w:ascii="宋体" w:hAnsi="宋体" w:cs="宋体"/>
          <w:color w:val="auto"/>
          <w:szCs w:val="21"/>
          <w:u w:val="single"/>
        </w:rPr>
        <w:t xml:space="preserve">             （承包人名称）           </w:t>
      </w:r>
    </w:p>
    <w:p>
      <w:pPr>
        <w:keepNext/>
        <w:keepLines/>
        <w:spacing w:line="360" w:lineRule="exact"/>
        <w:ind w:firstLine="420" w:firstLineChars="200"/>
        <w:outlineLvl w:val="1"/>
        <w:rPr>
          <w:rFonts w:ascii="宋体" w:hAnsi="宋体" w:cs="宋体"/>
          <w:color w:val="auto"/>
          <w:szCs w:val="21"/>
          <w:u w:val="single"/>
        </w:rPr>
      </w:pPr>
      <w:r>
        <w:rPr>
          <w:rFonts w:hint="eastAsia" w:ascii="宋体" w:hAnsi="宋体" w:cs="宋体"/>
          <w:color w:val="auto"/>
          <w:szCs w:val="21"/>
        </w:rPr>
        <w:t>丙方（业主、使用人）：</w:t>
      </w:r>
      <w:r>
        <w:rPr>
          <w:rFonts w:hint="eastAsia" w:ascii="宋体" w:hAnsi="宋体" w:cs="宋体"/>
          <w:color w:val="auto"/>
          <w:szCs w:val="21"/>
          <w:u w:val="single"/>
        </w:rPr>
        <w:t>绍兴市中医院、</w:t>
      </w:r>
    </w:p>
    <w:p>
      <w:pPr>
        <w:keepNext/>
        <w:keepLines/>
        <w:spacing w:line="360" w:lineRule="exact"/>
        <w:ind w:firstLine="420" w:firstLineChars="200"/>
        <w:outlineLvl w:val="1"/>
        <w:rPr>
          <w:rFonts w:ascii="宋体" w:hAnsi="宋体" w:cs="宋体"/>
          <w:b/>
          <w:bCs/>
          <w:color w:val="auto"/>
          <w:szCs w:val="21"/>
        </w:rPr>
      </w:pPr>
      <w:r>
        <w:rPr>
          <w:rFonts w:hint="eastAsia" w:ascii="宋体" w:hAnsi="宋体" w:cs="宋体"/>
          <w:color w:val="auto"/>
          <w:szCs w:val="21"/>
          <w:u w:val="single"/>
        </w:rPr>
        <w:t>丁方（代建单位）绍兴市城投建设开发有限公司</w:t>
      </w:r>
    </w:p>
    <w:p>
      <w:pPr>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u w:val="single"/>
        </w:rPr>
        <w:t>鉴于：丙方为</w:t>
      </w:r>
      <w:r>
        <w:rPr>
          <w:rFonts w:hint="eastAsia" w:ascii="宋体" w:hAnsi="宋体" w:cs="宋体"/>
          <w:color w:val="auto"/>
          <w:szCs w:val="21"/>
          <w:u w:val="single"/>
        </w:rPr>
        <w:t>绍兴市中医院改扩建工程建设项目</w:t>
      </w:r>
      <w:r>
        <w:rPr>
          <w:rFonts w:hint="eastAsia" w:ascii="宋体" w:hAnsi="宋体" w:cs="宋体"/>
          <w:snapToGrid w:val="0"/>
          <w:color w:val="auto"/>
          <w:szCs w:val="21"/>
          <w:u w:val="single"/>
        </w:rPr>
        <w:t>业主单位，丁方为该项目代建方，甲方为该项目总承包单位。</w:t>
      </w:r>
      <w:r>
        <w:rPr>
          <w:rFonts w:hint="eastAsia" w:ascii="宋体" w:hAnsi="宋体" w:cs="宋体"/>
          <w:snapToGrid w:val="0"/>
          <w:color w:val="auto"/>
          <w:szCs w:val="21"/>
          <w:u w:val="none"/>
        </w:rPr>
        <w:t>现由</w:t>
      </w:r>
      <w:r>
        <w:rPr>
          <w:rFonts w:hint="eastAsia" w:ascii="宋体" w:hAnsi="宋体" w:cs="宋体"/>
          <w:snapToGrid w:val="0"/>
          <w:color w:val="auto"/>
          <w:szCs w:val="21"/>
        </w:rPr>
        <w:t>甲方作为发包人对所需的进行招标（招标编号：         ）。经甲方定标确定为该承包人（乙方）。甲乙丙丁四方同意按照下面的条款和条件，签署本合同。</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一、项目概况</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1、项目名称：</w:t>
      </w:r>
      <w:r>
        <w:rPr>
          <w:rFonts w:hint="eastAsia" w:ascii="宋体" w:hAnsi="宋体" w:cs="宋体"/>
          <w:color w:val="auto"/>
          <w:szCs w:val="21"/>
          <w:u w:val="single"/>
        </w:rPr>
        <w:t>绍兴市中医院改扩建工程EPC总承包内放射防护项目。</w:t>
      </w:r>
    </w:p>
    <w:p>
      <w:pPr>
        <w:pStyle w:val="35"/>
        <w:spacing w:line="360" w:lineRule="exact"/>
        <w:ind w:firstLineChars="200"/>
        <w:rPr>
          <w:rFonts w:ascii="宋体" w:hAnsi="宋体" w:cs="宋体"/>
          <w:color w:val="auto"/>
          <w:sz w:val="21"/>
          <w:szCs w:val="21"/>
          <w:u w:val="single"/>
        </w:rPr>
      </w:pPr>
      <w:r>
        <w:rPr>
          <w:rFonts w:hint="eastAsia" w:ascii="宋体" w:hAnsi="宋体" w:cs="宋体"/>
          <w:color w:val="auto"/>
          <w:sz w:val="21"/>
          <w:szCs w:val="21"/>
        </w:rPr>
        <w:t>2、项目地点：</w:t>
      </w:r>
      <w:r>
        <w:rPr>
          <w:rFonts w:hint="eastAsia" w:ascii="宋体" w:hAnsi="宋体" w:cs="宋体"/>
          <w:color w:val="auto"/>
          <w:sz w:val="21"/>
          <w:szCs w:val="21"/>
          <w:u w:val="single"/>
        </w:rPr>
        <w:t>项目位于越城区稽山路以东、环城东路及新世纪公寓以西、人民中路以北、东街以南地块。</w:t>
      </w:r>
    </w:p>
    <w:p>
      <w:pPr>
        <w:spacing w:line="360" w:lineRule="exact"/>
        <w:ind w:firstLine="420" w:firstLineChars="200"/>
        <w:jc w:val="left"/>
        <w:rPr>
          <w:color w:val="auto"/>
        </w:rPr>
      </w:pPr>
      <w:r>
        <w:rPr>
          <w:rFonts w:hint="eastAsia" w:ascii="宋体" w:hAnsi="宋体" w:cs="宋体"/>
          <w:color w:val="auto"/>
          <w:szCs w:val="21"/>
        </w:rPr>
        <w:t>3、项目内容：</w:t>
      </w:r>
      <w:r>
        <w:rPr>
          <w:rFonts w:hint="eastAsia" w:ascii="宋体" w:hAnsi="宋体" w:cs="宋体"/>
          <w:color w:val="auto"/>
          <w:szCs w:val="21"/>
          <w:u w:val="single"/>
        </w:rPr>
        <w:t>本招标项目为交钥匙工程，</w:t>
      </w:r>
      <w:r>
        <w:rPr>
          <w:rFonts w:hint="eastAsia" w:ascii="宋体" w:hAnsi="宋体"/>
          <w:color w:val="auto"/>
          <w:kern w:val="2"/>
          <w:szCs w:val="24"/>
          <w:u w:val="single"/>
        </w:rPr>
        <w:t>包括</w:t>
      </w:r>
      <w:r>
        <w:rPr>
          <w:rFonts w:hint="eastAsia" w:hAnsi="宋体"/>
          <w:color w:val="auto"/>
          <w:szCs w:val="24"/>
          <w:u w:val="single"/>
        </w:rPr>
        <w:t>放射</w:t>
      </w:r>
      <w:r>
        <w:rPr>
          <w:rFonts w:hint="eastAsia" w:ascii="宋体" w:hAnsi="宋体"/>
          <w:color w:val="auto"/>
          <w:kern w:val="2"/>
          <w:szCs w:val="24"/>
          <w:u w:val="single"/>
        </w:rPr>
        <w:t>防护系统的设备材料供货、运输、卸货、保管、施工</w:t>
      </w:r>
      <w:r>
        <w:rPr>
          <w:rFonts w:hint="eastAsia" w:hAnsi="宋体"/>
          <w:color w:val="auto"/>
          <w:szCs w:val="24"/>
          <w:u w:val="single"/>
        </w:rPr>
        <w:t>（包括</w:t>
      </w:r>
      <w:r>
        <w:rPr>
          <w:rFonts w:hint="eastAsia" w:ascii="宋体" w:hAnsi="宋体"/>
          <w:color w:val="auto"/>
          <w:u w:val="single"/>
        </w:rPr>
        <w:t>核磁机房绝缘施工,屏蔽安装,屏蔽附件安装；屏蔽室内通风管道安装,照明及电路安装无磁桥架安装,墙面吸音板安装,地面高密度板垫平,地面自流平,地面塑胶地板铺设；顶面铝微孔吸音板安装；桥架安装；设备间空调管道安装；失超管和紧急排风管道安装等。</w:t>
      </w:r>
      <w:r>
        <w:rPr>
          <w:rFonts w:hint="eastAsia" w:hAnsi="宋体"/>
          <w:color w:val="auto"/>
          <w:szCs w:val="24"/>
          <w:u w:val="single"/>
        </w:rPr>
        <w:t>）</w:t>
      </w:r>
      <w:r>
        <w:rPr>
          <w:rFonts w:hint="eastAsia" w:ascii="宋体" w:hAnsi="宋体"/>
          <w:color w:val="auto"/>
          <w:kern w:val="2"/>
          <w:szCs w:val="24"/>
          <w:u w:val="single"/>
        </w:rPr>
        <w:t>、安装调试、检测等，</w:t>
      </w:r>
      <w:r>
        <w:rPr>
          <w:rFonts w:hint="eastAsia" w:ascii="宋体" w:hAnsi="宋体" w:cs="宋体"/>
          <w:color w:val="auto"/>
          <w:szCs w:val="21"/>
          <w:u w:val="single"/>
        </w:rPr>
        <w:t>如有图纸、清单不明确或缺项的内容须无条件按业主要求进行设计和施工，</w:t>
      </w:r>
      <w:r>
        <w:rPr>
          <w:rFonts w:hint="eastAsia" w:ascii="宋体" w:hAnsi="宋体"/>
          <w:color w:val="auto"/>
          <w:kern w:val="2"/>
          <w:szCs w:val="24"/>
          <w:u w:val="single"/>
        </w:rPr>
        <w:t>并最终通过验收</w:t>
      </w:r>
      <w:r>
        <w:rPr>
          <w:rFonts w:hint="eastAsia" w:ascii="宋体" w:hAnsi="宋体" w:cs="宋体"/>
          <w:color w:val="auto"/>
          <w:szCs w:val="21"/>
          <w:u w:val="single"/>
        </w:rPr>
        <w:t>；同时负责技术服务与培训，提交相关完整的技术资料（含操作手册）、施工技术档案以及质保期内的维修保养（含质保期内的维保人员驻点服务）等内容。具体详见招标文件技术标准和要求。</w:t>
      </w:r>
    </w:p>
    <w:p>
      <w:pPr>
        <w:spacing w:line="360" w:lineRule="exact"/>
        <w:rPr>
          <w:rFonts w:ascii="宋体" w:hAnsi="宋体" w:cs="宋体"/>
          <w:b/>
          <w:color w:val="auto"/>
          <w:szCs w:val="21"/>
        </w:rPr>
      </w:pPr>
      <w:r>
        <w:rPr>
          <w:rFonts w:hint="eastAsia" w:ascii="宋体" w:hAnsi="宋体" w:cs="宋体"/>
          <w:b/>
          <w:color w:val="auto"/>
          <w:szCs w:val="21"/>
        </w:rPr>
        <w:t>二、合同范围和条件</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本合同的范围和条件应与上述规定的合同文件内容一致。</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三、合同标的及数量</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本合同要求提供的产品、规格和数量见招标文件相关要求。</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四、合同工期</w:t>
      </w:r>
    </w:p>
    <w:p>
      <w:pPr>
        <w:pStyle w:val="73"/>
        <w:spacing w:line="360" w:lineRule="exact"/>
        <w:ind w:firstLine="420" w:firstLineChars="200"/>
        <w:rPr>
          <w:rFonts w:ascii="宋体" w:hAnsi="宋体" w:cs="宋体"/>
          <w:color w:val="auto"/>
        </w:rPr>
      </w:pPr>
      <w:r>
        <w:rPr>
          <w:rFonts w:hint="eastAsia" w:ascii="宋体" w:hAnsi="宋体" w:cs="宋体"/>
          <w:color w:val="auto"/>
        </w:rPr>
        <w:t>计划开工日期：</w:t>
      </w:r>
      <w:r>
        <w:rPr>
          <w:rFonts w:hint="eastAsia" w:ascii="宋体" w:hAnsi="宋体" w:cs="宋体"/>
          <w:color w:val="auto"/>
          <w:u w:val="single"/>
        </w:rPr>
        <w:t xml:space="preserve">  /  </w:t>
      </w:r>
      <w:r>
        <w:rPr>
          <w:rFonts w:hint="eastAsia" w:ascii="宋体" w:hAnsi="宋体" w:cs="宋体"/>
          <w:color w:val="auto"/>
        </w:rPr>
        <w:t>年</w:t>
      </w:r>
      <w:r>
        <w:rPr>
          <w:rFonts w:hint="eastAsia" w:ascii="宋体" w:hAnsi="宋体" w:cs="宋体"/>
          <w:color w:val="auto"/>
          <w:u w:val="single"/>
        </w:rPr>
        <w:t xml:space="preserve"> / </w:t>
      </w:r>
      <w:r>
        <w:rPr>
          <w:rFonts w:hint="eastAsia" w:ascii="宋体" w:hAnsi="宋体" w:cs="宋体"/>
          <w:color w:val="auto"/>
        </w:rPr>
        <w:t>月</w:t>
      </w:r>
      <w:r>
        <w:rPr>
          <w:rFonts w:hint="eastAsia" w:ascii="宋体" w:hAnsi="宋体" w:cs="宋体"/>
          <w:color w:val="auto"/>
          <w:u w:val="single"/>
        </w:rPr>
        <w:t xml:space="preserve"> / </w:t>
      </w:r>
      <w:r>
        <w:rPr>
          <w:rFonts w:hint="eastAsia" w:ascii="宋体" w:hAnsi="宋体" w:cs="宋体"/>
          <w:color w:val="auto"/>
        </w:rPr>
        <w:t>日。(以开工报告日期为准）</w:t>
      </w:r>
    </w:p>
    <w:p>
      <w:pPr>
        <w:pStyle w:val="73"/>
        <w:spacing w:line="360" w:lineRule="exact"/>
        <w:ind w:firstLine="420" w:firstLineChars="200"/>
        <w:rPr>
          <w:rFonts w:ascii="宋体" w:hAnsi="宋体" w:cs="宋体"/>
          <w:color w:val="auto"/>
        </w:rPr>
      </w:pPr>
      <w:r>
        <w:rPr>
          <w:rFonts w:hint="eastAsia" w:ascii="宋体" w:hAnsi="宋体" w:cs="宋体"/>
          <w:color w:val="auto"/>
        </w:rPr>
        <w:t>计划竣工日期：</w:t>
      </w:r>
      <w:r>
        <w:rPr>
          <w:rFonts w:hint="eastAsia" w:ascii="宋体" w:hAnsi="宋体" w:cs="宋体"/>
          <w:color w:val="auto"/>
          <w:u w:val="single"/>
        </w:rPr>
        <w:t xml:space="preserve"> /  </w:t>
      </w:r>
      <w:r>
        <w:rPr>
          <w:rFonts w:hint="eastAsia" w:ascii="宋体" w:hAnsi="宋体" w:cs="宋体"/>
          <w:color w:val="auto"/>
        </w:rPr>
        <w:t>年</w:t>
      </w:r>
      <w:r>
        <w:rPr>
          <w:rFonts w:hint="eastAsia" w:ascii="宋体" w:hAnsi="宋体" w:cs="宋体"/>
          <w:color w:val="auto"/>
          <w:u w:val="single"/>
        </w:rPr>
        <w:t xml:space="preserve"> / </w:t>
      </w:r>
      <w:r>
        <w:rPr>
          <w:rFonts w:hint="eastAsia" w:ascii="宋体" w:hAnsi="宋体" w:cs="宋体"/>
          <w:color w:val="auto"/>
        </w:rPr>
        <w:t>月</w:t>
      </w:r>
      <w:r>
        <w:rPr>
          <w:rFonts w:hint="eastAsia" w:ascii="宋体" w:hAnsi="宋体" w:cs="宋体"/>
          <w:color w:val="auto"/>
          <w:u w:val="single"/>
        </w:rPr>
        <w:t xml:space="preserve"> / </w:t>
      </w:r>
      <w:r>
        <w:rPr>
          <w:rFonts w:hint="eastAsia" w:ascii="宋体" w:hAnsi="宋体" w:cs="宋体"/>
          <w:color w:val="auto"/>
        </w:rPr>
        <w:t>日。</w:t>
      </w:r>
    </w:p>
    <w:p>
      <w:pPr>
        <w:pStyle w:val="73"/>
        <w:spacing w:line="360" w:lineRule="exact"/>
        <w:ind w:firstLine="420" w:firstLineChars="200"/>
        <w:rPr>
          <w:rFonts w:ascii="宋体" w:hAnsi="宋体" w:cs="宋体"/>
          <w:color w:val="auto"/>
        </w:rPr>
      </w:pPr>
      <w:r>
        <w:rPr>
          <w:rFonts w:hint="eastAsia" w:ascii="宋体" w:hAnsi="宋体" w:cs="宋体"/>
          <w:color w:val="auto"/>
          <w:u w:val="single"/>
        </w:rPr>
        <w:t>90天（自中标通知书发出之日起开始）。</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五、质量标准</w:t>
      </w:r>
    </w:p>
    <w:p>
      <w:pPr>
        <w:pStyle w:val="13"/>
        <w:spacing w:line="360" w:lineRule="exact"/>
        <w:ind w:firstLine="420" w:firstLineChars="200"/>
        <w:rPr>
          <w:rFonts w:ascii="宋体" w:hAnsi="宋体" w:cs="宋体"/>
          <w:color w:val="auto"/>
          <w:sz w:val="21"/>
          <w:szCs w:val="21"/>
        </w:rPr>
      </w:pPr>
      <w:r>
        <w:rPr>
          <w:rFonts w:hint="eastAsia" w:ascii="宋体" w:hAnsi="宋体" w:cs="宋体"/>
          <w:color w:val="auto"/>
          <w:sz w:val="21"/>
          <w:szCs w:val="21"/>
        </w:rPr>
        <w:t>合格，并一次性通过相关机构检测。配合总承包单位争创钱江杯、鲁班奖。</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六、合同总价</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本合同为固定总价合同，合同总价（含税中标价）为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rPr>
        <w:t>，大写</w:t>
      </w:r>
      <w:r>
        <w:rPr>
          <w:rFonts w:hint="eastAsia" w:ascii="宋体" w:hAnsi="宋体" w:cs="宋体"/>
          <w:color w:val="auto"/>
          <w:szCs w:val="21"/>
          <w:u w:val="single"/>
        </w:rPr>
        <w:t xml:space="preserve">      </w:t>
      </w:r>
      <w:r>
        <w:rPr>
          <w:rFonts w:hint="eastAsia" w:ascii="宋体" w:hAnsi="宋体" w:cs="宋体"/>
          <w:color w:val="auto"/>
          <w:szCs w:val="21"/>
        </w:rPr>
        <w:t xml:space="preserve">。 </w:t>
      </w:r>
    </w:p>
    <w:p>
      <w:pPr>
        <w:pStyle w:val="35"/>
        <w:spacing w:line="360" w:lineRule="exact"/>
        <w:ind w:firstLineChars="200"/>
        <w:rPr>
          <w:rFonts w:ascii="宋体" w:hAnsi="宋体" w:cs="宋体"/>
          <w:color w:val="auto"/>
          <w:sz w:val="21"/>
          <w:szCs w:val="21"/>
        </w:rPr>
      </w:pPr>
      <w:r>
        <w:rPr>
          <w:rFonts w:hint="eastAsia" w:ascii="宋体" w:hAnsi="宋体" w:cs="宋体"/>
          <w:color w:val="auto"/>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七、项目负责人</w:t>
      </w:r>
    </w:p>
    <w:p>
      <w:pPr>
        <w:pStyle w:val="35"/>
        <w:spacing w:line="360" w:lineRule="exact"/>
        <w:ind w:firstLineChars="200"/>
        <w:rPr>
          <w:rFonts w:ascii="宋体" w:hAnsi="宋体" w:cs="宋体"/>
          <w:color w:val="auto"/>
          <w:sz w:val="21"/>
          <w:szCs w:val="21"/>
          <w:u w:val="single"/>
        </w:rPr>
      </w:pPr>
      <w:r>
        <w:rPr>
          <w:rFonts w:hint="eastAsia" w:ascii="宋体" w:hAnsi="宋体" w:cs="宋体"/>
          <w:color w:val="auto"/>
          <w:sz w:val="21"/>
          <w:szCs w:val="21"/>
        </w:rPr>
        <w:t>乙方项目负责人：身份证号</w:t>
      </w:r>
      <w:r>
        <w:rPr>
          <w:rFonts w:hint="eastAsia" w:ascii="宋体" w:hAnsi="宋体" w:cs="宋体"/>
          <w:color w:val="auto"/>
          <w:sz w:val="21"/>
          <w:szCs w:val="21"/>
          <w:u w:val="single"/>
        </w:rPr>
        <w:t>：                   。</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八、合同文件</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下列文件构成本合同的组成部分：</w:t>
      </w:r>
    </w:p>
    <w:p>
      <w:pPr>
        <w:spacing w:line="360" w:lineRule="exact"/>
        <w:ind w:firstLine="420" w:firstLineChars="200"/>
        <w:rPr>
          <w:rFonts w:ascii="宋体" w:hAnsi="宋体" w:cs="宋体"/>
          <w:color w:val="auto"/>
          <w:szCs w:val="21"/>
        </w:rPr>
      </w:pPr>
      <w:r>
        <w:rPr>
          <w:rFonts w:hint="eastAsia" w:ascii="宋体" w:hAnsi="宋体" w:cs="宋体"/>
          <w:color w:val="auto"/>
          <w:szCs w:val="21"/>
        </w:rPr>
        <w:t>投标文件、招标文件、中标通知书、成交合同、合同补充条款、补充协议或说明</w:t>
      </w:r>
      <w:r>
        <w:rPr>
          <w:rFonts w:hint="eastAsia" w:ascii="宋体" w:hAnsi="宋体" w:cs="宋体"/>
          <w:strike/>
          <w:color w:val="auto"/>
          <w:szCs w:val="21"/>
        </w:rPr>
        <w:t>（按从后往前的顺序解释）</w:t>
      </w:r>
      <w:r>
        <w:rPr>
          <w:rFonts w:hint="eastAsia" w:ascii="宋体" w:hAnsi="宋体" w:cs="宋体"/>
          <w:color w:val="auto"/>
          <w:szCs w:val="21"/>
        </w:rPr>
        <w:t>。</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九、签订时间</w:t>
      </w:r>
    </w:p>
    <w:p>
      <w:pPr>
        <w:pStyle w:val="35"/>
        <w:spacing w:line="360" w:lineRule="exact"/>
        <w:ind w:firstLineChars="200"/>
        <w:rPr>
          <w:rFonts w:ascii="宋体" w:hAnsi="宋体" w:cs="宋体"/>
          <w:color w:val="auto"/>
          <w:sz w:val="21"/>
          <w:szCs w:val="21"/>
        </w:rPr>
      </w:pPr>
      <w:r>
        <w:rPr>
          <w:rFonts w:hint="eastAsia" w:ascii="宋体" w:hAnsi="宋体" w:cs="宋体"/>
          <w:color w:val="auto"/>
          <w:sz w:val="21"/>
          <w:szCs w:val="21"/>
        </w:rPr>
        <w:t>本合同于年月日签订。</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十、签订地点</w:t>
      </w:r>
    </w:p>
    <w:p>
      <w:pPr>
        <w:pStyle w:val="35"/>
        <w:spacing w:line="360" w:lineRule="exact"/>
        <w:ind w:firstLineChars="200"/>
        <w:rPr>
          <w:rFonts w:ascii="宋体" w:hAnsi="宋体" w:cs="宋体"/>
          <w:color w:val="auto"/>
          <w:sz w:val="21"/>
          <w:szCs w:val="21"/>
        </w:rPr>
      </w:pPr>
      <w:r>
        <w:rPr>
          <w:rFonts w:hint="eastAsia" w:ascii="宋体" w:hAnsi="宋体" w:cs="宋体"/>
          <w:color w:val="auto"/>
          <w:sz w:val="21"/>
          <w:szCs w:val="21"/>
        </w:rPr>
        <w:t>本合同在签订。</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十一、补充地点</w:t>
      </w:r>
    </w:p>
    <w:p>
      <w:pPr>
        <w:pStyle w:val="35"/>
        <w:spacing w:line="360" w:lineRule="exact"/>
        <w:ind w:firstLineChars="200"/>
        <w:rPr>
          <w:rFonts w:ascii="宋体" w:hAnsi="宋体" w:cs="宋体"/>
          <w:color w:val="auto"/>
          <w:sz w:val="21"/>
          <w:szCs w:val="21"/>
        </w:rPr>
      </w:pPr>
      <w:r>
        <w:rPr>
          <w:rFonts w:hint="eastAsia" w:ascii="宋体" w:hAnsi="宋体" w:cs="宋体"/>
          <w:color w:val="auto"/>
          <w:sz w:val="21"/>
          <w:szCs w:val="21"/>
        </w:rPr>
        <w:t>合同未尽事宜，合同当事人另行签订补充协议，补充协议是合同的组成部分。</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十二、合同的生效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本合同在乙方向甲方提交全部履约保证金后，且经甲乙丙丁四方法定代表人或授权代表签字并加盖公章之日起生效。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合同一式16份，正4份（甲、乙、丙、丁方各1份），副本12 份（甲、乙、丙、丁方各3份）。</w:t>
      </w:r>
    </w:p>
    <w:p>
      <w:pPr>
        <w:spacing w:line="360" w:lineRule="exact"/>
        <w:rPr>
          <w:rFonts w:ascii="宋体" w:hAnsi="宋体" w:cs="宋体"/>
          <w:color w:val="auto"/>
          <w:szCs w:val="21"/>
        </w:rPr>
      </w:pP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甲方：(盖章）                          乙方：(盖章）</w:t>
      </w:r>
    </w:p>
    <w:p>
      <w:pPr>
        <w:spacing w:line="360" w:lineRule="exact"/>
        <w:rPr>
          <w:rFonts w:ascii="宋体" w:hAnsi="宋体" w:cs="宋体"/>
          <w:color w:val="auto"/>
          <w:szCs w:val="21"/>
        </w:rPr>
      </w:pP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法定代表人或                                    法定代表人或</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（签字）</w:t>
      </w:r>
      <w:r>
        <w:rPr>
          <w:rFonts w:hint="eastAsia" w:ascii="宋体" w:hAnsi="宋体" w:cs="宋体"/>
          <w:color w:val="auto"/>
          <w:szCs w:val="21"/>
        </w:rPr>
        <w:t xml:space="preserve">                   委托代理人：</w:t>
      </w:r>
      <w:r>
        <w:rPr>
          <w:rFonts w:hint="eastAsia" w:ascii="宋体" w:hAnsi="宋体" w:cs="宋体"/>
          <w:color w:val="auto"/>
          <w:szCs w:val="21"/>
          <w:u w:val="single"/>
        </w:rPr>
        <w:t xml:space="preserve">        (签字) </w:t>
      </w:r>
    </w:p>
    <w:p>
      <w:pPr>
        <w:tabs>
          <w:tab w:val="left" w:pos="4500"/>
        </w:tabs>
        <w:spacing w:line="360" w:lineRule="exact"/>
        <w:ind w:firstLine="420" w:firstLineChars="200"/>
        <w:rPr>
          <w:rFonts w:ascii="宋体" w:hAnsi="宋体" w:cs="宋体"/>
          <w:color w:val="auto"/>
          <w:szCs w:val="21"/>
        </w:rPr>
      </w:pPr>
      <w:r>
        <w:rPr>
          <w:rFonts w:hint="eastAsia" w:ascii="宋体" w:hAnsi="宋体" w:cs="宋体"/>
          <w:color w:val="auto"/>
          <w:szCs w:val="21"/>
        </w:rPr>
        <w:t>地址：                                          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邮政编码：                                      邮政编码：</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电    话：                                      电    话：</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传    真：                                      传    真：</w:t>
      </w:r>
    </w:p>
    <w:p>
      <w:pPr>
        <w:spacing w:line="360" w:lineRule="exact"/>
        <w:ind w:firstLine="420" w:firstLineChars="200"/>
        <w:rPr>
          <w:rFonts w:ascii="宋体" w:hAnsi="宋体" w:cs="宋体"/>
          <w:color w:val="auto"/>
          <w:spacing w:val="-6"/>
          <w:szCs w:val="21"/>
          <w:u w:val="single"/>
        </w:rPr>
      </w:pPr>
      <w:r>
        <w:rPr>
          <w:rFonts w:hint="eastAsia" w:ascii="宋体" w:hAnsi="宋体" w:cs="宋体"/>
          <w:color w:val="auto"/>
          <w:szCs w:val="21"/>
        </w:rPr>
        <w:t>开户银行：                                      开户银行：</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银行账号：                                      银行账号：</w:t>
      </w:r>
    </w:p>
    <w:p>
      <w:pPr>
        <w:tabs>
          <w:tab w:val="left" w:pos="4680"/>
        </w:tabs>
        <w:spacing w:line="360" w:lineRule="exact"/>
        <w:ind w:firstLine="420" w:firstLineChars="200"/>
        <w:rPr>
          <w:rFonts w:ascii="宋体" w:hAnsi="宋体" w:cs="宋体"/>
          <w:color w:val="auto"/>
          <w:szCs w:val="21"/>
        </w:rPr>
      </w:pP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监督方：</w:t>
      </w:r>
      <w:r>
        <w:rPr>
          <w:rFonts w:hint="eastAsia" w:ascii="宋体" w:hAnsi="宋体" w:cs="宋体"/>
          <w:color w:val="auto"/>
          <w:szCs w:val="21"/>
          <w:u w:val="single"/>
        </w:rPr>
        <w:t xml:space="preserve">绍兴市中医院（盖章） </w:t>
      </w:r>
      <w:r>
        <w:rPr>
          <w:rFonts w:hint="eastAsia" w:ascii="宋体" w:hAnsi="宋体" w:cs="宋体"/>
          <w:color w:val="auto"/>
          <w:szCs w:val="21"/>
        </w:rPr>
        <w:t>（丙方）</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法定代表人或   </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邮政编码：</w:t>
      </w:r>
      <w:r>
        <w:rPr>
          <w:rFonts w:hint="eastAsia" w:ascii="宋体" w:hAnsi="宋体" w:cs="宋体"/>
          <w:color w:val="auto"/>
          <w:szCs w:val="21"/>
          <w:u w:val="single"/>
        </w:rPr>
        <w:t xml:space="preserve"> 312000        </w:t>
      </w:r>
    </w:p>
    <w:p>
      <w:pPr>
        <w:tabs>
          <w:tab w:val="left" w:pos="4500"/>
          <w:tab w:val="left" w:pos="4680"/>
        </w:tabs>
        <w:spacing w:line="360" w:lineRule="exact"/>
        <w:ind w:firstLine="420" w:firstLineChars="200"/>
        <w:rPr>
          <w:rFonts w:ascii="宋体" w:hAnsi="宋体" w:cs="宋体"/>
          <w:color w:val="auto"/>
          <w:szCs w:val="21"/>
        </w:rPr>
      </w:pPr>
      <w:r>
        <w:rPr>
          <w:rFonts w:hint="eastAsia" w:ascii="宋体" w:hAnsi="宋体" w:cs="宋体"/>
          <w:color w:val="auto"/>
          <w:szCs w:val="21"/>
        </w:rPr>
        <w:t>传    真：0575-88269882</w:t>
      </w:r>
    </w:p>
    <w:p>
      <w:pPr>
        <w:pStyle w:val="13"/>
        <w:rPr>
          <w:rFonts w:ascii="宋体" w:hAnsi="宋体" w:cs="宋体"/>
          <w:color w:val="auto"/>
          <w:sz w:val="21"/>
          <w:szCs w:val="21"/>
        </w:rPr>
      </w:pPr>
    </w:p>
    <w:p>
      <w:pPr>
        <w:tabs>
          <w:tab w:val="left" w:pos="4680"/>
        </w:tabs>
        <w:spacing w:line="360" w:lineRule="exact"/>
        <w:ind w:firstLine="420" w:firstLineChars="200"/>
        <w:rPr>
          <w:rFonts w:ascii="宋体" w:hAnsi="宋体" w:cs="宋体"/>
          <w:color w:val="auto"/>
          <w:szCs w:val="21"/>
          <w:u w:val="single"/>
        </w:rPr>
      </w:pPr>
      <w:r>
        <w:rPr>
          <w:rFonts w:hint="eastAsia" w:ascii="宋体" w:hAnsi="宋体" w:cs="宋体"/>
          <w:color w:val="auto"/>
          <w:szCs w:val="21"/>
        </w:rPr>
        <w:t>监督方：</w:t>
      </w:r>
      <w:r>
        <w:rPr>
          <w:rFonts w:hint="eastAsia" w:ascii="宋体" w:hAnsi="宋体" w:cs="宋体"/>
          <w:color w:val="auto"/>
          <w:szCs w:val="21"/>
          <w:u w:val="single"/>
        </w:rPr>
        <w:t>绍兴市城投建设开发有限公司（盖章）</w:t>
      </w:r>
      <w:r>
        <w:rPr>
          <w:rFonts w:hint="eastAsia" w:ascii="宋体" w:hAnsi="宋体" w:cs="宋体"/>
          <w:color w:val="auto"/>
          <w:szCs w:val="21"/>
        </w:rPr>
        <w:t>（丁方）</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法定代表人或   </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邮政编码：</w:t>
      </w:r>
      <w:r>
        <w:rPr>
          <w:rFonts w:hint="eastAsia" w:ascii="宋体" w:hAnsi="宋体" w:cs="宋体"/>
          <w:color w:val="auto"/>
          <w:szCs w:val="21"/>
          <w:u w:val="single"/>
        </w:rPr>
        <w:t xml:space="preserve"> 312000  </w:t>
      </w:r>
    </w:p>
    <w:p>
      <w:pPr>
        <w:tabs>
          <w:tab w:val="left" w:pos="4500"/>
          <w:tab w:val="left" w:pos="4680"/>
        </w:tabs>
        <w:spacing w:line="360" w:lineRule="exact"/>
        <w:ind w:firstLine="420" w:firstLineChars="200"/>
        <w:rPr>
          <w:rFonts w:ascii="宋体" w:hAnsi="宋体" w:cs="宋体"/>
          <w:color w:val="auto"/>
          <w:szCs w:val="21"/>
          <w:u w:val="single"/>
        </w:rPr>
      </w:pPr>
      <w:r>
        <w:rPr>
          <w:rFonts w:hint="eastAsia" w:ascii="宋体" w:hAnsi="宋体" w:cs="宋体"/>
          <w:color w:val="auto"/>
          <w:szCs w:val="21"/>
        </w:rPr>
        <w:t>传    真：</w:t>
      </w:r>
    </w:p>
    <w:p>
      <w:pPr>
        <w:pStyle w:val="35"/>
        <w:spacing w:line="360" w:lineRule="exact"/>
        <w:ind w:firstLineChars="200"/>
        <w:rPr>
          <w:rFonts w:ascii="宋体" w:hAnsi="宋体" w:cs="宋体"/>
          <w:color w:val="auto"/>
          <w:sz w:val="21"/>
          <w:szCs w:val="21"/>
        </w:rPr>
      </w:pPr>
    </w:p>
    <w:p>
      <w:pPr>
        <w:tabs>
          <w:tab w:val="left" w:pos="4500"/>
          <w:tab w:val="left" w:pos="4680"/>
        </w:tabs>
        <w:spacing w:line="360" w:lineRule="exact"/>
        <w:ind w:firstLine="420" w:firstLineChars="200"/>
        <w:jc w:val="right"/>
        <w:rPr>
          <w:rFonts w:ascii="宋体" w:hAnsi="宋体" w:cs="宋体"/>
          <w:color w:val="auto"/>
          <w:sz w:val="20"/>
          <w:szCs w:val="20"/>
        </w:rPr>
      </w:pPr>
      <w:r>
        <w:rPr>
          <w:rFonts w:hint="eastAsia" w:ascii="宋体" w:hAnsi="宋体" w:cs="宋体"/>
          <w:color w:val="auto"/>
          <w:szCs w:val="21"/>
        </w:rPr>
        <w:t>签订日期：   年  月  日</w:t>
      </w:r>
    </w:p>
    <w:p>
      <w:pPr>
        <w:spacing w:line="360" w:lineRule="exact"/>
        <w:ind w:firstLine="400" w:firstLineChars="200"/>
        <w:rPr>
          <w:rFonts w:ascii="宋体" w:hAnsi="宋体" w:cs="宋体"/>
          <w:color w:val="auto"/>
          <w:sz w:val="20"/>
          <w:szCs w:val="20"/>
          <w:u w:val="single"/>
        </w:rPr>
      </w:pPr>
    </w:p>
    <w:p>
      <w:pPr>
        <w:pStyle w:val="35"/>
        <w:spacing w:line="360" w:lineRule="auto"/>
        <w:ind w:firstLine="210"/>
        <w:rPr>
          <w:color w:val="auto"/>
          <w:sz w:val="21"/>
          <w:szCs w:val="21"/>
          <w:u w:val="single"/>
        </w:rPr>
      </w:pPr>
    </w:p>
    <w:p>
      <w:pPr>
        <w:spacing w:line="360" w:lineRule="auto"/>
        <w:rPr>
          <w:color w:val="auto"/>
          <w:szCs w:val="21"/>
          <w:u w:val="single"/>
        </w:rPr>
      </w:pPr>
    </w:p>
    <w:p>
      <w:pPr>
        <w:pStyle w:val="35"/>
        <w:spacing w:line="360" w:lineRule="auto"/>
        <w:ind w:firstLine="210"/>
        <w:rPr>
          <w:color w:val="auto"/>
          <w:sz w:val="21"/>
          <w:szCs w:val="21"/>
          <w:u w:val="single"/>
        </w:rPr>
      </w:pPr>
    </w:p>
    <w:p>
      <w:pPr>
        <w:spacing w:line="360" w:lineRule="auto"/>
        <w:rPr>
          <w:color w:val="auto"/>
          <w:szCs w:val="21"/>
          <w:u w:val="single"/>
        </w:rPr>
      </w:pPr>
    </w:p>
    <w:p>
      <w:pPr>
        <w:pStyle w:val="35"/>
        <w:spacing w:line="360" w:lineRule="auto"/>
        <w:ind w:firstLine="210"/>
        <w:rPr>
          <w:color w:val="auto"/>
          <w:sz w:val="21"/>
          <w:szCs w:val="21"/>
          <w:u w:val="single"/>
        </w:rPr>
      </w:pPr>
    </w:p>
    <w:p>
      <w:pPr>
        <w:spacing w:line="360" w:lineRule="auto"/>
        <w:rPr>
          <w:color w:val="auto"/>
          <w:szCs w:val="21"/>
          <w:u w:val="single"/>
        </w:rPr>
      </w:pPr>
    </w:p>
    <w:p>
      <w:pPr>
        <w:pStyle w:val="35"/>
        <w:spacing w:line="360" w:lineRule="auto"/>
        <w:ind w:firstLine="210"/>
        <w:rPr>
          <w:color w:val="auto"/>
          <w:sz w:val="21"/>
          <w:szCs w:val="21"/>
          <w:u w:val="single"/>
        </w:rPr>
      </w:pPr>
    </w:p>
    <w:p>
      <w:pPr>
        <w:spacing w:line="360" w:lineRule="auto"/>
        <w:rPr>
          <w:color w:val="auto"/>
          <w:szCs w:val="21"/>
          <w:u w:val="single"/>
        </w:rPr>
      </w:pPr>
    </w:p>
    <w:p>
      <w:pPr>
        <w:pStyle w:val="35"/>
        <w:spacing w:line="360" w:lineRule="auto"/>
        <w:ind w:firstLine="210"/>
        <w:rPr>
          <w:color w:val="auto"/>
          <w:sz w:val="21"/>
          <w:szCs w:val="21"/>
          <w:u w:val="single"/>
        </w:rPr>
      </w:pPr>
    </w:p>
    <w:p>
      <w:pPr>
        <w:rPr>
          <w:color w:val="auto"/>
          <w:szCs w:val="21"/>
          <w:u w:val="single"/>
        </w:rPr>
      </w:pPr>
    </w:p>
    <w:p>
      <w:pPr>
        <w:pStyle w:val="35"/>
        <w:ind w:firstLine="210"/>
        <w:rPr>
          <w:color w:val="auto"/>
          <w:sz w:val="21"/>
          <w:szCs w:val="21"/>
          <w:u w:val="single"/>
        </w:rPr>
      </w:pPr>
    </w:p>
    <w:p>
      <w:pPr>
        <w:rPr>
          <w:color w:val="auto"/>
          <w:szCs w:val="21"/>
          <w:u w:val="single"/>
        </w:rPr>
      </w:pPr>
    </w:p>
    <w:p>
      <w:pPr>
        <w:pStyle w:val="35"/>
        <w:ind w:firstLine="210"/>
        <w:rPr>
          <w:color w:val="auto"/>
          <w:sz w:val="21"/>
          <w:szCs w:val="21"/>
          <w:u w:val="single"/>
        </w:rPr>
      </w:pPr>
    </w:p>
    <w:p>
      <w:pPr>
        <w:rPr>
          <w:color w:val="auto"/>
          <w:szCs w:val="21"/>
          <w:u w:val="single"/>
        </w:rPr>
      </w:pPr>
    </w:p>
    <w:p>
      <w:pPr>
        <w:pStyle w:val="35"/>
        <w:ind w:firstLine="210"/>
        <w:rPr>
          <w:color w:val="auto"/>
          <w:sz w:val="21"/>
          <w:szCs w:val="21"/>
          <w:u w:val="single"/>
        </w:rPr>
      </w:pPr>
    </w:p>
    <w:p>
      <w:pPr>
        <w:rPr>
          <w:color w:val="auto"/>
          <w:szCs w:val="21"/>
          <w:u w:val="single"/>
        </w:rPr>
      </w:pPr>
    </w:p>
    <w:p>
      <w:pPr>
        <w:pStyle w:val="35"/>
        <w:ind w:firstLine="340"/>
        <w:rPr>
          <w:color w:val="auto"/>
        </w:rPr>
      </w:pPr>
    </w:p>
    <w:p>
      <w:pPr>
        <w:spacing w:line="360" w:lineRule="auto"/>
        <w:rPr>
          <w:color w:val="auto"/>
          <w:szCs w:val="21"/>
          <w:u w:val="single"/>
        </w:rPr>
      </w:pPr>
    </w:p>
    <w:p>
      <w:pPr>
        <w:pStyle w:val="35"/>
        <w:spacing w:line="360" w:lineRule="auto"/>
        <w:ind w:firstLine="210"/>
        <w:rPr>
          <w:color w:val="auto"/>
          <w:sz w:val="21"/>
          <w:szCs w:val="21"/>
          <w:u w:val="single"/>
        </w:rPr>
      </w:pPr>
    </w:p>
    <w:p>
      <w:pPr>
        <w:spacing w:line="360" w:lineRule="auto"/>
        <w:rPr>
          <w:color w:val="auto"/>
          <w:szCs w:val="21"/>
          <w:u w:val="single"/>
        </w:rPr>
      </w:pPr>
    </w:p>
    <w:p>
      <w:pPr>
        <w:spacing w:before="120" w:beforeLines="50" w:after="120" w:afterLines="50" w:line="360" w:lineRule="auto"/>
        <w:jc w:val="center"/>
        <w:rPr>
          <w:b/>
          <w:color w:val="auto"/>
          <w:szCs w:val="21"/>
        </w:rPr>
      </w:pPr>
      <w:bookmarkStart w:id="426" w:name="_Toc406074421"/>
      <w:bookmarkStart w:id="427" w:name="_Toc297017782"/>
      <w:r>
        <w:rPr>
          <w:rFonts w:hint="eastAsia"/>
          <w:b/>
          <w:color w:val="auto"/>
          <w:szCs w:val="21"/>
        </w:rPr>
        <w:br w:type="page"/>
      </w:r>
      <w:r>
        <w:rPr>
          <w:rFonts w:hint="eastAsia"/>
          <w:b/>
          <w:color w:val="auto"/>
          <w:szCs w:val="21"/>
        </w:rPr>
        <w:t>二、合同一般条款</w:t>
      </w:r>
      <w:bookmarkEnd w:id="426"/>
      <w:bookmarkEnd w:id="427"/>
    </w:p>
    <w:p>
      <w:pPr>
        <w:spacing w:line="360" w:lineRule="exact"/>
        <w:ind w:firstLine="420" w:firstLineChars="200"/>
        <w:rPr>
          <w:rFonts w:ascii="宋体" w:hAnsi="宋体" w:cs="宋体"/>
          <w:color w:val="auto"/>
          <w:szCs w:val="21"/>
        </w:rPr>
      </w:pPr>
      <w:r>
        <w:rPr>
          <w:rFonts w:hint="eastAsia" w:ascii="宋体" w:hAnsi="宋体" w:cs="宋体"/>
          <w:color w:val="auto"/>
          <w:szCs w:val="21"/>
        </w:rPr>
        <w:t>1、合同产品的名称、技术规范和数量应与中标通知书、招标文件及被甲方及丙方接受的规格性能偏离表相一致。</w:t>
      </w:r>
    </w:p>
    <w:p>
      <w:pPr>
        <w:spacing w:line="360" w:lineRule="exact"/>
        <w:ind w:firstLine="420" w:firstLineChars="200"/>
        <w:outlineLvl w:val="0"/>
        <w:rPr>
          <w:rFonts w:ascii="宋体" w:hAnsi="宋体" w:cs="宋体"/>
          <w:color w:val="auto"/>
          <w:szCs w:val="21"/>
        </w:rPr>
      </w:pPr>
      <w:bookmarkStart w:id="428" w:name="_Toc28660"/>
      <w:r>
        <w:rPr>
          <w:rFonts w:hint="eastAsia" w:ascii="宋体" w:hAnsi="宋体" w:cs="宋体"/>
          <w:color w:val="auto"/>
          <w:szCs w:val="21"/>
        </w:rPr>
        <w:t>2、产品的质量、技术标准</w:t>
      </w:r>
      <w:bookmarkEnd w:id="428"/>
    </w:p>
    <w:p>
      <w:pPr>
        <w:spacing w:line="360" w:lineRule="exact"/>
        <w:ind w:firstLine="420" w:firstLineChars="200"/>
        <w:rPr>
          <w:rFonts w:ascii="宋体" w:hAnsi="宋体" w:cs="宋体"/>
          <w:color w:val="auto"/>
          <w:szCs w:val="21"/>
        </w:rPr>
      </w:pPr>
      <w:r>
        <w:rPr>
          <w:rFonts w:hint="eastAsia" w:ascii="宋体" w:hAnsi="宋体" w:cs="宋体"/>
          <w:color w:val="auto"/>
          <w:szCs w:val="21"/>
        </w:rPr>
        <w:t>合同产品的质量、技术标准如在招投标文件中无相应说明，则按国家有关部门颁布的最新的国家或专业（部）标准执行及相应的国际标准执行。</w:t>
      </w:r>
    </w:p>
    <w:p>
      <w:pPr>
        <w:spacing w:line="360" w:lineRule="exact"/>
        <w:ind w:firstLine="420" w:firstLineChars="200"/>
        <w:rPr>
          <w:rFonts w:ascii="宋体" w:hAnsi="宋体" w:cs="宋体"/>
          <w:color w:val="auto"/>
          <w:szCs w:val="21"/>
        </w:rPr>
      </w:pPr>
      <w:r>
        <w:rPr>
          <w:rFonts w:hint="eastAsia" w:ascii="宋体" w:hAnsi="宋体" w:cs="宋体"/>
          <w:color w:val="auto"/>
          <w:szCs w:val="21"/>
        </w:rPr>
        <w:t>3、质量保证</w:t>
      </w:r>
    </w:p>
    <w:p>
      <w:pPr>
        <w:spacing w:line="360" w:lineRule="exact"/>
        <w:ind w:firstLine="420" w:firstLineChars="200"/>
        <w:rPr>
          <w:rFonts w:ascii="宋体" w:hAnsi="宋体" w:cs="宋体"/>
          <w:color w:val="auto"/>
          <w:szCs w:val="21"/>
        </w:rPr>
      </w:pPr>
      <w:r>
        <w:rPr>
          <w:rFonts w:hint="eastAsia" w:ascii="宋体" w:hAnsi="宋体" w:cs="宋体"/>
          <w:color w:val="auto"/>
          <w:szCs w:val="21"/>
        </w:rPr>
        <w:t>3.1乙方保证所提供的设备是全新的、未使用过的。</w:t>
      </w:r>
    </w:p>
    <w:p>
      <w:pPr>
        <w:spacing w:line="360" w:lineRule="exact"/>
        <w:ind w:firstLine="420" w:firstLineChars="200"/>
        <w:rPr>
          <w:rFonts w:ascii="宋体" w:hAnsi="宋体" w:cs="宋体"/>
          <w:color w:val="auto"/>
          <w:szCs w:val="21"/>
        </w:rPr>
      </w:pPr>
      <w:r>
        <w:rPr>
          <w:rFonts w:hint="eastAsia" w:ascii="宋体" w:hAnsi="宋体" w:cs="宋体"/>
          <w:color w:val="auto"/>
          <w:szCs w:val="21"/>
        </w:rPr>
        <w:t>3.2乙方保证采用先进的技术、优质的材料和零部件、一流的工艺、严格的质量管理为甲方及丙方提供技术先进、质量上乘、外表美观并完全符合合同规定的质量、规格、性能要求的产品。</w:t>
      </w:r>
    </w:p>
    <w:p>
      <w:pPr>
        <w:spacing w:line="360" w:lineRule="exact"/>
        <w:ind w:firstLine="420" w:firstLineChars="200"/>
        <w:rPr>
          <w:rFonts w:ascii="宋体" w:hAnsi="宋体" w:cs="宋体"/>
          <w:color w:val="auto"/>
          <w:szCs w:val="21"/>
        </w:rPr>
      </w:pPr>
      <w:r>
        <w:rPr>
          <w:rFonts w:hint="eastAsia" w:ascii="宋体" w:hAnsi="宋体" w:cs="宋体"/>
          <w:color w:val="auto"/>
          <w:szCs w:val="21"/>
        </w:rPr>
        <w:t>3.3乙方保证按ISO9000系列标准或相应的质量管理和质量保证体系，对所供设备的设计、采购、制造、检验、涂装、包装、安装、调试等各个环节进行严格的质量管理和质量控制。</w:t>
      </w:r>
    </w:p>
    <w:p>
      <w:pPr>
        <w:spacing w:line="360" w:lineRule="exact"/>
        <w:ind w:firstLine="420" w:firstLineChars="200"/>
        <w:rPr>
          <w:rFonts w:ascii="宋体" w:hAnsi="宋体" w:cs="宋体"/>
          <w:color w:val="auto"/>
          <w:szCs w:val="21"/>
        </w:rPr>
      </w:pPr>
      <w:r>
        <w:rPr>
          <w:rFonts w:hint="eastAsia" w:ascii="宋体" w:hAnsi="宋体" w:cs="宋体"/>
          <w:color w:val="auto"/>
          <w:szCs w:val="21"/>
        </w:rPr>
        <w:t>3.4乙方保证所提供的设备在正确安装、正常使用和维护保养的情况下，具有使甲方及丙方满意的使用性能和使用寿命。</w:t>
      </w:r>
    </w:p>
    <w:p>
      <w:pPr>
        <w:spacing w:line="360" w:lineRule="exact"/>
        <w:ind w:firstLine="420" w:firstLineChars="200"/>
        <w:outlineLvl w:val="0"/>
        <w:rPr>
          <w:rFonts w:ascii="宋体" w:hAnsi="宋体" w:cs="宋体"/>
          <w:color w:val="auto"/>
          <w:szCs w:val="21"/>
        </w:rPr>
      </w:pPr>
      <w:bookmarkStart w:id="429" w:name="_Toc23533"/>
      <w:r>
        <w:rPr>
          <w:rFonts w:hint="eastAsia" w:ascii="宋体" w:hAnsi="宋体" w:cs="宋体"/>
          <w:color w:val="auto"/>
          <w:szCs w:val="21"/>
        </w:rPr>
        <w:t>4、质量保证期</w:t>
      </w:r>
      <w:bookmarkEnd w:id="429"/>
    </w:p>
    <w:p>
      <w:pPr>
        <w:spacing w:line="360" w:lineRule="exact"/>
        <w:ind w:firstLine="420" w:firstLineChars="200"/>
        <w:rPr>
          <w:rFonts w:ascii="宋体" w:hAnsi="宋体" w:cs="宋体"/>
          <w:color w:val="auto"/>
          <w:szCs w:val="21"/>
        </w:rPr>
      </w:pPr>
      <w:r>
        <w:rPr>
          <w:rFonts w:hint="eastAsia" w:ascii="宋体" w:hAnsi="宋体" w:cs="宋体"/>
          <w:color w:val="auto"/>
          <w:szCs w:val="21"/>
        </w:rPr>
        <w:t>产品的质量保证期为使用人使用产品之日起至少</w:t>
      </w:r>
      <w:r>
        <w:rPr>
          <w:rFonts w:hint="eastAsia" w:ascii="宋体" w:hAnsi="宋体" w:cs="宋体"/>
          <w:color w:val="auto"/>
          <w:szCs w:val="21"/>
          <w:u w:val="single"/>
        </w:rPr>
        <w:t xml:space="preserve"> 24 </w:t>
      </w:r>
      <w:r>
        <w:rPr>
          <w:rFonts w:hint="eastAsia" w:ascii="宋体" w:hAnsi="宋体" w:cs="宋体"/>
          <w:bCs/>
          <w:color w:val="auto"/>
          <w:szCs w:val="21"/>
        </w:rPr>
        <w:t>个月</w:t>
      </w:r>
      <w:r>
        <w:rPr>
          <w:rFonts w:hint="eastAsia" w:ascii="宋体" w:hAnsi="宋体" w:cs="宋体"/>
          <w:color w:val="auto"/>
          <w:szCs w:val="21"/>
        </w:rPr>
        <w:t>。在产品质量保证期之内，乙方对由于产品设计、工艺、材料、配套件的缺陷而造成的任何产品质量问题或故障，均承担免费提供同类产品的责任。</w:t>
      </w:r>
    </w:p>
    <w:p>
      <w:pPr>
        <w:spacing w:line="360" w:lineRule="exact"/>
        <w:ind w:firstLine="420" w:firstLineChars="200"/>
        <w:outlineLvl w:val="0"/>
        <w:rPr>
          <w:rFonts w:ascii="宋体" w:hAnsi="宋体" w:cs="宋体"/>
          <w:color w:val="auto"/>
          <w:szCs w:val="21"/>
        </w:rPr>
      </w:pPr>
      <w:bookmarkStart w:id="430" w:name="_Toc4104"/>
      <w:r>
        <w:rPr>
          <w:rFonts w:hint="eastAsia" w:ascii="宋体" w:hAnsi="宋体" w:cs="宋体"/>
          <w:color w:val="auto"/>
          <w:szCs w:val="21"/>
        </w:rPr>
        <w:t>5、合同修改</w:t>
      </w:r>
      <w:bookmarkEnd w:id="430"/>
    </w:p>
    <w:p>
      <w:pPr>
        <w:spacing w:line="360" w:lineRule="exact"/>
        <w:ind w:firstLine="420" w:firstLineChars="200"/>
        <w:rPr>
          <w:rFonts w:ascii="宋体" w:hAnsi="宋体" w:cs="宋体"/>
          <w:color w:val="auto"/>
          <w:szCs w:val="21"/>
        </w:rPr>
      </w:pPr>
      <w:r>
        <w:rPr>
          <w:rFonts w:hint="eastAsia" w:ascii="宋体" w:hAnsi="宋体" w:cs="宋体"/>
          <w:color w:val="auto"/>
          <w:szCs w:val="21"/>
        </w:rPr>
        <w:t>5.1甲乙丙丁的任何一方对合同内容提出修改，均应以书面形式通知其他方，并达成由四方签署的合同修改书。</w:t>
      </w:r>
    </w:p>
    <w:p>
      <w:pPr>
        <w:spacing w:line="360" w:lineRule="exact"/>
        <w:ind w:firstLine="420" w:firstLineChars="200"/>
        <w:rPr>
          <w:rFonts w:ascii="宋体" w:hAnsi="宋体" w:cs="宋体"/>
          <w:color w:val="auto"/>
          <w:szCs w:val="21"/>
        </w:rPr>
      </w:pPr>
      <w:r>
        <w:rPr>
          <w:rFonts w:hint="eastAsia" w:ascii="宋体" w:hAnsi="宋体" w:cs="宋体"/>
          <w:color w:val="auto"/>
          <w:szCs w:val="21"/>
        </w:rPr>
        <w:t>5.2除非甲方及丙方对设备的型号、规格和涉及价格因素的技术参数和配套件提出修改，乙方不得对合同价格提出修改要求。</w:t>
      </w:r>
    </w:p>
    <w:p>
      <w:pPr>
        <w:spacing w:line="360" w:lineRule="exact"/>
        <w:ind w:firstLine="420" w:firstLineChars="200"/>
        <w:outlineLvl w:val="0"/>
        <w:rPr>
          <w:rFonts w:ascii="宋体" w:hAnsi="宋体" w:cs="宋体"/>
          <w:color w:val="auto"/>
          <w:szCs w:val="21"/>
        </w:rPr>
      </w:pPr>
      <w:bookmarkStart w:id="431" w:name="_Toc21842"/>
      <w:r>
        <w:rPr>
          <w:rFonts w:hint="eastAsia" w:ascii="宋体" w:hAnsi="宋体" w:cs="宋体"/>
          <w:color w:val="auto"/>
          <w:szCs w:val="21"/>
        </w:rPr>
        <w:t>6、违约责任</w:t>
      </w:r>
      <w:bookmarkEnd w:id="431"/>
    </w:p>
    <w:p>
      <w:pPr>
        <w:spacing w:line="360" w:lineRule="exact"/>
        <w:ind w:firstLine="420" w:firstLineChars="200"/>
        <w:rPr>
          <w:rFonts w:ascii="宋体" w:hAnsi="宋体" w:cs="宋体"/>
          <w:color w:val="auto"/>
          <w:szCs w:val="21"/>
        </w:rPr>
      </w:pPr>
      <w:r>
        <w:rPr>
          <w:rFonts w:hint="eastAsia" w:ascii="宋体" w:hAnsi="宋体" w:cs="宋体"/>
          <w:color w:val="auto"/>
          <w:szCs w:val="21"/>
        </w:rPr>
        <w:t>6.1产品质量责任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pPr>
        <w:spacing w:line="360" w:lineRule="exact"/>
        <w:ind w:firstLine="420" w:firstLineChars="200"/>
        <w:rPr>
          <w:rFonts w:ascii="宋体" w:hAnsi="宋体" w:cs="宋体"/>
          <w:color w:val="auto"/>
          <w:szCs w:val="21"/>
        </w:rPr>
      </w:pPr>
      <w:r>
        <w:rPr>
          <w:rFonts w:hint="eastAsia" w:ascii="宋体" w:hAnsi="宋体" w:cs="宋体"/>
          <w:color w:val="auto"/>
          <w:szCs w:val="21"/>
        </w:rPr>
        <w:t>2）乙方在接到甲方及丙方通知后，2小时内派人赴现场处理设备质量问题。质保期内乙方须安排专业维保人员驻场，驻场人员数量及资质须满足甲方及丙、丁方需求并获得书面审批。</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3）在产品质量保证期内，由于甲方及丙方保管不善或使用不当造成设备短缺、故障或损坏，由甲方及丙方负责。但乙方保证及时给予补齐或修复。   </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6.2违约赔偿      </w:t>
      </w:r>
    </w:p>
    <w:p>
      <w:pPr>
        <w:spacing w:line="360" w:lineRule="exact"/>
        <w:ind w:firstLine="420" w:firstLineChars="200"/>
        <w:rPr>
          <w:rFonts w:ascii="宋体" w:hAnsi="宋体" w:cs="宋体"/>
          <w:color w:val="auto"/>
          <w:szCs w:val="21"/>
        </w:rPr>
      </w:pPr>
      <w:r>
        <w:rPr>
          <w:rFonts w:hint="eastAsia" w:ascii="宋体" w:hAnsi="宋体" w:cs="宋体"/>
          <w:color w:val="auto"/>
          <w:szCs w:val="21"/>
        </w:rPr>
        <w:t>除不可抗拒力外，如乙方发生不能按期交货或提供服务；甲方及丙方发生中途退货等情况，应及时以书面形式通知对方，并按照合同专用条款承担违约或赔偿责任。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7、争议处理    </w:t>
      </w:r>
    </w:p>
    <w:p>
      <w:pPr>
        <w:spacing w:line="360" w:lineRule="exact"/>
        <w:ind w:firstLine="420" w:firstLineChars="200"/>
        <w:rPr>
          <w:rFonts w:ascii="宋体" w:hAnsi="宋体" w:cs="宋体"/>
          <w:color w:val="auto"/>
          <w:szCs w:val="21"/>
        </w:rPr>
      </w:pPr>
      <w:r>
        <w:rPr>
          <w:rFonts w:hint="eastAsia" w:ascii="宋体" w:hAnsi="宋体" w:cs="宋体"/>
          <w:color w:val="auto"/>
          <w:szCs w:val="21"/>
        </w:rPr>
        <w:t>凡有关本合同或执行本合同中发生的争端，甲方及丙方应通过友好协商，妥善解决。如通过协商仍不能解决时，可向工程所在地人民法院提起诉讼。</w:t>
      </w:r>
    </w:p>
    <w:p>
      <w:pPr>
        <w:spacing w:line="360" w:lineRule="exact"/>
        <w:ind w:firstLine="420" w:firstLineChars="200"/>
        <w:rPr>
          <w:rFonts w:ascii="宋体" w:hAnsi="宋体" w:cs="宋体"/>
          <w:color w:val="auto"/>
          <w:szCs w:val="21"/>
        </w:rPr>
      </w:pPr>
      <w:r>
        <w:rPr>
          <w:rFonts w:hint="eastAsia" w:ascii="宋体" w:hAnsi="宋体" w:cs="宋体"/>
          <w:color w:val="auto"/>
          <w:szCs w:val="21"/>
        </w:rPr>
        <w:t>8、合同生效及其他</w:t>
      </w:r>
    </w:p>
    <w:p>
      <w:pPr>
        <w:spacing w:line="360" w:lineRule="exact"/>
        <w:ind w:firstLine="420" w:firstLineChars="200"/>
        <w:rPr>
          <w:rFonts w:ascii="宋体" w:hAnsi="宋体" w:cs="宋体"/>
          <w:color w:val="auto"/>
          <w:szCs w:val="21"/>
        </w:rPr>
      </w:pPr>
      <w:r>
        <w:rPr>
          <w:rFonts w:hint="eastAsia" w:ascii="宋体" w:hAnsi="宋体" w:cs="宋体"/>
          <w:color w:val="auto"/>
          <w:szCs w:val="21"/>
        </w:rPr>
        <w:t>8.1合同应在各方签字盖章后开始生效。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8.2本合同一式16份，正本4份（甲、乙、丙、丁方各1份），副本12份（甲、乙、丙、丁方各3份），同等生效。</w:t>
      </w:r>
    </w:p>
    <w:p>
      <w:pPr>
        <w:keepNext/>
        <w:keepLines/>
        <w:spacing w:before="360" w:beforeLines="150" w:after="120" w:afterLines="50" w:line="360" w:lineRule="auto"/>
        <w:jc w:val="center"/>
        <w:outlineLvl w:val="1"/>
        <w:rPr>
          <w:b/>
          <w:bCs/>
          <w:color w:val="auto"/>
          <w:sz w:val="24"/>
          <w:szCs w:val="24"/>
        </w:rPr>
      </w:pPr>
      <w:r>
        <w:rPr>
          <w:rFonts w:hint="eastAsia"/>
          <w:b/>
          <w:bCs/>
          <w:color w:val="auto"/>
          <w:szCs w:val="21"/>
        </w:rPr>
        <w:br w:type="page"/>
      </w:r>
      <w:bookmarkStart w:id="432" w:name="_Toc17297"/>
      <w:bookmarkStart w:id="433" w:name="_Toc297017783"/>
      <w:bookmarkStart w:id="434" w:name="_Toc406074422"/>
      <w:r>
        <w:rPr>
          <w:rFonts w:hint="eastAsia"/>
          <w:b/>
          <w:bCs/>
          <w:color w:val="auto"/>
          <w:sz w:val="24"/>
          <w:szCs w:val="24"/>
        </w:rPr>
        <w:t>三、合同专用条款</w:t>
      </w:r>
      <w:bookmarkEnd w:id="432"/>
      <w:bookmarkEnd w:id="433"/>
      <w:bookmarkEnd w:id="434"/>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本合同专用条款是对合同一般条款的补充，两者之间如有抵触，以本专用条款为准。</w:t>
      </w:r>
    </w:p>
    <w:p>
      <w:pPr>
        <w:tabs>
          <w:tab w:val="left" w:pos="732"/>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1、合同交货期    </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90天（自中标通知书发出之日起开始）。包括深化设计、制造、采购工期（甲方提供的招标图纸中如遇不满足规范要求或因规范更新不满足新规范要求等情况，乙方在深化过程中有义务进行优化，并严格按照满足现行规范要求实施。深化设计图纸须经主体设计单位审核通过，并经监理、甲方及丙方、丁方同意后实施），现场安装（含配套土建）、调试、交验、配合土建验收。甲方及丙、丁方发出书面排产通知日开始计算工期。</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2、交货方式</w:t>
      </w:r>
      <w:r>
        <w:rPr>
          <w:rFonts w:hint="eastAsia" w:ascii="宋体" w:hAnsi="宋体" w:cs="宋体"/>
          <w:color w:val="auto"/>
          <w:szCs w:val="21"/>
          <w:u w:val="single"/>
        </w:rPr>
        <w:t>绍兴市中医院改扩建工程</w:t>
      </w:r>
      <w:r>
        <w:rPr>
          <w:rFonts w:hint="eastAsia" w:ascii="宋体" w:hAnsi="宋体" w:cs="宋体"/>
          <w:color w:val="auto"/>
          <w:szCs w:val="21"/>
        </w:rPr>
        <w:t>项目现场交货。乙方将设备运抵工地现场并初验合格的日期为交货日期。甲方及丙、丁方可以要求乙方根据工程进度要求分批交货但不再额外增加其他费用。</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3、交货地点</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u w:val="single"/>
        </w:rPr>
        <w:t>绍兴市中医院改扩建工程</w:t>
      </w:r>
      <w:r>
        <w:rPr>
          <w:rFonts w:hint="eastAsia" w:ascii="宋体" w:hAnsi="宋体" w:cs="宋体"/>
          <w:color w:val="auto"/>
          <w:szCs w:val="21"/>
        </w:rPr>
        <w:t>项目现场交货，并堆放至指定仓库。</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4、接货通知</w:t>
      </w:r>
    </w:p>
    <w:p>
      <w:pPr>
        <w:snapToGrid w:val="0"/>
        <w:spacing w:line="360" w:lineRule="exact"/>
        <w:ind w:firstLine="420" w:firstLineChars="200"/>
        <w:rPr>
          <w:rFonts w:ascii="宋体" w:hAnsi="宋体" w:cs="宋体"/>
          <w:b/>
          <w:bCs/>
          <w:color w:val="auto"/>
          <w:szCs w:val="21"/>
        </w:rPr>
      </w:pPr>
      <w:r>
        <w:rPr>
          <w:rFonts w:hint="eastAsia" w:ascii="宋体" w:hAnsi="宋体" w:cs="宋体"/>
          <w:color w:val="auto"/>
          <w:szCs w:val="21"/>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5、运输及装卸保险</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5.1货物在装运前由乙方投保，一旦货物在装卸、运输过程中发生损坏或短缺，由乙方负责索赔。</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5.2乙方保证在确认货物因装卸、运输中发生损坏或短缺后，尽快给予调换、修复和补齐缺件，不管其造成的原因如何，也不以办理索赔为由而拖延。</w:t>
      </w:r>
    </w:p>
    <w:p>
      <w:pPr>
        <w:spacing w:line="360" w:lineRule="exact"/>
        <w:ind w:firstLine="420" w:firstLineChars="200"/>
        <w:rPr>
          <w:rFonts w:ascii="宋体" w:hAnsi="宋体" w:cs="宋体"/>
          <w:color w:val="auto"/>
          <w:szCs w:val="21"/>
        </w:rPr>
      </w:pPr>
      <w:r>
        <w:rPr>
          <w:rFonts w:hint="eastAsia" w:ascii="宋体" w:hAnsi="宋体" w:cs="宋体"/>
          <w:color w:val="auto"/>
          <w:szCs w:val="21"/>
        </w:rPr>
        <w:t>5.3乙方工作人员及设备进场时，应遵守交货现场环境卫生管理、安全管理的有关规定，配备相应的环境保护及安全措施。承担因自身原因违反有关规定而导致的所有责任。</w:t>
      </w:r>
    </w:p>
    <w:p>
      <w:pPr>
        <w:keepNext/>
        <w:keepLines/>
        <w:numPr>
          <w:ilvl w:val="0"/>
          <w:numId w:val="6"/>
        </w:numPr>
        <w:adjustRightInd w:val="0"/>
        <w:snapToGrid w:val="0"/>
        <w:spacing w:line="360" w:lineRule="exact"/>
        <w:ind w:firstLine="420" w:firstLineChars="200"/>
        <w:outlineLvl w:val="2"/>
        <w:rPr>
          <w:rFonts w:ascii="宋体" w:hAnsi="宋体" w:cs="宋体"/>
          <w:color w:val="auto"/>
          <w:szCs w:val="21"/>
        </w:rPr>
      </w:pPr>
      <w:bookmarkStart w:id="435" w:name="_Toc21937"/>
      <w:r>
        <w:rPr>
          <w:rFonts w:hint="eastAsia" w:ascii="宋体" w:hAnsi="宋体" w:cs="宋体"/>
          <w:color w:val="auto"/>
          <w:szCs w:val="21"/>
        </w:rPr>
        <w:t>付款方式</w:t>
      </w:r>
      <w:bookmarkEnd w:id="435"/>
    </w:p>
    <w:p>
      <w:pPr>
        <w:pStyle w:val="74"/>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（1）预付款</w:t>
      </w:r>
    </w:p>
    <w:p>
      <w:pPr>
        <w:pStyle w:val="74"/>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第1次付款：合同签订生效后，甲方向乙方支付签约合同价的10%的预付款。预付款与合同履行同步进行，预付款支付进程不得影响合同的履行。</w:t>
      </w:r>
    </w:p>
    <w:p>
      <w:pPr>
        <w:pStyle w:val="74"/>
        <w:widowControl/>
        <w:numPr>
          <w:ilvl w:val="0"/>
          <w:numId w:val="7"/>
        </w:numPr>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货款支付</w:t>
      </w:r>
    </w:p>
    <w:p>
      <w:pPr>
        <w:pStyle w:val="74"/>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第2次付款：开工令发出后，支付至合同价的20%。</w:t>
      </w:r>
    </w:p>
    <w:p>
      <w:pPr>
        <w:pStyle w:val="74"/>
        <w:widowControl/>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第3次付款：主要设备到货并开箱验收合格后，支付至合同价的60%。</w:t>
      </w:r>
    </w:p>
    <w:p>
      <w:pPr>
        <w:pStyle w:val="74"/>
        <w:widowControl/>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第4次付款：该项目专项竣工验收合格后，支付至合同价的85%，并退还履约保证金（不计利息）。</w:t>
      </w:r>
    </w:p>
    <w:p>
      <w:pPr>
        <w:pStyle w:val="74"/>
        <w:widowControl/>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第5次付款：审计结算完成且资料齐全移交甲方且丙、丁方接收后，支付至结算价的97.5%。</w:t>
      </w:r>
    </w:p>
    <w:p>
      <w:pPr>
        <w:pStyle w:val="74"/>
        <w:widowControl/>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第6次付款：余款2.5%（不计利息）作为质量保证金，缺陷责任期2年满，在缺陷修复完成并经甲方及丙、丁方最终验收合格、甲乙方完成最终结算后28天内一次性付清经结算后的剩余尾款。</w:t>
      </w:r>
    </w:p>
    <w:p>
      <w:pPr>
        <w:pStyle w:val="74"/>
        <w:adjustRightInd w:val="0"/>
        <w:snapToGrid w:val="0"/>
        <w:spacing w:before="0" w:line="360" w:lineRule="exact"/>
        <w:ind w:firstLine="420"/>
        <w:rPr>
          <w:rFonts w:ascii="宋体" w:hAnsi="宋体" w:cs="宋体"/>
          <w:bCs/>
          <w:color w:val="auto"/>
          <w:sz w:val="21"/>
          <w:szCs w:val="21"/>
          <w:u w:val="single"/>
        </w:rPr>
      </w:pPr>
      <w:r>
        <w:rPr>
          <w:rFonts w:hint="eastAsia" w:ascii="宋体" w:hAnsi="宋体" w:cs="宋体"/>
          <w:bCs/>
          <w:color w:val="auto"/>
          <w:sz w:val="21"/>
          <w:szCs w:val="21"/>
          <w:u w:val="single"/>
        </w:rPr>
        <w:t>注：①上述第1次付款至第4次付款中，合同总价（或合同价）均不包括不可预见费。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pPr>
        <w:tabs>
          <w:tab w:val="left" w:pos="1632"/>
        </w:tabs>
        <w:spacing w:line="360" w:lineRule="exact"/>
        <w:ind w:firstLine="420" w:firstLineChars="200"/>
        <w:rPr>
          <w:rFonts w:ascii="宋体" w:hAnsi="宋体" w:cs="宋体"/>
          <w:bCs/>
          <w:color w:val="auto"/>
          <w:szCs w:val="21"/>
        </w:rPr>
      </w:pPr>
      <w:r>
        <w:rPr>
          <w:rFonts w:hint="eastAsia" w:ascii="宋体" w:hAnsi="宋体" w:cs="宋体"/>
          <w:bCs/>
          <w:color w:val="auto"/>
          <w:szCs w:val="21"/>
        </w:rPr>
        <w:t>乙方应及时、足额支付民工工资，因乙方未能及时、足额支付民工工资导致民工怠工、停工、集体上访的，由乙方承担全部责任，造成损失的由乙方承担全部费用。</w:t>
      </w:r>
    </w:p>
    <w:p>
      <w:pPr>
        <w:tabs>
          <w:tab w:val="left" w:pos="1632"/>
        </w:tabs>
        <w:spacing w:line="360" w:lineRule="exact"/>
        <w:ind w:firstLine="420" w:firstLineChars="200"/>
        <w:rPr>
          <w:rStyle w:val="50"/>
          <w:rFonts w:ascii="宋体" w:hAnsi="宋体" w:cs="宋体"/>
          <w:bCs/>
          <w:color w:val="auto"/>
        </w:rPr>
      </w:pPr>
      <w:r>
        <w:rPr>
          <w:rStyle w:val="50"/>
          <w:rFonts w:hint="eastAsia" w:ascii="宋体" w:hAnsi="宋体" w:cs="宋体"/>
          <w:bCs/>
          <w:color w:val="auto"/>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pPr>
        <w:tabs>
          <w:tab w:val="left" w:pos="1632"/>
        </w:tabs>
        <w:spacing w:line="360" w:lineRule="exact"/>
        <w:ind w:firstLine="420" w:firstLineChars="200"/>
        <w:rPr>
          <w:rFonts w:ascii="宋体" w:hAnsi="宋体" w:cs="宋体"/>
          <w:bCs/>
          <w:color w:val="auto"/>
          <w:szCs w:val="21"/>
        </w:rPr>
      </w:pPr>
      <w:r>
        <w:rPr>
          <w:rStyle w:val="50"/>
          <w:rFonts w:hint="eastAsia" w:ascii="宋体" w:hAnsi="宋体" w:cs="宋体"/>
          <w:bCs/>
          <w:color w:val="auto"/>
        </w:rPr>
        <w:t>甲方收到丙方工程进度款后3日内向乙方支付当月工程进度款，如丙方向甲方支付工程进度款滞后，甲方向乙方支付工程进度款也相应滞后。</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7、结算原则</w:t>
      </w:r>
    </w:p>
    <w:p>
      <w:pPr>
        <w:pStyle w:val="75"/>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中标总价（不包括不可预见费）一次性包死，不再调整。丙、丁方有权增减工作范围，该费用应予以增减，在结算时单价按以下口径确定：</w:t>
      </w:r>
    </w:p>
    <w:p>
      <w:pPr>
        <w:numPr>
          <w:ilvl w:val="0"/>
          <w:numId w:val="8"/>
        </w:numPr>
        <w:spacing w:line="360" w:lineRule="exact"/>
        <w:ind w:firstLine="420" w:firstLineChars="200"/>
        <w:rPr>
          <w:rFonts w:ascii="宋体" w:hAnsi="宋体" w:cs="宋体"/>
          <w:bCs/>
          <w:color w:val="auto"/>
          <w:szCs w:val="21"/>
        </w:rPr>
      </w:pPr>
      <w:r>
        <w:rPr>
          <w:rFonts w:hint="eastAsia" w:ascii="宋体" w:hAnsi="宋体" w:cs="宋体"/>
          <w:bCs/>
          <w:color w:val="auto"/>
          <w:szCs w:val="21"/>
        </w:rPr>
        <w:t>合同中有类似项目综合单价的，可以参照合同中类似项目的综合单价计算确定；</w:t>
      </w:r>
    </w:p>
    <w:p>
      <w:pPr>
        <w:numPr>
          <w:ilvl w:val="0"/>
          <w:numId w:val="8"/>
        </w:numPr>
        <w:spacing w:line="360" w:lineRule="exact"/>
        <w:ind w:firstLine="420" w:firstLineChars="200"/>
        <w:rPr>
          <w:rFonts w:ascii="宋体" w:hAnsi="宋体" w:cs="宋体"/>
          <w:color w:val="auto"/>
          <w:szCs w:val="21"/>
        </w:rPr>
      </w:pPr>
      <w:r>
        <w:rPr>
          <w:rFonts w:hint="eastAsia" w:ascii="宋体" w:hAnsi="宋体" w:cs="宋体"/>
          <w:bCs/>
          <w:color w:val="auto"/>
          <w:szCs w:val="21"/>
        </w:rPr>
        <w:t>合同中没有类似项目综合单价的，由甲方</w:t>
      </w:r>
      <w:r>
        <w:rPr>
          <w:rFonts w:hint="eastAsia" w:ascii="宋体" w:hAnsi="宋体" w:cs="宋体"/>
          <w:color w:val="auto"/>
          <w:szCs w:val="21"/>
        </w:rPr>
        <w:t>签证后按照中标下浮率及优惠条件同比例计算变更费用。凡此设计变更，乙方在完成每份设计变更联系和现场签证单工程内容后14天内向监理提交正式工程变更费用结算书。注：中标下浮率=（上限价-中标价）/上限价×100% 。</w:t>
      </w:r>
    </w:p>
    <w:p>
      <w:pPr>
        <w:pStyle w:val="13"/>
        <w:spacing w:line="360" w:lineRule="exact"/>
        <w:ind w:firstLine="420" w:firstLineChars="200"/>
        <w:rPr>
          <w:rFonts w:ascii="宋体" w:hAnsi="宋体" w:cs="宋体"/>
          <w:color w:val="auto"/>
          <w:sz w:val="21"/>
          <w:szCs w:val="21"/>
        </w:rPr>
      </w:pPr>
      <w:r>
        <w:rPr>
          <w:rStyle w:val="50"/>
          <w:rFonts w:hint="eastAsia" w:ascii="宋体" w:hAnsi="宋体" w:cs="宋体"/>
          <w:color w:val="auto"/>
        </w:rPr>
        <w:t>注：本工程除丙方要求的重大变更外，原则上不允许设计变更。</w:t>
      </w:r>
    </w:p>
    <w:p>
      <w:pPr>
        <w:pStyle w:val="75"/>
        <w:spacing w:line="360" w:lineRule="exact"/>
        <w:ind w:firstLine="422"/>
        <w:rPr>
          <w:rFonts w:ascii="宋体" w:hAnsi="宋体" w:eastAsia="宋体" w:cs="宋体"/>
          <w:b/>
          <w:color w:val="auto"/>
          <w:sz w:val="21"/>
          <w:szCs w:val="21"/>
        </w:rPr>
      </w:pPr>
      <w:r>
        <w:rPr>
          <w:rFonts w:hint="eastAsia" w:ascii="宋体" w:hAnsi="宋体" w:eastAsia="宋体" w:cs="宋体"/>
          <w:b/>
          <w:color w:val="auto"/>
          <w:sz w:val="21"/>
          <w:szCs w:val="21"/>
        </w:rPr>
        <w:t>8、文件和技术资料</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设备交货前乙方向甲方及丙、丁方提供下列技术资料、图纸和文件：</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（1）样本及技术规格书，要求有8份。</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（2）施工图，要求有10份。</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（3）制造厂的设备生产许可证明和设备合格证书。</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（4）制造厂出具的品质保证书正本。</w:t>
      </w:r>
    </w:p>
    <w:p>
      <w:pPr>
        <w:spacing w:line="360" w:lineRule="exact"/>
        <w:ind w:firstLine="420" w:firstLineChars="200"/>
        <w:rPr>
          <w:rFonts w:ascii="宋体" w:hAnsi="宋体" w:cs="宋体"/>
          <w:color w:val="auto"/>
          <w:szCs w:val="21"/>
        </w:rPr>
      </w:pPr>
      <w:r>
        <w:rPr>
          <w:rFonts w:hint="eastAsia" w:ascii="宋体" w:hAnsi="宋体" w:cs="宋体"/>
          <w:color w:val="auto"/>
          <w:szCs w:val="21"/>
        </w:rPr>
        <w:t>（5）制作期间的试验、检试报告。</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（6）出厂检试报告。设备安装、操作、维护手册或说明书，要求有8份。此手册或说明书不应少于如下内容：</w:t>
      </w:r>
    </w:p>
    <w:p>
      <w:pPr>
        <w:tabs>
          <w:tab w:val="left" w:pos="560"/>
          <w:tab w:val="left" w:pos="1400"/>
        </w:tabs>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a、电气接线图；</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b、设备操作与维修手册。</w:t>
      </w:r>
    </w:p>
    <w:p>
      <w:pPr>
        <w:spacing w:line="360" w:lineRule="exact"/>
        <w:ind w:firstLine="420" w:firstLineChars="200"/>
        <w:rPr>
          <w:rFonts w:ascii="宋体" w:hAnsi="宋体" w:cs="宋体"/>
          <w:color w:val="auto"/>
          <w:szCs w:val="21"/>
        </w:rPr>
      </w:pPr>
      <w:r>
        <w:rPr>
          <w:rFonts w:hint="eastAsia" w:ascii="宋体" w:hAnsi="宋体" w:cs="宋体"/>
          <w:color w:val="auto"/>
          <w:szCs w:val="21"/>
        </w:rPr>
        <w:t>（7）甲方认为有必要提供的其他技术资料。</w:t>
      </w:r>
    </w:p>
    <w:p>
      <w:pPr>
        <w:spacing w:line="360" w:lineRule="exact"/>
        <w:ind w:firstLine="420" w:firstLineChars="200"/>
        <w:rPr>
          <w:rFonts w:ascii="宋体" w:hAnsi="宋体" w:cs="宋体"/>
          <w:color w:val="auto"/>
          <w:szCs w:val="21"/>
        </w:rPr>
      </w:pPr>
      <w:r>
        <w:rPr>
          <w:rFonts w:hint="eastAsia" w:ascii="宋体" w:hAnsi="宋体" w:cs="宋体"/>
          <w:color w:val="auto"/>
          <w:szCs w:val="21"/>
        </w:rPr>
        <w:t>（8）以上所有资料必须为中文。</w:t>
      </w:r>
    </w:p>
    <w:p>
      <w:pPr>
        <w:pStyle w:val="13"/>
        <w:spacing w:line="360" w:lineRule="exact"/>
        <w:ind w:firstLine="420" w:firstLineChars="200"/>
        <w:rPr>
          <w:rFonts w:ascii="宋体" w:hAnsi="宋体" w:cs="宋体"/>
          <w:color w:val="auto"/>
          <w:sz w:val="21"/>
          <w:szCs w:val="21"/>
        </w:rPr>
      </w:pPr>
      <w:r>
        <w:rPr>
          <w:rFonts w:hint="eastAsia" w:ascii="宋体" w:hAnsi="宋体" w:cs="宋体"/>
          <w:color w:val="auto"/>
          <w:sz w:val="21"/>
          <w:szCs w:val="21"/>
        </w:rPr>
        <w:t>资料：提交的技术资料要符合绍兴市越城区建设工程质量安全管理中心的要求及市城建档案馆要求，要符合评杯要求。</w:t>
      </w:r>
    </w:p>
    <w:p>
      <w:pPr>
        <w:snapToGrid w:val="0"/>
        <w:spacing w:line="360" w:lineRule="exact"/>
        <w:ind w:firstLine="422" w:firstLineChars="200"/>
        <w:rPr>
          <w:rFonts w:ascii="宋体" w:hAnsi="宋体" w:cs="宋体"/>
          <w:b/>
          <w:bCs/>
          <w:color w:val="auto"/>
          <w:szCs w:val="21"/>
        </w:rPr>
      </w:pPr>
      <w:r>
        <w:rPr>
          <w:rFonts w:hint="eastAsia" w:ascii="宋体" w:hAnsi="宋体" w:cs="宋体"/>
          <w:b/>
          <w:bCs/>
          <w:color w:val="auto"/>
          <w:szCs w:val="21"/>
        </w:rPr>
        <w:t>9、技术服务</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乙方免费对甲方及丙、丁方的操作、维修人员在厂方或使用地进行技术培训。乙方提供的负责培训人员应具备同类产品5年以上的维修经验。</w:t>
      </w:r>
    </w:p>
    <w:p>
      <w:pPr>
        <w:tabs>
          <w:tab w:val="left" w:pos="280"/>
        </w:tabs>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10、质量、技术标准</w:t>
      </w:r>
    </w:p>
    <w:p>
      <w:pPr>
        <w:tabs>
          <w:tab w:val="left" w:pos="280"/>
        </w:tabs>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同时承担工期违约的违约责任。</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10.2未经甲方及丙、丁方同意，乙方不得擅自更改或换用投标产品的零部件或配件，否则，乙方承担由此发生的费用，并赔偿甲方及丙、丁方的有关损失，延误的供货日期不予顺延。</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 xml:space="preserve">11、设备、材料检验 </w:t>
      </w:r>
    </w:p>
    <w:p>
      <w:pPr>
        <w:tabs>
          <w:tab w:val="left" w:pos="280"/>
        </w:tabs>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pPr>
        <w:pStyle w:val="35"/>
        <w:spacing w:line="360" w:lineRule="exact"/>
        <w:ind w:firstLineChars="200"/>
        <w:rPr>
          <w:rFonts w:ascii="宋体" w:hAnsi="宋体" w:cs="宋体"/>
          <w:color w:val="auto"/>
          <w:sz w:val="21"/>
          <w:szCs w:val="21"/>
        </w:rPr>
      </w:pPr>
      <w:r>
        <w:rPr>
          <w:rFonts w:hint="eastAsia" w:ascii="宋体" w:hAnsi="宋体" w:cs="宋体"/>
          <w:color w:val="auto"/>
          <w:sz w:val="21"/>
          <w:szCs w:val="21"/>
        </w:rPr>
        <w:t>所有的货物准备进场时须同时提供货物出厂合格证书、检测报告。国外生产的必须有合法的进货渠道证明，如海关报关单、原产地证明、商检证明等。</w:t>
      </w:r>
    </w:p>
    <w:p>
      <w:pPr>
        <w:pStyle w:val="75"/>
        <w:spacing w:line="360" w:lineRule="exact"/>
        <w:ind w:firstLine="420"/>
        <w:rPr>
          <w:rFonts w:ascii="宋体" w:hAnsi="宋体" w:eastAsia="宋体" w:cs="宋体"/>
          <w:bCs w:val="0"/>
          <w:color w:val="auto"/>
          <w:sz w:val="21"/>
          <w:szCs w:val="21"/>
        </w:rPr>
      </w:pPr>
      <w:r>
        <w:rPr>
          <w:rFonts w:hint="eastAsia" w:ascii="宋体" w:hAnsi="宋体" w:eastAsia="宋体" w:cs="宋体"/>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exact"/>
        <w:ind w:firstLine="420" w:firstLineChars="200"/>
        <w:rPr>
          <w:rFonts w:ascii="宋体" w:hAnsi="宋体" w:cs="宋体"/>
          <w:color w:val="auto"/>
          <w:szCs w:val="21"/>
          <w:u w:val="single"/>
        </w:rPr>
      </w:pPr>
      <w:r>
        <w:rPr>
          <w:rFonts w:hint="eastAsia" w:ascii="宋体" w:hAnsi="宋体" w:cs="宋体"/>
          <w:color w:val="auto"/>
          <w:szCs w:val="21"/>
        </w:rPr>
        <w:t>样品的报送与封存：需要乙方报送样品的材料或工程设备，样品的种类、名称、规格、数量要求：</w:t>
      </w:r>
      <w:r>
        <w:rPr>
          <w:rFonts w:hint="eastAsia" w:ascii="宋体" w:hAnsi="宋体" w:cs="宋体"/>
          <w:color w:val="auto"/>
          <w:szCs w:val="21"/>
          <w:u w:val="single"/>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pPr>
        <w:snapToGrid w:val="0"/>
        <w:spacing w:line="360" w:lineRule="exact"/>
        <w:ind w:firstLine="422" w:firstLineChars="200"/>
        <w:outlineLvl w:val="0"/>
        <w:rPr>
          <w:rFonts w:ascii="宋体" w:hAnsi="宋体" w:cs="宋体"/>
          <w:b/>
          <w:color w:val="auto"/>
          <w:szCs w:val="21"/>
        </w:rPr>
      </w:pPr>
      <w:bookmarkStart w:id="436" w:name="_Toc812"/>
      <w:r>
        <w:rPr>
          <w:rFonts w:hint="eastAsia" w:ascii="宋体" w:hAnsi="宋体" w:cs="宋体"/>
          <w:b/>
          <w:color w:val="auto"/>
          <w:szCs w:val="21"/>
        </w:rPr>
        <w:t>12、设备的安装、调试</w:t>
      </w:r>
      <w:bookmarkEnd w:id="436"/>
    </w:p>
    <w:p>
      <w:pPr>
        <w:snapToGrid w:val="0"/>
        <w:spacing w:line="360" w:lineRule="exact"/>
        <w:ind w:firstLine="420" w:firstLineChars="200"/>
        <w:rPr>
          <w:rFonts w:ascii="宋体" w:hAnsi="宋体" w:cs="宋体"/>
          <w:color w:val="auto"/>
          <w:szCs w:val="21"/>
          <w:shd w:val="pct10" w:color="auto" w:fill="FFFFFF"/>
        </w:rPr>
      </w:pPr>
      <w:r>
        <w:rPr>
          <w:rFonts w:hint="eastAsia" w:ascii="宋体" w:hAnsi="宋体" w:cs="宋体"/>
          <w:color w:val="auto"/>
          <w:szCs w:val="21"/>
        </w:rPr>
        <w:t>12.1合同所订的货物到达甲方及丙、丁方后，乙方应在收到甲方及丙、丁方通知后2天内，及时派人前往设备交货地点</w:t>
      </w:r>
      <w:r>
        <w:rPr>
          <w:rFonts w:hint="eastAsia" w:ascii="宋体" w:hAnsi="宋体" w:cs="宋体"/>
          <w:bCs/>
          <w:color w:val="auto"/>
          <w:szCs w:val="21"/>
        </w:rPr>
        <w:t>对设备</w:t>
      </w:r>
      <w:r>
        <w:rPr>
          <w:rFonts w:hint="eastAsia" w:ascii="宋体" w:hAnsi="宋体" w:cs="宋体"/>
          <w:color w:val="auto"/>
          <w:szCs w:val="21"/>
        </w:rPr>
        <w:t>进行安装调试。</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12.2乙方人员在甲方及丙、丁方进行指导安装及设备调试期间，所有费用由乙方负责。</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75"/>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13、设备验收</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13.1</w:t>
      </w:r>
      <w:r>
        <w:rPr>
          <w:rFonts w:hint="eastAsia" w:ascii="宋体" w:hAnsi="宋体" w:cs="宋体"/>
          <w:bCs/>
          <w:color w:val="auto"/>
          <w:szCs w:val="21"/>
        </w:rPr>
        <w:t>乙方</w:t>
      </w:r>
      <w:r>
        <w:rPr>
          <w:rFonts w:hint="eastAsia" w:ascii="宋体" w:hAnsi="宋体" w:cs="宋体"/>
          <w:color w:val="auto"/>
          <w:szCs w:val="21"/>
        </w:rPr>
        <w:t>应提供验收大纲和验收标准供甲方及丙、丁方参考，经甲方及丙、丁方确认后，作为验收的依据。</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13.2设备到达现场后，乙方派人到现场与甲方及丙、丁方一起开箱初步验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13.3设备在安装、调试结束后，经过二个月的试运行考核无故障，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exact"/>
        <w:ind w:firstLine="422" w:firstLineChars="200"/>
        <w:outlineLvl w:val="0"/>
        <w:rPr>
          <w:rFonts w:ascii="宋体" w:hAnsi="宋体" w:cs="宋体"/>
          <w:b/>
          <w:color w:val="auto"/>
          <w:szCs w:val="21"/>
        </w:rPr>
      </w:pPr>
      <w:bookmarkStart w:id="437" w:name="_Toc8150"/>
      <w:r>
        <w:rPr>
          <w:rFonts w:hint="eastAsia" w:ascii="宋体" w:hAnsi="宋体" w:cs="宋体"/>
          <w:b/>
          <w:color w:val="auto"/>
          <w:szCs w:val="21"/>
        </w:rPr>
        <w:t>14、质保及维修</w:t>
      </w:r>
      <w:bookmarkEnd w:id="437"/>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14.1设备质</w:t>
      </w:r>
      <w:r>
        <w:rPr>
          <w:rFonts w:hint="eastAsia" w:ascii="宋体" w:hAnsi="宋体" w:cs="宋体"/>
          <w:b/>
          <w:bCs/>
          <w:color w:val="auto"/>
          <w:szCs w:val="21"/>
        </w:rPr>
        <w:t>量保证期为使用产品之日起至少</w:t>
      </w:r>
      <w:r>
        <w:rPr>
          <w:rFonts w:hint="eastAsia" w:ascii="宋体" w:hAnsi="宋体" w:cs="宋体"/>
          <w:b/>
          <w:bCs/>
          <w:color w:val="auto"/>
          <w:szCs w:val="21"/>
          <w:u w:val="single"/>
        </w:rPr>
        <w:t>24个月，</w:t>
      </w:r>
      <w:r>
        <w:rPr>
          <w:rFonts w:hint="eastAsia" w:ascii="宋体" w:hAnsi="宋体" w:cs="宋体"/>
          <w:color w:val="auto"/>
          <w:szCs w:val="21"/>
        </w:rPr>
        <w:t>乙方承诺超过本要求的，以优惠者为准，若其他产品配件另有超过24个月的厂家质保规定或承诺的，按其规定或承诺执行。质保期内如无问题，则在质保期满时，由甲方及丙、丁方提交质保期验收报告，验收由甲方及丙、丁方签字认可。</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14.2在设备质保期内，因设备本身的缺陷导致各种故障，乙方应负责免费更换产品，提供技术服务和指导设备维修，更换后的产品的质量保证期为</w:t>
      </w:r>
      <w:r>
        <w:rPr>
          <w:rFonts w:hint="eastAsia" w:ascii="宋体" w:hAnsi="宋体" w:cs="宋体"/>
          <w:bCs/>
          <w:color w:val="auto"/>
          <w:szCs w:val="21"/>
        </w:rPr>
        <w:t>更换后的产品</w:t>
      </w:r>
      <w:r>
        <w:rPr>
          <w:rFonts w:hint="eastAsia" w:ascii="宋体" w:hAnsi="宋体" w:cs="宋体"/>
          <w:color w:val="auto"/>
          <w:szCs w:val="21"/>
        </w:rPr>
        <w:t>使用之日起至少</w:t>
      </w:r>
      <w:r>
        <w:rPr>
          <w:rFonts w:hint="eastAsia" w:ascii="宋体" w:hAnsi="宋体" w:cs="宋体"/>
          <w:bCs/>
          <w:color w:val="auto"/>
          <w:szCs w:val="21"/>
          <w:u w:val="single"/>
        </w:rPr>
        <w:t>24个月</w:t>
      </w:r>
      <w:r>
        <w:rPr>
          <w:rFonts w:hint="eastAsia" w:ascii="宋体" w:hAnsi="宋体" w:cs="宋体"/>
          <w:bCs/>
          <w:color w:val="auto"/>
          <w:szCs w:val="21"/>
        </w:rPr>
        <w:t>。</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14.3如设备在质保期后发生故障，乙方在收到丙、丁方的书面维修通知后，应</w:t>
      </w:r>
      <w:r>
        <w:rPr>
          <w:rFonts w:hint="eastAsia" w:ascii="宋体" w:hAnsi="宋体" w:cs="宋体"/>
          <w:b/>
          <w:bCs/>
          <w:color w:val="auto"/>
          <w:szCs w:val="21"/>
        </w:rPr>
        <w:t>即时给予响应。在质保期内的工作应包括对所有设备</w:t>
      </w:r>
      <w:r>
        <w:rPr>
          <w:rFonts w:hint="eastAsia" w:ascii="宋体" w:hAnsi="宋体" w:cs="宋体"/>
          <w:bCs/>
          <w:color w:val="auto"/>
          <w:szCs w:val="21"/>
          <w:u w:val="thick"/>
        </w:rPr>
        <w:t>每月至少1次</w:t>
      </w:r>
      <w:r>
        <w:rPr>
          <w:rFonts w:hint="eastAsia" w:ascii="宋体" w:hAnsi="宋体" w:cs="宋体"/>
          <w:bCs/>
          <w:color w:val="auto"/>
          <w:szCs w:val="21"/>
        </w:rPr>
        <w:t>的</w:t>
      </w:r>
      <w:r>
        <w:rPr>
          <w:rFonts w:hint="eastAsia" w:ascii="宋体" w:hAnsi="宋体" w:cs="宋体"/>
          <w:color w:val="auto"/>
          <w:szCs w:val="21"/>
        </w:rPr>
        <w:t>常规检查、调整和润滑。</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14.4乙方在投标文件中所承诺的辅材、配件价格及保修期外的保修年费及服务方案做为合同的一部分。</w:t>
      </w:r>
    </w:p>
    <w:p>
      <w:pPr>
        <w:spacing w:line="360" w:lineRule="exact"/>
        <w:ind w:firstLine="420" w:firstLineChars="200"/>
        <w:rPr>
          <w:rFonts w:ascii="宋体" w:hAnsi="宋体" w:cs="宋体"/>
          <w:color w:val="auto"/>
          <w:szCs w:val="21"/>
        </w:rPr>
      </w:pPr>
      <w:r>
        <w:rPr>
          <w:rFonts w:hint="eastAsia" w:ascii="宋体" w:hAnsi="宋体" w:cs="宋体"/>
          <w:color w:val="auto"/>
          <w:szCs w:val="21"/>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pPr>
        <w:pStyle w:val="75"/>
        <w:spacing w:line="360" w:lineRule="exact"/>
        <w:ind w:firstLine="422"/>
        <w:rPr>
          <w:rFonts w:ascii="宋体" w:hAnsi="宋体" w:eastAsia="宋体" w:cs="宋体"/>
          <w:b/>
          <w:color w:val="auto"/>
          <w:sz w:val="21"/>
          <w:szCs w:val="21"/>
        </w:rPr>
      </w:pPr>
      <w:r>
        <w:rPr>
          <w:rFonts w:hint="eastAsia" w:ascii="宋体" w:hAnsi="宋体" w:eastAsia="宋体" w:cs="宋体"/>
          <w:b/>
          <w:color w:val="auto"/>
          <w:sz w:val="21"/>
          <w:szCs w:val="21"/>
        </w:rPr>
        <w:t>15、安全要求：</w:t>
      </w:r>
    </w:p>
    <w:p>
      <w:pPr>
        <w:pStyle w:val="75"/>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75"/>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15.2乙方在实施过程中应采取必要的安全防护和消防措施，保障作业人员及出入施工现场人员的安全。乙方应为施工人员办理所需的工伤等保险，费用由乙方自行负责。</w:t>
      </w:r>
    </w:p>
    <w:p>
      <w:pPr>
        <w:pStyle w:val="75"/>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pPr>
        <w:pStyle w:val="75"/>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15.4本项目实施过程中出现的作业人员或因承包人原因引起的第三方人员、财务损失，造成的责任和因此发生的费用，由乙方承担。</w:t>
      </w:r>
    </w:p>
    <w:p>
      <w:pPr>
        <w:pStyle w:val="75"/>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15.5本项目实施过程中，由乙方引起的管线、线路等损坏由乙方承担相应的责任和损失。</w:t>
      </w:r>
    </w:p>
    <w:p>
      <w:pPr>
        <w:snapToGrid w:val="0"/>
        <w:spacing w:line="360" w:lineRule="exact"/>
        <w:ind w:firstLine="422" w:firstLineChars="200"/>
        <w:outlineLvl w:val="0"/>
        <w:rPr>
          <w:rFonts w:ascii="宋体" w:hAnsi="宋体" w:cs="宋体"/>
          <w:b/>
          <w:color w:val="auto"/>
          <w:szCs w:val="21"/>
        </w:rPr>
      </w:pPr>
      <w:bookmarkStart w:id="438" w:name="_Toc10358"/>
      <w:r>
        <w:rPr>
          <w:rFonts w:hint="eastAsia" w:ascii="宋体" w:hAnsi="宋体" w:cs="宋体"/>
          <w:b/>
          <w:color w:val="auto"/>
          <w:szCs w:val="21"/>
        </w:rPr>
        <w:t>16、违约责任</w:t>
      </w:r>
      <w:bookmarkEnd w:id="438"/>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30天的，甲方及丙、丁方有权解除合同、丙方没收全部的履约保证金（提示：请根据项目实际明确谁有权没收履约保证金）并乙方承担所有的违约责任并承担由此造成的甲方及丙、丁方的全部损失。乙方</w:t>
      </w:r>
      <w:r>
        <w:rPr>
          <w:rFonts w:hint="eastAsia" w:ascii="宋体" w:hAnsi="宋体" w:cs="宋体"/>
          <w:bCs/>
          <w:color w:val="auto"/>
          <w:szCs w:val="21"/>
        </w:rPr>
        <w:t>总工期超</w:t>
      </w:r>
      <w:r>
        <w:rPr>
          <w:rFonts w:hint="eastAsia" w:ascii="宋体" w:hAnsi="宋体" w:cs="宋体"/>
          <w:color w:val="auto"/>
          <w:szCs w:val="21"/>
        </w:rPr>
        <w:t>过本合同约定期限的，按照逾期交货承担违约责任。</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Pr>
          <w:rFonts w:hint="eastAsia" w:ascii="宋体" w:hAnsi="宋体" w:cs="宋体"/>
          <w:b/>
          <w:bCs/>
          <w:color w:val="auto"/>
          <w:szCs w:val="21"/>
        </w:rPr>
        <w:t>甲方有权没</w:t>
      </w:r>
      <w:r>
        <w:rPr>
          <w:rFonts w:hint="eastAsia" w:ascii="宋体" w:hAnsi="宋体" w:cs="宋体"/>
          <w:color w:val="auto"/>
          <w:szCs w:val="21"/>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16.3乙方接受甲方及丙、丁方对供货期调整的要求，具体方式为：甲方及丙、丁方提前十五天发出有甲方及丙、丁方代表签发的书面通知，乙方进行书面确认后即可执行</w:t>
      </w:r>
      <w:r>
        <w:rPr>
          <w:rFonts w:hint="eastAsia" w:ascii="宋体" w:hAnsi="宋体" w:cs="宋体"/>
          <w:bCs/>
          <w:color w:val="auto"/>
          <w:szCs w:val="21"/>
        </w:rPr>
        <w:t>，</w:t>
      </w:r>
      <w:r>
        <w:rPr>
          <w:rFonts w:hint="eastAsia" w:ascii="宋体" w:hAnsi="宋体" w:cs="宋体"/>
          <w:color w:val="auto"/>
          <w:szCs w:val="21"/>
        </w:rPr>
        <w:t>对此甲方及丙、丁方不承担违约责任。</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16.4如果乙方对本合同的执行敷衍了事，或忽视履行本合同约定的乙方任何工作及责任，而且从</w:t>
      </w:r>
      <w:r>
        <w:rPr>
          <w:rFonts w:hint="eastAsia" w:ascii="宋体" w:hAnsi="宋体" w:cs="宋体"/>
          <w:bCs/>
          <w:color w:val="auto"/>
          <w:szCs w:val="21"/>
        </w:rPr>
        <w:t>甲方及丙方发出</w:t>
      </w:r>
      <w:r>
        <w:rPr>
          <w:rFonts w:hint="eastAsia" w:ascii="宋体" w:hAnsi="宋体" w:cs="宋体"/>
          <w:color w:val="auto"/>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16.5因乙方原因解除本合同时，乙方应向甲方支付签约合同价款</w:t>
      </w:r>
      <w:r>
        <w:rPr>
          <w:rFonts w:hint="eastAsia" w:ascii="宋体" w:hAnsi="宋体" w:cs="宋体"/>
          <w:bCs/>
          <w:color w:val="auto"/>
          <w:szCs w:val="21"/>
        </w:rPr>
        <w:t>20</w:t>
      </w:r>
      <w:r>
        <w:rPr>
          <w:rFonts w:hint="eastAsia" w:ascii="宋体" w:hAnsi="宋体" w:cs="宋体"/>
          <w:color w:val="auto"/>
          <w:szCs w:val="21"/>
        </w:rPr>
        <w:t>%的违约金，且甲方及丙、丁方有权决定是否接受属于乙方在现场的一切设施、设备、材料使用于本工程，并乙方应承担由此造成的甲方及丙、丁方的全部损失。</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16.6未经甲方及丙、丁方书面同意，乙方将本合同的权利、义务以任何形式全部或部分让与他人的，甲方及丙、丁方有权解除本合同、没收全部的履约保证金，乙方应按照本合同价款总额的</w:t>
      </w:r>
      <w:r>
        <w:rPr>
          <w:rFonts w:hint="eastAsia" w:ascii="宋体" w:hAnsi="宋体" w:cs="宋体"/>
          <w:bCs/>
          <w:color w:val="auto"/>
          <w:szCs w:val="21"/>
        </w:rPr>
        <w:t>20</w:t>
      </w:r>
      <w:r>
        <w:rPr>
          <w:rFonts w:hint="eastAsia" w:ascii="宋体" w:hAnsi="宋体" w:cs="宋体"/>
          <w:color w:val="auto"/>
          <w:szCs w:val="21"/>
        </w:rPr>
        <w:t>%向甲方支付违约金，并赔偿由此造成的甲方及丙、丁方的全部损失。</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16.7本合同中所有乙方应支付给甲方的违约金，乙方在收到书面通知后未及时支付的，甲方有权在应付乙方的任何款项中扣除。</w:t>
      </w:r>
    </w:p>
    <w:p>
      <w:pPr>
        <w:pStyle w:val="35"/>
        <w:spacing w:line="360" w:lineRule="exact"/>
        <w:ind w:firstLineChars="200"/>
        <w:rPr>
          <w:rFonts w:ascii="宋体" w:hAnsi="宋体" w:cs="宋体"/>
          <w:color w:val="auto"/>
          <w:sz w:val="21"/>
          <w:szCs w:val="21"/>
        </w:rPr>
      </w:pPr>
      <w:r>
        <w:rPr>
          <w:rFonts w:hint="eastAsia" w:ascii="宋体" w:hAnsi="宋体" w:cs="宋体"/>
          <w:color w:val="auto"/>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exact"/>
        <w:ind w:firstLine="420" w:firstLineChars="200"/>
        <w:rPr>
          <w:rFonts w:ascii="宋体" w:hAnsi="宋体" w:cs="宋体"/>
          <w:color w:val="auto"/>
          <w:szCs w:val="21"/>
        </w:rPr>
      </w:pPr>
      <w:r>
        <w:rPr>
          <w:rFonts w:hint="eastAsia" w:ascii="宋体" w:hAnsi="宋体" w:cs="宋体"/>
          <w:color w:val="auto"/>
          <w:szCs w:val="21"/>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pPr>
        <w:snapToGrid w:val="0"/>
        <w:spacing w:line="360" w:lineRule="exact"/>
        <w:ind w:firstLine="420" w:firstLineChars="200"/>
        <w:outlineLvl w:val="0"/>
        <w:rPr>
          <w:rFonts w:ascii="宋体" w:hAnsi="宋体" w:cs="宋体"/>
          <w:color w:val="auto"/>
          <w:szCs w:val="21"/>
        </w:rPr>
      </w:pPr>
      <w:bookmarkStart w:id="439" w:name="_Toc18664"/>
      <w:r>
        <w:rPr>
          <w:rFonts w:hint="eastAsia" w:ascii="宋体" w:hAnsi="宋体" w:cs="宋体"/>
          <w:color w:val="auto"/>
          <w:szCs w:val="21"/>
        </w:rPr>
        <w:t>17、其他</w:t>
      </w:r>
      <w:bookmarkEnd w:id="439"/>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17.1乙方提出使用专利技术或特殊工艺，应取得甲方及丙、丁方和监理单位认可，乙方负责办理申报手续并承担有关费用。</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17.2乙方擅自使用专利技术侵犯他人专利权的因此产生的侵权纠纷，由乙方自行承担并每发生一次，乙方应向丙方支付违约金5000元，如造成甲方及丙、丁方损失的，甲方及丙、丁方有权全额向乙方追索且甲方及丙、丁方有权视情形解除本合同。</w:t>
      </w:r>
    </w:p>
    <w:p>
      <w:pPr>
        <w:spacing w:line="360" w:lineRule="exact"/>
        <w:ind w:firstLine="420" w:firstLineChars="200"/>
        <w:rPr>
          <w:rFonts w:ascii="宋体" w:hAnsi="宋体" w:cs="宋体"/>
          <w:color w:val="auto"/>
          <w:szCs w:val="21"/>
        </w:rPr>
      </w:pPr>
      <w:bookmarkStart w:id="440" w:name="_Toc167673086"/>
      <w:r>
        <w:rPr>
          <w:rFonts w:hint="eastAsia" w:ascii="宋体" w:hAnsi="宋体" w:cs="宋体"/>
          <w:color w:val="auto"/>
          <w:szCs w:val="21"/>
        </w:rPr>
        <w:t>17.3 工程进度要求</w:t>
      </w:r>
      <w:bookmarkEnd w:id="440"/>
      <w:bookmarkStart w:id="441" w:name="_Toc167673087"/>
      <w:r>
        <w:rPr>
          <w:rFonts w:hint="eastAsia" w:ascii="宋体" w:hAnsi="宋体" w:cs="宋体"/>
          <w:color w:val="auto"/>
          <w:szCs w:val="21"/>
        </w:rPr>
        <w:t>：</w:t>
      </w:r>
    </w:p>
    <w:bookmarkEnd w:id="441"/>
    <w:p>
      <w:pPr>
        <w:spacing w:line="360" w:lineRule="exact"/>
        <w:ind w:firstLine="420" w:firstLineChars="200"/>
        <w:rPr>
          <w:rFonts w:ascii="宋体" w:hAnsi="宋体" w:cs="宋体"/>
          <w:color w:val="auto"/>
          <w:szCs w:val="21"/>
        </w:rPr>
      </w:pPr>
      <w:r>
        <w:rPr>
          <w:rFonts w:hint="eastAsia" w:ascii="宋体" w:hAnsi="宋体" w:cs="宋体"/>
          <w:color w:val="auto"/>
          <w:szCs w:val="21"/>
        </w:rPr>
        <w:t>乙方应根据工程总体进度计划要求，制定本工程计划进度，并应保证满足下列控制时间：</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中标通知书发出后15天内完成与甲方商定配合工作及费用，并与甲方签订总包管理协议；合同生效后15天内完成所有进场施工准备工作（包括设备进场）。</w:t>
      </w:r>
    </w:p>
    <w:p>
      <w:pPr>
        <w:spacing w:line="360" w:lineRule="exact"/>
        <w:ind w:firstLine="420" w:firstLineChars="200"/>
        <w:rPr>
          <w:rFonts w:ascii="宋体" w:hAnsi="宋体" w:cs="宋体"/>
          <w:color w:val="auto"/>
          <w:szCs w:val="21"/>
        </w:rPr>
      </w:pPr>
      <w:r>
        <w:rPr>
          <w:rFonts w:hint="eastAsia" w:ascii="宋体" w:hAnsi="宋体" w:cs="宋体"/>
          <w:color w:val="auto"/>
          <w:szCs w:val="21"/>
        </w:rPr>
        <w:t>乙方必须每月向甲方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p>
    <w:p>
      <w:pPr>
        <w:spacing w:line="360" w:lineRule="exact"/>
        <w:ind w:firstLine="420" w:firstLineChars="200"/>
        <w:rPr>
          <w:rFonts w:ascii="宋体" w:hAnsi="宋体" w:cs="宋体"/>
          <w:color w:val="auto"/>
          <w:szCs w:val="21"/>
        </w:rPr>
      </w:pPr>
      <w:r>
        <w:rPr>
          <w:rFonts w:hint="eastAsia" w:ascii="宋体" w:hAnsi="宋体" w:cs="宋体"/>
          <w:color w:val="auto"/>
          <w:szCs w:val="21"/>
        </w:rPr>
        <w:t>17.4项目实施过程中，乙方和甲方在施工界面上存在交叉施工，乙方应和甲方做好配合、协调工作，参与竣工验收，并承担施工质量责任。</w:t>
      </w:r>
    </w:p>
    <w:p>
      <w:pPr>
        <w:pStyle w:val="35"/>
        <w:spacing w:after="120" w:afterLines="50" w:line="360" w:lineRule="exact"/>
        <w:ind w:firstLineChars="200"/>
        <w:rPr>
          <w:rFonts w:ascii="宋体" w:hAnsi="宋体" w:cs="宋体"/>
          <w:color w:val="auto"/>
          <w:sz w:val="21"/>
          <w:szCs w:val="21"/>
        </w:rPr>
      </w:pPr>
      <w:r>
        <w:rPr>
          <w:rFonts w:hint="eastAsia" w:ascii="宋体" w:hAnsi="宋体" w:cs="宋体"/>
          <w:color w:val="auto"/>
          <w:sz w:val="21"/>
          <w:szCs w:val="21"/>
        </w:rPr>
        <w:t>放射防护专项与各专业施工界面表</w:t>
      </w:r>
    </w:p>
    <w:tbl>
      <w:tblPr>
        <w:tblStyle w:val="3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3"/>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序号</w:t>
            </w:r>
          </w:p>
        </w:tc>
        <w:tc>
          <w:tcPr>
            <w:tcW w:w="824" w:type="pct"/>
            <w:vAlign w:val="center"/>
          </w:tcPr>
          <w:p>
            <w:pPr>
              <w:spacing w:line="360" w:lineRule="exact"/>
              <w:ind w:firstLine="210" w:firstLineChars="100"/>
              <w:rPr>
                <w:rFonts w:ascii="宋体" w:hAnsi="宋体" w:cs="宋体"/>
                <w:color w:val="auto"/>
                <w:szCs w:val="21"/>
              </w:rPr>
            </w:pPr>
            <w:r>
              <w:rPr>
                <w:rFonts w:hint="eastAsia" w:ascii="宋体" w:hAnsi="宋体" w:cs="宋体"/>
                <w:color w:val="auto"/>
                <w:szCs w:val="21"/>
              </w:rPr>
              <w:t>专业工程</w:t>
            </w:r>
          </w:p>
        </w:tc>
        <w:tc>
          <w:tcPr>
            <w:tcW w:w="3824" w:type="pct"/>
            <w:vAlign w:val="center"/>
          </w:tcPr>
          <w:p>
            <w:pPr>
              <w:spacing w:line="360" w:lineRule="exact"/>
              <w:jc w:val="center"/>
              <w:rPr>
                <w:rFonts w:ascii="宋体" w:hAnsi="宋体" w:cs="宋体"/>
                <w:color w:val="auto"/>
                <w:szCs w:val="21"/>
              </w:rPr>
            </w:pPr>
            <w:r>
              <w:rPr>
                <w:rFonts w:hint="eastAsia" w:ascii="宋体" w:hAnsi="宋体" w:cs="宋体"/>
                <w:color w:val="auto"/>
                <w:szCs w:val="21"/>
              </w:rPr>
              <w:t>施工界面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1</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强电工程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电源至直线加速器总箱进线端（电箱由专业单位提供，第一只总箱后若有分箱由专业单位自理）。放射科：电源至总箱进线端（电箱由专业单位提供，第一只总箱后若有分箱由专业单位自理）。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2</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弱电工程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放射防化区域内的所有管线桥架及弱电间设备（包括：交换机、配线架、理线器、跳线、光模块等）由专项工程实施（弱电井编号1F5#），中成配合提供机柜空间。要求：弱电工程所需线缆、设备满足国家标准，必须能通过国家技监部门的第三方检测，如不能通过国家技监部门检测后期所产生的费用由专项单位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3</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消防工程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按医疗专项区内专项设计的火灾自动报警机；联动系统，消火栓系统，喷淋系统，智能应急照明，防排烟系统，其余上述未涉及内容如与医疗专项相关均由各专项单位负责实施。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4</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暖通工程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暖通图审图里其预留的管道井处第一只阀门。阀门后所有管道设备风管由医疗专项采购安装。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5</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土建安装工程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除墙体有总包负责施工，其他均有专业分包单位实施（直线加速器硫酸钡砂石、配合比、施工技术指导、施工质量、预埋件、装修墙顶地、门窗、设备等由专业单位自理，其他放射防护区域装修墙顶地、门窗、设备等由专业单位自理）。</w:t>
            </w:r>
          </w:p>
        </w:tc>
      </w:tr>
    </w:tbl>
    <w:p>
      <w:pPr>
        <w:spacing w:before="120" w:beforeLines="50" w:line="360" w:lineRule="exact"/>
        <w:ind w:firstLine="420" w:firstLineChars="200"/>
        <w:rPr>
          <w:rFonts w:ascii="宋体" w:hAnsi="宋体" w:cs="宋体"/>
          <w:color w:val="auto"/>
          <w:szCs w:val="21"/>
        </w:rPr>
      </w:pPr>
      <w:r>
        <w:rPr>
          <w:rFonts w:hint="eastAsia" w:ascii="宋体" w:hAnsi="宋体" w:cs="宋体"/>
          <w:color w:val="auto"/>
          <w:szCs w:val="21"/>
        </w:rPr>
        <w:t>17.5为保证工程质量，在放射防护所在地建筑物验收之后，还应进行放射防护单独专项验收。综合性能全面评定地检测单位需招标人认可。验收按国家有关规范、标准及当地政府主管部门要求进行。</w:t>
      </w:r>
    </w:p>
    <w:p>
      <w:pPr>
        <w:spacing w:line="360" w:lineRule="exact"/>
        <w:ind w:firstLine="420" w:firstLineChars="200"/>
        <w:rPr>
          <w:rFonts w:ascii="宋体" w:hAnsi="宋体" w:cs="宋体"/>
          <w:color w:val="auto"/>
          <w:szCs w:val="21"/>
        </w:rPr>
      </w:pPr>
      <w:r>
        <w:rPr>
          <w:rFonts w:hint="eastAsia" w:ascii="宋体" w:hAnsi="宋体" w:cs="宋体"/>
          <w:color w:val="auto"/>
          <w:szCs w:val="21"/>
        </w:rPr>
        <w:t>验收合格条件为：</w:t>
      </w:r>
    </w:p>
    <w:p>
      <w:pPr>
        <w:numPr>
          <w:ilvl w:val="0"/>
          <w:numId w:val="9"/>
        </w:numPr>
        <w:spacing w:line="360" w:lineRule="exact"/>
        <w:ind w:left="0" w:firstLine="420" w:firstLineChars="200"/>
        <w:rPr>
          <w:rFonts w:ascii="宋体" w:hAnsi="宋体" w:cs="宋体"/>
          <w:color w:val="auto"/>
          <w:szCs w:val="21"/>
        </w:rPr>
      </w:pPr>
      <w:r>
        <w:rPr>
          <w:rFonts w:hint="eastAsia" w:ascii="宋体" w:hAnsi="宋体" w:cs="宋体"/>
          <w:color w:val="auto"/>
          <w:szCs w:val="21"/>
        </w:rPr>
        <w:t>运行结果符合产品标准、技术规范和招标文件及合同要求；</w:t>
      </w:r>
    </w:p>
    <w:p>
      <w:pPr>
        <w:numPr>
          <w:ilvl w:val="0"/>
          <w:numId w:val="9"/>
        </w:numPr>
        <w:spacing w:line="360" w:lineRule="exact"/>
        <w:ind w:left="0" w:firstLine="420" w:firstLineChars="200"/>
        <w:rPr>
          <w:rFonts w:ascii="宋体" w:hAnsi="宋体" w:cs="宋体"/>
          <w:color w:val="auto"/>
          <w:szCs w:val="21"/>
        </w:rPr>
      </w:pPr>
      <w:r>
        <w:rPr>
          <w:rFonts w:hint="eastAsia" w:ascii="宋体" w:hAnsi="宋体" w:cs="宋体"/>
          <w:color w:val="auto"/>
          <w:szCs w:val="21"/>
        </w:rPr>
        <w:t>所有规定的货物、材料、整套设备图纸及技术文件、竣工资料等都已提交并得到接受；</w:t>
      </w:r>
    </w:p>
    <w:p>
      <w:pPr>
        <w:numPr>
          <w:ilvl w:val="0"/>
          <w:numId w:val="9"/>
        </w:numPr>
        <w:spacing w:line="360" w:lineRule="exact"/>
        <w:ind w:left="0" w:firstLine="420" w:firstLineChars="200"/>
        <w:rPr>
          <w:rFonts w:ascii="宋体" w:hAnsi="宋体" w:cs="宋体"/>
          <w:color w:val="auto"/>
          <w:szCs w:val="21"/>
        </w:rPr>
      </w:pPr>
      <w:r>
        <w:rPr>
          <w:rFonts w:hint="eastAsia" w:ascii="宋体" w:hAnsi="宋体" w:cs="宋体"/>
          <w:color w:val="auto"/>
          <w:szCs w:val="21"/>
        </w:rPr>
        <w:t>按规定需要第三方相关部门进行检测（含抽检）的程序，必须已得到第三方相关部门出具的合格检测报告；</w:t>
      </w:r>
    </w:p>
    <w:p>
      <w:pPr>
        <w:numPr>
          <w:ilvl w:val="0"/>
          <w:numId w:val="9"/>
        </w:numPr>
        <w:spacing w:line="360" w:lineRule="exact"/>
        <w:ind w:left="0" w:firstLine="420" w:firstLineChars="200"/>
        <w:rPr>
          <w:rFonts w:ascii="宋体" w:hAnsi="宋体" w:cs="宋体"/>
          <w:color w:val="auto"/>
          <w:szCs w:val="21"/>
        </w:rPr>
      </w:pPr>
      <w:r>
        <w:rPr>
          <w:rFonts w:hint="eastAsia" w:ascii="宋体" w:hAnsi="宋体" w:cs="宋体"/>
          <w:color w:val="auto"/>
          <w:szCs w:val="21"/>
        </w:rPr>
        <w:t>全部处理好与本工程相关的专业单位配合、费用结算、现场配合等各项工作；</w:t>
      </w:r>
    </w:p>
    <w:p>
      <w:pPr>
        <w:numPr>
          <w:ilvl w:val="0"/>
          <w:numId w:val="9"/>
        </w:numPr>
        <w:spacing w:line="360" w:lineRule="exact"/>
        <w:ind w:left="0" w:firstLine="420" w:firstLineChars="200"/>
        <w:rPr>
          <w:rFonts w:ascii="宋体" w:hAnsi="宋体" w:cs="宋体"/>
          <w:color w:val="auto"/>
          <w:szCs w:val="21"/>
        </w:rPr>
      </w:pPr>
      <w:r>
        <w:rPr>
          <w:rFonts w:hint="eastAsia" w:ascii="宋体" w:hAnsi="宋体" w:cs="宋体"/>
          <w:color w:val="auto"/>
          <w:szCs w:val="21"/>
        </w:rPr>
        <w:t>整套设备在交由使用人之前已通过试运行。</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18、售后服务</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18.1在浙江省内设有维修点，以及时处理所有的故障维修服务，需提供24小时服务，要求维修人员在接到故障报修电话后必须在2小时内做出响应并提出解决办法，驻场人员必须及时提供备品、备件，提供不间断的故障维修服务直到故障处理服务结束。维修点需提供足够的备件以适应维修需求。驻场人员数量及资质须满足甲方及丙方需求并获得书面审批，人员未到场一天，扣500元/天。</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18.2每个维修项目完成后，经甲方及丙方或设备管理方验收并签字后，方为该维修项目本次维修完毕。</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18.3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pPr>
        <w:tabs>
          <w:tab w:val="left" w:pos="1800"/>
        </w:tabs>
        <w:spacing w:line="360" w:lineRule="exact"/>
        <w:ind w:firstLine="420" w:firstLineChars="200"/>
        <w:rPr>
          <w:rFonts w:ascii="宋体" w:hAnsi="宋体" w:cs="宋体"/>
          <w:color w:val="auto"/>
          <w:szCs w:val="21"/>
        </w:rPr>
      </w:pPr>
      <w:bookmarkStart w:id="442" w:name="OLE_LINK6"/>
      <w:r>
        <w:rPr>
          <w:rFonts w:hint="eastAsia" w:ascii="宋体" w:hAnsi="宋体" w:cs="宋体"/>
          <w:color w:val="auto"/>
          <w:szCs w:val="21"/>
        </w:rPr>
        <w:t>18.</w:t>
      </w:r>
      <w:bookmarkEnd w:id="442"/>
      <w:r>
        <w:rPr>
          <w:rFonts w:hint="eastAsia" w:ascii="宋体" w:hAnsi="宋体" w:cs="宋体"/>
          <w:color w:val="auto"/>
          <w:szCs w:val="21"/>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exact"/>
        <w:ind w:firstLine="420" w:firstLineChars="200"/>
        <w:rPr>
          <w:rFonts w:ascii="宋体" w:hAnsi="宋体" w:cs="宋体"/>
          <w:color w:val="auto"/>
          <w:szCs w:val="21"/>
        </w:rPr>
      </w:pPr>
      <w:r>
        <w:rPr>
          <w:rFonts w:hint="eastAsia" w:ascii="宋体" w:hAnsi="宋体" w:cs="宋体"/>
          <w:color w:val="auto"/>
          <w:szCs w:val="21"/>
        </w:rPr>
        <w:t>18.5乙方免费培训甲方及丙方或甲方及丙方指定的操作、管理人员，经培训合格后能上岗操作。</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18.6质保期内乙方应免费保养、修理和替换由于设备、材料、施工质量的问题造成的损坏及故障。</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18.7如因设备本身原因造成甲方经济损失，乙方应照价赔偿。</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18.8如果乙方在中标后有新产品研制成功并投入使用，则其有义务与甲方商定产品的更新换代问题，并保证在不涉及硬件的情况下，免费为甲方提供软件升级服务。</w:t>
      </w:r>
    </w:p>
    <w:p>
      <w:pPr>
        <w:snapToGrid w:val="0"/>
        <w:spacing w:line="340" w:lineRule="exact"/>
        <w:ind w:firstLine="420" w:firstLineChars="200"/>
        <w:jc w:val="left"/>
        <w:rPr>
          <w:rFonts w:ascii="宋体" w:hAnsi="宋体" w:cs="宋体"/>
          <w:color w:val="auto"/>
          <w:szCs w:val="21"/>
        </w:rPr>
      </w:pPr>
      <w:r>
        <w:rPr>
          <w:rFonts w:hint="eastAsia" w:ascii="宋体" w:hAnsi="宋体" w:cs="宋体"/>
          <w:color w:val="auto"/>
          <w:szCs w:val="21"/>
        </w:rPr>
        <w:t>18.9乙方应提供保修记录书，以便甲方随时查阅维修保养、部件更换次数、检查及维修日期等记录。</w:t>
      </w:r>
    </w:p>
    <w:p>
      <w:pPr>
        <w:snapToGrid w:val="0"/>
        <w:spacing w:line="340" w:lineRule="exact"/>
        <w:ind w:firstLine="420" w:firstLineChars="200"/>
        <w:jc w:val="left"/>
        <w:rPr>
          <w:rFonts w:ascii="宋体" w:hAnsi="宋体" w:cs="宋体"/>
          <w:color w:val="auto"/>
          <w:szCs w:val="21"/>
        </w:rPr>
      </w:pPr>
      <w:r>
        <w:rPr>
          <w:rFonts w:hint="eastAsia" w:ascii="宋体" w:hAnsi="宋体" w:cs="宋体"/>
          <w:color w:val="auto"/>
          <w:szCs w:val="21"/>
        </w:rPr>
        <w:t>18.10单台（套）设备在免费维修或质保期间的修理费用超过投标价的60%时，必须重新免费更新设备。</w:t>
      </w:r>
    </w:p>
    <w:p>
      <w:pPr>
        <w:spacing w:line="360" w:lineRule="exact"/>
        <w:ind w:firstLine="420" w:firstLineChars="200"/>
        <w:rPr>
          <w:rFonts w:ascii="宋体" w:hAnsi="宋体" w:cs="宋体"/>
          <w:color w:val="auto"/>
          <w:szCs w:val="21"/>
        </w:rPr>
      </w:pPr>
      <w:r>
        <w:rPr>
          <w:rFonts w:hint="eastAsia" w:ascii="宋体" w:hAnsi="宋体" w:cs="宋体"/>
          <w:color w:val="auto"/>
          <w:szCs w:val="21"/>
        </w:rPr>
        <w:t>18.11备件供应：</w:t>
      </w:r>
    </w:p>
    <w:p>
      <w:pPr>
        <w:spacing w:line="360" w:lineRule="exact"/>
        <w:ind w:firstLine="420" w:firstLineChars="200"/>
        <w:rPr>
          <w:rFonts w:ascii="宋体" w:hAnsi="宋体" w:cs="宋体"/>
          <w:b/>
          <w:color w:val="auto"/>
          <w:szCs w:val="21"/>
        </w:rPr>
      </w:pPr>
      <w:r>
        <w:rPr>
          <w:rFonts w:hint="eastAsia" w:ascii="宋体" w:hAnsi="宋体" w:cs="宋体"/>
          <w:color w:val="auto"/>
          <w:szCs w:val="21"/>
        </w:rPr>
        <w:t>乙方对各种型号的设备须提供足够的备件、附件和易损件并保证是原厂生产，以满足设备正常运行的需要。</w:t>
      </w:r>
    </w:p>
    <w:p>
      <w:pPr>
        <w:spacing w:line="360" w:lineRule="exact"/>
        <w:ind w:firstLine="420" w:firstLineChars="200"/>
        <w:rPr>
          <w:rFonts w:ascii="宋体" w:hAnsi="宋体" w:cs="宋体"/>
          <w:color w:val="auto"/>
          <w:szCs w:val="21"/>
        </w:rPr>
      </w:pPr>
      <w:r>
        <w:rPr>
          <w:rFonts w:hint="eastAsia" w:ascii="宋体" w:hAnsi="宋体" w:cs="宋体"/>
          <w:color w:val="auto"/>
          <w:szCs w:val="21"/>
        </w:rPr>
        <w:t>19.不可抗力</w:t>
      </w:r>
    </w:p>
    <w:p>
      <w:pPr>
        <w:pStyle w:val="7"/>
        <w:widowControl w:val="0"/>
        <w:tabs>
          <w:tab w:val="left" w:pos="420"/>
        </w:tabs>
        <w:spacing w:afterLines="0" w:line="360" w:lineRule="exact"/>
        <w:ind w:left="0" w:firstLine="420" w:firstLineChars="200"/>
        <w:jc w:val="both"/>
        <w:rPr>
          <w:rFonts w:ascii="宋体" w:hAnsi="宋体" w:cs="宋体"/>
          <w:color w:val="auto"/>
          <w:sz w:val="21"/>
          <w:szCs w:val="21"/>
        </w:rPr>
      </w:pPr>
      <w:r>
        <w:rPr>
          <w:rFonts w:hint="eastAsia" w:ascii="宋体" w:hAnsi="宋体" w:cs="宋体"/>
          <w:color w:val="auto"/>
          <w:sz w:val="21"/>
          <w:szCs w:val="21"/>
        </w:rPr>
        <w:t>19.1如果双方中任何一方由于战争、严重火灾、水灾、台风和地震以及其它经双方同意属于不可抗力的事故，致使合同履行受阻时，履行合同的期限应予延长，延长的期限应相当于事故所影响的时间。</w:t>
      </w:r>
    </w:p>
    <w:p>
      <w:pPr>
        <w:pStyle w:val="7"/>
        <w:widowControl w:val="0"/>
        <w:tabs>
          <w:tab w:val="left" w:pos="420"/>
        </w:tabs>
        <w:spacing w:afterLines="0" w:line="360" w:lineRule="exact"/>
        <w:ind w:left="0" w:firstLine="420" w:firstLineChars="200"/>
        <w:jc w:val="both"/>
        <w:rPr>
          <w:rFonts w:ascii="宋体" w:hAnsi="宋体" w:cs="宋体"/>
          <w:color w:val="auto"/>
          <w:sz w:val="21"/>
          <w:szCs w:val="21"/>
        </w:rPr>
      </w:pPr>
      <w:r>
        <w:rPr>
          <w:rFonts w:hint="eastAsia" w:ascii="宋体" w:hAnsi="宋体" w:cs="宋体"/>
          <w:color w:val="auto"/>
          <w:sz w:val="21"/>
          <w:szCs w:val="21"/>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pStyle w:val="13"/>
        <w:widowControl/>
        <w:numPr>
          <w:ilvl w:val="0"/>
          <w:numId w:val="10"/>
        </w:numPr>
        <w:spacing w:line="360" w:lineRule="exact"/>
        <w:ind w:firstLine="420" w:firstLineChars="200"/>
        <w:textAlignment w:val="baseline"/>
        <w:rPr>
          <w:rFonts w:ascii="宋体" w:hAnsi="宋体" w:cs="宋体"/>
          <w:color w:val="auto"/>
          <w:sz w:val="21"/>
          <w:szCs w:val="21"/>
        </w:rPr>
      </w:pPr>
      <w:r>
        <w:rPr>
          <w:rFonts w:hint="eastAsia" w:ascii="宋体" w:hAnsi="宋体" w:cs="宋体"/>
          <w:color w:val="auto"/>
          <w:sz w:val="21"/>
          <w:szCs w:val="21"/>
        </w:rPr>
        <w:t>其他</w:t>
      </w:r>
    </w:p>
    <w:p>
      <w:pPr>
        <w:pStyle w:val="14"/>
        <w:spacing w:line="360" w:lineRule="exact"/>
        <w:ind w:firstLine="420" w:firstLineChars="200"/>
        <w:rPr>
          <w:rFonts w:ascii="宋体" w:hAnsi="宋体" w:cs="宋体"/>
          <w:color w:val="auto"/>
          <w:szCs w:val="21"/>
        </w:rPr>
      </w:pPr>
      <w:r>
        <w:rPr>
          <w:rFonts w:hint="eastAsia" w:ascii="宋体" w:hAnsi="宋体" w:cs="宋体"/>
          <w:color w:val="auto"/>
          <w:szCs w:val="21"/>
        </w:rPr>
        <w:t>20.1乙方应无条件配合总包智能化施工单位，做好后续兼容、配套、对接等工作，免费开放相关端口。</w:t>
      </w:r>
    </w:p>
    <w:p>
      <w:pPr>
        <w:pStyle w:val="13"/>
        <w:spacing w:line="360" w:lineRule="exact"/>
        <w:ind w:firstLine="420" w:firstLineChars="200"/>
        <w:rPr>
          <w:rFonts w:ascii="宋体" w:hAnsi="宋体" w:cs="宋体"/>
          <w:color w:val="auto"/>
          <w:sz w:val="21"/>
          <w:szCs w:val="21"/>
        </w:rPr>
      </w:pPr>
      <w:r>
        <w:rPr>
          <w:rFonts w:hint="eastAsia" w:ascii="宋体" w:hAnsi="宋体" w:cs="宋体"/>
          <w:color w:val="auto"/>
          <w:sz w:val="21"/>
          <w:szCs w:val="21"/>
        </w:rPr>
        <w:t>20.2防护铅板施工出施工图和节点图，具体由中标单位深化后确定。</w:t>
      </w:r>
    </w:p>
    <w:p>
      <w:pPr>
        <w:pStyle w:val="13"/>
        <w:spacing w:line="360" w:lineRule="exact"/>
        <w:ind w:firstLine="420" w:firstLineChars="200"/>
        <w:rPr>
          <w:rFonts w:ascii="宋体" w:hAnsi="宋体" w:cs="宋体"/>
          <w:color w:val="auto"/>
          <w:sz w:val="21"/>
          <w:szCs w:val="21"/>
        </w:rPr>
      </w:pPr>
      <w:r>
        <w:rPr>
          <w:rFonts w:hint="eastAsia" w:ascii="宋体" w:hAnsi="宋体" w:cs="宋体"/>
          <w:color w:val="auto"/>
          <w:sz w:val="21"/>
          <w:szCs w:val="21"/>
        </w:rPr>
        <w:t>20.3乙方应配合使用单位完成现有设备移机开槽等相关要求，并承担相应费用。</w:t>
      </w:r>
    </w:p>
    <w:p>
      <w:pPr>
        <w:pStyle w:val="13"/>
        <w:spacing w:line="360" w:lineRule="exact"/>
        <w:ind w:firstLine="420" w:firstLineChars="200"/>
        <w:rPr>
          <w:rFonts w:ascii="宋体" w:hAnsi="宋体" w:cs="宋体"/>
          <w:color w:val="auto"/>
          <w:sz w:val="21"/>
          <w:szCs w:val="21"/>
        </w:rPr>
      </w:pPr>
      <w:r>
        <w:rPr>
          <w:rFonts w:hint="eastAsia" w:ascii="宋体" w:hAnsi="宋体" w:cs="宋体"/>
          <w:color w:val="auto"/>
          <w:sz w:val="21"/>
          <w:szCs w:val="21"/>
        </w:rPr>
        <w:t>（注：在正式签约时，根据上述精神应拟就更为详尽的合同书）</w:t>
      </w:r>
    </w:p>
    <w:p>
      <w:pPr>
        <w:spacing w:line="360" w:lineRule="exact"/>
        <w:ind w:firstLine="420" w:firstLineChars="200"/>
        <w:rPr>
          <w:rFonts w:ascii="宋体" w:hAnsi="宋体" w:cs="宋体"/>
          <w:color w:val="auto"/>
          <w:spacing w:val="30"/>
          <w:sz w:val="20"/>
          <w:szCs w:val="20"/>
        </w:rPr>
      </w:pPr>
      <w:r>
        <w:rPr>
          <w:rFonts w:hint="eastAsia" w:ascii="宋体" w:hAnsi="宋体" w:cs="宋体"/>
          <w:color w:val="auto"/>
          <w:szCs w:val="21"/>
        </w:rPr>
        <w:br w:type="page"/>
      </w:r>
      <w:r>
        <w:rPr>
          <w:rFonts w:hint="eastAsia" w:ascii="宋体" w:hAnsi="宋体" w:cs="宋体"/>
          <w:color w:val="auto"/>
          <w:sz w:val="20"/>
          <w:szCs w:val="20"/>
        </w:rPr>
        <w:t>附件1：廉政合同（格式）</w:t>
      </w:r>
    </w:p>
    <w:p>
      <w:pPr>
        <w:spacing w:line="360" w:lineRule="exact"/>
        <w:ind w:firstLine="482" w:firstLineChars="200"/>
        <w:jc w:val="center"/>
        <w:rPr>
          <w:rFonts w:ascii="宋体" w:hAnsi="宋体" w:cs="宋体"/>
          <w:bCs/>
          <w:color w:val="auto"/>
          <w:sz w:val="24"/>
          <w:szCs w:val="24"/>
        </w:rPr>
      </w:pPr>
      <w:r>
        <w:rPr>
          <w:rFonts w:hint="eastAsia" w:ascii="宋体" w:hAnsi="宋体" w:cs="宋体"/>
          <w:b/>
          <w:color w:val="auto"/>
          <w:sz w:val="24"/>
          <w:szCs w:val="24"/>
        </w:rPr>
        <w:t>廉政合同</w:t>
      </w:r>
    </w:p>
    <w:p>
      <w:pPr>
        <w:spacing w:line="360" w:lineRule="exact"/>
        <w:ind w:firstLine="400" w:firstLineChars="200"/>
        <w:rPr>
          <w:rFonts w:ascii="宋体" w:hAnsi="宋体" w:cs="宋体"/>
          <w:color w:val="auto"/>
          <w:sz w:val="20"/>
          <w:szCs w:val="20"/>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甲方 </w:t>
      </w:r>
      <w:r>
        <w:rPr>
          <w:rFonts w:hint="eastAsia" w:ascii="宋体" w:hAnsi="宋体" w:cs="宋体"/>
          <w:color w:val="auto"/>
          <w:szCs w:val="21"/>
          <w:u w:val="single"/>
        </w:rPr>
        <w:t>：浙江中成建工集团有限公司</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乙方 ： </w:t>
      </w:r>
      <w:r>
        <w:rPr>
          <w:rFonts w:hint="eastAsia" w:ascii="宋体" w:hAnsi="宋体" w:cs="宋体"/>
          <w:color w:val="auto"/>
          <w:szCs w:val="21"/>
          <w:u w:val="single"/>
        </w:rPr>
        <w:t xml:space="preserve">              </w:t>
      </w:r>
      <w:r>
        <w:rPr>
          <w:rFonts w:hint="eastAsia" w:ascii="宋体" w:hAnsi="宋体" w:cs="宋体"/>
          <w:color w:val="auto"/>
          <w:szCs w:val="21"/>
        </w:rPr>
        <w:t xml:space="preserve">（承包人） </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第一条 甲乙双方的责任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（一）应严格遵守国家关于市场准入、项目招标投标、工程建设、市场活动的有关法律、法规，相关政策，以及廉政建设的各项规定。</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（二）严格执行</w:t>
      </w:r>
      <w:r>
        <w:rPr>
          <w:rFonts w:hint="eastAsia" w:ascii="宋体" w:hAnsi="宋体" w:cs="宋体"/>
          <w:color w:val="auto"/>
          <w:kern w:val="58"/>
          <w:szCs w:val="21"/>
        </w:rPr>
        <w:t>绍兴市中医院改扩建工程EPC总承包内放射防护项目</w:t>
      </w:r>
      <w:r>
        <w:rPr>
          <w:rFonts w:hint="eastAsia" w:ascii="宋体" w:hAnsi="宋体" w:cs="宋体"/>
          <w:color w:val="auto"/>
          <w:szCs w:val="21"/>
        </w:rPr>
        <w:t>供货协议书文件，自觉按协议书办事。</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（三）业务活动必须坚持公开、公平、公正、诚信、透明的原则（除法律法规另有规定者外），不得为获取不正当的利益，损害国家、集体和对方利益，不得违反工程建设管理的规章制度。</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（四）发现对方在业务活动中有违规、违纪、违法行为的，应及时提醒对方，情节严重的，应向其上级主管部门或纪检监察、司法等有关机关举报。</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第二条 甲方的责任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甲方的领导和从事该建设工程项目的工作人员，在工程建设的事前、事中、事后应遵守以下规定：</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（一）不准向乙方和相关单位索要或接受回扣、礼金、有价证券、贵重物品和好处费、感谢费等。</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（二）不准在乙方和相关单位报销任何应由甲方或个人支付的费用。</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（三）不准要求、暗示或接受乙方和相关单位为个人装修住房、婚丧嫁娶、配偶子女的工作安排以及出国（境）、旅游等提供方便。</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（四）不准参加有可能影响公正执行公务的乙方和相关单位的宴请、娱乐等活动。</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第三条 乙方的责任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应与甲方保持正常的业务交往，按照有关法律法规和程序开展业务工作，严格执行工程建设的有关方针、政策，尤其是有关强制性标准和规范，并遵守以下规定：</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（一）不准以任何理由向甲方及其工作人员索要、接受或赠送礼金、有价证券、贵重物品及回扣、好处费、感谢费等。</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（二）不准以任何理由为甲方和相关单位报销应由对方或个人支付的费用。</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（三）不准接受或暗示为甲方、相关单位或个人装修住房、婚丧嫁娶、配偶子女的工作安排以及出国（境）、旅游等提供方便。</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（四）不准以任何理由为甲方、相关单位或个人组织有可能影响公正执行公务的宴请、健身、娱乐等活动。</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第四条 违约责任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第五条 本合同与协议书具有同等法律效力。经双方签字盖章后立即生效。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第六条 本合同的有效期同主合同。</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第七条 本合同正副本份数同主合同。</w:t>
      </w:r>
    </w:p>
    <w:p>
      <w:pPr>
        <w:spacing w:line="360" w:lineRule="exact"/>
        <w:ind w:firstLine="420" w:firstLineChars="200"/>
        <w:rPr>
          <w:rFonts w:ascii="宋体" w:hAnsi="宋体" w:cs="宋体"/>
          <w:color w:val="auto"/>
          <w:szCs w:val="21"/>
        </w:rPr>
      </w:pPr>
    </w:p>
    <w:p>
      <w:pPr>
        <w:tabs>
          <w:tab w:val="left" w:pos="3780"/>
        </w:tabs>
        <w:spacing w:line="360" w:lineRule="exact"/>
        <w:ind w:firstLine="420" w:firstLineChars="200"/>
        <w:rPr>
          <w:rFonts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u w:val="single"/>
        </w:rPr>
        <w:t>浙江中成建工集团有限公司</w:t>
      </w:r>
      <w:r>
        <w:rPr>
          <w:rFonts w:hint="eastAsia" w:ascii="宋体" w:hAnsi="宋体" w:cs="宋体"/>
          <w:color w:val="auto"/>
          <w:szCs w:val="21"/>
        </w:rPr>
        <w:t>（盖章）    乙方：</w:t>
      </w:r>
      <w:r>
        <w:rPr>
          <w:rFonts w:hint="eastAsia" w:ascii="宋体" w:hAnsi="宋体" w:cs="宋体"/>
          <w:color w:val="auto"/>
          <w:szCs w:val="21"/>
          <w:u w:val="single"/>
        </w:rPr>
        <w:t xml:space="preserve">                </w:t>
      </w:r>
      <w:r>
        <w:rPr>
          <w:rFonts w:hint="eastAsia" w:ascii="宋体" w:hAnsi="宋体" w:cs="宋体"/>
          <w:color w:val="auto"/>
          <w:szCs w:val="21"/>
        </w:rPr>
        <w:t>（盖章）</w:t>
      </w:r>
    </w:p>
    <w:p>
      <w:pPr>
        <w:spacing w:line="360" w:lineRule="exact"/>
        <w:ind w:firstLine="420" w:firstLineChars="200"/>
        <w:rPr>
          <w:rFonts w:ascii="宋体" w:hAnsi="宋体" w:cs="宋体"/>
          <w:color w:val="auto"/>
          <w:szCs w:val="21"/>
          <w:u w:val="single"/>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法定代表人或                              法定代表人或</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w:t>
      </w:r>
      <w:r>
        <w:rPr>
          <w:rFonts w:hint="eastAsia" w:ascii="宋体" w:hAnsi="宋体" w:cs="宋体"/>
          <w:color w:val="auto"/>
          <w:szCs w:val="21"/>
        </w:rPr>
        <w:t>（签字）           其委托代理人：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日期：      年     月     日              日期：     年     月       日</w:t>
      </w:r>
    </w:p>
    <w:p>
      <w:pPr>
        <w:spacing w:line="360" w:lineRule="exact"/>
        <w:ind w:firstLine="420" w:firstLineChars="200"/>
        <w:rPr>
          <w:rFonts w:ascii="宋体" w:hAnsi="宋体" w:cs="宋体"/>
          <w:color w:val="auto"/>
          <w:sz w:val="20"/>
          <w:szCs w:val="20"/>
        </w:rPr>
      </w:pPr>
      <w:r>
        <w:rPr>
          <w:rFonts w:hint="eastAsia" w:ascii="宋体" w:hAnsi="宋体" w:cs="宋体"/>
          <w:color w:val="auto"/>
          <w:szCs w:val="21"/>
        </w:rPr>
        <w:br w:type="page"/>
      </w:r>
    </w:p>
    <w:p>
      <w:pPr>
        <w:pStyle w:val="4"/>
        <w:adjustRightInd w:val="0"/>
        <w:spacing w:line="360" w:lineRule="exact"/>
        <w:ind w:firstLine="402"/>
        <w:textAlignment w:val="baseline"/>
        <w:rPr>
          <w:rFonts w:ascii="宋体" w:hAnsi="宋体" w:cs="宋体"/>
          <w:color w:val="auto"/>
          <w:sz w:val="20"/>
          <w:szCs w:val="20"/>
        </w:rPr>
      </w:pPr>
      <w:r>
        <w:rPr>
          <w:rFonts w:hint="eastAsia" w:ascii="宋体" w:hAnsi="宋体" w:cs="宋体"/>
          <w:color w:val="auto"/>
          <w:sz w:val="20"/>
          <w:szCs w:val="20"/>
        </w:rPr>
        <w:t>附件2：履约保函（格式）</w:t>
      </w:r>
    </w:p>
    <w:p>
      <w:pPr>
        <w:snapToGrid w:val="0"/>
        <w:spacing w:line="360" w:lineRule="exact"/>
        <w:ind w:firstLine="400" w:firstLineChars="200"/>
        <w:rPr>
          <w:rFonts w:ascii="宋体" w:hAnsi="宋体" w:cs="宋体"/>
          <w:color w:val="auto"/>
          <w:sz w:val="20"/>
          <w:szCs w:val="20"/>
        </w:rPr>
      </w:pPr>
    </w:p>
    <w:p>
      <w:pPr>
        <w:spacing w:line="360" w:lineRule="exact"/>
        <w:ind w:firstLine="482" w:firstLineChars="200"/>
        <w:jc w:val="center"/>
        <w:rPr>
          <w:rFonts w:ascii="宋体" w:hAnsi="宋体" w:cs="宋体"/>
          <w:b/>
          <w:color w:val="auto"/>
          <w:sz w:val="24"/>
          <w:szCs w:val="24"/>
        </w:rPr>
      </w:pPr>
      <w:r>
        <w:rPr>
          <w:rFonts w:hint="eastAsia" w:ascii="宋体" w:hAnsi="宋体" w:cs="宋体"/>
          <w:b/>
          <w:color w:val="auto"/>
          <w:sz w:val="24"/>
          <w:szCs w:val="24"/>
        </w:rPr>
        <w:t>履约保函</w:t>
      </w:r>
    </w:p>
    <w:p>
      <w:pPr>
        <w:spacing w:line="360" w:lineRule="exact"/>
        <w:ind w:firstLine="402" w:firstLineChars="200"/>
        <w:rPr>
          <w:rFonts w:ascii="宋体" w:hAnsi="宋体" w:cs="宋体"/>
          <w:b/>
          <w:color w:val="auto"/>
          <w:sz w:val="20"/>
          <w:szCs w:val="20"/>
          <w:u w:val="single"/>
        </w:rPr>
      </w:pPr>
    </w:p>
    <w:p>
      <w:pPr>
        <w:spacing w:line="360" w:lineRule="exact"/>
        <w:ind w:firstLine="420" w:firstLineChars="200"/>
        <w:rPr>
          <w:rFonts w:ascii="宋体" w:hAnsi="宋体" w:cs="宋体"/>
          <w:b/>
          <w:color w:val="auto"/>
          <w:szCs w:val="21"/>
        </w:rPr>
      </w:pPr>
      <w:r>
        <w:rPr>
          <w:rFonts w:hint="eastAsia" w:ascii="宋体" w:hAnsi="宋体" w:cs="宋体"/>
          <w:color w:val="auto"/>
          <w:szCs w:val="21"/>
          <w:u w:val="single"/>
        </w:rPr>
        <w:t>浙江中成建工集团有限公司</w:t>
      </w:r>
      <w:r>
        <w:rPr>
          <w:rFonts w:hint="eastAsia" w:ascii="宋体" w:hAnsi="宋体" w:cs="宋体"/>
          <w:b/>
          <w:color w:val="auto"/>
          <w:szCs w:val="21"/>
        </w:rPr>
        <w:t>：</w:t>
      </w:r>
    </w:p>
    <w:p>
      <w:pPr>
        <w:spacing w:line="360" w:lineRule="exact"/>
        <w:ind w:firstLine="420" w:firstLineChars="200"/>
        <w:rPr>
          <w:color w:val="auto"/>
          <w:szCs w:val="21"/>
        </w:rPr>
      </w:pPr>
      <w:r>
        <w:rPr>
          <w:rFonts w:hint="eastAsia" w:ascii="宋体" w:hAnsi="宋体" w:cs="宋体"/>
          <w:color w:val="auto"/>
          <w:szCs w:val="21"/>
        </w:rPr>
        <w:t>鉴于</w:t>
      </w:r>
      <w:r>
        <w:rPr>
          <w:rFonts w:hint="eastAsia" w:ascii="宋体" w:hAnsi="宋体" w:cs="宋体"/>
          <w:color w:val="auto"/>
          <w:szCs w:val="21"/>
          <w:u w:val="single"/>
        </w:rPr>
        <w:t xml:space="preserve">            </w:t>
      </w:r>
      <w:r>
        <w:rPr>
          <w:rFonts w:hint="eastAsia" w:ascii="宋体" w:hAnsi="宋体" w:cs="宋体"/>
          <w:color w:val="auto"/>
          <w:szCs w:val="21"/>
        </w:rPr>
        <w:t>（以下简称“甲方”）接受</w:t>
      </w:r>
      <w:r>
        <w:rPr>
          <w:rFonts w:hint="eastAsia" w:ascii="宋体" w:hAnsi="宋体" w:cs="宋体"/>
          <w:color w:val="auto"/>
          <w:szCs w:val="21"/>
          <w:u w:val="single"/>
        </w:rPr>
        <w:t xml:space="preserve">          </w:t>
      </w:r>
      <w:r>
        <w:rPr>
          <w:rFonts w:hint="eastAsia" w:ascii="宋体" w:hAnsi="宋体" w:cs="宋体"/>
          <w:color w:val="auto"/>
          <w:szCs w:val="21"/>
        </w:rPr>
        <w:t>（以下简称“乙方”）于</w:t>
      </w:r>
      <w:r>
        <w:rPr>
          <w:rFonts w:hint="eastAsia" w:ascii="宋体" w:hAnsi="宋体" w:cs="宋体"/>
          <w:color w:val="auto"/>
          <w:szCs w:val="21"/>
          <w:u w:val="single"/>
        </w:rPr>
        <w:t xml:space="preserve">     </w:t>
      </w:r>
      <w:r>
        <w:rPr>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 xml:space="preserve">日参加 </w:t>
      </w:r>
      <w:r>
        <w:rPr>
          <w:rFonts w:hint="eastAsia" w:ascii="宋体" w:hAnsi="宋体" w:cs="宋体"/>
          <w:color w:val="auto"/>
          <w:szCs w:val="21"/>
          <w:u w:val="single"/>
        </w:rPr>
        <w:t xml:space="preserve">             </w:t>
      </w:r>
      <w:r>
        <w:rPr>
          <w:rFonts w:hint="eastAsia" w:ascii="宋体" w:hAnsi="宋体" w:cs="宋体"/>
          <w:color w:val="auto"/>
          <w:szCs w:val="21"/>
        </w:rPr>
        <w:t>（项目名称）的投标。我方愿意无条件地、不可撤销地就乙方履行与你方订立的合同，向你方提供保函。</w:t>
      </w:r>
    </w:p>
    <w:p>
      <w:pPr>
        <w:spacing w:line="360" w:lineRule="exact"/>
        <w:ind w:firstLine="420" w:firstLineChars="200"/>
        <w:rPr>
          <w:rFonts w:ascii="宋体" w:hAnsi="宋体" w:cs="宋体"/>
          <w:color w:val="auto"/>
          <w:szCs w:val="21"/>
        </w:rPr>
      </w:pPr>
      <w:r>
        <w:rPr>
          <w:rFonts w:hint="eastAsia" w:ascii="宋体" w:hAnsi="宋体" w:cs="宋体"/>
          <w:color w:val="auto"/>
          <w:szCs w:val="21"/>
        </w:rPr>
        <w:t>1.保函金额人民币</w:t>
      </w:r>
      <w:r>
        <w:rPr>
          <w:rFonts w:hint="eastAsia" w:ascii="宋体" w:hAnsi="宋体" w:cs="宋体"/>
          <w:color w:val="auto"/>
          <w:szCs w:val="21"/>
          <w:u w:val="single"/>
        </w:rPr>
        <w:t xml:space="preserve">（大写）              </w:t>
      </w:r>
      <w:r>
        <w:rPr>
          <w:rFonts w:hint="eastAsia" w:ascii="宋体" w:hAnsi="宋体" w:cs="宋体"/>
          <w:color w:val="auto"/>
          <w:szCs w:val="21"/>
        </w:rPr>
        <w:t>元（¥）。</w:t>
      </w:r>
    </w:p>
    <w:p>
      <w:pPr>
        <w:spacing w:line="360" w:lineRule="exact"/>
        <w:ind w:firstLine="420" w:firstLineChars="200"/>
        <w:rPr>
          <w:rFonts w:ascii="宋体" w:hAnsi="宋体" w:cs="宋体"/>
          <w:color w:val="auto"/>
          <w:szCs w:val="21"/>
        </w:rPr>
      </w:pPr>
      <w:r>
        <w:rPr>
          <w:rFonts w:hint="eastAsia" w:ascii="宋体" w:hAnsi="宋体" w:cs="宋体"/>
          <w:color w:val="auto"/>
          <w:szCs w:val="21"/>
        </w:rPr>
        <w:t>2.保函有效期：自甲、乙双方签订的合同协议书生效之日起，至</w:t>
      </w:r>
      <w:r>
        <w:rPr>
          <w:rFonts w:hint="eastAsia" w:ascii="宋体" w:hAnsi="宋体" w:cs="宋体"/>
          <w:color w:val="auto"/>
          <w:szCs w:val="21"/>
          <w:u w:val="single"/>
        </w:rPr>
        <w:t xml:space="preserve">20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日止。</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3.在本保函有效期内，我方在收到你方以书面形式提出的在担保金额内的赔偿要求后，在5个工作日内无条件支付。</w:t>
      </w:r>
    </w:p>
    <w:p>
      <w:pPr>
        <w:spacing w:line="360" w:lineRule="exact"/>
        <w:ind w:firstLine="420" w:firstLineChars="200"/>
        <w:rPr>
          <w:rFonts w:ascii="宋体" w:hAnsi="宋体" w:cs="宋体"/>
          <w:color w:val="auto"/>
          <w:szCs w:val="21"/>
        </w:rPr>
      </w:pPr>
      <w:r>
        <w:rPr>
          <w:rFonts w:hint="eastAsia" w:ascii="宋体" w:hAnsi="宋体" w:cs="宋体"/>
          <w:color w:val="auto"/>
          <w:szCs w:val="21"/>
        </w:rPr>
        <w:t>4.甲、乙双方按规定修改合同时，我方承担本担保规定的义务不变。</w:t>
      </w:r>
    </w:p>
    <w:p>
      <w:pPr>
        <w:spacing w:line="360" w:lineRule="exact"/>
        <w:ind w:firstLine="420" w:firstLineChars="200"/>
        <w:rPr>
          <w:rFonts w:ascii="宋体" w:hAnsi="宋体" w:cs="宋体"/>
          <w:color w:val="auto"/>
          <w:szCs w:val="21"/>
        </w:rPr>
      </w:pPr>
      <w:r>
        <w:rPr>
          <w:rFonts w:hint="eastAsia" w:ascii="宋体" w:hAnsi="宋体" w:cs="宋体"/>
          <w:color w:val="auto"/>
          <w:szCs w:val="21"/>
        </w:rPr>
        <w:t>5.本保函以及与本保函有关的纠纷，由各方协商解决，协商不成的，任何一方均可向甲方所在地人民法院提请诉讼。</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担保人：</w:t>
      </w:r>
      <w:r>
        <w:rPr>
          <w:rFonts w:hint="eastAsia" w:ascii="宋体" w:hAnsi="宋体" w:cs="宋体"/>
          <w:color w:val="auto"/>
          <w:szCs w:val="21"/>
          <w:u w:val="single"/>
        </w:rPr>
        <w:t xml:space="preserve">                  </w:t>
      </w:r>
      <w:r>
        <w:rPr>
          <w:rFonts w:hint="eastAsia" w:ascii="宋体" w:hAnsi="宋体" w:cs="宋体"/>
          <w:color w:val="auto"/>
          <w:szCs w:val="21"/>
        </w:rPr>
        <w:t>（盖单位公章）</w:t>
      </w:r>
    </w:p>
    <w:p>
      <w:pPr>
        <w:spacing w:line="360" w:lineRule="exact"/>
        <w:ind w:firstLine="420" w:firstLineChars="200"/>
        <w:rPr>
          <w:rFonts w:ascii="宋体" w:hAnsi="宋体" w:cs="宋体"/>
          <w:color w:val="auto"/>
          <w:szCs w:val="21"/>
        </w:rPr>
      </w:pPr>
      <w:r>
        <w:rPr>
          <w:rFonts w:hint="eastAsia" w:ascii="宋体" w:hAnsi="宋体" w:cs="宋体"/>
          <w:color w:val="auto"/>
          <w:szCs w:val="21"/>
        </w:rPr>
        <w:t>法定代表人或其委托代理人：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邮编：</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电话：</w:t>
      </w:r>
    </w:p>
    <w:p>
      <w:pPr>
        <w:spacing w:line="360" w:lineRule="exact"/>
        <w:ind w:firstLine="420" w:firstLineChars="200"/>
        <w:rPr>
          <w:rFonts w:ascii="宋体" w:hAnsi="宋体" w:cs="宋体"/>
          <w:color w:val="auto"/>
          <w:szCs w:val="21"/>
        </w:rPr>
      </w:pPr>
      <w:r>
        <w:rPr>
          <w:rFonts w:hint="eastAsia" w:ascii="宋体" w:hAnsi="宋体" w:cs="宋体"/>
          <w:color w:val="auto"/>
          <w:szCs w:val="21"/>
        </w:rPr>
        <w:t>传真：</w:t>
      </w:r>
    </w:p>
    <w:p>
      <w:pPr>
        <w:tabs>
          <w:tab w:val="left" w:pos="4500"/>
          <w:tab w:val="left" w:pos="4680"/>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年     月     日</w:t>
      </w:r>
    </w:p>
    <w:p>
      <w:pPr>
        <w:spacing w:line="360" w:lineRule="exact"/>
        <w:ind w:firstLine="420" w:firstLineChars="200"/>
        <w:rPr>
          <w:rFonts w:ascii="宋体" w:hAnsi="宋体" w:cs="宋体"/>
          <w:color w:val="auto"/>
          <w:szCs w:val="21"/>
        </w:rPr>
        <w:sectPr>
          <w:footerReference r:id="rId5" w:type="even"/>
          <w:pgSz w:w="11906" w:h="16838"/>
          <w:pgMar w:top="1440" w:right="1134" w:bottom="1440" w:left="1134" w:header="851" w:footer="992" w:gutter="0"/>
          <w:cols w:space="720" w:num="1"/>
          <w:docGrid w:linePitch="312" w:charSpace="0"/>
        </w:sectPr>
      </w:pPr>
    </w:p>
    <w:p>
      <w:pPr>
        <w:tabs>
          <w:tab w:val="left" w:pos="4500"/>
          <w:tab w:val="left" w:pos="4680"/>
        </w:tabs>
        <w:spacing w:line="360" w:lineRule="exact"/>
        <w:ind w:firstLine="402" w:firstLineChars="200"/>
        <w:rPr>
          <w:rFonts w:ascii="宋体" w:hAnsi="宋体" w:cs="宋体"/>
          <w:color w:val="auto"/>
          <w:spacing w:val="30"/>
          <w:sz w:val="20"/>
          <w:szCs w:val="20"/>
        </w:rPr>
      </w:pPr>
      <w:r>
        <w:rPr>
          <w:rFonts w:hint="eastAsia" w:ascii="宋体" w:hAnsi="宋体" w:cs="宋体"/>
          <w:b/>
          <w:color w:val="auto"/>
          <w:sz w:val="20"/>
          <w:szCs w:val="20"/>
        </w:rPr>
        <w:t>附件3：安全生产合同（格式）</w:t>
      </w:r>
    </w:p>
    <w:p>
      <w:pPr>
        <w:spacing w:line="360" w:lineRule="exact"/>
        <w:ind w:firstLine="400" w:firstLineChars="200"/>
        <w:rPr>
          <w:rFonts w:ascii="宋体" w:hAnsi="宋体" w:cs="宋体"/>
          <w:color w:val="auto"/>
          <w:sz w:val="20"/>
          <w:szCs w:val="20"/>
        </w:rPr>
      </w:pPr>
    </w:p>
    <w:p>
      <w:pPr>
        <w:spacing w:line="360" w:lineRule="exact"/>
        <w:ind w:firstLine="482" w:firstLineChars="200"/>
        <w:jc w:val="center"/>
        <w:rPr>
          <w:rFonts w:ascii="宋体" w:hAnsi="宋体" w:cs="宋体"/>
          <w:b/>
          <w:color w:val="auto"/>
          <w:sz w:val="20"/>
          <w:szCs w:val="20"/>
        </w:rPr>
      </w:pPr>
      <w:r>
        <w:rPr>
          <w:rFonts w:hint="eastAsia" w:ascii="宋体" w:hAnsi="宋体" w:cs="宋体"/>
          <w:b/>
          <w:color w:val="auto"/>
          <w:sz w:val="24"/>
          <w:szCs w:val="24"/>
        </w:rPr>
        <w:t>安全生产合同</w:t>
      </w:r>
    </w:p>
    <w:p>
      <w:pPr>
        <w:spacing w:line="360" w:lineRule="exact"/>
        <w:ind w:firstLine="400" w:firstLineChars="200"/>
        <w:rPr>
          <w:rFonts w:ascii="宋体" w:hAnsi="宋体" w:cs="宋体"/>
          <w:color w:val="auto"/>
          <w:sz w:val="20"/>
          <w:szCs w:val="20"/>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为在</w:t>
      </w:r>
      <w:r>
        <w:rPr>
          <w:rFonts w:hint="eastAsia" w:ascii="宋体" w:hAnsi="宋体" w:cs="宋体"/>
          <w:color w:val="auto"/>
          <w:szCs w:val="21"/>
          <w:u w:val="single"/>
        </w:rPr>
        <w:t>绍兴市中医院改扩建工程EPC总承包内放射防护项目</w:t>
      </w:r>
      <w:r>
        <w:rPr>
          <w:rFonts w:hint="eastAsia" w:ascii="宋体" w:hAnsi="宋体" w:cs="宋体"/>
          <w:color w:val="auto"/>
          <w:szCs w:val="21"/>
        </w:rPr>
        <w:t>供货合同的实施过程中创造安全、高效的环境，切实搞好本项目的安全管理工作，</w:t>
      </w:r>
      <w:r>
        <w:rPr>
          <w:rFonts w:hint="eastAsia" w:ascii="宋体" w:hAnsi="宋体" w:cs="宋体"/>
          <w:color w:val="auto"/>
          <w:szCs w:val="21"/>
          <w:u w:val="single"/>
        </w:rPr>
        <w:t xml:space="preserve">       </w:t>
      </w:r>
      <w:r>
        <w:rPr>
          <w:rFonts w:hint="eastAsia" w:ascii="宋体" w:hAnsi="宋体" w:cs="宋体"/>
          <w:color w:val="auto"/>
          <w:szCs w:val="21"/>
        </w:rPr>
        <w:t>（以下简称“甲方”）与</w:t>
      </w:r>
      <w:r>
        <w:rPr>
          <w:rFonts w:hint="eastAsia" w:ascii="宋体" w:hAnsi="宋体" w:cs="宋体"/>
          <w:color w:val="auto"/>
          <w:szCs w:val="21"/>
          <w:u w:val="single"/>
        </w:rPr>
        <w:t xml:space="preserve">        </w:t>
      </w:r>
      <w:r>
        <w:rPr>
          <w:rFonts w:hint="eastAsia" w:ascii="宋体" w:hAnsi="宋体" w:cs="宋体"/>
          <w:color w:val="auto"/>
          <w:szCs w:val="21"/>
        </w:rPr>
        <w:t>（以下简称“乙方”）特此签订安全生产合同如下：</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一、甲方职责</w:t>
      </w:r>
    </w:p>
    <w:p>
      <w:pPr>
        <w:spacing w:line="360" w:lineRule="exact"/>
        <w:ind w:firstLine="420" w:firstLineChars="200"/>
        <w:rPr>
          <w:rFonts w:ascii="宋体" w:hAnsi="宋体" w:cs="宋体"/>
          <w:color w:val="auto"/>
          <w:szCs w:val="21"/>
        </w:rPr>
      </w:pPr>
      <w:r>
        <w:rPr>
          <w:rFonts w:hint="eastAsia" w:ascii="宋体" w:hAnsi="宋体" w:cs="宋体"/>
          <w:color w:val="auto"/>
          <w:szCs w:val="21"/>
        </w:rPr>
        <w:t>1.严格遵守国家有关安全生产的法律法规等有关安全生产的规定，认真执行合同中的有关安全要求。</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2.定期召开安全生产调度会，及时传达中央及地方有关安全生产的精神。</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3.对乙方现场操作安全生产检查，监督乙方及时处理发现的各项安全隐患。</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二、乙方职责</w:t>
      </w:r>
    </w:p>
    <w:p>
      <w:pPr>
        <w:spacing w:line="360" w:lineRule="exact"/>
        <w:ind w:firstLine="420" w:firstLineChars="200"/>
        <w:rPr>
          <w:rFonts w:ascii="宋体" w:hAnsi="宋体" w:cs="宋体"/>
          <w:color w:val="auto"/>
          <w:szCs w:val="21"/>
        </w:rPr>
      </w:pPr>
      <w:r>
        <w:rPr>
          <w:rFonts w:hint="eastAsia" w:ascii="宋体" w:hAnsi="宋体" w:cs="宋体"/>
          <w:color w:val="auto"/>
          <w:szCs w:val="21"/>
        </w:rPr>
        <w:t>1.严格遵守国家有关安全生产的法律法规等有关安全生产的规定，认真执行工程承包合同中的有关安全要求。</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exact"/>
        <w:ind w:firstLine="420" w:firstLineChars="200"/>
        <w:rPr>
          <w:rFonts w:ascii="宋体" w:hAnsi="宋体" w:cs="宋体"/>
          <w:color w:val="auto"/>
          <w:szCs w:val="21"/>
        </w:rPr>
      </w:pPr>
      <w:r>
        <w:rPr>
          <w:rFonts w:hint="eastAsia" w:ascii="宋体" w:hAnsi="宋体" w:cs="宋体"/>
          <w:color w:val="auto"/>
          <w:szCs w:val="21"/>
        </w:rPr>
        <w:t>4.乙方在任何时候都应采取各种合理的预防措施，防止工作人员发生任何违法、违禁、暴力或妨碍治安的行为。</w:t>
      </w:r>
    </w:p>
    <w:p>
      <w:pPr>
        <w:spacing w:line="360" w:lineRule="exact"/>
        <w:ind w:firstLine="420" w:firstLineChars="200"/>
        <w:rPr>
          <w:rFonts w:ascii="宋体" w:hAnsi="宋体" w:cs="宋体"/>
          <w:color w:val="auto"/>
          <w:szCs w:val="21"/>
        </w:rPr>
      </w:pPr>
      <w:r>
        <w:rPr>
          <w:rFonts w:hint="eastAsia" w:ascii="宋体" w:hAnsi="宋体" w:cs="宋体"/>
          <w:color w:val="auto"/>
          <w:szCs w:val="21"/>
        </w:rPr>
        <w:t>5.乙方参加项目实施的人员，必须接受安全技术教育，熟知和遵守生产过程中的安全技术操作规程。生产、施工现场出现违反安全的操作，项目负责人必须承担管理责任。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exact"/>
        <w:ind w:firstLine="420" w:firstLineChars="200"/>
        <w:rPr>
          <w:rFonts w:ascii="宋体" w:hAnsi="宋体" w:cs="宋体"/>
          <w:color w:val="auto"/>
          <w:szCs w:val="21"/>
        </w:rPr>
      </w:pPr>
      <w:r>
        <w:rPr>
          <w:rFonts w:hint="eastAsia" w:ascii="宋体" w:hAnsi="宋体" w:cs="宋体"/>
          <w:color w:val="auto"/>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exact"/>
        <w:ind w:firstLine="420" w:firstLineChars="200"/>
        <w:rPr>
          <w:rFonts w:ascii="宋体" w:hAnsi="宋体" w:cs="宋体"/>
          <w:color w:val="auto"/>
          <w:szCs w:val="21"/>
        </w:rPr>
      </w:pPr>
      <w:r>
        <w:rPr>
          <w:rFonts w:hint="eastAsia" w:ascii="宋体" w:hAnsi="宋体" w:cs="宋体"/>
          <w:color w:val="auto"/>
          <w:szCs w:val="21"/>
        </w:rPr>
        <w:t>8.乙方的所有安全事故、损失均由乙方自行负责。</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三、违约责任：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如因甲方或乙方违约造成安全事故，将依法追究责任。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四、本合同正本3份，甲、乙方及浙江中成建工集团有限公司各1份；副本11份，甲方3份，乙方3份，浙江中成建工集团有限公司5份。</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五、由双方法定代表人或其委托代理人签署并加盖单位章后生效，至合同费用结清为止失效。</w:t>
      </w:r>
    </w:p>
    <w:p>
      <w:pPr>
        <w:spacing w:line="360" w:lineRule="exact"/>
        <w:ind w:firstLine="420" w:firstLineChars="200"/>
        <w:rPr>
          <w:rFonts w:ascii="宋体" w:hAnsi="宋体" w:cs="宋体"/>
          <w:color w:val="auto"/>
          <w:szCs w:val="21"/>
        </w:rPr>
      </w:pPr>
    </w:p>
    <w:p>
      <w:pPr>
        <w:tabs>
          <w:tab w:val="left" w:pos="5040"/>
        </w:tabs>
        <w:spacing w:line="360" w:lineRule="exact"/>
        <w:ind w:firstLine="420" w:firstLineChars="200"/>
        <w:rPr>
          <w:rFonts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u w:val="single"/>
        </w:rPr>
        <w:t xml:space="preserve">             （盖单位章）</w:t>
      </w:r>
      <w:r>
        <w:rPr>
          <w:rFonts w:hint="eastAsia" w:ascii="宋体" w:hAnsi="宋体" w:cs="宋体"/>
          <w:color w:val="auto"/>
          <w:szCs w:val="21"/>
        </w:rPr>
        <w:t xml:space="preserve">                 乙方：</w:t>
      </w:r>
      <w:r>
        <w:rPr>
          <w:rFonts w:hint="eastAsia" w:ascii="宋体" w:hAnsi="宋体" w:cs="宋体"/>
          <w:color w:val="auto"/>
          <w:szCs w:val="21"/>
          <w:u w:val="single"/>
        </w:rPr>
        <w:t xml:space="preserve">            （盖单位章）</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法定代表人或                                    法定代表人或</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w:t>
      </w:r>
      <w:r>
        <w:rPr>
          <w:rFonts w:hint="eastAsia" w:ascii="宋体" w:hAnsi="宋体" w:cs="宋体"/>
          <w:color w:val="auto"/>
          <w:szCs w:val="21"/>
        </w:rPr>
        <w:t>（签字）                     其委托代理人：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日期：     年   月   日                         日期：    年   月   日</w:t>
      </w:r>
    </w:p>
    <w:p>
      <w:pPr>
        <w:spacing w:line="360" w:lineRule="exact"/>
        <w:ind w:firstLine="420" w:firstLineChars="200"/>
        <w:rPr>
          <w:rFonts w:ascii="宋体" w:hAnsi="宋体" w:cs="宋体"/>
          <w:color w:val="auto"/>
          <w:szCs w:val="21"/>
        </w:rPr>
      </w:pPr>
    </w:p>
    <w:p>
      <w:pPr>
        <w:tabs>
          <w:tab w:val="left" w:pos="4500"/>
          <w:tab w:val="left" w:pos="4680"/>
        </w:tabs>
        <w:spacing w:line="360" w:lineRule="exact"/>
        <w:ind w:firstLine="402" w:firstLineChars="200"/>
        <w:rPr>
          <w:rFonts w:ascii="宋体" w:hAnsi="宋体" w:cs="宋体"/>
          <w:color w:val="auto"/>
          <w:sz w:val="20"/>
          <w:szCs w:val="20"/>
        </w:rPr>
      </w:pPr>
      <w:r>
        <w:rPr>
          <w:rFonts w:hint="eastAsia" w:ascii="宋体" w:hAnsi="宋体" w:cs="宋体"/>
          <w:b/>
          <w:color w:val="auto"/>
          <w:sz w:val="20"/>
          <w:szCs w:val="20"/>
        </w:rPr>
        <w:br w:type="page"/>
      </w:r>
      <w:r>
        <w:rPr>
          <w:rFonts w:hint="eastAsia" w:ascii="宋体" w:hAnsi="宋体" w:cs="宋体"/>
          <w:b/>
          <w:color w:val="auto"/>
          <w:sz w:val="20"/>
          <w:szCs w:val="20"/>
        </w:rPr>
        <w:t>附件4：工程质量保修书（格式）</w:t>
      </w:r>
    </w:p>
    <w:p>
      <w:pPr>
        <w:widowControl/>
        <w:spacing w:before="120" w:beforeLines="50" w:after="120" w:afterLines="50" w:line="360" w:lineRule="exact"/>
        <w:ind w:firstLine="482" w:firstLineChars="200"/>
        <w:jc w:val="center"/>
        <w:rPr>
          <w:rFonts w:ascii="宋体" w:hAnsi="宋体" w:cs="宋体"/>
          <w:color w:val="auto"/>
          <w:sz w:val="24"/>
          <w:szCs w:val="24"/>
        </w:rPr>
      </w:pPr>
      <w:bookmarkStart w:id="443" w:name="_Toc30226"/>
      <w:r>
        <w:rPr>
          <w:rFonts w:hint="eastAsia" w:ascii="宋体" w:hAnsi="宋体" w:cs="宋体"/>
          <w:b/>
          <w:bCs/>
          <w:color w:val="auto"/>
          <w:sz w:val="24"/>
          <w:szCs w:val="24"/>
        </w:rPr>
        <w:t>质 量 保 修 书</w:t>
      </w:r>
      <w:bookmarkEnd w:id="443"/>
    </w:p>
    <w:p>
      <w:pPr>
        <w:spacing w:line="360" w:lineRule="exact"/>
        <w:ind w:firstLine="422" w:firstLineChars="200"/>
        <w:rPr>
          <w:rFonts w:ascii="宋体" w:hAnsi="宋体" w:cs="宋体"/>
          <w:b/>
          <w:color w:val="auto"/>
          <w:szCs w:val="21"/>
        </w:rPr>
      </w:pPr>
      <w:r>
        <w:rPr>
          <w:rFonts w:hint="eastAsia" w:ascii="宋体" w:hAnsi="宋体" w:cs="宋体"/>
          <w:b/>
          <w:color w:val="auto"/>
          <w:szCs w:val="21"/>
        </w:rPr>
        <w:t>甲方（总承包单位、发包人）：</w:t>
      </w:r>
      <w:r>
        <w:rPr>
          <w:rFonts w:hint="eastAsia" w:ascii="宋体" w:hAnsi="宋体" w:cs="宋体"/>
          <w:b/>
          <w:color w:val="auto"/>
          <w:szCs w:val="21"/>
          <w:u w:val="single"/>
        </w:rPr>
        <w:t xml:space="preserve">                          　　            </w:t>
      </w:r>
    </w:p>
    <w:p>
      <w:pPr>
        <w:spacing w:line="360" w:lineRule="exact"/>
        <w:ind w:firstLine="422" w:firstLineChars="200"/>
        <w:rPr>
          <w:rFonts w:ascii="宋体" w:hAnsi="宋体" w:cs="宋体"/>
          <w:b/>
          <w:color w:val="auto"/>
          <w:szCs w:val="21"/>
          <w:u w:val="single"/>
        </w:rPr>
      </w:pPr>
      <w:r>
        <w:rPr>
          <w:rFonts w:hint="eastAsia" w:ascii="宋体" w:hAnsi="宋体" w:cs="宋体"/>
          <w:b/>
          <w:color w:val="auto"/>
          <w:szCs w:val="21"/>
        </w:rPr>
        <w:t>乙方（承包人）：</w:t>
      </w:r>
      <w:r>
        <w:rPr>
          <w:rFonts w:hint="eastAsia" w:ascii="宋体" w:hAnsi="宋体" w:cs="宋体"/>
          <w:b/>
          <w:color w:val="auto"/>
          <w:szCs w:val="21"/>
          <w:u w:val="single"/>
        </w:rPr>
        <w:t xml:space="preserve">                              　　                    </w:t>
      </w:r>
    </w:p>
    <w:p>
      <w:pPr>
        <w:pStyle w:val="19"/>
        <w:spacing w:line="360" w:lineRule="exact"/>
        <w:ind w:firstLine="422" w:firstLineChars="200"/>
        <w:rPr>
          <w:rFonts w:hAnsi="宋体" w:cs="宋体"/>
          <w:b/>
          <w:color w:val="auto"/>
          <w:u w:val="single"/>
        </w:rPr>
      </w:pPr>
      <w:r>
        <w:rPr>
          <w:rFonts w:hint="eastAsia" w:hAnsi="宋体" w:cs="宋体"/>
          <w:b/>
          <w:color w:val="auto"/>
        </w:rPr>
        <w:t>丙方（业主、使用人）：</w:t>
      </w:r>
      <w:r>
        <w:rPr>
          <w:rFonts w:hint="eastAsia" w:hAnsi="宋体" w:cs="宋体"/>
          <w:b/>
          <w:color w:val="auto"/>
          <w:u w:val="single"/>
        </w:rPr>
        <w:t xml:space="preserve">                          　                 　 </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为保证</w:t>
      </w:r>
      <w:r>
        <w:rPr>
          <w:rFonts w:hint="eastAsia" w:ascii="宋体" w:hAnsi="宋体" w:cs="宋体"/>
          <w:color w:val="auto"/>
          <w:szCs w:val="21"/>
          <w:u w:val="single"/>
        </w:rPr>
        <w:t xml:space="preserve">                         项目</w:t>
      </w:r>
      <w:r>
        <w:rPr>
          <w:rFonts w:hint="eastAsia" w:ascii="宋体" w:hAnsi="宋体" w:cs="宋体"/>
          <w:color w:val="auto"/>
          <w:szCs w:val="21"/>
        </w:rPr>
        <w:t>在合理使用期限内正常使用，各方经协商一致签订本质量保修书。乙方在质量保修期内按照有关管理规定及约定承担工程及设备质量保修责任。</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一、质量保修范围和内容</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乙方在质量保修期内，按照有关法律、法规、规章的管理规定和双方约定，承担本工程及设备质量保修责任。具体质量保修范围双方约定如下：</w:t>
      </w:r>
      <w:r>
        <w:rPr>
          <w:rFonts w:hint="eastAsia" w:ascii="宋体" w:hAnsi="宋体" w:cs="宋体"/>
          <w:color w:val="auto"/>
          <w:szCs w:val="21"/>
          <w:u w:val="single"/>
        </w:rPr>
        <w:t>合同约定范围的所有项目及变更增加项目。</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二、质量保修期</w:t>
      </w:r>
    </w:p>
    <w:p>
      <w:pPr>
        <w:spacing w:line="360" w:lineRule="exact"/>
        <w:ind w:firstLine="420" w:firstLineChars="200"/>
        <w:rPr>
          <w:rFonts w:ascii="宋体" w:hAnsi="宋体" w:cs="宋体"/>
          <w:color w:val="auto"/>
          <w:szCs w:val="21"/>
        </w:rPr>
      </w:pPr>
      <w:r>
        <w:rPr>
          <w:rFonts w:hint="eastAsia" w:ascii="宋体" w:hAnsi="宋体" w:cs="宋体"/>
          <w:color w:val="auto"/>
          <w:szCs w:val="21"/>
        </w:rPr>
        <w:t>质量保修期为业主使用产品之日起算。</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三、质量保修责任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1．在质量保证期之内，乙方对由于产品设计、工艺、材料、配套件的缺陷及其安装质量而造成的任何产品质量问题或故障负全部责任。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2．属于保修范围、内容的项目，乙方应当在接到保修通知起</w:t>
      </w:r>
      <w:r>
        <w:rPr>
          <w:rFonts w:hint="eastAsia" w:ascii="宋体" w:hAnsi="宋体" w:cs="宋体"/>
          <w:bCs/>
          <w:color w:val="auto"/>
          <w:szCs w:val="21"/>
        </w:rPr>
        <w:t>2小时内</w:t>
      </w:r>
      <w:r>
        <w:rPr>
          <w:rFonts w:hint="eastAsia" w:ascii="宋体" w:hAnsi="宋体" w:cs="宋体"/>
          <w:color w:val="auto"/>
          <w:szCs w:val="21"/>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3．如设备暂时不能修复，乙方应做好故障设备的相关的围挡保护及明显的故障告示通知，直至故障设备完全修复为止。</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4. 乙方不在约定期限内派人保修的，甲、丙方可以委托他人修理，由此产生的费用从质量保证金内扣除。 </w:t>
      </w:r>
    </w:p>
    <w:p>
      <w:pPr>
        <w:spacing w:line="360" w:lineRule="exact"/>
        <w:ind w:firstLine="420" w:firstLineChars="200"/>
        <w:rPr>
          <w:rFonts w:ascii="宋体" w:hAnsi="宋体" w:cs="宋体"/>
          <w:color w:val="auto"/>
          <w:szCs w:val="21"/>
        </w:rPr>
      </w:pPr>
      <w:r>
        <w:rPr>
          <w:rFonts w:hint="eastAsia" w:ascii="宋体" w:hAnsi="宋体" w:cs="宋体"/>
          <w:color w:val="auto"/>
          <w:szCs w:val="21"/>
        </w:rPr>
        <w:t>5. 每次维修及维保好后，乙方需一式两份报告给甲、丙方，包括故障原因，解决措施（或维保内容），完成修理（或维保）所费时间及恢复正常运行日期。</w:t>
      </w:r>
    </w:p>
    <w:p>
      <w:pPr>
        <w:spacing w:line="360" w:lineRule="exact"/>
        <w:ind w:firstLine="420" w:firstLineChars="200"/>
        <w:rPr>
          <w:rFonts w:ascii="宋体" w:hAnsi="宋体" w:cs="宋体"/>
          <w:color w:val="auto"/>
          <w:szCs w:val="21"/>
        </w:rPr>
      </w:pPr>
      <w:r>
        <w:rPr>
          <w:rFonts w:hint="eastAsia" w:ascii="宋体" w:hAnsi="宋体" w:cs="宋体"/>
          <w:color w:val="auto"/>
          <w:szCs w:val="21"/>
        </w:rPr>
        <w:t>6. 乙方如未按上述要求履行保修义务，每违反一次，从质量保证金中扣除违约金壹仟元整（1000.00元）；</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7、在质保期结束时，须由专业工程师对设备进行另一次测试，任何故障须由乙方自费解决并取得甲、丙方的同意。</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8、在质保期结束前，乙方需按照设备检验检测要求对设备进行一次检验，并取得相关管理部门颁发的检验合格证，相关费用由乙方承担。</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9、保修费用由乙方承担。</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四、质量保证金的支付</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本项目质量保证金为结算总价款的</w:t>
      </w:r>
      <w:r>
        <w:rPr>
          <w:rFonts w:hint="eastAsia" w:ascii="宋体" w:hAnsi="宋体" w:cs="宋体"/>
          <w:color w:val="auto"/>
          <w:szCs w:val="21"/>
          <w:u w:val="single"/>
        </w:rPr>
        <w:t>2.5</w:t>
      </w:r>
      <w:r>
        <w:rPr>
          <w:rFonts w:hint="eastAsia" w:ascii="宋体" w:hAnsi="宋体" w:cs="宋体"/>
          <w:color w:val="auto"/>
          <w:szCs w:val="21"/>
        </w:rPr>
        <w:t>%，在工程竣工结算时一次性扣留。质量保证金返还时</w:t>
      </w:r>
      <w:r>
        <w:rPr>
          <w:rFonts w:hint="eastAsia" w:ascii="宋体" w:hAnsi="宋体" w:cs="宋体"/>
          <w:color w:val="auto"/>
          <w:szCs w:val="21"/>
          <w:u w:val="single"/>
        </w:rPr>
        <w:t>不计银行利息。</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五、质量保</w:t>
      </w:r>
      <w:r>
        <w:rPr>
          <w:rFonts w:hint="eastAsia" w:ascii="宋体" w:hAnsi="宋体" w:cs="宋体"/>
          <w:color w:val="auto"/>
          <w:szCs w:val="21"/>
        </w:rPr>
        <w:t>证</w:t>
      </w:r>
      <w:r>
        <w:rPr>
          <w:rFonts w:hint="eastAsia" w:ascii="宋体" w:hAnsi="宋体" w:cs="宋体"/>
          <w:b/>
          <w:color w:val="auto"/>
          <w:szCs w:val="21"/>
        </w:rPr>
        <w:t>金的返还</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w:t>
      </w:r>
      <w:r>
        <w:rPr>
          <w:rFonts w:hint="eastAsia" w:ascii="宋体" w:hAnsi="宋体" w:cs="宋体"/>
          <w:color w:val="auto"/>
          <w:szCs w:val="21"/>
        </w:rPr>
        <w:t>证</w:t>
      </w:r>
      <w:r>
        <w:rPr>
          <w:rFonts w:hint="eastAsia" w:ascii="宋体" w:hAnsi="宋体" w:cs="宋体"/>
          <w:color w:val="auto"/>
          <w:szCs w:val="21"/>
          <w:u w:val="single"/>
        </w:rPr>
        <w:t>金（不计息）。</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六、其他</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各方约定的其他工程质量保修事项：</w:t>
      </w:r>
      <w:r>
        <w:rPr>
          <w:rFonts w:hint="eastAsia" w:ascii="宋体" w:hAnsi="宋体" w:cs="宋体"/>
          <w:color w:val="auto"/>
          <w:szCs w:val="21"/>
          <w:u w:val="single"/>
        </w:rPr>
        <w:t xml:space="preserve"> 按有关规定执行。</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u w:val="single"/>
        </w:rPr>
        <w:t xml:space="preserve">         </w:t>
      </w:r>
      <w:r>
        <w:rPr>
          <w:rFonts w:hint="eastAsia" w:ascii="宋体" w:hAnsi="宋体" w:cs="宋体"/>
          <w:color w:val="auto"/>
          <w:szCs w:val="21"/>
        </w:rPr>
        <w:t xml:space="preserve">（盖章）　　　　　　　　　　　　 </w:t>
      </w:r>
    </w:p>
    <w:p>
      <w:pPr>
        <w:pStyle w:val="32"/>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法定代表人或授权代表：　　　　　　　　　　　 </w:t>
      </w:r>
    </w:p>
    <w:p>
      <w:pPr>
        <w:pStyle w:val="32"/>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地址：　　　　　　　　　　　　　　　　　　　 </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电话：</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乙方：</w:t>
      </w:r>
      <w:r>
        <w:rPr>
          <w:rFonts w:hint="eastAsia" w:ascii="宋体" w:hAnsi="宋体" w:cs="宋体"/>
          <w:color w:val="auto"/>
          <w:szCs w:val="21"/>
          <w:u w:val="single"/>
        </w:rPr>
        <w:t xml:space="preserve">         </w:t>
      </w:r>
      <w:r>
        <w:rPr>
          <w:rFonts w:hint="eastAsia" w:ascii="宋体" w:hAnsi="宋体" w:cs="宋体"/>
          <w:color w:val="auto"/>
          <w:szCs w:val="21"/>
        </w:rPr>
        <w:t xml:space="preserve">（盖章）　　　　　　　　　　　　 </w:t>
      </w:r>
    </w:p>
    <w:p>
      <w:pPr>
        <w:pStyle w:val="32"/>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法定代表人或授权代表：　　　　　　　　　　　 </w:t>
      </w:r>
    </w:p>
    <w:p>
      <w:pPr>
        <w:pStyle w:val="32"/>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地址：　　　　　　　　　　　　　　　　　　　 </w:t>
      </w:r>
    </w:p>
    <w:p>
      <w:pPr>
        <w:pStyle w:val="32"/>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电话：　　　　　　　　　　　　　　　　　　　 </w:t>
      </w:r>
    </w:p>
    <w:p>
      <w:pPr>
        <w:pStyle w:val="32"/>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　　　　　  </w:t>
      </w:r>
    </w:p>
    <w:p>
      <w:pPr>
        <w:spacing w:line="360" w:lineRule="exact"/>
        <w:ind w:firstLine="420" w:firstLineChars="200"/>
        <w:rPr>
          <w:rFonts w:ascii="宋体" w:hAnsi="宋体" w:cs="宋体"/>
          <w:color w:val="auto"/>
          <w:szCs w:val="21"/>
        </w:rPr>
      </w:pPr>
    </w:p>
    <w:p>
      <w:pPr>
        <w:pStyle w:val="32"/>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丙方：</w:t>
      </w:r>
      <w:r>
        <w:rPr>
          <w:rFonts w:hint="eastAsia" w:ascii="宋体" w:hAnsi="宋体" w:cs="宋体"/>
          <w:color w:val="auto"/>
          <w:sz w:val="21"/>
          <w:szCs w:val="21"/>
          <w:u w:val="single"/>
        </w:rPr>
        <w:t xml:space="preserve">        </w:t>
      </w:r>
      <w:r>
        <w:rPr>
          <w:rFonts w:hint="eastAsia" w:ascii="宋体" w:hAnsi="宋体" w:cs="宋体"/>
          <w:color w:val="auto"/>
          <w:sz w:val="21"/>
          <w:szCs w:val="21"/>
        </w:rPr>
        <w:t>（盖章）</w:t>
      </w:r>
    </w:p>
    <w:p>
      <w:pPr>
        <w:pStyle w:val="32"/>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法定代表人或授权代表：</w:t>
      </w:r>
    </w:p>
    <w:p>
      <w:pPr>
        <w:pStyle w:val="32"/>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地址：</w:t>
      </w:r>
    </w:p>
    <w:p>
      <w:pPr>
        <w:pStyle w:val="32"/>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电话：</w:t>
      </w:r>
    </w:p>
    <w:p>
      <w:pPr>
        <w:pStyle w:val="32"/>
        <w:shd w:val="clear" w:color="auto" w:fill="FFFFFF"/>
        <w:spacing w:before="0" w:beforeAutospacing="0" w:after="0" w:afterAutospacing="0" w:line="360" w:lineRule="exact"/>
        <w:ind w:firstLine="400" w:firstLineChars="200"/>
        <w:rPr>
          <w:rFonts w:ascii="宋体" w:hAnsi="宋体" w:cs="宋体"/>
          <w:color w:val="auto"/>
          <w:sz w:val="20"/>
          <w:szCs w:val="20"/>
        </w:rPr>
      </w:pPr>
    </w:p>
    <w:p>
      <w:pPr>
        <w:pStyle w:val="32"/>
        <w:shd w:val="clear" w:color="auto" w:fill="FFFFFF"/>
        <w:spacing w:before="0" w:beforeAutospacing="0" w:after="0" w:afterAutospacing="0" w:line="360" w:lineRule="exact"/>
        <w:ind w:firstLine="400" w:firstLineChars="200"/>
        <w:rPr>
          <w:rFonts w:ascii="宋体" w:hAnsi="宋体" w:cs="宋体"/>
          <w:color w:val="auto"/>
          <w:sz w:val="20"/>
          <w:szCs w:val="20"/>
        </w:rPr>
      </w:pPr>
    </w:p>
    <w:p>
      <w:pPr>
        <w:pStyle w:val="32"/>
        <w:shd w:val="clear" w:color="auto" w:fill="FFFFFF"/>
        <w:spacing w:before="0" w:beforeAutospacing="0" w:after="0" w:afterAutospacing="0" w:line="360" w:lineRule="exact"/>
        <w:ind w:firstLine="400" w:firstLineChars="200"/>
        <w:rPr>
          <w:rFonts w:ascii="宋体" w:hAnsi="宋体" w:cs="宋体"/>
          <w:color w:val="auto"/>
          <w:sz w:val="20"/>
          <w:szCs w:val="20"/>
        </w:rPr>
      </w:pPr>
    </w:p>
    <w:p>
      <w:pPr>
        <w:spacing w:line="360" w:lineRule="exact"/>
        <w:ind w:firstLine="400" w:firstLineChars="200"/>
        <w:jc w:val="center"/>
        <w:rPr>
          <w:rFonts w:ascii="宋体" w:hAnsi="宋体" w:cs="宋体"/>
          <w:color w:val="auto"/>
          <w:sz w:val="20"/>
          <w:szCs w:val="20"/>
        </w:rPr>
        <w:sectPr>
          <w:pgSz w:w="11910" w:h="16840"/>
          <w:pgMar w:top="1440" w:right="1134" w:bottom="1440" w:left="1134" w:header="0" w:footer="704" w:gutter="0"/>
          <w:cols w:space="720" w:num="1"/>
        </w:sectPr>
      </w:pPr>
    </w:p>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第五章  图纸</w:t>
      </w:r>
    </w:p>
    <w:p>
      <w:pPr>
        <w:spacing w:line="420" w:lineRule="auto"/>
        <w:ind w:firstLine="480"/>
        <w:rPr>
          <w:rFonts w:asciiTheme="minorEastAsia" w:hAnsiTheme="minorEastAsia" w:eastAsiaTheme="minorEastAsia" w:cstheme="minorEastAsia"/>
          <w:color w:val="auto"/>
          <w:sz w:val="24"/>
          <w:szCs w:val="24"/>
        </w:rPr>
      </w:pPr>
    </w:p>
    <w:p>
      <w:pPr>
        <w:spacing w:line="360" w:lineRule="exact"/>
        <w:ind w:firstLine="420" w:firstLineChars="200"/>
        <w:jc w:val="left"/>
        <w:rPr>
          <w:rFonts w:ascii="宋体" w:hAnsi="宋体" w:cs="宋体"/>
          <w:color w:val="auto"/>
          <w:szCs w:val="21"/>
        </w:rPr>
      </w:pPr>
      <w:bookmarkStart w:id="444" w:name="_Toc19145"/>
      <w:r>
        <w:rPr>
          <w:rFonts w:hint="eastAsia" w:ascii="宋体" w:hAnsi="宋体" w:cs="宋体"/>
          <w:color w:val="auto"/>
          <w:szCs w:val="21"/>
        </w:rPr>
        <w:t>招标人提供由中国建筑上海设计研究院有限公司提供的放射防护项目图纸（电子版），请各投标人在登陆绍兴公共资源交易网交易平台后在工程量清单及其他中下载电子版图纸。</w:t>
      </w:r>
    </w:p>
    <w:p>
      <w:pPr>
        <w:pStyle w:val="2"/>
        <w:spacing w:after="120" w:afterLines="50"/>
        <w:rPr>
          <w:rFonts w:ascii="宋体" w:hAnsi="宋体" w:eastAsia="宋体" w:cs="宋体"/>
          <w:color w:val="auto"/>
          <w:kern w:val="2"/>
          <w:sz w:val="24"/>
          <w:szCs w:val="24"/>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rPr>
        <w:t>第六章  技术标准和要求</w:t>
      </w:r>
      <w:bookmarkEnd w:id="444"/>
    </w:p>
    <w:p>
      <w:pPr>
        <w:spacing w:before="120" w:beforeLines="50" w:line="360" w:lineRule="exact"/>
        <w:ind w:firstLine="422" w:firstLineChars="200"/>
        <w:rPr>
          <w:rFonts w:ascii="宋体" w:hAnsi="宋体"/>
          <w:b/>
          <w:color w:val="auto"/>
          <w:szCs w:val="21"/>
        </w:rPr>
      </w:pPr>
      <w:r>
        <w:rPr>
          <w:rFonts w:hint="eastAsia" w:ascii="宋体" w:hAnsi="宋体"/>
          <w:b/>
          <w:color w:val="auto"/>
          <w:szCs w:val="21"/>
        </w:rPr>
        <w:t>一、招标内容：</w:t>
      </w:r>
    </w:p>
    <w:p>
      <w:pPr>
        <w:snapToGrid w:val="0"/>
        <w:spacing w:line="360" w:lineRule="exact"/>
        <w:ind w:firstLine="420" w:firstLineChars="200"/>
        <w:jc w:val="left"/>
        <w:rPr>
          <w:rFonts w:ascii="宋体" w:hAnsi="宋体"/>
          <w:color w:val="auto"/>
          <w:szCs w:val="21"/>
        </w:rPr>
      </w:pPr>
      <w:r>
        <w:rPr>
          <w:rFonts w:hint="eastAsia" w:ascii="宋体" w:hAnsi="宋体"/>
          <w:color w:val="auto"/>
          <w:szCs w:val="21"/>
        </w:rPr>
        <w:t>1)地下一层：1间直线加速器、1间模拟CT机房；</w:t>
      </w:r>
    </w:p>
    <w:p>
      <w:pPr>
        <w:snapToGrid w:val="0"/>
        <w:spacing w:line="360" w:lineRule="exact"/>
        <w:ind w:firstLine="420" w:firstLineChars="200"/>
        <w:jc w:val="left"/>
        <w:rPr>
          <w:rFonts w:ascii="宋体" w:hAnsi="宋体"/>
          <w:color w:val="auto"/>
          <w:szCs w:val="21"/>
        </w:rPr>
      </w:pPr>
      <w:r>
        <w:rPr>
          <w:rFonts w:hint="eastAsia" w:ascii="宋体" w:hAnsi="宋体"/>
          <w:color w:val="auto"/>
          <w:szCs w:val="21"/>
        </w:rPr>
        <w:t>2)一层影像科：3间CT机房、4间DR机房、1间胃肠机房、1间预留机房、1间钼靶机房、1间CBCT机房、1间MRI机房；</w:t>
      </w:r>
    </w:p>
    <w:p>
      <w:pPr>
        <w:snapToGrid w:val="0"/>
        <w:spacing w:line="360" w:lineRule="exact"/>
        <w:ind w:firstLine="420" w:firstLineChars="200"/>
        <w:jc w:val="left"/>
        <w:rPr>
          <w:rFonts w:ascii="宋体" w:hAnsi="宋体"/>
          <w:color w:val="auto"/>
          <w:szCs w:val="21"/>
        </w:rPr>
      </w:pPr>
      <w:r>
        <w:rPr>
          <w:rFonts w:hint="eastAsia" w:ascii="宋体" w:hAnsi="宋体"/>
          <w:color w:val="auto"/>
          <w:szCs w:val="21"/>
        </w:rPr>
        <w:t>3)</w:t>
      </w:r>
      <w:r>
        <w:rPr>
          <w:rFonts w:ascii="宋体" w:hAnsi="宋体"/>
          <w:color w:val="auto"/>
          <w:szCs w:val="21"/>
        </w:rPr>
        <w:t>二层功能科：1间全身骨密度机房；</w:t>
      </w:r>
    </w:p>
    <w:p>
      <w:pPr>
        <w:snapToGrid w:val="0"/>
        <w:spacing w:line="360" w:lineRule="exact"/>
        <w:ind w:firstLine="420" w:firstLineChars="200"/>
        <w:jc w:val="left"/>
        <w:rPr>
          <w:rFonts w:ascii="宋体" w:hAnsi="宋体"/>
          <w:color w:val="auto"/>
          <w:szCs w:val="21"/>
        </w:rPr>
      </w:pPr>
      <w:r>
        <w:rPr>
          <w:rFonts w:hint="eastAsia" w:ascii="宋体" w:hAnsi="宋体"/>
          <w:color w:val="auto"/>
          <w:szCs w:val="21"/>
        </w:rPr>
        <w:t>4)</w:t>
      </w:r>
      <w:r>
        <w:rPr>
          <w:rFonts w:ascii="宋体" w:hAnsi="宋体"/>
          <w:color w:val="auto"/>
          <w:szCs w:val="21"/>
        </w:rPr>
        <w:t>四层口腔科：1间牙片机房</w:t>
      </w:r>
      <w:r>
        <w:rPr>
          <w:rFonts w:hint="eastAsia" w:ascii="宋体" w:hAnsi="宋体"/>
          <w:color w:val="auto"/>
          <w:szCs w:val="21"/>
        </w:rPr>
        <w:t>；</w:t>
      </w:r>
    </w:p>
    <w:p>
      <w:pPr>
        <w:snapToGrid w:val="0"/>
        <w:spacing w:line="360" w:lineRule="exact"/>
        <w:ind w:firstLine="420" w:firstLineChars="200"/>
        <w:jc w:val="left"/>
        <w:rPr>
          <w:rFonts w:ascii="宋体" w:hAnsi="宋体"/>
          <w:color w:val="auto"/>
          <w:szCs w:val="21"/>
        </w:rPr>
      </w:pPr>
      <w:r>
        <w:rPr>
          <w:rFonts w:hint="eastAsia" w:ascii="宋体" w:hAnsi="宋体"/>
          <w:color w:val="auto"/>
          <w:szCs w:val="21"/>
        </w:rPr>
        <w:t>5)</w:t>
      </w:r>
      <w:r>
        <w:rPr>
          <w:rFonts w:ascii="宋体" w:hAnsi="宋体"/>
          <w:color w:val="auto"/>
          <w:szCs w:val="21"/>
        </w:rPr>
        <w:t>急诊：1间CT机房、一间DR机房。</w:t>
      </w:r>
    </w:p>
    <w:p>
      <w:pPr>
        <w:pStyle w:val="19"/>
        <w:spacing w:line="360" w:lineRule="exact"/>
        <w:ind w:firstLine="420" w:firstLineChars="200"/>
        <w:rPr>
          <w:rFonts w:hAnsi="宋体"/>
          <w:color w:val="auto"/>
        </w:rPr>
      </w:pPr>
      <w:r>
        <w:rPr>
          <w:rFonts w:hint="eastAsia" w:hAnsi="宋体"/>
          <w:color w:val="auto"/>
        </w:rPr>
        <w:t>包括以上区域装修、安装、防辐射、磁屏蔽、环保工程等内容，具体内容详见工程量清单和图纸规定的工作范围。</w:t>
      </w:r>
    </w:p>
    <w:p>
      <w:pPr>
        <w:pStyle w:val="19"/>
        <w:adjustRightInd w:val="0"/>
        <w:snapToGrid w:val="0"/>
        <w:spacing w:line="360" w:lineRule="exact"/>
        <w:ind w:firstLine="420" w:firstLineChars="200"/>
        <w:rPr>
          <w:rFonts w:hAnsi="宋体"/>
          <w:color w:val="auto"/>
        </w:rPr>
      </w:pPr>
      <w:r>
        <w:rPr>
          <w:rFonts w:hint="eastAsia" w:hAnsi="宋体"/>
          <w:color w:val="auto"/>
        </w:rPr>
        <w:t>当某项清单项目施工内容取消时，直接扣除该部分的合同价款，采购人不另作补偿。</w:t>
      </w:r>
    </w:p>
    <w:p>
      <w:pPr>
        <w:snapToGrid w:val="0"/>
        <w:spacing w:line="360" w:lineRule="exact"/>
        <w:ind w:firstLine="422" w:firstLineChars="200"/>
        <w:jc w:val="left"/>
        <w:rPr>
          <w:rFonts w:ascii="宋体" w:hAnsi="宋体"/>
          <w:b/>
          <w:color w:val="auto"/>
          <w:szCs w:val="21"/>
        </w:rPr>
      </w:pPr>
      <w:r>
        <w:rPr>
          <w:rFonts w:hint="eastAsia" w:ascii="宋体" w:hAnsi="宋体"/>
          <w:b/>
          <w:color w:val="auto"/>
          <w:szCs w:val="21"/>
        </w:rPr>
        <w:t>二、标准和规范</w:t>
      </w:r>
    </w:p>
    <w:p>
      <w:pPr>
        <w:snapToGrid w:val="0"/>
        <w:spacing w:line="360" w:lineRule="exact"/>
        <w:ind w:firstLine="420" w:firstLineChars="200"/>
        <w:jc w:val="left"/>
        <w:rPr>
          <w:rFonts w:ascii="宋体" w:hAnsi="宋体"/>
          <w:color w:val="auto"/>
          <w:szCs w:val="21"/>
        </w:rPr>
      </w:pPr>
      <w:r>
        <w:rPr>
          <w:rFonts w:hint="eastAsia" w:ascii="宋体" w:hAnsi="宋体"/>
          <w:color w:val="auto"/>
          <w:szCs w:val="21"/>
        </w:rPr>
        <w:t>2.1中标人所提供的设备，应达到中华人民共和国和设备出产国有关设备及系统的设计、制造、安装、试验、验收和安全等方面的标准和规范的要求。</w:t>
      </w:r>
    </w:p>
    <w:p>
      <w:pPr>
        <w:snapToGrid w:val="0"/>
        <w:spacing w:line="360" w:lineRule="exact"/>
        <w:ind w:firstLine="420" w:firstLineChars="200"/>
        <w:jc w:val="left"/>
        <w:rPr>
          <w:rFonts w:ascii="宋体" w:hAnsi="宋体"/>
          <w:color w:val="auto"/>
          <w:szCs w:val="21"/>
        </w:rPr>
      </w:pPr>
      <w:r>
        <w:rPr>
          <w:rFonts w:hint="eastAsia" w:ascii="宋体" w:hAnsi="宋体"/>
          <w:color w:val="auto"/>
          <w:szCs w:val="21"/>
        </w:rPr>
        <w:t>2.2中标人应详细列出所采用的上述标准和规范的名称、编号及版本号，这些标准和规范应是招标时已颁布实施的最新有效版本。</w:t>
      </w:r>
    </w:p>
    <w:p>
      <w:pPr>
        <w:snapToGrid w:val="0"/>
        <w:spacing w:line="360" w:lineRule="exact"/>
        <w:ind w:firstLine="420" w:firstLineChars="200"/>
        <w:jc w:val="left"/>
        <w:rPr>
          <w:rFonts w:ascii="宋体" w:hAnsi="宋体"/>
          <w:color w:val="auto"/>
          <w:szCs w:val="21"/>
        </w:rPr>
      </w:pPr>
      <w:r>
        <w:rPr>
          <w:rFonts w:hint="eastAsia" w:ascii="宋体" w:hAnsi="宋体"/>
          <w:color w:val="auto"/>
          <w:szCs w:val="21"/>
        </w:rPr>
        <w:t>2.3所有设备的设计、安装、调试、试运行必须符合中华人民共和国国家有关标准和规范。</w:t>
      </w:r>
    </w:p>
    <w:p>
      <w:pPr>
        <w:snapToGrid w:val="0"/>
        <w:spacing w:line="360" w:lineRule="exact"/>
        <w:ind w:firstLine="420" w:firstLineChars="200"/>
        <w:jc w:val="left"/>
        <w:rPr>
          <w:rFonts w:ascii="宋体" w:hAnsi="宋体"/>
          <w:color w:val="auto"/>
          <w:szCs w:val="21"/>
        </w:rPr>
      </w:pPr>
      <w:r>
        <w:rPr>
          <w:rFonts w:hint="eastAsia" w:ascii="宋体" w:hAnsi="宋体"/>
          <w:color w:val="auto"/>
          <w:szCs w:val="21"/>
        </w:rPr>
        <w:t>2.4除满足本文技术要求及本设计图纸要求外，还应满足的规范标准如下（包括但不限于）：</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1)相关设备技术参数；</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2)建筑设计平面图纸；</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3)设计单位有关屏蔽室等产品的设计规范及有关标准；</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4)《电磁屏蔽室工程技术规范》GB/T 50719-2011；</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5)《电磁屏蔽室通用技术要求和检验方法》(GB12190-2006)；</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6)《民用建筑电气设计规范》(JGJ/T16-92)；</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7)《供配电系统设计规范》(GB50052-92)；</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8)《电气装置安装工程施工及验收规范》(GBJ232-83)；</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9)《高性能屏蔽室屏蔽效能的测量方法》(GB12190-90)；</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10)《电磁辐射防护规定》(GB8702-88)；</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11)</w:t>
      </w:r>
      <w:r>
        <w:rPr>
          <w:rFonts w:ascii="宋体" w:hAnsi="宋体" w:cs="宋体"/>
          <w:color w:val="auto"/>
          <w:szCs w:val="21"/>
        </w:rPr>
        <w:t>《电离辐射防护与辐射源安全基本要求》 (GB 18871-2002)</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12)</w:t>
      </w:r>
      <w:r>
        <w:rPr>
          <w:rFonts w:ascii="宋体" w:hAnsi="宋体" w:cs="宋体"/>
          <w:color w:val="auto"/>
          <w:szCs w:val="21"/>
        </w:rPr>
        <w:t>《职业性外照射个人监测规范》(GBZ128-2016)</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13)</w:t>
      </w:r>
      <w:r>
        <w:rPr>
          <w:rFonts w:ascii="宋体" w:hAnsi="宋体" w:cs="宋体"/>
          <w:color w:val="auto"/>
          <w:szCs w:val="21"/>
        </w:rPr>
        <w:t>《医疗照射放射防护基本要求》(GBZ 179-2006)</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14)</w:t>
      </w:r>
      <w:r>
        <w:rPr>
          <w:rFonts w:ascii="宋体" w:hAnsi="宋体" w:cs="宋体"/>
          <w:color w:val="auto"/>
          <w:szCs w:val="21"/>
        </w:rPr>
        <w:t>《远距治疗患者放射防护与质量保证要求》(GB 16362-2010)</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15)</w:t>
      </w:r>
      <w:r>
        <w:rPr>
          <w:rFonts w:ascii="宋体" w:hAnsi="宋体" w:cs="宋体"/>
          <w:color w:val="auto"/>
          <w:szCs w:val="21"/>
        </w:rPr>
        <w:t>《建设项目职业病危害放射防护评价规范 第 2 部分：放射治疗装置》</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16)</w:t>
      </w:r>
      <w:r>
        <w:rPr>
          <w:rFonts w:ascii="宋体" w:hAnsi="宋体" w:cs="宋体"/>
          <w:color w:val="auto"/>
          <w:szCs w:val="21"/>
        </w:rPr>
        <w:t>《电子加速器放射治疗放射防护要求》(GBZ126-2011)</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17)</w:t>
      </w:r>
      <w:r>
        <w:rPr>
          <w:rFonts w:ascii="宋体" w:hAnsi="宋体" w:cs="宋体"/>
          <w:color w:val="auto"/>
          <w:szCs w:val="21"/>
        </w:rPr>
        <w:t>《放射治疗机房的辐射屏蔽规范第 1 部分：一般原则》 (GBZ/T201.1-2007)</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18)</w:t>
      </w:r>
      <w:r>
        <w:rPr>
          <w:rFonts w:ascii="宋体" w:hAnsi="宋体" w:cs="宋体"/>
          <w:color w:val="auto"/>
          <w:szCs w:val="21"/>
        </w:rPr>
        <w:t>《放射治疗机房的辐射屏蔽规范第 2 部分：电子直线加速器放射治疗机房》(GBZ/T201.2-2011)</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19)</w:t>
      </w:r>
      <w:r>
        <w:rPr>
          <w:rFonts w:ascii="宋体" w:hAnsi="宋体" w:cs="宋体"/>
          <w:color w:val="auto"/>
          <w:szCs w:val="21"/>
        </w:rPr>
        <w:t>《医用 X射线CT机房的辐射屏蔽规范》(GBZ/T 180-2006)</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20)</w:t>
      </w:r>
      <w:r>
        <w:rPr>
          <w:rFonts w:ascii="宋体" w:hAnsi="宋体" w:cs="宋体"/>
          <w:color w:val="auto"/>
          <w:szCs w:val="21"/>
        </w:rPr>
        <w:t>《X 射线计算机断层摄影放射防护要求》(GBZ 165-2012)</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21)</w:t>
      </w:r>
      <w:r>
        <w:rPr>
          <w:rFonts w:ascii="宋体" w:hAnsi="宋体" w:cs="宋体"/>
          <w:color w:val="auto"/>
          <w:szCs w:val="21"/>
        </w:rPr>
        <w:t>《医用 X射线诊断放射防护要求》(GBZ 130-2020)</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22)</w:t>
      </w:r>
      <w:r>
        <w:rPr>
          <w:rFonts w:ascii="宋体" w:hAnsi="宋体" w:cs="宋体"/>
          <w:color w:val="auto"/>
          <w:szCs w:val="21"/>
        </w:rPr>
        <w:t>《医用诊断X射线防护玻璃板标准》(GBZ/T 184-2006)</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23)</w:t>
      </w:r>
      <w:r>
        <w:rPr>
          <w:rFonts w:ascii="宋体" w:hAnsi="宋体" w:cs="宋体"/>
          <w:color w:val="auto"/>
          <w:szCs w:val="21"/>
        </w:rPr>
        <w:t>《综合医院建筑设计规范》 (GB 51039-2014)</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24）设计单位提供的图纸及数据参数；</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25</w:t>
      </w:r>
      <w:r>
        <w:rPr>
          <w:rFonts w:ascii="宋体" w:hAnsi="宋体" w:cs="宋体"/>
          <w:color w:val="auto"/>
          <w:szCs w:val="21"/>
        </w:rPr>
        <w:t>）</w:t>
      </w:r>
      <w:r>
        <w:rPr>
          <w:rFonts w:hint="eastAsia" w:ascii="宋体" w:hAnsi="宋体" w:cs="宋体"/>
          <w:color w:val="auto"/>
          <w:szCs w:val="21"/>
        </w:rPr>
        <w:t>上述规范中如与新规范冲突的，按新规范执行。</w:t>
      </w:r>
    </w:p>
    <w:p>
      <w:pPr>
        <w:spacing w:line="360" w:lineRule="exact"/>
        <w:ind w:firstLine="420" w:firstLineChars="200"/>
        <w:rPr>
          <w:rFonts w:ascii="宋体" w:hAnsi="宋体"/>
          <w:color w:val="auto"/>
          <w:szCs w:val="21"/>
        </w:rPr>
      </w:pPr>
      <w:r>
        <w:rPr>
          <w:rFonts w:hint="eastAsia" w:ascii="宋体" w:hAnsi="宋体"/>
          <w:color w:val="auto"/>
          <w:szCs w:val="21"/>
        </w:rPr>
        <w:t>2.5工程技术规范：</w:t>
      </w:r>
    </w:p>
    <w:p>
      <w:pPr>
        <w:spacing w:line="360" w:lineRule="exact"/>
        <w:ind w:firstLine="420" w:firstLineChars="200"/>
        <w:rPr>
          <w:rFonts w:ascii="宋体" w:hAnsi="宋体"/>
          <w:color w:val="auto"/>
          <w:szCs w:val="21"/>
        </w:rPr>
      </w:pPr>
      <w:r>
        <w:rPr>
          <w:rFonts w:hint="eastAsia" w:ascii="宋体" w:hAnsi="宋体"/>
          <w:color w:val="auto"/>
          <w:szCs w:val="21"/>
        </w:rPr>
        <w:t>本工程项目的材料、设备、施工必须达到现行中华人民共和国及省、市、行业的一切有关法规、规范的要求，如标准及规范要求有出入则以较严格者为准。</w:t>
      </w:r>
    </w:p>
    <w:p>
      <w:pPr>
        <w:spacing w:line="360" w:lineRule="exact"/>
        <w:ind w:firstLine="422" w:firstLineChars="200"/>
        <w:rPr>
          <w:rFonts w:ascii="宋体" w:hAnsi="宋体"/>
          <w:b/>
          <w:color w:val="auto"/>
          <w:szCs w:val="21"/>
        </w:rPr>
      </w:pPr>
      <w:r>
        <w:rPr>
          <w:rFonts w:hint="eastAsia" w:ascii="宋体" w:hAnsi="宋体"/>
          <w:b/>
          <w:color w:val="auto"/>
          <w:szCs w:val="21"/>
        </w:rPr>
        <w:t>三、</w:t>
      </w:r>
      <w:r>
        <w:rPr>
          <w:rFonts w:ascii="宋体" w:hAnsi="宋体"/>
          <w:b/>
          <w:color w:val="auto"/>
          <w:szCs w:val="21"/>
        </w:rPr>
        <w:t>施工及防护材料说明</w:t>
      </w:r>
    </w:p>
    <w:p>
      <w:pPr>
        <w:spacing w:line="360" w:lineRule="exact"/>
        <w:ind w:firstLine="420" w:firstLineChars="200"/>
        <w:rPr>
          <w:rFonts w:ascii="宋体" w:hAnsi="宋体"/>
          <w:color w:val="auto"/>
          <w:szCs w:val="21"/>
        </w:rPr>
      </w:pPr>
      <w:r>
        <w:rPr>
          <w:rFonts w:hint="eastAsia" w:ascii="宋体" w:hAnsi="宋体"/>
          <w:color w:val="auto"/>
          <w:szCs w:val="21"/>
        </w:rPr>
        <w:t>3.1</w:t>
      </w:r>
      <w:r>
        <w:rPr>
          <w:rFonts w:ascii="宋体" w:hAnsi="宋体"/>
          <w:color w:val="auto"/>
          <w:szCs w:val="21"/>
        </w:rPr>
        <w:t>现场涂刷时，每次粉刷厚度不超过10mm,待墙体干燥达70%时，再刷第二遍。当室内温度低于5</w:t>
      </w:r>
      <w:r>
        <w:rPr>
          <w:rFonts w:hint="eastAsia" w:ascii="宋体" w:hAnsi="宋体"/>
          <w:color w:val="auto"/>
          <w:szCs w:val="21"/>
        </w:rPr>
        <w:t>℃</w:t>
      </w:r>
      <w:r>
        <w:rPr>
          <w:rFonts w:ascii="宋体" w:hAnsi="宋体"/>
          <w:color w:val="auto"/>
          <w:szCs w:val="21"/>
        </w:rPr>
        <w:t>或湿度大于80%时，不能施工。</w:t>
      </w:r>
    </w:p>
    <w:p>
      <w:pPr>
        <w:spacing w:line="360" w:lineRule="exact"/>
        <w:ind w:firstLine="420" w:firstLineChars="200"/>
        <w:rPr>
          <w:rFonts w:ascii="宋体" w:hAnsi="宋体"/>
          <w:color w:val="auto"/>
          <w:szCs w:val="21"/>
        </w:rPr>
      </w:pPr>
      <w:r>
        <w:rPr>
          <w:rFonts w:hint="eastAsia" w:ascii="宋体" w:hAnsi="宋体"/>
          <w:color w:val="auto"/>
          <w:szCs w:val="21"/>
        </w:rPr>
        <w:t>3.2</w:t>
      </w:r>
      <w:r>
        <w:rPr>
          <w:rFonts w:ascii="宋体" w:hAnsi="宋体"/>
          <w:color w:val="auto"/>
          <w:szCs w:val="21"/>
        </w:rPr>
        <w:t xml:space="preserve">铅板含铅量应不少于99.90%，厚度误差在±10%之内。每间机房所需防护当量详见施工图中所列“防护材料施工表”的要求执行。铅板在施工时，铅板与铅板之间应重叠大于20mm,具体施工方法可参见GACX-GC09《铅板墙面施工作业指导书》的有关内容。 </w:t>
      </w:r>
    </w:p>
    <w:p>
      <w:pPr>
        <w:spacing w:line="360" w:lineRule="exact"/>
        <w:ind w:firstLine="420" w:firstLineChars="200"/>
        <w:rPr>
          <w:rFonts w:ascii="宋体" w:hAnsi="宋体"/>
          <w:color w:val="auto"/>
          <w:szCs w:val="21"/>
        </w:rPr>
      </w:pPr>
      <w:r>
        <w:rPr>
          <w:rFonts w:hint="eastAsia" w:ascii="宋体" w:hAnsi="宋体"/>
          <w:color w:val="auto"/>
          <w:szCs w:val="21"/>
        </w:rPr>
        <w:t>3.3</w:t>
      </w:r>
      <w:r>
        <w:rPr>
          <w:rFonts w:ascii="宋体" w:hAnsi="宋体"/>
          <w:color w:val="auto"/>
          <w:szCs w:val="21"/>
        </w:rPr>
        <w:t>通过机房的风管、水电线管的防护，应采用铅板包裹的方法施工防护，防护当量应根据每个机房要求决定铅板的厚度，详见施工图中所列“防护材料施工表”的要求选择。具体施工方法可参见防护施工节点图。</w:t>
      </w:r>
    </w:p>
    <w:p>
      <w:pPr>
        <w:spacing w:line="360" w:lineRule="exact"/>
        <w:ind w:firstLine="420" w:firstLineChars="200"/>
        <w:rPr>
          <w:rFonts w:ascii="宋体" w:hAnsi="宋体"/>
          <w:color w:val="auto"/>
          <w:szCs w:val="21"/>
        </w:rPr>
      </w:pPr>
      <w:r>
        <w:rPr>
          <w:rFonts w:hint="eastAsia" w:ascii="宋体" w:hAnsi="宋体"/>
          <w:color w:val="auto"/>
          <w:szCs w:val="21"/>
        </w:rPr>
        <w:t>3.4</w:t>
      </w:r>
      <w:r>
        <w:rPr>
          <w:rFonts w:ascii="宋体" w:hAnsi="宋体"/>
          <w:color w:val="auto"/>
          <w:szCs w:val="21"/>
        </w:rPr>
        <w:t>所有防护门留洞的三个侧面（上、左、右）及观察窗留洞的四个侧面，应采用机房相同的防护材料和相同防护当量，做防护施工。</w:t>
      </w:r>
    </w:p>
    <w:p>
      <w:pPr>
        <w:spacing w:line="360" w:lineRule="exact"/>
        <w:ind w:firstLine="420" w:firstLineChars="200"/>
        <w:rPr>
          <w:rFonts w:ascii="宋体" w:hAnsi="宋体"/>
          <w:color w:val="auto"/>
          <w:szCs w:val="21"/>
        </w:rPr>
      </w:pPr>
      <w:r>
        <w:rPr>
          <w:rFonts w:hint="eastAsia" w:ascii="宋体" w:hAnsi="宋体"/>
          <w:color w:val="auto"/>
          <w:szCs w:val="21"/>
        </w:rPr>
        <w:t>3.5</w:t>
      </w:r>
      <w:r>
        <w:rPr>
          <w:rFonts w:ascii="宋体" w:hAnsi="宋体"/>
          <w:color w:val="auto"/>
          <w:szCs w:val="21"/>
        </w:rPr>
        <w:t>所有防护门及观察窗安装完毕后，必须采用304不锈钢专用防护套饰面（</w:t>
      </w:r>
      <w:r>
        <w:rPr>
          <w:rFonts w:hint="eastAsia" w:ascii="宋体" w:hAnsi="宋体"/>
          <w:color w:val="auto"/>
          <w:szCs w:val="21"/>
        </w:rPr>
        <w:t>不锈钢颜色及式样参照医院整体风格而定</w:t>
      </w:r>
      <w:r>
        <w:rPr>
          <w:rFonts w:ascii="宋体" w:hAnsi="宋体"/>
          <w:color w:val="auto"/>
          <w:szCs w:val="21"/>
        </w:rPr>
        <w:t>）,不锈钢专用防护套在墙体与门（窗）框之间应有防护材料衬垫。</w:t>
      </w:r>
      <w:r>
        <w:rPr>
          <w:rFonts w:hint="eastAsia" w:ascii="宋体" w:hAnsi="宋体"/>
          <w:color w:val="auto"/>
          <w:szCs w:val="21"/>
        </w:rPr>
        <w:t>（不锈钢厚度≥1.2mm。）</w:t>
      </w:r>
    </w:p>
    <w:p>
      <w:pPr>
        <w:spacing w:line="360" w:lineRule="exact"/>
        <w:ind w:firstLine="420" w:firstLineChars="200"/>
        <w:rPr>
          <w:rFonts w:ascii="宋体" w:hAnsi="宋体"/>
          <w:color w:val="auto"/>
          <w:szCs w:val="21"/>
        </w:rPr>
      </w:pPr>
      <w:r>
        <w:rPr>
          <w:rFonts w:hint="eastAsia" w:ascii="宋体" w:hAnsi="宋体"/>
          <w:color w:val="auto"/>
          <w:szCs w:val="21"/>
        </w:rPr>
        <w:t>3.6</w:t>
      </w:r>
      <w:r>
        <w:rPr>
          <w:rFonts w:ascii="宋体" w:hAnsi="宋体"/>
          <w:color w:val="auto"/>
          <w:szCs w:val="21"/>
        </w:rPr>
        <w:t>普放每间机房采用吸顶式通风（由暖通整体设计）。</w:t>
      </w:r>
    </w:p>
    <w:p>
      <w:pPr>
        <w:spacing w:line="360" w:lineRule="exact"/>
        <w:ind w:firstLine="420" w:firstLineChars="200"/>
        <w:rPr>
          <w:rFonts w:ascii="宋体" w:hAnsi="宋体"/>
          <w:color w:val="auto"/>
          <w:szCs w:val="21"/>
        </w:rPr>
      </w:pPr>
      <w:r>
        <w:rPr>
          <w:rFonts w:hint="eastAsia" w:ascii="宋体" w:hAnsi="宋体"/>
          <w:color w:val="auto"/>
          <w:szCs w:val="21"/>
        </w:rPr>
        <w:t>3.7</w:t>
      </w:r>
      <w:r>
        <w:rPr>
          <w:rFonts w:ascii="宋体" w:hAnsi="宋体"/>
          <w:color w:val="auto"/>
          <w:szCs w:val="21"/>
        </w:rPr>
        <w:t>因辐射区域顶棚防护在上层地面敷设防护涂料施工，为防止射线泄露，隔墙下方应先用3块实心黏土红砖垒起。</w:t>
      </w:r>
    </w:p>
    <w:p>
      <w:pPr>
        <w:spacing w:line="360" w:lineRule="exact"/>
        <w:ind w:firstLine="420" w:firstLineChars="200"/>
        <w:rPr>
          <w:rFonts w:ascii="宋体" w:hAnsi="宋体"/>
          <w:strike/>
          <w:color w:val="auto"/>
          <w:szCs w:val="21"/>
        </w:rPr>
      </w:pPr>
      <w:r>
        <w:rPr>
          <w:rFonts w:hint="eastAsia" w:ascii="宋体" w:hAnsi="宋体"/>
          <w:color w:val="auto"/>
          <w:szCs w:val="21"/>
        </w:rPr>
        <w:t>3.8</w:t>
      </w:r>
      <w:r>
        <w:rPr>
          <w:rFonts w:ascii="宋体" w:hAnsi="宋体"/>
          <w:color w:val="auto"/>
          <w:szCs w:val="21"/>
        </w:rPr>
        <w:t>本设计所有选用的产品必须满足国家各项有关标准规定要求</w:t>
      </w:r>
      <w:r>
        <w:rPr>
          <w:rFonts w:hint="eastAsia" w:ascii="宋体" w:hAnsi="宋体"/>
          <w:color w:val="auto"/>
          <w:szCs w:val="21"/>
        </w:rPr>
        <w:t>。</w:t>
      </w:r>
    </w:p>
    <w:p>
      <w:pPr>
        <w:spacing w:line="360" w:lineRule="exact"/>
        <w:ind w:firstLine="420" w:firstLineChars="200"/>
        <w:rPr>
          <w:rFonts w:ascii="宋体" w:hAnsi="宋体"/>
          <w:color w:val="auto"/>
          <w:szCs w:val="21"/>
        </w:rPr>
      </w:pPr>
      <w:r>
        <w:rPr>
          <w:rFonts w:hint="eastAsia" w:ascii="宋体" w:hAnsi="宋体"/>
          <w:color w:val="auto"/>
          <w:szCs w:val="21"/>
        </w:rPr>
        <w:t>3.9</w:t>
      </w:r>
      <w:r>
        <w:rPr>
          <w:rFonts w:ascii="宋体" w:hAnsi="宋体"/>
          <w:color w:val="auto"/>
          <w:szCs w:val="21"/>
        </w:rPr>
        <w:t>建筑相关建材应符合《民用建筑工程室内环境污染控制规范》(GB50325-2010)的规定。</w:t>
      </w:r>
    </w:p>
    <w:p>
      <w:pPr>
        <w:spacing w:line="360" w:lineRule="exact"/>
        <w:ind w:firstLine="420" w:firstLineChars="200"/>
        <w:rPr>
          <w:rFonts w:ascii="宋体" w:hAnsi="宋体"/>
          <w:color w:val="auto"/>
          <w:szCs w:val="21"/>
        </w:rPr>
      </w:pPr>
      <w:r>
        <w:rPr>
          <w:rFonts w:hint="eastAsia" w:ascii="宋体" w:hAnsi="宋体"/>
          <w:color w:val="auto"/>
          <w:szCs w:val="21"/>
        </w:rPr>
        <w:t>3.10</w:t>
      </w:r>
      <w:r>
        <w:rPr>
          <w:rFonts w:ascii="宋体" w:hAnsi="宋体"/>
          <w:color w:val="auto"/>
          <w:szCs w:val="21"/>
        </w:rPr>
        <w:t>放射防护</w:t>
      </w:r>
      <w:r>
        <w:rPr>
          <w:rFonts w:hint="eastAsia" w:ascii="宋体" w:hAnsi="宋体"/>
          <w:color w:val="auto"/>
          <w:szCs w:val="21"/>
        </w:rPr>
        <w:t>-</w:t>
      </w:r>
      <w:r>
        <w:rPr>
          <w:rFonts w:ascii="宋体" w:hAnsi="宋体"/>
          <w:color w:val="auto"/>
          <w:szCs w:val="21"/>
        </w:rPr>
        <w:t>四周防护材料表</w:t>
      </w:r>
      <w:r>
        <w:rPr>
          <w:rFonts w:hint="eastAsia" w:ascii="宋体" w:hAnsi="宋体"/>
          <w:color w:val="auto"/>
          <w:szCs w:val="21"/>
        </w:rPr>
        <w:t>（详见附件）</w:t>
      </w:r>
    </w:p>
    <w:p>
      <w:pPr>
        <w:spacing w:line="360" w:lineRule="exact"/>
        <w:ind w:firstLine="420" w:firstLineChars="200"/>
        <w:rPr>
          <w:rFonts w:ascii="宋体" w:hAnsi="宋体"/>
          <w:color w:val="auto"/>
          <w:szCs w:val="21"/>
        </w:rPr>
      </w:pPr>
      <w:r>
        <w:rPr>
          <w:rFonts w:hint="eastAsia" w:ascii="宋体" w:hAnsi="宋体"/>
          <w:color w:val="auto"/>
          <w:szCs w:val="21"/>
        </w:rPr>
        <w:t>3.11</w:t>
      </w:r>
      <w:r>
        <w:rPr>
          <w:rFonts w:ascii="宋体" w:hAnsi="宋体"/>
          <w:color w:val="auto"/>
          <w:szCs w:val="21"/>
        </w:rPr>
        <w:t>放射防护</w:t>
      </w:r>
      <w:r>
        <w:rPr>
          <w:rFonts w:hint="eastAsia" w:ascii="宋体" w:hAnsi="宋体"/>
          <w:color w:val="auto"/>
          <w:szCs w:val="21"/>
        </w:rPr>
        <w:t>-</w:t>
      </w:r>
      <w:r>
        <w:rPr>
          <w:rFonts w:ascii="宋体" w:hAnsi="宋体"/>
          <w:color w:val="auto"/>
          <w:szCs w:val="21"/>
        </w:rPr>
        <w:t>防护门窗表</w:t>
      </w:r>
      <w:r>
        <w:rPr>
          <w:rFonts w:hint="eastAsia" w:ascii="宋体" w:hAnsi="宋体"/>
          <w:color w:val="auto"/>
          <w:szCs w:val="21"/>
        </w:rPr>
        <w:t>（详见附件）</w:t>
      </w:r>
    </w:p>
    <w:p>
      <w:pPr>
        <w:snapToGrid w:val="0"/>
        <w:spacing w:after="120" w:afterLines="50" w:line="400" w:lineRule="exact"/>
        <w:ind w:firstLine="482" w:firstLineChars="200"/>
        <w:jc w:val="left"/>
        <w:rPr>
          <w:rFonts w:ascii="宋体" w:hAnsi="宋体"/>
          <w:b/>
          <w:color w:val="auto"/>
          <w:sz w:val="24"/>
        </w:rPr>
      </w:pPr>
      <w:r>
        <w:rPr>
          <w:rFonts w:hint="eastAsia" w:ascii="宋体" w:hAnsi="宋体"/>
          <w:b/>
          <w:color w:val="auto"/>
          <w:sz w:val="24"/>
        </w:rPr>
        <w:t>四、货物清单</w:t>
      </w:r>
      <w:bookmarkStart w:id="445" w:name="_Toc30649"/>
    </w:p>
    <w:bookmarkEnd w:id="445"/>
    <w:tbl>
      <w:tblPr>
        <w:tblStyle w:val="37"/>
        <w:tblW w:w="5120" w:type="pct"/>
        <w:tblInd w:w="0" w:type="dxa"/>
        <w:tblLayout w:type="autofit"/>
        <w:tblCellMar>
          <w:top w:w="0" w:type="dxa"/>
          <w:left w:w="108" w:type="dxa"/>
          <w:bottom w:w="0" w:type="dxa"/>
          <w:right w:w="108" w:type="dxa"/>
        </w:tblCellMar>
      </w:tblPr>
      <w:tblGrid>
        <w:gridCol w:w="856"/>
        <w:gridCol w:w="2525"/>
        <w:gridCol w:w="4391"/>
        <w:gridCol w:w="1085"/>
        <w:gridCol w:w="978"/>
        <w:gridCol w:w="257"/>
      </w:tblGrid>
      <w:tr>
        <w:tblPrEx>
          <w:tblCellMar>
            <w:top w:w="0" w:type="dxa"/>
            <w:left w:w="108" w:type="dxa"/>
            <w:bottom w:w="0" w:type="dxa"/>
            <w:right w:w="108" w:type="dxa"/>
          </w:tblCellMar>
        </w:tblPrEx>
        <w:trPr>
          <w:gridAfter w:val="1"/>
          <w:wAfter w:w="127" w:type="pct"/>
          <w:trHeight w:val="450" w:hRule="atLeast"/>
        </w:trPr>
        <w:tc>
          <w:tcPr>
            <w:tcW w:w="424" w:type="pct"/>
            <w:vMerge w:val="restar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bookmarkStart w:id="469" w:name="_GoBack"/>
            <w:r>
              <w:rPr>
                <w:rFonts w:hint="eastAsia" w:ascii="宋体" w:hAnsi="宋体" w:cs="宋体"/>
                <w:color w:val="auto"/>
                <w:szCs w:val="21"/>
              </w:rPr>
              <w:t>序号</w:t>
            </w:r>
          </w:p>
        </w:tc>
        <w:tc>
          <w:tcPr>
            <w:tcW w:w="1250" w:type="pct"/>
            <w:vMerge w:val="restar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项目名称</w:t>
            </w:r>
          </w:p>
        </w:tc>
        <w:tc>
          <w:tcPr>
            <w:tcW w:w="2174" w:type="pct"/>
            <w:vMerge w:val="restar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项目特征描述</w:t>
            </w:r>
          </w:p>
        </w:tc>
        <w:tc>
          <w:tcPr>
            <w:tcW w:w="537" w:type="pct"/>
            <w:vMerge w:val="restar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计量</w:t>
            </w:r>
            <w:r>
              <w:rPr>
                <w:rFonts w:hint="eastAsia" w:ascii="宋体" w:hAnsi="宋体" w:cs="宋体"/>
                <w:color w:val="auto"/>
                <w:szCs w:val="21"/>
              </w:rPr>
              <w:br w:type="textWrapping"/>
            </w:r>
            <w:r>
              <w:rPr>
                <w:rFonts w:hint="eastAsia" w:ascii="宋体" w:hAnsi="宋体" w:cs="宋体"/>
                <w:color w:val="auto"/>
                <w:szCs w:val="21"/>
              </w:rPr>
              <w:t>单位</w:t>
            </w:r>
          </w:p>
        </w:tc>
        <w:tc>
          <w:tcPr>
            <w:tcW w:w="484" w:type="pct"/>
            <w:vMerge w:val="restart"/>
            <w:tcBorders>
              <w:top w:val="single" w:color="000000" w:sz="4" w:space="0"/>
              <w:left w:val="single" w:color="000000" w:sz="4" w:space="0"/>
              <w:right w:val="single" w:color="auto" w:sz="4" w:space="0"/>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工程量</w:t>
            </w:r>
          </w:p>
        </w:tc>
      </w:tr>
      <w:tr>
        <w:tblPrEx>
          <w:tblCellMar>
            <w:top w:w="0" w:type="dxa"/>
            <w:left w:w="108" w:type="dxa"/>
            <w:bottom w:w="0" w:type="dxa"/>
            <w:right w:w="108" w:type="dxa"/>
          </w:tblCellMar>
        </w:tblPrEx>
        <w:trPr>
          <w:trHeight w:val="312" w:hRule="atLeast"/>
        </w:trPr>
        <w:tc>
          <w:tcPr>
            <w:tcW w:w="424" w:type="pct"/>
            <w:vMerge w:val="continue"/>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1250" w:type="pct"/>
            <w:vMerge w:val="continue"/>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2174" w:type="pct"/>
            <w:vMerge w:val="continue"/>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537" w:type="pct"/>
            <w:vMerge w:val="continue"/>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484" w:type="pct"/>
            <w:vMerge w:val="continue"/>
            <w:tcBorders>
              <w:left w:val="single" w:color="000000" w:sz="4" w:space="0"/>
              <w:right w:val="single" w:color="auto" w:sz="4" w:space="0"/>
            </w:tcBorders>
            <w:shd w:val="clear" w:color="auto" w:fill="FFFFFF"/>
            <w:noWrap w:val="0"/>
            <w:vAlign w:val="center"/>
          </w:tcPr>
          <w:p>
            <w:pPr>
              <w:jc w:val="center"/>
              <w:rPr>
                <w:rFonts w:ascii="宋体" w:hAnsi="宋体" w:cs="宋体"/>
                <w:color w:val="auto"/>
                <w:sz w:val="18"/>
                <w:szCs w:val="18"/>
              </w:rPr>
            </w:pPr>
          </w:p>
        </w:tc>
        <w:tc>
          <w:tcPr>
            <w:tcW w:w="127" w:type="pct"/>
            <w:tcBorders>
              <w:top w:val="nil"/>
              <w:left w:val="single" w:color="auto" w:sz="4" w:space="0"/>
              <w:right w:val="nil"/>
            </w:tcBorders>
            <w:shd w:val="clear" w:color="auto" w:fill="FFFFFF"/>
            <w:noWrap w:val="0"/>
            <w:vAlign w:val="center"/>
          </w:tcPr>
          <w:p>
            <w:pPr>
              <w:jc w:val="center"/>
              <w:rPr>
                <w:rFonts w:ascii="宋体" w:hAnsi="宋体" w:cs="宋体"/>
                <w:color w:val="auto"/>
                <w:sz w:val="18"/>
                <w:szCs w:val="18"/>
              </w:rPr>
            </w:pP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DR机房1</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jc w:val="right"/>
              <w:rPr>
                <w:rFonts w:ascii="宋体" w:hAnsi="宋体" w:cs="宋体"/>
                <w:color w:val="auto"/>
                <w:sz w:val="18"/>
                <w:szCs w:val="18"/>
              </w:rPr>
            </w:pPr>
          </w:p>
        </w:tc>
      </w:tr>
      <w:tr>
        <w:tblPrEx>
          <w:tblCellMar>
            <w:top w:w="0" w:type="dxa"/>
            <w:left w:w="108" w:type="dxa"/>
            <w:bottom w:w="0" w:type="dxa"/>
            <w:right w:w="108" w:type="dxa"/>
          </w:tblCellMar>
        </w:tblPrEx>
        <w:trPr>
          <w:gridAfter w:val="1"/>
          <w:wAfter w:w="127" w:type="pct"/>
          <w:trHeight w:val="999" w:hRule="atLeast"/>
        </w:trPr>
        <w:tc>
          <w:tcPr>
            <w:tcW w:w="424" w:type="pct"/>
            <w:tcBorders>
              <w:top w:val="single" w:color="auto"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1250" w:type="pct"/>
            <w:tcBorders>
              <w:top w:val="single" w:color="auto"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DR设备天轨支架系统</w:t>
            </w:r>
          </w:p>
        </w:tc>
        <w:tc>
          <w:tcPr>
            <w:tcW w:w="2174" w:type="pct"/>
            <w:tcBorders>
              <w:top w:val="single" w:color="auto"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DR天轨系统（含焊接、等距打孔、防锈处理、平衡度及水平精度调教，不含装饰吊顶装修）</w:t>
            </w:r>
          </w:p>
        </w:tc>
        <w:tc>
          <w:tcPr>
            <w:tcW w:w="537" w:type="pct"/>
            <w:tcBorders>
              <w:top w:val="single" w:color="auto"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auto"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728" w:hRule="atLeast"/>
        </w:trPr>
        <w:tc>
          <w:tcPr>
            <w:tcW w:w="424" w:type="pct"/>
            <w:tcBorders>
              <w:top w:val="single" w:color="auto" w:sz="4" w:space="0"/>
              <w:left w:val="single" w:color="000000" w:sz="4" w:space="0"/>
              <w:right w:val="nil"/>
            </w:tcBorders>
            <w:shd w:val="clear" w:color="auto" w:fill="FFFFFF"/>
            <w:noWrap w:val="0"/>
            <w:vAlign w:val="center"/>
          </w:tcPr>
          <w:p>
            <w:pPr>
              <w:jc w:val="center"/>
              <w:textAlignment w:val="center"/>
              <w:rPr>
                <w:rFonts w:ascii="宋体" w:hAnsi="宋体" w:cs="宋体"/>
                <w:color w:val="auto"/>
                <w:szCs w:val="21"/>
              </w:rPr>
            </w:pPr>
            <w:r>
              <w:rPr>
                <w:rFonts w:hint="eastAsia" w:ascii="宋体" w:hAnsi="宋体" w:cs="宋体"/>
                <w:color w:val="auto"/>
                <w:szCs w:val="21"/>
              </w:rPr>
              <w:t>1.2</w:t>
            </w:r>
          </w:p>
        </w:tc>
        <w:tc>
          <w:tcPr>
            <w:tcW w:w="1250" w:type="pct"/>
            <w:tcBorders>
              <w:top w:val="single" w:color="auto" w:sz="4" w:space="0"/>
              <w:left w:val="single" w:color="000000" w:sz="4" w:space="0"/>
              <w:right w:val="nil"/>
            </w:tcBorders>
            <w:shd w:val="clear" w:color="auto" w:fill="FFFFFF"/>
            <w:noWrap w:val="0"/>
            <w:vAlign w:val="center"/>
          </w:tcPr>
          <w:p>
            <w:pPr>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auto" w:sz="4" w:space="0"/>
              <w:left w:val="single" w:color="000000" w:sz="4" w:space="0"/>
              <w:right w:val="nil"/>
            </w:tcBorders>
            <w:shd w:val="clear" w:color="auto" w:fill="FFFFFF"/>
            <w:noWrap w:val="0"/>
            <w:vAlign w:val="center"/>
          </w:tcPr>
          <w:p>
            <w:pPr>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3.涂料品种、喷刷遍数:水泥：防护涂料（1：5），0-5mm颗粒状30mm厚高密度SFT复合防护钡砂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auto" w:sz="4" w:space="0"/>
              <w:left w:val="single" w:color="000000" w:sz="4" w:space="0"/>
              <w:right w:val="nil"/>
            </w:tcBorders>
            <w:shd w:val="clear" w:color="auto" w:fill="FFFFFF"/>
            <w:noWrap w:val="0"/>
            <w:vAlign w:val="center"/>
          </w:tcPr>
          <w:p>
            <w:pPr>
              <w:jc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auto" w:sz="4" w:space="0"/>
              <w:left w:val="single" w:color="000000" w:sz="4" w:space="0"/>
              <w:right w:val="single" w:color="auto" w:sz="4" w:space="0"/>
            </w:tcBorders>
            <w:shd w:val="clear" w:color="auto" w:fill="FFFFFF"/>
            <w:noWrap w:val="0"/>
            <w:vAlign w:val="center"/>
          </w:tcPr>
          <w:p>
            <w:pPr>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1375"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12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rPr>
              <w:t>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eastAsia="宋体" w:cs="宋体"/>
                <w:color w:val="auto"/>
                <w:szCs w:val="21"/>
                <w:lang w:eastAsia="zh-CN"/>
              </w:rPr>
            </w:pPr>
            <w:r>
              <w:rPr>
                <w:rFonts w:hint="eastAsia" w:ascii="宋体" w:hAnsi="宋体" w:cs="宋体"/>
                <w:color w:val="auto"/>
                <w:szCs w:val="21"/>
                <w:lang w:eastAsia="zh-CN"/>
              </w:rPr>
              <w:t>顶面灯膜</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1、LED软膜灯箱</w:t>
            </w:r>
          </w:p>
          <w:p>
            <w:pPr>
              <w:widowControl/>
              <w:jc w:val="left"/>
              <w:textAlignment w:val="center"/>
              <w:rPr>
                <w:rFonts w:hint="eastAsia" w:ascii="宋体" w:hAnsi="宋体" w:cs="宋体"/>
                <w:color w:val="auto"/>
                <w:szCs w:val="21"/>
              </w:rPr>
            </w:pPr>
            <w:r>
              <w:rPr>
                <w:rFonts w:hint="eastAsia" w:ascii="宋体" w:hAnsi="宋体" w:cs="宋体"/>
                <w:color w:val="auto"/>
                <w:szCs w:val="21"/>
              </w:rPr>
              <w:t>2、轻钢龙骨支架</w:t>
            </w:r>
          </w:p>
          <w:p>
            <w:pPr>
              <w:widowControl/>
              <w:jc w:val="left"/>
              <w:textAlignment w:val="center"/>
              <w:rPr>
                <w:rFonts w:hint="eastAsia" w:ascii="宋体" w:hAnsi="宋体" w:cs="宋体"/>
                <w:color w:val="auto"/>
                <w:szCs w:val="21"/>
              </w:rPr>
            </w:pPr>
            <w:r>
              <w:rPr>
                <w:rFonts w:hint="eastAsia" w:ascii="宋体" w:hAnsi="宋体" w:cs="宋体"/>
                <w:color w:val="auto"/>
                <w:szCs w:val="21"/>
              </w:rPr>
              <w:t>3、和吊顶无缝衔接</w:t>
            </w:r>
          </w:p>
        </w:tc>
        <w:tc>
          <w:tcPr>
            <w:tcW w:w="939"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846" w:type="dxa"/>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hint="eastAsia" w:ascii="宋体" w:hAnsi="宋体" w:cs="宋体"/>
                <w:color w:val="auto"/>
                <w:szCs w:val="21"/>
              </w:rPr>
            </w:pPr>
            <w:r>
              <w:rPr>
                <w:rFonts w:hint="eastAsia" w:ascii="宋体" w:hAnsi="宋体" w:cs="宋体"/>
                <w:color w:val="auto"/>
                <w:szCs w:val="21"/>
                <w:lang w:val="en-US" w:eastAsia="zh-CN"/>
              </w:rPr>
              <w:t>8.64</w:t>
            </w:r>
          </w:p>
        </w:tc>
      </w:tr>
      <w:tr>
        <w:tblPrEx>
          <w:tblCellMar>
            <w:top w:w="0" w:type="dxa"/>
            <w:left w:w="108" w:type="dxa"/>
            <w:bottom w:w="0" w:type="dxa"/>
            <w:right w:w="108" w:type="dxa"/>
          </w:tblCellMar>
        </w:tblPrEx>
        <w:trPr>
          <w:gridAfter w:val="1"/>
          <w:wAfter w:w="127" w:type="pct"/>
          <w:trHeight w:val="18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2.喷刷涂料部位:地面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3.涂料品种、喷刷遍数:水泥：防护涂料（1：5），0-5mm颗粒状30mm厚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996"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1251" w:hRule="atLeast"/>
        </w:trPr>
        <w:tc>
          <w:tcPr>
            <w:tcW w:w="42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1.7</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3.共2.5mmpb铅板防辐射层</w:t>
            </w:r>
            <w:r>
              <w:rPr>
                <w:rFonts w:hint="eastAsia" w:ascii="宋体" w:hAnsi="宋体" w:cs="宋体"/>
                <w:color w:val="auto"/>
                <w:szCs w:val="21"/>
              </w:rPr>
              <w:br w:type="textWrapping"/>
            </w:r>
            <w:r>
              <w:rPr>
                <w:rFonts w:hint="eastAsia" w:ascii="宋体" w:hAnsi="宋体" w:cs="宋体"/>
                <w:color w:val="auto"/>
                <w:szCs w:val="21"/>
              </w:rPr>
              <w:t>4.铅当量:≥4.5mmpb</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87</w:t>
            </w:r>
          </w:p>
        </w:tc>
      </w:tr>
      <w:tr>
        <w:tblPrEx>
          <w:tblCellMar>
            <w:top w:w="0" w:type="dxa"/>
            <w:left w:w="108" w:type="dxa"/>
            <w:bottom w:w="0" w:type="dxa"/>
            <w:right w:w="108" w:type="dxa"/>
          </w:tblCellMar>
        </w:tblPrEx>
        <w:trPr>
          <w:gridAfter w:val="1"/>
          <w:wAfter w:w="127" w:type="pct"/>
          <w:trHeight w:val="1034"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59.74</w:t>
            </w:r>
          </w:p>
        </w:tc>
      </w:tr>
      <w:tr>
        <w:tblPrEx>
          <w:tblCellMar>
            <w:top w:w="0" w:type="dxa"/>
            <w:left w:w="108" w:type="dxa"/>
            <w:bottom w:w="0" w:type="dxa"/>
            <w:right w:w="108" w:type="dxa"/>
          </w:tblCellMar>
        </w:tblPrEx>
        <w:trPr>
          <w:gridAfter w:val="1"/>
          <w:wAfter w:w="127" w:type="pct"/>
          <w:trHeight w:val="1638"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电动防护平移门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1、洞口尺寸1500*2100，门体尺寸1800*2300</w:t>
            </w:r>
            <w:r>
              <w:rPr>
                <w:rFonts w:hint="eastAsia" w:ascii="宋体" w:hAnsi="宋体" w:cs="宋体"/>
                <w:color w:val="auto"/>
                <w:szCs w:val="21"/>
              </w:rPr>
              <w:br w:type="textWrapping"/>
            </w:r>
            <w:r>
              <w:rPr>
                <w:rFonts w:hint="eastAsia" w:ascii="宋体" w:hAnsi="宋体" w:cs="宋体"/>
                <w:color w:val="auto"/>
                <w:szCs w:val="21"/>
              </w:rPr>
              <w:t>2、内衬3.5mm铅板防护铅当量3.5mmpb</w:t>
            </w:r>
            <w:r>
              <w:rPr>
                <w:rFonts w:hint="eastAsia" w:ascii="宋体" w:hAnsi="宋体" w:cs="宋体"/>
                <w:color w:val="auto"/>
                <w:szCs w:val="21"/>
              </w:rPr>
              <w:br w:type="textWrapping"/>
            </w:r>
            <w:r>
              <w:rPr>
                <w:rFonts w:hint="eastAsia" w:ascii="宋体" w:hAnsi="宋体" w:cs="宋体"/>
                <w:color w:val="auto"/>
                <w:szCs w:val="21"/>
              </w:rPr>
              <w:t>3、全钢架结构，一体成型工艺，表面采用高分子喷塑工艺与不锈钢板镶拼饰面，不锈钢包边，升降式、下轨道防护铅条。</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1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1.10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电动平移门门机（医用标准自动门）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1、医用标准自动门微电脑控制器</w:t>
            </w:r>
            <w:r>
              <w:rPr>
                <w:rFonts w:hint="eastAsia" w:ascii="宋体" w:hAnsi="宋体" w:cs="宋体"/>
                <w:color w:val="auto"/>
                <w:szCs w:val="21"/>
              </w:rPr>
              <w:br w:type="textWrapping"/>
            </w:r>
            <w:r>
              <w:rPr>
                <w:rFonts w:hint="eastAsia" w:ascii="宋体" w:hAnsi="宋体" w:cs="宋体"/>
                <w:color w:val="auto"/>
                <w:szCs w:val="21"/>
              </w:rPr>
              <w:t>2、微型直流电机</w:t>
            </w:r>
            <w:r>
              <w:rPr>
                <w:rFonts w:hint="eastAsia" w:ascii="宋体" w:hAnsi="宋体" w:cs="宋体"/>
                <w:color w:val="auto"/>
                <w:szCs w:val="21"/>
              </w:rPr>
              <w:br w:type="textWrapping"/>
            </w:r>
            <w:r>
              <w:rPr>
                <w:rFonts w:hint="eastAsia" w:ascii="宋体" w:hAnsi="宋体" w:cs="宋体"/>
                <w:color w:val="auto"/>
                <w:szCs w:val="21"/>
              </w:rPr>
              <w:t>3、2米高红外线安全光幕</w:t>
            </w:r>
            <w:r>
              <w:rPr>
                <w:rFonts w:hint="eastAsia" w:ascii="宋体" w:hAnsi="宋体" w:cs="宋体"/>
                <w:color w:val="auto"/>
                <w:szCs w:val="21"/>
              </w:rPr>
              <w:br w:type="textWrapping"/>
            </w:r>
            <w:r>
              <w:rPr>
                <w:rFonts w:hint="eastAsia" w:ascii="宋体" w:hAnsi="宋体" w:cs="宋体"/>
                <w:color w:val="auto"/>
                <w:szCs w:val="21"/>
              </w:rPr>
              <w:t>4、整体铝合金大梁等配件，手控加脚控开关。</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699"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1.11</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1、门洞尺寸：1020*2120，门体尺寸：1000*2100</w:t>
            </w:r>
            <w:r>
              <w:rPr>
                <w:rFonts w:hint="eastAsia" w:ascii="宋体" w:hAnsi="宋体" w:cs="宋体"/>
                <w:color w:val="auto"/>
                <w:szCs w:val="21"/>
              </w:rPr>
              <w:br w:type="textWrapping"/>
            </w:r>
            <w:r>
              <w:rPr>
                <w:rFonts w:hint="eastAsia" w:ascii="宋体" w:hAnsi="宋体" w:cs="宋体"/>
                <w:color w:val="auto"/>
                <w:szCs w:val="21"/>
              </w:rPr>
              <w:t>2、内衬3.5mm铅板防护铅当量3.5mmpb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992" w:hRule="atLeast"/>
        </w:trPr>
        <w:tc>
          <w:tcPr>
            <w:tcW w:w="424" w:type="pct"/>
            <w:tcBorders>
              <w:top w:val="single" w:color="auto"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1.12</w:t>
            </w:r>
          </w:p>
        </w:tc>
        <w:tc>
          <w:tcPr>
            <w:tcW w:w="1250" w:type="pct"/>
            <w:tcBorders>
              <w:top w:val="single" w:color="auto"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auto"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1.铅玻璃观察窗1500*900，3.5mmpb</w:t>
            </w:r>
            <w:r>
              <w:rPr>
                <w:rFonts w:hint="eastAsia" w:ascii="宋体" w:hAnsi="宋体" w:cs="宋体"/>
                <w:color w:val="auto"/>
                <w:szCs w:val="21"/>
              </w:rPr>
              <w:br w:type="textWrapping"/>
            </w:r>
            <w:r>
              <w:rPr>
                <w:rFonts w:hint="eastAsia" w:ascii="宋体" w:hAnsi="宋体" w:cs="宋体"/>
                <w:color w:val="auto"/>
                <w:szCs w:val="21"/>
              </w:rPr>
              <w:t>2.铅玻璃厚≥18mm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auto"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auto"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1.35</w:t>
            </w:r>
          </w:p>
        </w:tc>
      </w:tr>
      <w:tr>
        <w:tblPrEx>
          <w:tblCellMar>
            <w:top w:w="0" w:type="dxa"/>
            <w:left w:w="108" w:type="dxa"/>
            <w:bottom w:w="0" w:type="dxa"/>
            <w:right w:w="108" w:type="dxa"/>
          </w:tblCellMar>
        </w:tblPrEx>
        <w:trPr>
          <w:gridAfter w:val="1"/>
          <w:wAfter w:w="127" w:type="pct"/>
          <w:trHeight w:val="1368"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2.铅当量：4mmpb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66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1、吸顶式换气扇</w:t>
            </w:r>
            <w:r>
              <w:rPr>
                <w:rFonts w:hint="eastAsia" w:ascii="宋体" w:hAnsi="宋体" w:cs="宋体"/>
                <w:color w:val="auto"/>
                <w:szCs w:val="21"/>
              </w:rPr>
              <w:br w:type="textWrapping"/>
            </w:r>
            <w:r>
              <w:rPr>
                <w:rFonts w:hint="eastAsia" w:ascii="宋体" w:hAnsi="宋体" w:cs="宋体"/>
                <w:color w:val="auto"/>
                <w:szCs w:val="21"/>
              </w:rPr>
              <w:t>2、通风口、通风管道防护处理</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1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847" w:hRule="atLeast"/>
        </w:trPr>
        <w:tc>
          <w:tcPr>
            <w:tcW w:w="42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rPr>
              <w:t>1.</w:t>
            </w:r>
            <w:r>
              <w:rPr>
                <w:rFonts w:hint="eastAsia" w:ascii="宋体" w:hAnsi="宋体" w:cs="宋体"/>
                <w:color w:val="auto"/>
                <w:szCs w:val="21"/>
                <w:lang w:val="en-US" w:eastAsia="zh-CN"/>
              </w:rPr>
              <w:t>16</w:t>
            </w:r>
          </w:p>
        </w:tc>
        <w:tc>
          <w:tcPr>
            <w:tcW w:w="12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nil"/>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w:t>
            </w:r>
          </w:p>
        </w:tc>
        <w:tc>
          <w:tcPr>
            <w:tcW w:w="1250" w:type="pct"/>
            <w:tcBorders>
              <w:top w:val="nil"/>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DR机房2</w:t>
            </w:r>
          </w:p>
        </w:tc>
        <w:tc>
          <w:tcPr>
            <w:tcW w:w="2174" w:type="pct"/>
            <w:tcBorders>
              <w:top w:val="nil"/>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nil"/>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nil"/>
              <w:left w:val="single" w:color="000000" w:sz="4" w:space="0"/>
              <w:bottom w:val="nil"/>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904"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DR设备天轨支架系统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DR天轨系统（含焊接、等距打孔、防锈处理、平衡度及水平精度调教，不含装饰吊顶装修）</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693"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3.涂料品种、喷刷遍数:水泥：防护涂料（1：5），0-5mm颗粒状30mm厚高密度SFT复合防护钡砂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1153" w:hRule="atLeast"/>
        </w:trPr>
        <w:tc>
          <w:tcPr>
            <w:tcW w:w="42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2.3</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1377"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rPr>
              <w:t>2.4</w:t>
            </w:r>
          </w:p>
        </w:tc>
        <w:tc>
          <w:tcPr>
            <w:tcW w:w="2183" w:type="dxa"/>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lang w:eastAsia="zh-CN"/>
              </w:rPr>
              <w:t>顶面灯膜</w:t>
            </w:r>
          </w:p>
        </w:tc>
        <w:tc>
          <w:tcPr>
            <w:tcW w:w="3797" w:type="dxa"/>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1、LED软膜灯箱</w:t>
            </w:r>
          </w:p>
          <w:p>
            <w:pPr>
              <w:widowControl/>
              <w:jc w:val="left"/>
              <w:textAlignment w:val="center"/>
              <w:rPr>
                <w:rFonts w:hint="eastAsia" w:ascii="宋体" w:hAnsi="宋体" w:cs="宋体"/>
                <w:color w:val="auto"/>
                <w:szCs w:val="21"/>
              </w:rPr>
            </w:pPr>
            <w:r>
              <w:rPr>
                <w:rFonts w:hint="eastAsia" w:ascii="宋体" w:hAnsi="宋体" w:cs="宋体"/>
                <w:color w:val="auto"/>
                <w:szCs w:val="21"/>
              </w:rPr>
              <w:t>2、轻钢龙骨支架</w:t>
            </w:r>
          </w:p>
          <w:p>
            <w:pPr>
              <w:widowControl/>
              <w:jc w:val="left"/>
              <w:textAlignment w:val="center"/>
              <w:rPr>
                <w:rFonts w:hint="eastAsia" w:ascii="宋体" w:hAnsi="宋体" w:cs="宋体"/>
                <w:color w:val="auto"/>
                <w:szCs w:val="21"/>
              </w:rPr>
            </w:pPr>
            <w:r>
              <w:rPr>
                <w:rFonts w:hint="eastAsia" w:ascii="宋体" w:hAnsi="宋体" w:cs="宋体"/>
                <w:color w:val="auto"/>
                <w:szCs w:val="21"/>
              </w:rPr>
              <w:t>3、和吊顶无缝衔接</w:t>
            </w:r>
          </w:p>
        </w:tc>
        <w:tc>
          <w:tcPr>
            <w:tcW w:w="938"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846" w:type="dxa"/>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hint="eastAsia" w:ascii="宋体" w:hAnsi="宋体" w:cs="宋体"/>
                <w:color w:val="auto"/>
                <w:szCs w:val="21"/>
              </w:rPr>
            </w:pPr>
            <w:r>
              <w:rPr>
                <w:rFonts w:hint="eastAsia" w:ascii="宋体" w:hAnsi="宋体" w:cs="宋体"/>
                <w:color w:val="auto"/>
                <w:szCs w:val="21"/>
                <w:lang w:val="en-US" w:eastAsia="zh-CN"/>
              </w:rPr>
              <w:t>8.64</w:t>
            </w:r>
          </w:p>
        </w:tc>
      </w:tr>
      <w:tr>
        <w:tblPrEx>
          <w:tblCellMar>
            <w:top w:w="0" w:type="dxa"/>
            <w:left w:w="108" w:type="dxa"/>
            <w:bottom w:w="0" w:type="dxa"/>
            <w:right w:w="108" w:type="dxa"/>
          </w:tblCellMar>
        </w:tblPrEx>
        <w:trPr>
          <w:gridAfter w:val="1"/>
          <w:wAfter w:w="127" w:type="pct"/>
          <w:trHeight w:val="171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2.喷刷涂料部位:地面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3.涂料品种、喷刷遍数:水泥：防护涂料（1：5），0-5mm颗粒状30mm厚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9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1192"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3.共2.5mmpb铅板防辐射层</w:t>
            </w:r>
            <w:r>
              <w:rPr>
                <w:rFonts w:hint="eastAsia" w:ascii="宋体" w:hAnsi="宋体" w:cs="宋体"/>
                <w:color w:val="auto"/>
                <w:szCs w:val="21"/>
              </w:rPr>
              <w:br w:type="textWrapping"/>
            </w:r>
            <w:r>
              <w:rPr>
                <w:rFonts w:hint="eastAsia" w:ascii="宋体" w:hAnsi="宋体" w:cs="宋体"/>
                <w:color w:val="auto"/>
                <w:szCs w:val="21"/>
              </w:rPr>
              <w:t>4.铅当量:≥4.5mmpb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87</w:t>
            </w:r>
          </w:p>
        </w:tc>
      </w:tr>
      <w:tr>
        <w:tblPrEx>
          <w:tblCellMar>
            <w:top w:w="0" w:type="dxa"/>
            <w:left w:w="108" w:type="dxa"/>
            <w:bottom w:w="0" w:type="dxa"/>
            <w:right w:w="108" w:type="dxa"/>
          </w:tblCellMar>
        </w:tblPrEx>
        <w:trPr>
          <w:gridAfter w:val="1"/>
          <w:wAfter w:w="127" w:type="pct"/>
          <w:trHeight w:val="870" w:hRule="atLeast"/>
        </w:trPr>
        <w:tc>
          <w:tcPr>
            <w:tcW w:w="741" w:type="dxa"/>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2.8</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59.74</w:t>
            </w:r>
          </w:p>
        </w:tc>
      </w:tr>
      <w:tr>
        <w:tblPrEx>
          <w:tblCellMar>
            <w:top w:w="0" w:type="dxa"/>
            <w:left w:w="108" w:type="dxa"/>
            <w:bottom w:w="0" w:type="dxa"/>
            <w:right w:w="108" w:type="dxa"/>
          </w:tblCellMar>
        </w:tblPrEx>
        <w:trPr>
          <w:gridAfter w:val="1"/>
          <w:wAfter w:w="127" w:type="pct"/>
          <w:trHeight w:val="1617" w:hRule="atLeast"/>
        </w:trPr>
        <w:tc>
          <w:tcPr>
            <w:tcW w:w="741" w:type="dxa"/>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2.9</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电动防护平移门</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1、洞口尺寸1500*2100，门体尺寸1800*2300</w:t>
            </w:r>
            <w:r>
              <w:rPr>
                <w:rFonts w:hint="eastAsia" w:ascii="宋体" w:hAnsi="宋体" w:cs="宋体"/>
                <w:color w:val="auto"/>
                <w:szCs w:val="21"/>
              </w:rPr>
              <w:br w:type="textWrapping"/>
            </w:r>
            <w:r>
              <w:rPr>
                <w:rFonts w:hint="eastAsia" w:ascii="宋体" w:hAnsi="宋体" w:cs="宋体"/>
                <w:color w:val="auto"/>
                <w:szCs w:val="21"/>
              </w:rPr>
              <w:t>2、内衬3.5mm铅板防护铅当量3.5mmpb</w:t>
            </w:r>
            <w:r>
              <w:rPr>
                <w:rFonts w:hint="eastAsia" w:ascii="宋体" w:hAnsi="宋体" w:cs="宋体"/>
                <w:color w:val="auto"/>
                <w:szCs w:val="21"/>
              </w:rPr>
              <w:br w:type="textWrapping"/>
            </w:r>
            <w:r>
              <w:rPr>
                <w:rFonts w:hint="eastAsia" w:ascii="宋体" w:hAnsi="宋体" w:cs="宋体"/>
                <w:color w:val="auto"/>
                <w:szCs w:val="21"/>
              </w:rPr>
              <w:t>3、全钢架结构，一体成型工艺，表面采用高分子喷塑工艺与不锈钢板镶拼饰面，不锈钢包边，升降式、下轨道防护铅条。</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426"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2.10 </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电动平移门门机（医用标准自动门）</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1、医用标准自动门微电脑控制器</w:t>
            </w:r>
            <w:r>
              <w:rPr>
                <w:rFonts w:hint="eastAsia" w:ascii="宋体" w:hAnsi="宋体" w:cs="宋体"/>
                <w:color w:val="auto"/>
                <w:szCs w:val="21"/>
              </w:rPr>
              <w:br w:type="textWrapping"/>
            </w:r>
            <w:r>
              <w:rPr>
                <w:rFonts w:hint="eastAsia" w:ascii="宋体" w:hAnsi="宋体" w:cs="宋体"/>
                <w:color w:val="auto"/>
                <w:szCs w:val="21"/>
              </w:rPr>
              <w:t>2、微型直流电机</w:t>
            </w:r>
            <w:r>
              <w:rPr>
                <w:rFonts w:hint="eastAsia" w:ascii="宋体" w:hAnsi="宋体" w:cs="宋体"/>
                <w:color w:val="auto"/>
                <w:szCs w:val="21"/>
              </w:rPr>
              <w:br w:type="textWrapping"/>
            </w:r>
            <w:r>
              <w:rPr>
                <w:rFonts w:hint="eastAsia" w:ascii="宋体" w:hAnsi="宋体" w:cs="宋体"/>
                <w:color w:val="auto"/>
                <w:szCs w:val="21"/>
              </w:rPr>
              <w:t>3、2米高红外线安全光幕</w:t>
            </w:r>
            <w:r>
              <w:rPr>
                <w:rFonts w:hint="eastAsia" w:ascii="宋体" w:hAnsi="宋体" w:cs="宋体"/>
                <w:color w:val="auto"/>
                <w:szCs w:val="21"/>
              </w:rPr>
              <w:br w:type="textWrapping"/>
            </w:r>
            <w:r>
              <w:rPr>
                <w:rFonts w:hint="eastAsia" w:ascii="宋体" w:hAnsi="宋体" w:cs="宋体"/>
                <w:color w:val="auto"/>
                <w:szCs w:val="21"/>
              </w:rPr>
              <w:t>4、整体铝合金大梁等配件，手控加脚控开关。</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979"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1、门洞尺寸：1020*2120，门体尺寸：1000*2100</w:t>
            </w:r>
            <w:r>
              <w:rPr>
                <w:rFonts w:hint="eastAsia" w:ascii="宋体" w:hAnsi="宋体" w:cs="宋体"/>
                <w:color w:val="auto"/>
                <w:szCs w:val="21"/>
              </w:rPr>
              <w:br w:type="textWrapping"/>
            </w:r>
            <w:r>
              <w:rPr>
                <w:rFonts w:hint="eastAsia" w:ascii="宋体" w:hAnsi="宋体" w:cs="宋体"/>
                <w:color w:val="auto"/>
                <w:szCs w:val="21"/>
              </w:rPr>
              <w:t>2、内衬3.5mm铅板防护铅当量3.5mmpb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921"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1.铅玻璃观察窗1500*900，3.5mmpb</w:t>
            </w:r>
            <w:r>
              <w:rPr>
                <w:rFonts w:hint="eastAsia" w:ascii="宋体" w:hAnsi="宋体" w:cs="宋体"/>
                <w:color w:val="auto"/>
                <w:szCs w:val="21"/>
              </w:rPr>
              <w:br w:type="textWrapping"/>
            </w:r>
            <w:r>
              <w:rPr>
                <w:rFonts w:hint="eastAsia" w:ascii="宋体" w:hAnsi="宋体" w:cs="宋体"/>
                <w:color w:val="auto"/>
                <w:szCs w:val="21"/>
              </w:rPr>
              <w:t>2.铅玻璃厚≥18mm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1.35</w:t>
            </w:r>
          </w:p>
        </w:tc>
      </w:tr>
      <w:tr>
        <w:tblPrEx>
          <w:tblCellMar>
            <w:top w:w="0" w:type="dxa"/>
            <w:left w:w="108" w:type="dxa"/>
            <w:bottom w:w="0" w:type="dxa"/>
            <w:right w:w="108" w:type="dxa"/>
          </w:tblCellMar>
        </w:tblPrEx>
        <w:trPr>
          <w:gridAfter w:val="1"/>
          <w:wAfter w:w="127" w:type="pct"/>
          <w:trHeight w:val="1193"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2.铅当量：4mmpb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736"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1、吸顶式换气扇</w:t>
            </w:r>
            <w:r>
              <w:rPr>
                <w:rFonts w:hint="eastAsia" w:ascii="宋体" w:hAnsi="宋体" w:cs="宋体"/>
                <w:color w:val="auto"/>
                <w:szCs w:val="21"/>
              </w:rPr>
              <w:br w:type="textWrapping"/>
            </w:r>
            <w:r>
              <w:rPr>
                <w:rFonts w:hint="eastAsia" w:ascii="宋体" w:hAnsi="宋体" w:cs="宋体"/>
                <w:color w:val="auto"/>
                <w:szCs w:val="21"/>
              </w:rPr>
              <w:t>2、通风口、通风管道防护处理</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919"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2.15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929"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rPr>
              <w:t>2.</w:t>
            </w:r>
            <w:r>
              <w:rPr>
                <w:rFonts w:hint="eastAsia" w:ascii="宋体" w:hAnsi="宋体" w:cs="宋体"/>
                <w:color w:val="auto"/>
                <w:szCs w:val="21"/>
                <w:lang w:val="en-US" w:eastAsia="zh-CN"/>
              </w:rPr>
              <w:t>16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DR机房3</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795"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3.涂料品种、喷刷遍数:水泥：防护涂料（1：5），0-5mm颗粒状30mm厚高密度SFT复合防护钡砂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1192"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3.2</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1170" w:hRule="atLeast"/>
        </w:trPr>
        <w:tc>
          <w:tcPr>
            <w:tcW w:w="741" w:type="dxa"/>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rPr>
              <w:t>3.3</w:t>
            </w:r>
          </w:p>
        </w:tc>
        <w:tc>
          <w:tcPr>
            <w:tcW w:w="2183" w:type="dxa"/>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lang w:eastAsia="zh-CN"/>
              </w:rPr>
              <w:t>顶面灯膜</w:t>
            </w:r>
          </w:p>
        </w:tc>
        <w:tc>
          <w:tcPr>
            <w:tcW w:w="3797" w:type="dxa"/>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1、LED软膜灯箱</w:t>
            </w:r>
          </w:p>
          <w:p>
            <w:pPr>
              <w:widowControl/>
              <w:jc w:val="left"/>
              <w:textAlignment w:val="center"/>
              <w:rPr>
                <w:rFonts w:hint="eastAsia" w:ascii="宋体" w:hAnsi="宋体" w:cs="宋体"/>
                <w:color w:val="auto"/>
                <w:szCs w:val="21"/>
              </w:rPr>
            </w:pPr>
            <w:r>
              <w:rPr>
                <w:rFonts w:hint="eastAsia" w:ascii="宋体" w:hAnsi="宋体" w:cs="宋体"/>
                <w:color w:val="auto"/>
                <w:szCs w:val="21"/>
              </w:rPr>
              <w:t>2、轻钢龙骨支架</w:t>
            </w:r>
          </w:p>
          <w:p>
            <w:pPr>
              <w:widowControl/>
              <w:jc w:val="left"/>
              <w:textAlignment w:val="center"/>
              <w:rPr>
                <w:rFonts w:hint="eastAsia" w:ascii="宋体" w:hAnsi="宋体" w:cs="宋体"/>
                <w:color w:val="auto"/>
                <w:szCs w:val="21"/>
              </w:rPr>
            </w:pPr>
            <w:r>
              <w:rPr>
                <w:rFonts w:hint="eastAsia" w:ascii="宋体" w:hAnsi="宋体" w:cs="宋体"/>
                <w:color w:val="auto"/>
                <w:szCs w:val="21"/>
              </w:rPr>
              <w:t>3、和吊顶无缝衔接</w:t>
            </w:r>
          </w:p>
        </w:tc>
        <w:tc>
          <w:tcPr>
            <w:tcW w:w="938" w:type="dxa"/>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846" w:type="dxa"/>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hint="eastAsia" w:ascii="宋体" w:hAnsi="宋体" w:cs="宋体"/>
                <w:color w:val="auto"/>
                <w:szCs w:val="21"/>
              </w:rPr>
            </w:pPr>
            <w:r>
              <w:rPr>
                <w:rFonts w:hint="eastAsia" w:ascii="宋体" w:hAnsi="宋体" w:cs="宋体"/>
                <w:color w:val="auto"/>
                <w:szCs w:val="21"/>
                <w:lang w:val="en-US" w:eastAsia="zh-CN"/>
              </w:rPr>
              <w:t>8.64</w:t>
            </w:r>
          </w:p>
        </w:tc>
      </w:tr>
      <w:tr>
        <w:tblPrEx>
          <w:tblCellMar>
            <w:top w:w="0" w:type="dxa"/>
            <w:left w:w="108" w:type="dxa"/>
            <w:bottom w:w="0" w:type="dxa"/>
            <w:right w:w="108" w:type="dxa"/>
          </w:tblCellMar>
        </w:tblPrEx>
        <w:trPr>
          <w:gridAfter w:val="1"/>
          <w:wAfter w:w="127" w:type="pct"/>
          <w:trHeight w:val="1737" w:hRule="atLeast"/>
        </w:trPr>
        <w:tc>
          <w:tcPr>
            <w:tcW w:w="741" w:type="dxa"/>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3.4</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2.喷刷涂料部位:地面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3.涂料品种、喷刷遍数:水泥：防护涂料（1：5），0-5mm颗粒状30mm厚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95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1192"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3.共2.5mmpb铅板防辐射层</w:t>
            </w:r>
            <w:r>
              <w:rPr>
                <w:rFonts w:hint="eastAsia" w:ascii="宋体" w:hAnsi="宋体" w:cs="宋体"/>
                <w:color w:val="auto"/>
                <w:szCs w:val="21"/>
              </w:rPr>
              <w:br w:type="textWrapping"/>
            </w:r>
            <w:r>
              <w:rPr>
                <w:rFonts w:hint="eastAsia" w:ascii="宋体" w:hAnsi="宋体" w:cs="宋体"/>
                <w:color w:val="auto"/>
                <w:szCs w:val="21"/>
              </w:rPr>
              <w:t>4.铅当量:≥4.5mmpb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87</w:t>
            </w:r>
          </w:p>
        </w:tc>
      </w:tr>
      <w:tr>
        <w:tblPrEx>
          <w:tblCellMar>
            <w:top w:w="0" w:type="dxa"/>
            <w:left w:w="108" w:type="dxa"/>
            <w:bottom w:w="0" w:type="dxa"/>
            <w:right w:w="108" w:type="dxa"/>
          </w:tblCellMar>
        </w:tblPrEx>
        <w:trPr>
          <w:gridAfter w:val="1"/>
          <w:wAfter w:w="127" w:type="pct"/>
          <w:trHeight w:val="420"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3.7</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59.74</w:t>
            </w:r>
          </w:p>
        </w:tc>
      </w:tr>
      <w:tr>
        <w:tblPrEx>
          <w:tblCellMar>
            <w:top w:w="0" w:type="dxa"/>
            <w:left w:w="108" w:type="dxa"/>
            <w:bottom w:w="0" w:type="dxa"/>
            <w:right w:w="108" w:type="dxa"/>
          </w:tblCellMar>
        </w:tblPrEx>
        <w:trPr>
          <w:gridAfter w:val="1"/>
          <w:wAfter w:w="127" w:type="pct"/>
          <w:trHeight w:val="1586"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电动防护平移门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1、洞口尺寸1500*2100，门体尺寸1800*2300</w:t>
            </w:r>
            <w:r>
              <w:rPr>
                <w:rFonts w:hint="eastAsia" w:ascii="宋体" w:hAnsi="宋体" w:cs="宋体"/>
                <w:color w:val="auto"/>
                <w:szCs w:val="21"/>
              </w:rPr>
              <w:br w:type="textWrapping"/>
            </w:r>
            <w:r>
              <w:rPr>
                <w:rFonts w:hint="eastAsia" w:ascii="宋体" w:hAnsi="宋体" w:cs="宋体"/>
                <w:color w:val="auto"/>
                <w:szCs w:val="21"/>
              </w:rPr>
              <w:t>2、内衬3.5mm铅板防护铅当量3.5mmpb</w:t>
            </w:r>
            <w:r>
              <w:rPr>
                <w:rFonts w:hint="eastAsia" w:ascii="宋体" w:hAnsi="宋体" w:cs="宋体"/>
                <w:color w:val="auto"/>
                <w:szCs w:val="21"/>
              </w:rPr>
              <w:br w:type="textWrapping"/>
            </w:r>
            <w:r>
              <w:rPr>
                <w:rFonts w:hint="eastAsia" w:ascii="宋体" w:hAnsi="宋体" w:cs="宋体"/>
                <w:color w:val="auto"/>
                <w:szCs w:val="21"/>
              </w:rPr>
              <w:t>3、全钢架结构，一体成型工艺，表面采用高分子喷塑工艺与不锈钢板镶拼饰面，不锈钢包边，升降式、下轨道防护铅条。</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435"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电动平移门门机（医用标准自动门）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1、医用标准自动门微电脑控制器</w:t>
            </w:r>
            <w:r>
              <w:rPr>
                <w:rFonts w:hint="eastAsia" w:ascii="宋体" w:hAnsi="宋体" w:cs="宋体"/>
                <w:color w:val="auto"/>
                <w:szCs w:val="21"/>
              </w:rPr>
              <w:br w:type="textWrapping"/>
            </w:r>
            <w:r>
              <w:rPr>
                <w:rFonts w:hint="eastAsia" w:ascii="宋体" w:hAnsi="宋体" w:cs="宋体"/>
                <w:color w:val="auto"/>
                <w:szCs w:val="21"/>
              </w:rPr>
              <w:t>2、微型直流电机</w:t>
            </w:r>
            <w:r>
              <w:rPr>
                <w:rFonts w:hint="eastAsia" w:ascii="宋体" w:hAnsi="宋体" w:cs="宋体"/>
                <w:color w:val="auto"/>
                <w:szCs w:val="21"/>
              </w:rPr>
              <w:br w:type="textWrapping"/>
            </w:r>
            <w:r>
              <w:rPr>
                <w:rFonts w:hint="eastAsia" w:ascii="宋体" w:hAnsi="宋体" w:cs="宋体"/>
                <w:color w:val="auto"/>
                <w:szCs w:val="21"/>
              </w:rPr>
              <w:t>3、2米高红外线安全光幕</w:t>
            </w:r>
            <w:r>
              <w:rPr>
                <w:rFonts w:hint="eastAsia" w:ascii="宋体" w:hAnsi="宋体" w:cs="宋体"/>
                <w:color w:val="auto"/>
                <w:szCs w:val="21"/>
              </w:rPr>
              <w:br w:type="textWrapping"/>
            </w:r>
            <w:r>
              <w:rPr>
                <w:rFonts w:hint="eastAsia" w:ascii="宋体" w:hAnsi="宋体" w:cs="宋体"/>
                <w:color w:val="auto"/>
                <w:szCs w:val="21"/>
              </w:rPr>
              <w:t>4、整体铝合金大梁等配件，手控加脚控开关。</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845"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3.10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1、门洞尺寸：1020*2120，门体尺寸：1000*2100</w:t>
            </w:r>
            <w:r>
              <w:rPr>
                <w:rFonts w:hint="eastAsia" w:ascii="宋体" w:hAnsi="宋体" w:cs="宋体"/>
                <w:color w:val="auto"/>
                <w:szCs w:val="21"/>
              </w:rPr>
              <w:br w:type="textWrapping"/>
            </w:r>
            <w:r>
              <w:rPr>
                <w:rFonts w:hint="eastAsia" w:ascii="宋体" w:hAnsi="宋体" w:cs="宋体"/>
                <w:color w:val="auto"/>
                <w:szCs w:val="21"/>
              </w:rPr>
              <w:t>2、内衬3.5mm铅板防护铅当量3.5mmpb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1.铅玻璃观察窗1500*900，3.5mmpb</w:t>
            </w:r>
            <w:r>
              <w:rPr>
                <w:rFonts w:hint="eastAsia" w:ascii="宋体" w:hAnsi="宋体" w:cs="宋体"/>
                <w:color w:val="auto"/>
                <w:szCs w:val="21"/>
              </w:rPr>
              <w:br w:type="textWrapping"/>
            </w:r>
            <w:r>
              <w:rPr>
                <w:rFonts w:hint="eastAsia" w:ascii="宋体" w:hAnsi="宋体" w:cs="宋体"/>
                <w:color w:val="auto"/>
                <w:szCs w:val="21"/>
              </w:rPr>
              <w:t>2.铅玻璃厚≥18mm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1.35</w:t>
            </w:r>
          </w:p>
        </w:tc>
      </w:tr>
      <w:tr>
        <w:tblPrEx>
          <w:tblCellMar>
            <w:top w:w="0" w:type="dxa"/>
            <w:left w:w="108" w:type="dxa"/>
            <w:bottom w:w="0" w:type="dxa"/>
            <w:right w:w="108" w:type="dxa"/>
          </w:tblCellMar>
        </w:tblPrEx>
        <w:trPr>
          <w:gridAfter w:val="1"/>
          <w:wAfter w:w="127" w:type="pct"/>
          <w:trHeight w:val="1153"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3.12</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2.铅当量：4mmpb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723"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1、吸顶式换气扇</w:t>
            </w:r>
            <w:r>
              <w:rPr>
                <w:rFonts w:hint="eastAsia" w:ascii="宋体" w:hAnsi="宋体" w:cs="宋体"/>
                <w:color w:val="auto"/>
                <w:szCs w:val="21"/>
              </w:rPr>
              <w:br w:type="textWrapping"/>
            </w:r>
            <w:r>
              <w:rPr>
                <w:rFonts w:hint="eastAsia" w:ascii="宋体" w:hAnsi="宋体" w:cs="宋体"/>
                <w:color w:val="auto"/>
                <w:szCs w:val="21"/>
              </w:rPr>
              <w:t>2、通风口、通风管道防护处理</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907" w:hRule="atLeast"/>
        </w:trPr>
        <w:tc>
          <w:tcPr>
            <w:tcW w:w="741" w:type="dxa"/>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3.14</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rPr>
              <w:t>3.</w:t>
            </w:r>
            <w:r>
              <w:rPr>
                <w:rFonts w:hint="eastAsia" w:ascii="宋体" w:hAnsi="宋体" w:cs="宋体"/>
                <w:color w:val="auto"/>
                <w:szCs w:val="21"/>
                <w:lang w:val="en-US" w:eastAsia="zh-CN"/>
              </w:rPr>
              <w:t>15</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DR机房4</w:t>
            </w:r>
          </w:p>
        </w:tc>
        <w:tc>
          <w:tcPr>
            <w:tcW w:w="2174" w:type="pct"/>
            <w:tcBorders>
              <w:top w:val="single" w:color="000000"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708"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3.涂料品种、喷刷遍数:水泥：防护涂料（1：5），0-5mm颗粒状30mm厚高密度SFT复合防护钡砂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1236"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1200"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rPr>
              <w:t>4.3</w:t>
            </w:r>
          </w:p>
        </w:tc>
        <w:tc>
          <w:tcPr>
            <w:tcW w:w="2183"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lang w:eastAsia="zh-CN"/>
              </w:rPr>
              <w:t>顶面灯膜</w:t>
            </w:r>
          </w:p>
        </w:tc>
        <w:tc>
          <w:tcPr>
            <w:tcW w:w="3797"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1、LED软膜灯箱</w:t>
            </w:r>
          </w:p>
          <w:p>
            <w:pPr>
              <w:widowControl/>
              <w:jc w:val="left"/>
              <w:textAlignment w:val="center"/>
              <w:rPr>
                <w:rFonts w:hint="eastAsia" w:ascii="宋体" w:hAnsi="宋体" w:cs="宋体"/>
                <w:color w:val="auto"/>
                <w:szCs w:val="21"/>
              </w:rPr>
            </w:pPr>
            <w:r>
              <w:rPr>
                <w:rFonts w:hint="eastAsia" w:ascii="宋体" w:hAnsi="宋体" w:cs="宋体"/>
                <w:color w:val="auto"/>
                <w:szCs w:val="21"/>
              </w:rPr>
              <w:t>2、轻钢龙骨支架</w:t>
            </w:r>
          </w:p>
          <w:p>
            <w:pPr>
              <w:widowControl/>
              <w:jc w:val="left"/>
              <w:textAlignment w:val="center"/>
              <w:rPr>
                <w:rFonts w:hint="eastAsia" w:ascii="宋体" w:hAnsi="宋体" w:cs="宋体"/>
                <w:color w:val="auto"/>
                <w:szCs w:val="21"/>
              </w:rPr>
            </w:pPr>
            <w:r>
              <w:rPr>
                <w:rFonts w:hint="eastAsia" w:ascii="宋体" w:hAnsi="宋体" w:cs="宋体"/>
                <w:color w:val="auto"/>
                <w:szCs w:val="21"/>
              </w:rPr>
              <w:t>3、和吊顶无缝衔接</w:t>
            </w:r>
          </w:p>
        </w:tc>
        <w:tc>
          <w:tcPr>
            <w:tcW w:w="938"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846" w:type="dxa"/>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hint="eastAsia" w:ascii="宋体" w:hAnsi="宋体" w:cs="宋体"/>
                <w:color w:val="auto"/>
                <w:szCs w:val="21"/>
              </w:rPr>
            </w:pPr>
            <w:r>
              <w:rPr>
                <w:rFonts w:hint="eastAsia" w:ascii="宋体" w:hAnsi="宋体" w:cs="宋体"/>
                <w:color w:val="auto"/>
                <w:szCs w:val="21"/>
                <w:lang w:val="en-US" w:eastAsia="zh-CN"/>
              </w:rPr>
              <w:t>8.64</w:t>
            </w:r>
          </w:p>
        </w:tc>
      </w:tr>
      <w:tr>
        <w:tblPrEx>
          <w:tblCellMar>
            <w:top w:w="0" w:type="dxa"/>
            <w:left w:w="108" w:type="dxa"/>
            <w:bottom w:w="0" w:type="dxa"/>
            <w:right w:w="108" w:type="dxa"/>
          </w:tblCellMar>
        </w:tblPrEx>
        <w:trPr>
          <w:gridAfter w:val="1"/>
          <w:wAfter w:w="127" w:type="pct"/>
          <w:trHeight w:val="1710"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4.4</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2.喷刷涂料部位:地面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3.涂料品种、喷刷遍数:水泥：防护涂料（1：5），0-5mm颗粒状30mm厚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9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26.32</w:t>
            </w:r>
          </w:p>
        </w:tc>
      </w:tr>
      <w:tr>
        <w:tblPrEx>
          <w:tblCellMar>
            <w:top w:w="0" w:type="dxa"/>
            <w:left w:w="108" w:type="dxa"/>
            <w:bottom w:w="0" w:type="dxa"/>
            <w:right w:w="108" w:type="dxa"/>
          </w:tblCellMar>
        </w:tblPrEx>
        <w:trPr>
          <w:gridAfter w:val="1"/>
          <w:wAfter w:w="127" w:type="pct"/>
          <w:trHeight w:val="1164"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3.共2.5mmpb铅板防辐射层</w:t>
            </w:r>
            <w:r>
              <w:rPr>
                <w:rFonts w:hint="eastAsia" w:ascii="宋体" w:hAnsi="宋体" w:cs="宋体"/>
                <w:color w:val="auto"/>
                <w:szCs w:val="21"/>
              </w:rPr>
              <w:br w:type="textWrapping"/>
            </w:r>
            <w:r>
              <w:rPr>
                <w:rFonts w:hint="eastAsia" w:ascii="宋体" w:hAnsi="宋体" w:cs="宋体"/>
                <w:color w:val="auto"/>
                <w:szCs w:val="21"/>
              </w:rPr>
              <w:t>4.铅当量:≥4.5mmpb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87</w:t>
            </w:r>
          </w:p>
        </w:tc>
      </w:tr>
      <w:tr>
        <w:tblPrEx>
          <w:tblCellMar>
            <w:top w:w="0" w:type="dxa"/>
            <w:left w:w="108" w:type="dxa"/>
            <w:bottom w:w="0" w:type="dxa"/>
            <w:right w:w="108" w:type="dxa"/>
          </w:tblCellMar>
        </w:tblPrEx>
        <w:trPr>
          <w:gridAfter w:val="1"/>
          <w:wAfter w:w="127" w:type="pct"/>
          <w:trHeight w:val="914"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59.74</w:t>
            </w:r>
          </w:p>
        </w:tc>
      </w:tr>
      <w:tr>
        <w:tblPrEx>
          <w:tblCellMar>
            <w:top w:w="0" w:type="dxa"/>
            <w:left w:w="108" w:type="dxa"/>
            <w:bottom w:w="0" w:type="dxa"/>
            <w:right w:w="108" w:type="dxa"/>
          </w:tblCellMar>
        </w:tblPrEx>
        <w:trPr>
          <w:gridAfter w:val="1"/>
          <w:wAfter w:w="127" w:type="pct"/>
          <w:trHeight w:val="1618"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电动防护平移门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1、洞口尺寸1500*2100，门体尺寸1800*2300</w:t>
            </w:r>
            <w:r>
              <w:rPr>
                <w:rFonts w:hint="eastAsia" w:ascii="宋体" w:hAnsi="宋体" w:cs="宋体"/>
                <w:color w:val="auto"/>
                <w:szCs w:val="21"/>
              </w:rPr>
              <w:br w:type="textWrapping"/>
            </w:r>
            <w:r>
              <w:rPr>
                <w:rFonts w:hint="eastAsia" w:ascii="宋体" w:hAnsi="宋体" w:cs="宋体"/>
                <w:color w:val="auto"/>
                <w:szCs w:val="21"/>
              </w:rPr>
              <w:t>2、内衬3.5mm铅板防护铅当量3.5mmpb</w:t>
            </w:r>
            <w:r>
              <w:rPr>
                <w:rFonts w:hint="eastAsia" w:ascii="宋体" w:hAnsi="宋体" w:cs="宋体"/>
                <w:color w:val="auto"/>
                <w:szCs w:val="21"/>
              </w:rPr>
              <w:br w:type="textWrapping"/>
            </w:r>
            <w:r>
              <w:rPr>
                <w:rFonts w:hint="eastAsia" w:ascii="宋体" w:hAnsi="宋体" w:cs="宋体"/>
                <w:color w:val="auto"/>
                <w:szCs w:val="21"/>
              </w:rPr>
              <w:t>3、全钢架结构，一体成型工艺，表面采用高分子喷塑工艺与不锈钢板镶拼饰面，不锈钢包边，升降式、下轨道防护铅条。</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163"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4.9</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电动平移门门机（医用标准自动门）</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1、医用标准自动门微电脑控制器</w:t>
            </w:r>
            <w:r>
              <w:rPr>
                <w:rFonts w:hint="eastAsia" w:ascii="宋体" w:hAnsi="宋体" w:cs="宋体"/>
                <w:color w:val="auto"/>
                <w:szCs w:val="21"/>
              </w:rPr>
              <w:br w:type="textWrapping"/>
            </w:r>
            <w:r>
              <w:rPr>
                <w:rFonts w:hint="eastAsia" w:ascii="宋体" w:hAnsi="宋体" w:cs="宋体"/>
                <w:color w:val="auto"/>
                <w:szCs w:val="21"/>
              </w:rPr>
              <w:t>2、微型直流电机</w:t>
            </w:r>
            <w:r>
              <w:rPr>
                <w:rFonts w:hint="eastAsia" w:ascii="宋体" w:hAnsi="宋体" w:cs="宋体"/>
                <w:color w:val="auto"/>
                <w:szCs w:val="21"/>
              </w:rPr>
              <w:br w:type="textWrapping"/>
            </w:r>
            <w:r>
              <w:rPr>
                <w:rFonts w:hint="eastAsia" w:ascii="宋体" w:hAnsi="宋体" w:cs="宋体"/>
                <w:color w:val="auto"/>
                <w:szCs w:val="21"/>
              </w:rPr>
              <w:t>3、2米高红外线安全光幕</w:t>
            </w:r>
            <w:r>
              <w:rPr>
                <w:rFonts w:hint="eastAsia" w:ascii="宋体" w:hAnsi="宋体" w:cs="宋体"/>
                <w:color w:val="auto"/>
                <w:szCs w:val="21"/>
              </w:rPr>
              <w:br w:type="textWrapping"/>
            </w:r>
            <w:r>
              <w:rPr>
                <w:rFonts w:hint="eastAsia" w:ascii="宋体" w:hAnsi="宋体" w:cs="宋体"/>
                <w:color w:val="auto"/>
                <w:szCs w:val="21"/>
              </w:rPr>
              <w:t>4、整体铝合金大梁等配件，手控加脚控开关。</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99" w:hRule="atLeast"/>
        </w:trPr>
        <w:tc>
          <w:tcPr>
            <w:tcW w:w="741" w:type="dxa"/>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4.10 </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1、门洞尺寸：1020*2120，门体尺寸：1000*2100</w:t>
            </w:r>
            <w:r>
              <w:rPr>
                <w:rFonts w:hint="eastAsia" w:ascii="宋体" w:hAnsi="宋体" w:cs="宋体"/>
                <w:color w:val="auto"/>
                <w:szCs w:val="21"/>
              </w:rPr>
              <w:br w:type="textWrapping"/>
            </w:r>
            <w:r>
              <w:rPr>
                <w:rFonts w:hint="eastAsia" w:ascii="宋体" w:hAnsi="宋体" w:cs="宋体"/>
                <w:color w:val="auto"/>
                <w:szCs w:val="21"/>
              </w:rPr>
              <w:t>2、内衬3.5mm铅板防护铅当量3.5mmpb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882" w:hRule="atLeast"/>
        </w:trPr>
        <w:tc>
          <w:tcPr>
            <w:tcW w:w="741" w:type="dxa"/>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4.11</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1.铅玻璃观察窗1500*900，3.5mmpb</w:t>
            </w:r>
            <w:r>
              <w:rPr>
                <w:rFonts w:hint="eastAsia" w:ascii="宋体" w:hAnsi="宋体" w:cs="宋体"/>
                <w:color w:val="auto"/>
                <w:szCs w:val="21"/>
              </w:rPr>
              <w:br w:type="textWrapping"/>
            </w:r>
            <w:r>
              <w:rPr>
                <w:rFonts w:hint="eastAsia" w:ascii="宋体" w:hAnsi="宋体" w:cs="宋体"/>
                <w:color w:val="auto"/>
                <w:szCs w:val="21"/>
              </w:rPr>
              <w:t>2.铅玻璃厚≥18mm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1.35</w:t>
            </w:r>
          </w:p>
        </w:tc>
      </w:tr>
      <w:tr>
        <w:tblPrEx>
          <w:tblCellMar>
            <w:top w:w="0" w:type="dxa"/>
            <w:left w:w="108" w:type="dxa"/>
            <w:bottom w:w="0" w:type="dxa"/>
            <w:right w:w="108" w:type="dxa"/>
          </w:tblCellMar>
        </w:tblPrEx>
        <w:trPr>
          <w:gridAfter w:val="1"/>
          <w:wAfter w:w="127" w:type="pct"/>
          <w:trHeight w:val="1122"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2.铅当量：4mmpb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71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1、吸顶式换气扇</w:t>
            </w:r>
            <w:r>
              <w:rPr>
                <w:rFonts w:hint="eastAsia" w:ascii="宋体" w:hAnsi="宋体" w:cs="宋体"/>
                <w:color w:val="auto"/>
                <w:szCs w:val="21"/>
              </w:rPr>
              <w:br w:type="textWrapping"/>
            </w:r>
            <w:r>
              <w:rPr>
                <w:rFonts w:hint="eastAsia" w:ascii="宋体" w:hAnsi="宋体" w:cs="宋体"/>
                <w:color w:val="auto"/>
                <w:szCs w:val="21"/>
              </w:rPr>
              <w:t>2、通风口、通风管道防护处理</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832"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4.14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rPr>
              <w:t>4.</w:t>
            </w:r>
            <w:r>
              <w:rPr>
                <w:rFonts w:hint="eastAsia" w:ascii="宋体" w:hAnsi="宋体" w:cs="宋体"/>
                <w:color w:val="auto"/>
                <w:szCs w:val="21"/>
                <w:lang w:val="en-US" w:eastAsia="zh-CN"/>
              </w:rPr>
              <w:t>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CT机房1</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693"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35</w:t>
            </w:r>
          </w:p>
        </w:tc>
      </w:tr>
      <w:tr>
        <w:tblPrEx>
          <w:tblCellMar>
            <w:top w:w="0" w:type="dxa"/>
            <w:left w:w="108" w:type="dxa"/>
            <w:bottom w:w="0" w:type="dxa"/>
            <w:right w:w="108" w:type="dxa"/>
          </w:tblCellMar>
        </w:tblPrEx>
        <w:trPr>
          <w:gridAfter w:val="1"/>
          <w:wAfter w:w="127" w:type="pct"/>
          <w:trHeight w:val="1222"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35</w:t>
            </w:r>
          </w:p>
        </w:tc>
      </w:tr>
      <w:tr>
        <w:tblPrEx>
          <w:tblCellMar>
            <w:top w:w="0" w:type="dxa"/>
            <w:left w:w="108" w:type="dxa"/>
            <w:bottom w:w="0" w:type="dxa"/>
            <w:right w:w="108" w:type="dxa"/>
          </w:tblCellMar>
        </w:tblPrEx>
        <w:trPr>
          <w:gridAfter w:val="1"/>
          <w:wAfter w:w="127" w:type="pct"/>
          <w:trHeight w:val="1329"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rPr>
              <w:t>5.3</w:t>
            </w:r>
          </w:p>
        </w:tc>
        <w:tc>
          <w:tcPr>
            <w:tcW w:w="2183" w:type="dxa"/>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lang w:eastAsia="zh-CN"/>
              </w:rPr>
              <w:t>顶面灯膜</w:t>
            </w:r>
          </w:p>
        </w:tc>
        <w:tc>
          <w:tcPr>
            <w:tcW w:w="3797" w:type="dxa"/>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1、LED软膜灯箱</w:t>
            </w:r>
          </w:p>
          <w:p>
            <w:pPr>
              <w:widowControl/>
              <w:jc w:val="left"/>
              <w:textAlignment w:val="center"/>
              <w:rPr>
                <w:rFonts w:hint="eastAsia" w:ascii="宋体" w:hAnsi="宋体" w:cs="宋体"/>
                <w:color w:val="auto"/>
                <w:szCs w:val="21"/>
              </w:rPr>
            </w:pPr>
            <w:r>
              <w:rPr>
                <w:rFonts w:hint="eastAsia" w:ascii="宋体" w:hAnsi="宋体" w:cs="宋体"/>
                <w:color w:val="auto"/>
                <w:szCs w:val="21"/>
              </w:rPr>
              <w:t>2、轻钢龙骨支架</w:t>
            </w:r>
          </w:p>
          <w:p>
            <w:pPr>
              <w:widowControl/>
              <w:jc w:val="left"/>
              <w:textAlignment w:val="center"/>
              <w:rPr>
                <w:rFonts w:hint="eastAsia" w:ascii="宋体" w:hAnsi="宋体" w:cs="宋体"/>
                <w:color w:val="auto"/>
                <w:szCs w:val="21"/>
              </w:rPr>
            </w:pPr>
            <w:r>
              <w:rPr>
                <w:rFonts w:hint="eastAsia" w:ascii="宋体" w:hAnsi="宋体" w:cs="宋体"/>
                <w:color w:val="auto"/>
                <w:szCs w:val="21"/>
              </w:rPr>
              <w:t>3、和吊顶无缝衔接</w:t>
            </w:r>
          </w:p>
        </w:tc>
        <w:tc>
          <w:tcPr>
            <w:tcW w:w="938"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846" w:type="dxa"/>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hint="eastAsia" w:ascii="宋体" w:hAnsi="宋体" w:cs="宋体"/>
                <w:color w:val="auto"/>
                <w:szCs w:val="21"/>
              </w:rPr>
            </w:pPr>
            <w:r>
              <w:rPr>
                <w:rFonts w:hint="eastAsia" w:ascii="宋体" w:hAnsi="宋体" w:cs="宋体"/>
                <w:color w:val="auto"/>
                <w:szCs w:val="21"/>
                <w:lang w:val="en-US" w:eastAsia="zh-CN"/>
              </w:rPr>
              <w:t>8.64</w:t>
            </w:r>
          </w:p>
        </w:tc>
      </w:tr>
      <w:tr>
        <w:tblPrEx>
          <w:tblCellMar>
            <w:top w:w="0" w:type="dxa"/>
            <w:left w:w="108" w:type="dxa"/>
            <w:bottom w:w="0" w:type="dxa"/>
            <w:right w:w="108" w:type="dxa"/>
          </w:tblCellMar>
        </w:tblPrEx>
        <w:trPr>
          <w:gridAfter w:val="1"/>
          <w:wAfter w:w="127" w:type="pct"/>
          <w:trHeight w:val="1796"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2.喷刷涂料部位:内墙面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35</w:t>
            </w:r>
          </w:p>
        </w:tc>
      </w:tr>
      <w:tr>
        <w:tblPrEx>
          <w:tblCellMar>
            <w:top w:w="0" w:type="dxa"/>
            <w:left w:w="108" w:type="dxa"/>
            <w:bottom w:w="0" w:type="dxa"/>
            <w:right w:w="108" w:type="dxa"/>
          </w:tblCellMar>
        </w:tblPrEx>
        <w:trPr>
          <w:gridAfter w:val="1"/>
          <w:wAfter w:w="127" w:type="pct"/>
          <w:trHeight w:val="905"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35</w:t>
            </w:r>
          </w:p>
        </w:tc>
      </w:tr>
      <w:tr>
        <w:tblPrEx>
          <w:tblCellMar>
            <w:top w:w="0" w:type="dxa"/>
            <w:left w:w="108" w:type="dxa"/>
            <w:bottom w:w="0" w:type="dxa"/>
            <w:right w:w="108" w:type="dxa"/>
          </w:tblCellMar>
        </w:tblPrEx>
        <w:trPr>
          <w:gridAfter w:val="1"/>
          <w:wAfter w:w="127" w:type="pct"/>
          <w:trHeight w:val="1207"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3.共3mmpb铅板防辐射层</w:t>
            </w:r>
            <w:r>
              <w:rPr>
                <w:rFonts w:hint="eastAsia" w:ascii="宋体" w:hAnsi="宋体" w:cs="宋体"/>
                <w:color w:val="auto"/>
                <w:szCs w:val="21"/>
              </w:rPr>
              <w:br w:type="textWrapping"/>
            </w:r>
            <w:r>
              <w:rPr>
                <w:rFonts w:hint="eastAsia" w:ascii="宋体" w:hAnsi="宋体" w:cs="宋体"/>
                <w:color w:val="auto"/>
                <w:szCs w:val="21"/>
              </w:rPr>
              <w:t>4.铅当量:≥5.0mmpb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100</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5.7</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69.02</w:t>
            </w:r>
          </w:p>
        </w:tc>
      </w:tr>
      <w:tr>
        <w:tblPrEx>
          <w:tblCellMar>
            <w:top w:w="0" w:type="dxa"/>
            <w:left w:w="108" w:type="dxa"/>
            <w:bottom w:w="0" w:type="dxa"/>
            <w:right w:w="108" w:type="dxa"/>
          </w:tblCellMar>
        </w:tblPrEx>
        <w:trPr>
          <w:gridAfter w:val="1"/>
          <w:wAfter w:w="127" w:type="pct"/>
          <w:trHeight w:val="1678"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电动防护平移门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1、洞口尺寸1500*2100，门体尺寸1800*2300</w:t>
            </w:r>
            <w:r>
              <w:rPr>
                <w:rFonts w:hint="eastAsia" w:ascii="宋体" w:hAnsi="宋体" w:cs="宋体"/>
                <w:color w:val="auto"/>
                <w:szCs w:val="21"/>
              </w:rPr>
              <w:br w:type="textWrapping"/>
            </w:r>
            <w:r>
              <w:rPr>
                <w:rFonts w:hint="eastAsia" w:ascii="宋体" w:hAnsi="宋体" w:cs="宋体"/>
                <w:color w:val="auto"/>
                <w:szCs w:val="21"/>
              </w:rPr>
              <w:t>2、内衬4.0mm铅板防护铅当量4.0mmpb</w:t>
            </w:r>
            <w:r>
              <w:rPr>
                <w:rFonts w:hint="eastAsia" w:ascii="宋体" w:hAnsi="宋体" w:cs="宋体"/>
                <w:color w:val="auto"/>
                <w:szCs w:val="21"/>
              </w:rPr>
              <w:br w:type="textWrapping"/>
            </w:r>
            <w:r>
              <w:rPr>
                <w:rFonts w:hint="eastAsia" w:ascii="宋体" w:hAnsi="宋体" w:cs="宋体"/>
                <w:color w:val="auto"/>
                <w:szCs w:val="21"/>
              </w:rPr>
              <w:t>3、全钢架结构，一体成型工艺，表面采用高分子喷塑工艺与不锈钢板镶拼饰面，不锈钢包边，升降式、下轨道防护铅条。</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207"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电动平移门门机（医用标准自动门）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1、医用标准自动门微电脑控制器</w:t>
            </w:r>
            <w:r>
              <w:rPr>
                <w:rFonts w:hint="eastAsia" w:ascii="宋体" w:hAnsi="宋体" w:cs="宋体"/>
                <w:color w:val="auto"/>
                <w:szCs w:val="21"/>
              </w:rPr>
              <w:br w:type="textWrapping"/>
            </w:r>
            <w:r>
              <w:rPr>
                <w:rFonts w:hint="eastAsia" w:ascii="宋体" w:hAnsi="宋体" w:cs="宋体"/>
                <w:color w:val="auto"/>
                <w:szCs w:val="21"/>
              </w:rPr>
              <w:t>2、微型直流电机</w:t>
            </w:r>
            <w:r>
              <w:rPr>
                <w:rFonts w:hint="eastAsia" w:ascii="宋体" w:hAnsi="宋体" w:cs="宋体"/>
                <w:color w:val="auto"/>
                <w:szCs w:val="21"/>
              </w:rPr>
              <w:br w:type="textWrapping"/>
            </w:r>
            <w:r>
              <w:rPr>
                <w:rFonts w:hint="eastAsia" w:ascii="宋体" w:hAnsi="宋体" w:cs="宋体"/>
                <w:color w:val="auto"/>
                <w:szCs w:val="21"/>
              </w:rPr>
              <w:t>3、2米高红外线安全光幕</w:t>
            </w:r>
            <w:r>
              <w:rPr>
                <w:rFonts w:hint="eastAsia" w:ascii="宋体" w:hAnsi="宋体" w:cs="宋体"/>
                <w:color w:val="auto"/>
                <w:szCs w:val="21"/>
              </w:rPr>
              <w:br w:type="textWrapping"/>
            </w:r>
            <w:r>
              <w:rPr>
                <w:rFonts w:hint="eastAsia" w:ascii="宋体" w:hAnsi="宋体" w:cs="宋体"/>
                <w:color w:val="auto"/>
                <w:szCs w:val="21"/>
              </w:rPr>
              <w:t>4、整体铝合金大梁等配件，手控加脚控开关。</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965"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5.10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1、门洞尺寸：1020*2120，门体尺寸：1000*2100</w:t>
            </w:r>
            <w:r>
              <w:rPr>
                <w:rFonts w:hint="eastAsia" w:ascii="宋体" w:hAnsi="宋体" w:cs="宋体"/>
                <w:color w:val="auto"/>
                <w:szCs w:val="21"/>
              </w:rPr>
              <w:br w:type="textWrapping"/>
            </w:r>
            <w:r>
              <w:rPr>
                <w:rFonts w:hint="eastAsia" w:ascii="宋体" w:hAnsi="宋体" w:cs="宋体"/>
                <w:color w:val="auto"/>
                <w:szCs w:val="21"/>
              </w:rPr>
              <w:t>2、内衬4.0mm铅板防护铅当量4.0mmpb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916"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1.铅玻璃观察窗1500*900，4.0mmpb</w:t>
            </w:r>
            <w:r>
              <w:rPr>
                <w:rFonts w:hint="eastAsia" w:ascii="宋体" w:hAnsi="宋体" w:cs="宋体"/>
                <w:color w:val="auto"/>
                <w:szCs w:val="21"/>
              </w:rPr>
              <w:br w:type="textWrapping"/>
            </w:r>
            <w:r>
              <w:rPr>
                <w:rFonts w:hint="eastAsia" w:ascii="宋体" w:hAnsi="宋体" w:cs="宋体"/>
                <w:color w:val="auto"/>
                <w:szCs w:val="21"/>
              </w:rPr>
              <w:t>2.铅玻璃厚≥20mm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1.35</w:t>
            </w:r>
          </w:p>
        </w:tc>
      </w:tr>
      <w:tr>
        <w:tblPrEx>
          <w:tblCellMar>
            <w:top w:w="0" w:type="dxa"/>
            <w:left w:w="108" w:type="dxa"/>
            <w:bottom w:w="0" w:type="dxa"/>
            <w:right w:w="108" w:type="dxa"/>
          </w:tblCellMar>
        </w:tblPrEx>
        <w:trPr>
          <w:gridAfter w:val="1"/>
          <w:wAfter w:w="127" w:type="pct"/>
          <w:trHeight w:val="1152"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5.12</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2.铅当量：4mmpb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718"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1、吸顶式换气扇</w:t>
            </w:r>
            <w:r>
              <w:rPr>
                <w:rFonts w:hint="eastAsia" w:ascii="宋体" w:hAnsi="宋体" w:cs="宋体"/>
                <w:color w:val="auto"/>
                <w:szCs w:val="21"/>
              </w:rPr>
              <w:br w:type="textWrapping"/>
            </w:r>
            <w:r>
              <w:rPr>
                <w:rFonts w:hint="eastAsia" w:ascii="宋体" w:hAnsi="宋体" w:cs="宋体"/>
                <w:color w:val="auto"/>
                <w:szCs w:val="21"/>
              </w:rPr>
              <w:t>2、通风口、通风管道防护处理</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857"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5.14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895"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rPr>
              <w:t>5.</w:t>
            </w:r>
            <w:r>
              <w:rPr>
                <w:rFonts w:hint="eastAsia" w:ascii="宋体" w:hAnsi="宋体" w:cs="宋体"/>
                <w:color w:val="auto"/>
                <w:szCs w:val="21"/>
                <w:lang w:val="en-US" w:eastAsia="zh-CN"/>
              </w:rPr>
              <w:t>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CT机房2</w:t>
            </w:r>
          </w:p>
        </w:tc>
        <w:tc>
          <w:tcPr>
            <w:tcW w:w="2174" w:type="pct"/>
            <w:tcBorders>
              <w:top w:val="single" w:color="000000"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692"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35</w:t>
            </w:r>
          </w:p>
        </w:tc>
      </w:tr>
      <w:tr>
        <w:tblPrEx>
          <w:tblCellMar>
            <w:top w:w="0" w:type="dxa"/>
            <w:left w:w="108" w:type="dxa"/>
            <w:bottom w:w="0" w:type="dxa"/>
            <w:right w:w="108" w:type="dxa"/>
          </w:tblCellMar>
        </w:tblPrEx>
        <w:trPr>
          <w:gridAfter w:val="1"/>
          <w:wAfter w:w="127" w:type="pct"/>
          <w:trHeight w:val="1243"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35</w:t>
            </w:r>
          </w:p>
        </w:tc>
      </w:tr>
      <w:tr>
        <w:tblPrEx>
          <w:tblCellMar>
            <w:top w:w="0" w:type="dxa"/>
            <w:left w:w="108" w:type="dxa"/>
            <w:bottom w:w="0" w:type="dxa"/>
            <w:right w:w="108" w:type="dxa"/>
          </w:tblCellMar>
        </w:tblPrEx>
        <w:trPr>
          <w:gridAfter w:val="1"/>
          <w:wAfter w:w="127" w:type="pct"/>
          <w:trHeight w:val="1160"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rPr>
              <w:t>6.3</w:t>
            </w:r>
          </w:p>
        </w:tc>
        <w:tc>
          <w:tcPr>
            <w:tcW w:w="2183"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lang w:eastAsia="zh-CN"/>
              </w:rPr>
              <w:t>顶面灯膜</w:t>
            </w:r>
          </w:p>
        </w:tc>
        <w:tc>
          <w:tcPr>
            <w:tcW w:w="3797"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1、LED软膜灯箱</w:t>
            </w:r>
          </w:p>
          <w:p>
            <w:pPr>
              <w:widowControl/>
              <w:jc w:val="left"/>
              <w:textAlignment w:val="center"/>
              <w:rPr>
                <w:rFonts w:hint="eastAsia" w:ascii="宋体" w:hAnsi="宋体" w:cs="宋体"/>
                <w:color w:val="auto"/>
                <w:szCs w:val="21"/>
              </w:rPr>
            </w:pPr>
            <w:r>
              <w:rPr>
                <w:rFonts w:hint="eastAsia" w:ascii="宋体" w:hAnsi="宋体" w:cs="宋体"/>
                <w:color w:val="auto"/>
                <w:szCs w:val="21"/>
              </w:rPr>
              <w:t>2、轻钢龙骨支架</w:t>
            </w:r>
          </w:p>
          <w:p>
            <w:pPr>
              <w:widowControl/>
              <w:jc w:val="left"/>
              <w:textAlignment w:val="center"/>
              <w:rPr>
                <w:rFonts w:hint="eastAsia" w:ascii="宋体" w:hAnsi="宋体" w:cs="宋体"/>
                <w:color w:val="auto"/>
                <w:szCs w:val="21"/>
              </w:rPr>
            </w:pPr>
            <w:r>
              <w:rPr>
                <w:rFonts w:hint="eastAsia" w:ascii="宋体" w:hAnsi="宋体" w:cs="宋体"/>
                <w:color w:val="auto"/>
                <w:szCs w:val="21"/>
              </w:rPr>
              <w:t>3、和吊顶无缝衔接</w:t>
            </w:r>
          </w:p>
        </w:tc>
        <w:tc>
          <w:tcPr>
            <w:tcW w:w="938"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846" w:type="dxa"/>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hint="eastAsia" w:ascii="宋体" w:hAnsi="宋体" w:cs="宋体"/>
                <w:color w:val="auto"/>
                <w:szCs w:val="21"/>
              </w:rPr>
            </w:pPr>
            <w:r>
              <w:rPr>
                <w:rFonts w:hint="eastAsia" w:ascii="宋体" w:hAnsi="宋体" w:cs="宋体"/>
                <w:color w:val="auto"/>
                <w:szCs w:val="21"/>
                <w:lang w:val="en-US" w:eastAsia="zh-CN"/>
              </w:rPr>
              <w:t>8.64</w:t>
            </w:r>
          </w:p>
        </w:tc>
      </w:tr>
      <w:tr>
        <w:tblPrEx>
          <w:tblCellMar>
            <w:top w:w="0" w:type="dxa"/>
            <w:left w:w="108" w:type="dxa"/>
            <w:bottom w:w="0" w:type="dxa"/>
            <w:right w:w="108" w:type="dxa"/>
          </w:tblCellMar>
        </w:tblPrEx>
        <w:trPr>
          <w:gridAfter w:val="1"/>
          <w:wAfter w:w="127" w:type="pct"/>
          <w:trHeight w:val="851"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6.4</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2.喷刷涂料部位:内墙面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35</w:t>
            </w:r>
          </w:p>
        </w:tc>
      </w:tr>
      <w:tr>
        <w:tblPrEx>
          <w:tblCellMar>
            <w:top w:w="0" w:type="dxa"/>
            <w:left w:w="108" w:type="dxa"/>
            <w:bottom w:w="0" w:type="dxa"/>
            <w:right w:w="108" w:type="dxa"/>
          </w:tblCellMar>
        </w:tblPrEx>
        <w:trPr>
          <w:gridAfter w:val="1"/>
          <w:wAfter w:w="127" w:type="pct"/>
          <w:trHeight w:val="935"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35</w:t>
            </w:r>
          </w:p>
        </w:tc>
      </w:tr>
      <w:tr>
        <w:tblPrEx>
          <w:tblCellMar>
            <w:top w:w="0" w:type="dxa"/>
            <w:left w:w="108" w:type="dxa"/>
            <w:bottom w:w="0" w:type="dxa"/>
            <w:right w:w="108" w:type="dxa"/>
          </w:tblCellMar>
        </w:tblPrEx>
        <w:trPr>
          <w:gridAfter w:val="1"/>
          <w:wAfter w:w="127" w:type="pct"/>
          <w:trHeight w:val="1192"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3.共3mmpb铅板+钡板防辐射层</w:t>
            </w:r>
            <w:r>
              <w:rPr>
                <w:rFonts w:hint="eastAsia" w:ascii="宋体" w:hAnsi="宋体" w:cs="宋体"/>
                <w:color w:val="auto"/>
                <w:szCs w:val="21"/>
              </w:rPr>
              <w:br w:type="textWrapping"/>
            </w:r>
            <w:r>
              <w:rPr>
                <w:rFonts w:hint="eastAsia" w:ascii="宋体" w:hAnsi="宋体" w:cs="宋体"/>
                <w:color w:val="auto"/>
                <w:szCs w:val="21"/>
              </w:rPr>
              <w:t>4.铅当量:≥5.0mmpb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100</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69.02</w:t>
            </w:r>
          </w:p>
        </w:tc>
      </w:tr>
      <w:tr>
        <w:tblPrEx>
          <w:tblCellMar>
            <w:top w:w="0" w:type="dxa"/>
            <w:left w:w="108" w:type="dxa"/>
            <w:bottom w:w="0" w:type="dxa"/>
            <w:right w:w="108" w:type="dxa"/>
          </w:tblCellMar>
        </w:tblPrEx>
        <w:trPr>
          <w:gridAfter w:val="1"/>
          <w:wAfter w:w="127" w:type="pct"/>
          <w:trHeight w:val="1433"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电动防护平移门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1、洞口尺寸1500*2100，门体尺寸1800*2250</w:t>
            </w:r>
            <w:r>
              <w:rPr>
                <w:rFonts w:hint="eastAsia" w:ascii="宋体" w:hAnsi="宋体" w:cs="宋体"/>
                <w:color w:val="auto"/>
                <w:szCs w:val="21"/>
              </w:rPr>
              <w:br w:type="textWrapping"/>
            </w:r>
            <w:r>
              <w:rPr>
                <w:rFonts w:hint="eastAsia" w:ascii="宋体" w:hAnsi="宋体" w:cs="宋体"/>
                <w:color w:val="auto"/>
                <w:szCs w:val="21"/>
              </w:rPr>
              <w:t>2、内衬4mm铅板防护铅当量4.0mmpb</w:t>
            </w:r>
            <w:r>
              <w:rPr>
                <w:rFonts w:hint="eastAsia" w:ascii="宋体" w:hAnsi="宋体" w:cs="宋体"/>
                <w:color w:val="auto"/>
                <w:szCs w:val="21"/>
              </w:rPr>
              <w:br w:type="textWrapping"/>
            </w:r>
            <w:r>
              <w:rPr>
                <w:rFonts w:hint="eastAsia" w:ascii="宋体" w:hAnsi="宋体" w:cs="宋体"/>
                <w:color w:val="auto"/>
                <w:szCs w:val="21"/>
              </w:rPr>
              <w:t>3、全钢架结构，乳白色防静电板与不锈钢板镶拼饰面，不锈钢包边，升降式、下轨道防护铅条。</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27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电动平移门门机（医用标准自动门）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1、医用标准自动门微电脑控制器</w:t>
            </w:r>
            <w:r>
              <w:rPr>
                <w:rFonts w:hint="eastAsia" w:ascii="宋体" w:hAnsi="宋体" w:cs="宋体"/>
                <w:color w:val="auto"/>
                <w:szCs w:val="21"/>
              </w:rPr>
              <w:br w:type="textWrapping"/>
            </w:r>
            <w:r>
              <w:rPr>
                <w:rFonts w:hint="eastAsia" w:ascii="宋体" w:hAnsi="宋体" w:cs="宋体"/>
                <w:color w:val="auto"/>
                <w:szCs w:val="21"/>
              </w:rPr>
              <w:t>2、微型直流电机</w:t>
            </w:r>
            <w:r>
              <w:rPr>
                <w:rFonts w:hint="eastAsia" w:ascii="宋体" w:hAnsi="宋体" w:cs="宋体"/>
                <w:color w:val="auto"/>
                <w:szCs w:val="21"/>
              </w:rPr>
              <w:br w:type="textWrapping"/>
            </w:r>
            <w:r>
              <w:rPr>
                <w:rFonts w:hint="eastAsia" w:ascii="宋体" w:hAnsi="宋体" w:cs="宋体"/>
                <w:color w:val="auto"/>
                <w:szCs w:val="21"/>
              </w:rPr>
              <w:t>3、2米高红外线安全光幕</w:t>
            </w:r>
            <w:r>
              <w:rPr>
                <w:rFonts w:hint="eastAsia" w:ascii="宋体" w:hAnsi="宋体" w:cs="宋体"/>
                <w:color w:val="auto"/>
                <w:szCs w:val="21"/>
              </w:rPr>
              <w:br w:type="textWrapping"/>
            </w:r>
            <w:r>
              <w:rPr>
                <w:rFonts w:hint="eastAsia" w:ascii="宋体" w:hAnsi="宋体" w:cs="宋体"/>
                <w:color w:val="auto"/>
                <w:szCs w:val="21"/>
              </w:rPr>
              <w:t>4、整体铝合金大梁等配件，手控加脚控开关。</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414"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6.10 </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1、门洞尺寸：1000*2120，门体尺寸：980*2100</w:t>
            </w:r>
            <w:r>
              <w:rPr>
                <w:rFonts w:hint="eastAsia" w:ascii="宋体" w:hAnsi="宋体" w:cs="宋体"/>
                <w:color w:val="auto"/>
                <w:szCs w:val="21"/>
              </w:rPr>
              <w:br w:type="textWrapping"/>
            </w:r>
            <w:r>
              <w:rPr>
                <w:rFonts w:hint="eastAsia" w:ascii="宋体" w:hAnsi="宋体" w:cs="宋体"/>
                <w:color w:val="auto"/>
                <w:szCs w:val="21"/>
              </w:rPr>
              <w:t>2、内衬4mm铅板防护铅当量4.0mmpb</w:t>
            </w:r>
            <w:r>
              <w:rPr>
                <w:rFonts w:hint="eastAsia" w:ascii="宋体" w:hAnsi="宋体" w:cs="宋体"/>
                <w:color w:val="auto"/>
                <w:szCs w:val="21"/>
              </w:rPr>
              <w:br w:type="textWrapping"/>
            </w:r>
            <w:r>
              <w:rPr>
                <w:rFonts w:hint="eastAsia" w:ascii="宋体" w:hAnsi="宋体" w:cs="宋体"/>
                <w:color w:val="auto"/>
                <w:szCs w:val="21"/>
              </w:rPr>
              <w:t>3、全钢架构，乳白色防静电版与不锈钢板镶拼饰面，不锈钢包边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4、不锈钢啦手，中控牌电磁锁。</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908"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1.铅玻璃观察窗1500*900，4mmpb</w:t>
            </w:r>
            <w:r>
              <w:rPr>
                <w:rFonts w:hint="eastAsia" w:ascii="宋体" w:hAnsi="宋体" w:cs="宋体"/>
                <w:color w:val="auto"/>
                <w:szCs w:val="21"/>
              </w:rPr>
              <w:br w:type="textWrapping"/>
            </w:r>
            <w:r>
              <w:rPr>
                <w:rFonts w:hint="eastAsia" w:ascii="宋体" w:hAnsi="宋体" w:cs="宋体"/>
                <w:color w:val="auto"/>
                <w:szCs w:val="21"/>
              </w:rPr>
              <w:t>2.铅玻璃厚≥18mm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1.35</w:t>
            </w:r>
          </w:p>
        </w:tc>
      </w:tr>
      <w:tr>
        <w:tblPrEx>
          <w:tblCellMar>
            <w:top w:w="0" w:type="dxa"/>
            <w:left w:w="108" w:type="dxa"/>
            <w:bottom w:w="0" w:type="dxa"/>
            <w:right w:w="108" w:type="dxa"/>
          </w:tblCellMar>
        </w:tblPrEx>
        <w:trPr>
          <w:gridAfter w:val="1"/>
          <w:wAfter w:w="127" w:type="pct"/>
          <w:trHeight w:val="126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6.12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2.铅当量：4mmpb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81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1、吸顶式换气扇</w:t>
            </w:r>
            <w:r>
              <w:rPr>
                <w:rFonts w:hint="eastAsia" w:ascii="宋体" w:hAnsi="宋体" w:cs="宋体"/>
                <w:color w:val="auto"/>
                <w:szCs w:val="21"/>
              </w:rPr>
              <w:br w:type="textWrapping"/>
            </w:r>
            <w:r>
              <w:rPr>
                <w:rFonts w:hint="eastAsia" w:ascii="宋体" w:hAnsi="宋体" w:cs="宋体"/>
                <w:color w:val="auto"/>
                <w:szCs w:val="21"/>
              </w:rPr>
              <w:t>2、通风口、通风管道防护处理</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6.14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rPr>
              <w:t>6.</w:t>
            </w:r>
            <w:r>
              <w:rPr>
                <w:rFonts w:hint="eastAsia" w:ascii="宋体" w:hAnsi="宋体" w:cs="宋体"/>
                <w:color w:val="auto"/>
                <w:szCs w:val="21"/>
                <w:lang w:val="en-US" w:eastAsia="zh-CN"/>
              </w:rPr>
              <w:t>15</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CT机房3</w:t>
            </w:r>
          </w:p>
        </w:tc>
        <w:tc>
          <w:tcPr>
            <w:tcW w:w="2174" w:type="pct"/>
            <w:tcBorders>
              <w:top w:val="single" w:color="auto"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auto"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71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46.8</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7.2</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46.8</w:t>
            </w:r>
          </w:p>
        </w:tc>
      </w:tr>
      <w:tr>
        <w:tblPrEx>
          <w:tblCellMar>
            <w:top w:w="0" w:type="dxa"/>
            <w:left w:w="108" w:type="dxa"/>
            <w:bottom w:w="0" w:type="dxa"/>
            <w:right w:w="108" w:type="dxa"/>
          </w:tblCellMar>
        </w:tblPrEx>
        <w:trPr>
          <w:gridAfter w:val="1"/>
          <w:wAfter w:w="127" w:type="pct"/>
          <w:trHeight w:val="1189"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rPr>
              <w:t>7.3</w:t>
            </w:r>
          </w:p>
        </w:tc>
        <w:tc>
          <w:tcPr>
            <w:tcW w:w="2183" w:type="dxa"/>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lang w:eastAsia="zh-CN"/>
              </w:rPr>
              <w:t>顶面灯膜</w:t>
            </w:r>
          </w:p>
        </w:tc>
        <w:tc>
          <w:tcPr>
            <w:tcW w:w="3797" w:type="dxa"/>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1、LED软膜灯箱</w:t>
            </w:r>
          </w:p>
          <w:p>
            <w:pPr>
              <w:widowControl/>
              <w:jc w:val="left"/>
              <w:textAlignment w:val="center"/>
              <w:rPr>
                <w:rFonts w:hint="eastAsia" w:ascii="宋体" w:hAnsi="宋体" w:cs="宋体"/>
                <w:color w:val="auto"/>
                <w:szCs w:val="21"/>
              </w:rPr>
            </w:pPr>
            <w:r>
              <w:rPr>
                <w:rFonts w:hint="eastAsia" w:ascii="宋体" w:hAnsi="宋体" w:cs="宋体"/>
                <w:color w:val="auto"/>
                <w:szCs w:val="21"/>
              </w:rPr>
              <w:t>2、轻钢龙骨支架</w:t>
            </w:r>
          </w:p>
          <w:p>
            <w:pPr>
              <w:widowControl/>
              <w:jc w:val="left"/>
              <w:textAlignment w:val="center"/>
              <w:rPr>
                <w:rFonts w:hint="eastAsia" w:ascii="宋体" w:hAnsi="宋体" w:cs="宋体"/>
                <w:color w:val="auto"/>
                <w:szCs w:val="21"/>
              </w:rPr>
            </w:pPr>
            <w:r>
              <w:rPr>
                <w:rFonts w:hint="eastAsia" w:ascii="宋体" w:hAnsi="宋体" w:cs="宋体"/>
                <w:color w:val="auto"/>
                <w:szCs w:val="21"/>
              </w:rPr>
              <w:t>3、和吊顶无缝衔接</w:t>
            </w:r>
          </w:p>
        </w:tc>
        <w:tc>
          <w:tcPr>
            <w:tcW w:w="938"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846" w:type="dxa"/>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hint="eastAsia" w:ascii="宋体" w:hAnsi="宋体" w:cs="宋体"/>
                <w:color w:val="auto"/>
                <w:szCs w:val="21"/>
              </w:rPr>
            </w:pPr>
            <w:r>
              <w:rPr>
                <w:rFonts w:hint="eastAsia" w:ascii="宋体" w:hAnsi="宋体" w:cs="宋体"/>
                <w:color w:val="auto"/>
                <w:szCs w:val="21"/>
                <w:lang w:val="en-US" w:eastAsia="zh-CN"/>
              </w:rPr>
              <w:t>8.64</w:t>
            </w:r>
          </w:p>
        </w:tc>
      </w:tr>
      <w:tr>
        <w:tblPrEx>
          <w:tblCellMar>
            <w:top w:w="0" w:type="dxa"/>
            <w:left w:w="108" w:type="dxa"/>
            <w:bottom w:w="0" w:type="dxa"/>
            <w:right w:w="108" w:type="dxa"/>
          </w:tblCellMar>
        </w:tblPrEx>
        <w:trPr>
          <w:gridAfter w:val="1"/>
          <w:wAfter w:w="127" w:type="pct"/>
          <w:trHeight w:val="1523"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2.喷刷涂料部位:内墙面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46.8</w:t>
            </w:r>
          </w:p>
        </w:tc>
      </w:tr>
      <w:tr>
        <w:tblPrEx>
          <w:tblCellMar>
            <w:top w:w="0" w:type="dxa"/>
            <w:left w:w="108" w:type="dxa"/>
            <w:bottom w:w="0" w:type="dxa"/>
            <w:right w:w="108" w:type="dxa"/>
          </w:tblCellMar>
        </w:tblPrEx>
        <w:trPr>
          <w:gridAfter w:val="1"/>
          <w:wAfter w:w="127" w:type="pct"/>
          <w:trHeight w:val="81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46.8</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3.共3mmpb铅板防辐射层</w:t>
            </w:r>
            <w:r>
              <w:rPr>
                <w:rFonts w:hint="eastAsia" w:ascii="宋体" w:hAnsi="宋体" w:cs="宋体"/>
                <w:color w:val="auto"/>
                <w:szCs w:val="21"/>
              </w:rPr>
              <w:br w:type="textWrapping"/>
            </w:r>
            <w:r>
              <w:rPr>
                <w:rFonts w:hint="eastAsia" w:ascii="宋体" w:hAnsi="宋体" w:cs="宋体"/>
                <w:color w:val="auto"/>
                <w:szCs w:val="21"/>
              </w:rPr>
              <w:t>4.铅当量:≥5.0mmpb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116</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m2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w:t>
            </w:r>
          </w:p>
        </w:tc>
      </w:tr>
      <w:tr>
        <w:tblPrEx>
          <w:tblCellMar>
            <w:top w:w="0" w:type="dxa"/>
            <w:left w:w="108" w:type="dxa"/>
            <w:bottom w:w="0" w:type="dxa"/>
            <w:right w:w="108" w:type="dxa"/>
          </w:tblCellMar>
        </w:tblPrEx>
        <w:trPr>
          <w:gridAfter w:val="1"/>
          <w:wAfter w:w="127" w:type="pct"/>
          <w:trHeight w:val="15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电动防护平移门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1、洞口尺寸1500*2100，门体尺寸1800*2250</w:t>
            </w:r>
            <w:r>
              <w:rPr>
                <w:rFonts w:hint="eastAsia" w:ascii="宋体" w:hAnsi="宋体" w:cs="宋体"/>
                <w:color w:val="auto"/>
                <w:szCs w:val="21"/>
              </w:rPr>
              <w:br w:type="textWrapping"/>
            </w:r>
            <w:r>
              <w:rPr>
                <w:rFonts w:hint="eastAsia" w:ascii="宋体" w:hAnsi="宋体" w:cs="宋体"/>
                <w:color w:val="auto"/>
                <w:szCs w:val="21"/>
              </w:rPr>
              <w:t>2、内衬4mm铅板防护铅当量4.0mmpb</w:t>
            </w:r>
            <w:r>
              <w:rPr>
                <w:rFonts w:hint="eastAsia" w:ascii="宋体" w:hAnsi="宋体" w:cs="宋体"/>
                <w:color w:val="auto"/>
                <w:szCs w:val="21"/>
              </w:rPr>
              <w:br w:type="textWrapping"/>
            </w:r>
            <w:r>
              <w:rPr>
                <w:rFonts w:hint="eastAsia" w:ascii="宋体" w:hAnsi="宋体" w:cs="宋体"/>
                <w:color w:val="auto"/>
                <w:szCs w:val="21"/>
              </w:rPr>
              <w:t>3、全钢架结构，乳白色防静电板与不锈钢板镶拼饰面，不锈钢包边，升降式、下轨道防护铅条。</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173"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7.9</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电动平移门门机（医用标准自动门）</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1、医用标准自动门微电脑控制器</w:t>
            </w:r>
            <w:r>
              <w:rPr>
                <w:rFonts w:hint="eastAsia" w:ascii="宋体" w:hAnsi="宋体" w:cs="宋体"/>
                <w:color w:val="auto"/>
                <w:szCs w:val="21"/>
              </w:rPr>
              <w:br w:type="textWrapping"/>
            </w:r>
            <w:r>
              <w:rPr>
                <w:rFonts w:hint="eastAsia" w:ascii="宋体" w:hAnsi="宋体" w:cs="宋体"/>
                <w:color w:val="auto"/>
                <w:szCs w:val="21"/>
              </w:rPr>
              <w:t>2、微型直流电机</w:t>
            </w:r>
            <w:r>
              <w:rPr>
                <w:rFonts w:hint="eastAsia" w:ascii="宋体" w:hAnsi="宋体" w:cs="宋体"/>
                <w:color w:val="auto"/>
                <w:szCs w:val="21"/>
              </w:rPr>
              <w:br w:type="textWrapping"/>
            </w:r>
            <w:r>
              <w:rPr>
                <w:rFonts w:hint="eastAsia" w:ascii="宋体" w:hAnsi="宋体" w:cs="宋体"/>
                <w:color w:val="auto"/>
                <w:szCs w:val="21"/>
              </w:rPr>
              <w:t>3、2米高红外线安全光幕</w:t>
            </w:r>
            <w:r>
              <w:rPr>
                <w:rFonts w:hint="eastAsia" w:ascii="宋体" w:hAnsi="宋体" w:cs="宋体"/>
                <w:color w:val="auto"/>
                <w:szCs w:val="21"/>
              </w:rPr>
              <w:br w:type="textWrapping"/>
            </w:r>
            <w:r>
              <w:rPr>
                <w:rFonts w:hint="eastAsia" w:ascii="宋体" w:hAnsi="宋体" w:cs="宋体"/>
                <w:color w:val="auto"/>
                <w:szCs w:val="21"/>
              </w:rPr>
              <w:t>4、整体铝合金大梁等配件，手控加脚控开关。</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523"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7.10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1、门洞尺寸：1000*2120，门体尺寸：980*2100</w:t>
            </w:r>
            <w:r>
              <w:rPr>
                <w:rFonts w:hint="eastAsia" w:ascii="宋体" w:hAnsi="宋体" w:cs="宋体"/>
                <w:color w:val="auto"/>
                <w:szCs w:val="21"/>
              </w:rPr>
              <w:br w:type="textWrapping"/>
            </w:r>
            <w:r>
              <w:rPr>
                <w:rFonts w:hint="eastAsia" w:ascii="宋体" w:hAnsi="宋体" w:cs="宋体"/>
                <w:color w:val="auto"/>
                <w:szCs w:val="21"/>
              </w:rPr>
              <w:t>2、内衬4mm铅板防护铅当量4.0mmpb</w:t>
            </w:r>
            <w:r>
              <w:rPr>
                <w:rFonts w:hint="eastAsia" w:ascii="宋体" w:hAnsi="宋体" w:cs="宋体"/>
                <w:color w:val="auto"/>
                <w:szCs w:val="21"/>
              </w:rPr>
              <w:br w:type="textWrapping"/>
            </w:r>
            <w:r>
              <w:rPr>
                <w:rFonts w:hint="eastAsia" w:ascii="宋体" w:hAnsi="宋体" w:cs="宋体"/>
                <w:color w:val="auto"/>
                <w:szCs w:val="21"/>
              </w:rPr>
              <w:t>3、全钢架构，乳白色防静电版与不锈钢板镶拼饰面，不锈钢包边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4、不锈钢啦手，中控牌电磁锁。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7.11</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1.铅玻璃观察窗1500*900，4mmpb</w:t>
            </w:r>
            <w:r>
              <w:rPr>
                <w:rFonts w:hint="eastAsia" w:ascii="宋体" w:hAnsi="宋体" w:cs="宋体"/>
                <w:color w:val="auto"/>
                <w:szCs w:val="21"/>
              </w:rPr>
              <w:br w:type="textWrapping"/>
            </w:r>
            <w:r>
              <w:rPr>
                <w:rFonts w:hint="eastAsia" w:ascii="宋体" w:hAnsi="宋体" w:cs="宋体"/>
                <w:color w:val="auto"/>
                <w:szCs w:val="21"/>
              </w:rPr>
              <w:t>2.铅玻璃厚≥18mm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1.35</w:t>
            </w:r>
          </w:p>
        </w:tc>
      </w:tr>
      <w:tr>
        <w:tblPrEx>
          <w:tblCellMar>
            <w:top w:w="0" w:type="dxa"/>
            <w:left w:w="108" w:type="dxa"/>
            <w:bottom w:w="0" w:type="dxa"/>
            <w:right w:w="108" w:type="dxa"/>
          </w:tblCellMar>
        </w:tblPrEx>
        <w:trPr>
          <w:gridAfter w:val="1"/>
          <w:wAfter w:w="127" w:type="pct"/>
          <w:trHeight w:val="1135" w:hRule="atLeast"/>
        </w:trPr>
        <w:tc>
          <w:tcPr>
            <w:tcW w:w="741" w:type="dxa"/>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7.12</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2.铅当量：4mmpb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1、吸顶式换气扇</w:t>
            </w:r>
            <w:r>
              <w:rPr>
                <w:rFonts w:hint="eastAsia" w:ascii="宋体" w:hAnsi="宋体" w:cs="宋体"/>
                <w:color w:val="auto"/>
                <w:szCs w:val="21"/>
              </w:rPr>
              <w:br w:type="textWrapping"/>
            </w:r>
            <w:r>
              <w:rPr>
                <w:rFonts w:hint="eastAsia" w:ascii="宋体" w:hAnsi="宋体" w:cs="宋体"/>
                <w:color w:val="auto"/>
                <w:szCs w:val="21"/>
              </w:rPr>
              <w:t>2、通风口、通风管道防护处理</w:t>
            </w:r>
            <w:r>
              <w:rPr>
                <w:rFonts w:hint="eastAsia" w:ascii="宋体" w:hAnsi="宋体" w:cs="宋体"/>
                <w:color w:val="auto"/>
                <w:szCs w:val="21"/>
              </w:rPr>
              <w:br w:type="textWrapping"/>
            </w:r>
            <w:r>
              <w:rPr>
                <w:rFonts w:hint="eastAsia" w:ascii="宋体" w:hAnsi="宋体" w:cs="宋体"/>
                <w:color w:val="auto"/>
                <w:szCs w:val="21"/>
              </w:rPr>
              <w:t>3、排风扇开孔打洞</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98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7.14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1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rPr>
              <w:t>7.</w:t>
            </w:r>
            <w:r>
              <w:rPr>
                <w:rFonts w:hint="eastAsia" w:ascii="宋体" w:hAnsi="宋体" w:cs="宋体"/>
                <w:color w:val="auto"/>
                <w:szCs w:val="21"/>
                <w:lang w:val="en-US" w:eastAsia="zh-CN"/>
              </w:rPr>
              <w:t>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模拟CT机房</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46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80*40镀锌方钢钢结构支架</w:t>
            </w:r>
            <w:r>
              <w:rPr>
                <w:rFonts w:hint="eastAsia" w:ascii="宋体" w:hAnsi="宋体" w:cs="宋体"/>
                <w:color w:val="auto"/>
                <w:szCs w:val="21"/>
              </w:rPr>
              <w:br w:type="textWrapping"/>
            </w:r>
            <w:r>
              <w:rPr>
                <w:rFonts w:hint="eastAsia" w:ascii="宋体" w:hAnsi="宋体" w:cs="宋体"/>
                <w:color w:val="auto"/>
                <w:szCs w:val="21"/>
              </w:rPr>
              <w:t>2.</w:t>
            </w:r>
            <w:r>
              <w:rPr>
                <w:rFonts w:hint="eastAsia" w:ascii="宋体" w:hAnsi="宋体" w:cs="宋体"/>
                <w:color w:val="auto"/>
                <w:szCs w:val="21"/>
                <w:lang w:eastAsia="zh-CN"/>
              </w:rPr>
              <w:t>施工部位：地下一层吊顶上方</w:t>
            </w:r>
            <w:r>
              <w:rPr>
                <w:rFonts w:hint="eastAsia" w:ascii="宋体" w:hAnsi="宋体" w:cs="宋体"/>
                <w:color w:val="auto"/>
                <w:szCs w:val="21"/>
              </w:rPr>
              <w:br w:type="textWrapping"/>
            </w:r>
            <w:r>
              <w:rPr>
                <w:rFonts w:hint="eastAsia" w:ascii="宋体" w:hAnsi="宋体" w:cs="宋体"/>
                <w:color w:val="auto"/>
                <w:szCs w:val="21"/>
              </w:rPr>
              <w:t>3.</w:t>
            </w:r>
            <w:r>
              <w:rPr>
                <w:rFonts w:hint="eastAsia" w:ascii="宋体" w:hAnsi="宋体" w:cs="宋体"/>
                <w:color w:val="auto"/>
                <w:szCs w:val="21"/>
                <w:lang w:eastAsia="zh-CN"/>
              </w:rPr>
              <w:t>高密度防护钡板</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39.3</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39.3</w:t>
            </w:r>
          </w:p>
        </w:tc>
      </w:tr>
      <w:tr>
        <w:tblPrEx>
          <w:tblCellMar>
            <w:top w:w="0" w:type="dxa"/>
            <w:left w:w="108" w:type="dxa"/>
            <w:bottom w:w="0" w:type="dxa"/>
            <w:right w:w="108" w:type="dxa"/>
          </w:tblCellMar>
        </w:tblPrEx>
        <w:trPr>
          <w:gridAfter w:val="1"/>
          <w:wAfter w:w="127" w:type="pct"/>
          <w:trHeight w:val="1156"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rPr>
              <w:t>8.3</w:t>
            </w:r>
          </w:p>
        </w:tc>
        <w:tc>
          <w:tcPr>
            <w:tcW w:w="2183" w:type="dxa"/>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lang w:eastAsia="zh-CN"/>
              </w:rPr>
              <w:t>顶面灯膜</w:t>
            </w:r>
          </w:p>
        </w:tc>
        <w:tc>
          <w:tcPr>
            <w:tcW w:w="3797" w:type="dxa"/>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1、LED软膜灯箱</w:t>
            </w:r>
          </w:p>
          <w:p>
            <w:pPr>
              <w:widowControl/>
              <w:jc w:val="left"/>
              <w:textAlignment w:val="center"/>
              <w:rPr>
                <w:rFonts w:hint="eastAsia" w:ascii="宋体" w:hAnsi="宋体" w:cs="宋体"/>
                <w:color w:val="auto"/>
                <w:szCs w:val="21"/>
              </w:rPr>
            </w:pPr>
            <w:r>
              <w:rPr>
                <w:rFonts w:hint="eastAsia" w:ascii="宋体" w:hAnsi="宋体" w:cs="宋体"/>
                <w:color w:val="auto"/>
                <w:szCs w:val="21"/>
              </w:rPr>
              <w:t>2、轻钢龙骨支架</w:t>
            </w:r>
          </w:p>
          <w:p>
            <w:pPr>
              <w:widowControl/>
              <w:jc w:val="left"/>
              <w:textAlignment w:val="center"/>
              <w:rPr>
                <w:rFonts w:hint="eastAsia" w:ascii="宋体" w:hAnsi="宋体" w:cs="宋体"/>
                <w:color w:val="auto"/>
                <w:szCs w:val="21"/>
              </w:rPr>
            </w:pPr>
            <w:r>
              <w:rPr>
                <w:rFonts w:hint="eastAsia" w:ascii="宋体" w:hAnsi="宋体" w:cs="宋体"/>
                <w:color w:val="auto"/>
                <w:szCs w:val="21"/>
              </w:rPr>
              <w:t>3、和吊顶无缝衔接</w:t>
            </w:r>
          </w:p>
        </w:tc>
        <w:tc>
          <w:tcPr>
            <w:tcW w:w="938"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846" w:type="dxa"/>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hint="eastAsia" w:ascii="宋体" w:hAnsi="宋体" w:cs="宋体"/>
                <w:color w:val="auto"/>
                <w:szCs w:val="21"/>
              </w:rPr>
            </w:pPr>
            <w:r>
              <w:rPr>
                <w:rFonts w:hint="eastAsia" w:ascii="宋体" w:hAnsi="宋体" w:cs="宋体"/>
                <w:color w:val="auto"/>
                <w:szCs w:val="21"/>
                <w:lang w:val="en-US" w:eastAsia="zh-CN"/>
              </w:rPr>
              <w:t>8.64</w:t>
            </w:r>
          </w:p>
        </w:tc>
      </w:tr>
      <w:tr>
        <w:tblPrEx>
          <w:tblCellMar>
            <w:top w:w="0" w:type="dxa"/>
            <w:left w:w="108" w:type="dxa"/>
            <w:bottom w:w="0" w:type="dxa"/>
            <w:right w:w="108" w:type="dxa"/>
          </w:tblCellMar>
        </w:tblPrEx>
        <w:trPr>
          <w:gridAfter w:val="1"/>
          <w:wAfter w:w="127" w:type="pct"/>
          <w:trHeight w:val="1572"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2.喷刷涂料部位:内墙面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39.3</w:t>
            </w:r>
          </w:p>
        </w:tc>
      </w:tr>
      <w:tr>
        <w:tblPrEx>
          <w:tblCellMar>
            <w:top w:w="0" w:type="dxa"/>
            <w:left w:w="108" w:type="dxa"/>
            <w:bottom w:w="0" w:type="dxa"/>
            <w:right w:w="108" w:type="dxa"/>
          </w:tblCellMar>
        </w:tblPrEx>
        <w:trPr>
          <w:gridAfter w:val="1"/>
          <w:wAfter w:w="127" w:type="pct"/>
          <w:trHeight w:val="81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39.3</w:t>
            </w:r>
          </w:p>
        </w:tc>
      </w:tr>
      <w:tr>
        <w:tblPrEx>
          <w:tblCellMar>
            <w:top w:w="0" w:type="dxa"/>
            <w:left w:w="108" w:type="dxa"/>
            <w:bottom w:w="0" w:type="dxa"/>
            <w:right w:w="108" w:type="dxa"/>
          </w:tblCellMar>
        </w:tblPrEx>
        <w:trPr>
          <w:gridAfter w:val="1"/>
          <w:wAfter w:w="127" w:type="pct"/>
          <w:trHeight w:val="1485"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2.喷刷涂料部位:内墙面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4.铅当量:≥4.0mmpb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105.34</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8.7</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72.7</w:t>
            </w:r>
          </w:p>
        </w:tc>
      </w:tr>
      <w:tr>
        <w:tblPrEx>
          <w:tblCellMar>
            <w:top w:w="0" w:type="dxa"/>
            <w:left w:w="108" w:type="dxa"/>
            <w:bottom w:w="0" w:type="dxa"/>
            <w:right w:w="108" w:type="dxa"/>
          </w:tblCellMar>
        </w:tblPrEx>
        <w:trPr>
          <w:gridAfter w:val="1"/>
          <w:wAfter w:w="127" w:type="pct"/>
          <w:trHeight w:val="600" w:hRule="atLeast"/>
        </w:trPr>
        <w:tc>
          <w:tcPr>
            <w:tcW w:w="741" w:type="dxa"/>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8.8</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电动防护平移门</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1、洞口尺寸1500*2100，门体尺寸1800*2300</w:t>
            </w:r>
            <w:r>
              <w:rPr>
                <w:rFonts w:hint="eastAsia" w:ascii="宋体" w:hAnsi="宋体" w:cs="宋体"/>
                <w:color w:val="auto"/>
                <w:szCs w:val="21"/>
              </w:rPr>
              <w:br w:type="textWrapping"/>
            </w:r>
            <w:r>
              <w:rPr>
                <w:rFonts w:hint="eastAsia" w:ascii="宋体" w:hAnsi="宋体" w:cs="宋体"/>
                <w:color w:val="auto"/>
                <w:szCs w:val="21"/>
              </w:rPr>
              <w:t>2、内衬4.0mm铅板防护铅当量4.0mmpb</w:t>
            </w:r>
            <w:r>
              <w:rPr>
                <w:rFonts w:hint="eastAsia" w:ascii="宋体" w:hAnsi="宋体" w:cs="宋体"/>
                <w:color w:val="auto"/>
                <w:szCs w:val="21"/>
              </w:rPr>
              <w:br w:type="textWrapping"/>
            </w:r>
            <w:r>
              <w:rPr>
                <w:rFonts w:hint="eastAsia" w:ascii="宋体" w:hAnsi="宋体" w:cs="宋体"/>
                <w:color w:val="auto"/>
                <w:szCs w:val="21"/>
              </w:rPr>
              <w:t>3、全钢架结构，一体成型工艺，表面采用高分子喷塑工艺与不锈钢板镶拼饰面，不锈钢包边，升降式、下轨道防护铅条。</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245" w:hRule="atLeast"/>
        </w:trPr>
        <w:tc>
          <w:tcPr>
            <w:tcW w:w="741" w:type="dxa"/>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8.9</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电动平移门门机（医用标准自动门）</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1、医用标准自动门微电脑控制器</w:t>
            </w:r>
            <w:r>
              <w:rPr>
                <w:rFonts w:hint="eastAsia" w:ascii="宋体" w:hAnsi="宋体" w:cs="宋体"/>
                <w:color w:val="auto"/>
                <w:szCs w:val="21"/>
              </w:rPr>
              <w:br w:type="textWrapping"/>
            </w:r>
            <w:r>
              <w:rPr>
                <w:rFonts w:hint="eastAsia" w:ascii="宋体" w:hAnsi="宋体" w:cs="宋体"/>
                <w:color w:val="auto"/>
                <w:szCs w:val="21"/>
              </w:rPr>
              <w:t>2、微型直流电机</w:t>
            </w:r>
            <w:r>
              <w:rPr>
                <w:rFonts w:hint="eastAsia" w:ascii="宋体" w:hAnsi="宋体" w:cs="宋体"/>
                <w:color w:val="auto"/>
                <w:szCs w:val="21"/>
              </w:rPr>
              <w:br w:type="textWrapping"/>
            </w:r>
            <w:r>
              <w:rPr>
                <w:rFonts w:hint="eastAsia" w:ascii="宋体" w:hAnsi="宋体" w:cs="宋体"/>
                <w:color w:val="auto"/>
                <w:szCs w:val="21"/>
              </w:rPr>
              <w:t>3、2米高红外线安全光幕</w:t>
            </w:r>
            <w:r>
              <w:rPr>
                <w:rFonts w:hint="eastAsia" w:ascii="宋体" w:hAnsi="宋体" w:cs="宋体"/>
                <w:color w:val="auto"/>
                <w:szCs w:val="21"/>
              </w:rPr>
              <w:br w:type="textWrapping"/>
            </w:r>
            <w:r>
              <w:rPr>
                <w:rFonts w:hint="eastAsia" w:ascii="宋体" w:hAnsi="宋体" w:cs="宋体"/>
                <w:color w:val="auto"/>
                <w:szCs w:val="21"/>
              </w:rPr>
              <w:t>4、整体铝合金大梁等配件，手控加脚控开关。</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597"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8.10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1、门洞尺寸：1020*2120，门体尺寸：1000*2100</w:t>
            </w:r>
            <w:r>
              <w:rPr>
                <w:rFonts w:hint="eastAsia" w:ascii="宋体" w:hAnsi="宋体" w:cs="宋体"/>
                <w:color w:val="auto"/>
                <w:szCs w:val="21"/>
              </w:rPr>
              <w:br w:type="textWrapping"/>
            </w:r>
            <w:r>
              <w:rPr>
                <w:rFonts w:hint="eastAsia" w:ascii="宋体" w:hAnsi="宋体" w:cs="宋体"/>
                <w:color w:val="auto"/>
                <w:szCs w:val="21"/>
              </w:rPr>
              <w:t>2、内衬4.0mm铅板防护铅当量4.0mmpb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1.铅玻璃观察窗1500*900，4.0mmpb</w:t>
            </w:r>
            <w:r>
              <w:rPr>
                <w:rFonts w:hint="eastAsia" w:ascii="宋体" w:hAnsi="宋体" w:cs="宋体"/>
                <w:color w:val="auto"/>
                <w:szCs w:val="21"/>
              </w:rPr>
              <w:br w:type="textWrapping"/>
            </w:r>
            <w:r>
              <w:rPr>
                <w:rFonts w:hint="eastAsia" w:ascii="宋体" w:hAnsi="宋体" w:cs="宋体"/>
                <w:color w:val="auto"/>
                <w:szCs w:val="21"/>
              </w:rPr>
              <w:t>2.铅玻璃厚≥20mm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1.35</w:t>
            </w:r>
          </w:p>
        </w:tc>
      </w:tr>
      <w:tr>
        <w:tblPrEx>
          <w:tblCellMar>
            <w:top w:w="0" w:type="dxa"/>
            <w:left w:w="108" w:type="dxa"/>
            <w:bottom w:w="0" w:type="dxa"/>
            <w:right w:w="108" w:type="dxa"/>
          </w:tblCellMar>
        </w:tblPrEx>
        <w:trPr>
          <w:gridAfter w:val="1"/>
          <w:wAfter w:w="127" w:type="pct"/>
          <w:trHeight w:val="1260"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8.12</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2.铅当量：4mmpb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1、吸顶式换气扇</w:t>
            </w:r>
            <w:r>
              <w:rPr>
                <w:rFonts w:hint="eastAsia" w:ascii="宋体" w:hAnsi="宋体" w:cs="宋体"/>
                <w:color w:val="auto"/>
                <w:szCs w:val="21"/>
              </w:rPr>
              <w:br w:type="textWrapping"/>
            </w:r>
            <w:r>
              <w:rPr>
                <w:rFonts w:hint="eastAsia" w:ascii="宋体" w:hAnsi="宋体" w:cs="宋体"/>
                <w:color w:val="auto"/>
                <w:szCs w:val="21"/>
              </w:rPr>
              <w:t>2、通风口、通风管道防护处理</w:t>
            </w:r>
            <w:r>
              <w:rPr>
                <w:rFonts w:hint="eastAsia" w:ascii="宋体" w:hAnsi="宋体" w:cs="宋体"/>
                <w:color w:val="auto"/>
                <w:szCs w:val="21"/>
              </w:rPr>
              <w:br w:type="textWrapping"/>
            </w:r>
            <w:r>
              <w:rPr>
                <w:rFonts w:hint="eastAsia" w:ascii="宋体" w:hAnsi="宋体" w:cs="宋体"/>
                <w:color w:val="auto"/>
                <w:szCs w:val="21"/>
              </w:rPr>
              <w:t>3、排风扇开孔打洞</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8.14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rPr>
              <w:t>8.</w:t>
            </w:r>
            <w:r>
              <w:rPr>
                <w:rFonts w:hint="eastAsia" w:ascii="宋体" w:hAnsi="宋体" w:cs="宋体"/>
                <w:color w:val="auto"/>
                <w:szCs w:val="21"/>
                <w:lang w:val="en-US" w:eastAsia="zh-CN"/>
              </w:rPr>
              <w:t>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预留机房</w:t>
            </w:r>
          </w:p>
        </w:tc>
        <w:tc>
          <w:tcPr>
            <w:tcW w:w="2174" w:type="pct"/>
            <w:tcBorders>
              <w:top w:val="single" w:color="000000"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71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3.涂料品种、喷刷遍数:水泥：防护涂料（1：5），0-5mm颗粒状30mm厚高密度SFT复合防护钡砂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28.47</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28.47</w:t>
            </w:r>
          </w:p>
        </w:tc>
      </w:tr>
      <w:tr>
        <w:tblPrEx>
          <w:tblCellMar>
            <w:top w:w="0" w:type="dxa"/>
            <w:left w:w="108" w:type="dxa"/>
            <w:bottom w:w="0" w:type="dxa"/>
            <w:right w:w="108" w:type="dxa"/>
          </w:tblCellMar>
        </w:tblPrEx>
        <w:trPr>
          <w:gridAfter w:val="1"/>
          <w:wAfter w:w="127" w:type="pct"/>
          <w:trHeight w:val="1284"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rPr>
              <w:t>9.3</w:t>
            </w:r>
          </w:p>
        </w:tc>
        <w:tc>
          <w:tcPr>
            <w:tcW w:w="2183"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lang w:eastAsia="zh-CN"/>
              </w:rPr>
              <w:t>顶面灯膜</w:t>
            </w:r>
          </w:p>
        </w:tc>
        <w:tc>
          <w:tcPr>
            <w:tcW w:w="3797"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1、LED软膜灯箱</w:t>
            </w:r>
          </w:p>
          <w:p>
            <w:pPr>
              <w:widowControl/>
              <w:jc w:val="left"/>
              <w:textAlignment w:val="center"/>
              <w:rPr>
                <w:rFonts w:hint="eastAsia" w:ascii="宋体" w:hAnsi="宋体" w:cs="宋体"/>
                <w:color w:val="auto"/>
                <w:szCs w:val="21"/>
              </w:rPr>
            </w:pPr>
            <w:r>
              <w:rPr>
                <w:rFonts w:hint="eastAsia" w:ascii="宋体" w:hAnsi="宋体" w:cs="宋体"/>
                <w:color w:val="auto"/>
                <w:szCs w:val="21"/>
              </w:rPr>
              <w:t>2、轻钢龙骨支架</w:t>
            </w:r>
          </w:p>
          <w:p>
            <w:pPr>
              <w:widowControl/>
              <w:jc w:val="left"/>
              <w:textAlignment w:val="center"/>
              <w:rPr>
                <w:rFonts w:hint="eastAsia" w:ascii="宋体" w:hAnsi="宋体" w:cs="宋体"/>
                <w:color w:val="auto"/>
                <w:szCs w:val="21"/>
              </w:rPr>
            </w:pPr>
            <w:r>
              <w:rPr>
                <w:rFonts w:hint="eastAsia" w:ascii="宋体" w:hAnsi="宋体" w:cs="宋体"/>
                <w:color w:val="auto"/>
                <w:szCs w:val="21"/>
              </w:rPr>
              <w:t>3、和吊顶无缝衔接</w:t>
            </w:r>
          </w:p>
        </w:tc>
        <w:tc>
          <w:tcPr>
            <w:tcW w:w="938"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846" w:type="dxa"/>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hint="eastAsia" w:ascii="宋体" w:hAnsi="宋体" w:cs="宋体"/>
                <w:color w:val="auto"/>
                <w:szCs w:val="21"/>
              </w:rPr>
            </w:pPr>
            <w:r>
              <w:rPr>
                <w:rFonts w:hint="eastAsia" w:ascii="宋体" w:hAnsi="宋体" w:cs="宋体"/>
                <w:color w:val="auto"/>
                <w:szCs w:val="21"/>
                <w:lang w:val="en-US" w:eastAsia="zh-CN"/>
              </w:rPr>
              <w:t>8.64</w:t>
            </w:r>
          </w:p>
        </w:tc>
      </w:tr>
      <w:tr>
        <w:tblPrEx>
          <w:tblCellMar>
            <w:top w:w="0" w:type="dxa"/>
            <w:left w:w="108" w:type="dxa"/>
            <w:bottom w:w="0" w:type="dxa"/>
            <w:right w:w="108" w:type="dxa"/>
          </w:tblCellMar>
        </w:tblPrEx>
        <w:trPr>
          <w:gridAfter w:val="1"/>
          <w:wAfter w:w="127" w:type="pct"/>
          <w:trHeight w:val="1710"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9.4</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2.喷刷涂料部位:地面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3.涂料品种、喷刷遍数:水泥：防护涂料（1：5），0-5mm颗粒状30mm厚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28.47</w:t>
            </w:r>
          </w:p>
        </w:tc>
      </w:tr>
      <w:tr>
        <w:tblPrEx>
          <w:tblCellMar>
            <w:top w:w="0" w:type="dxa"/>
            <w:left w:w="108" w:type="dxa"/>
            <w:bottom w:w="0" w:type="dxa"/>
            <w:right w:w="108" w:type="dxa"/>
          </w:tblCellMar>
        </w:tblPrEx>
        <w:trPr>
          <w:gridAfter w:val="1"/>
          <w:wAfter w:w="127" w:type="pct"/>
          <w:trHeight w:val="81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28.47</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3.共3mmpb铅板防辐射层</w:t>
            </w:r>
            <w:r>
              <w:rPr>
                <w:rFonts w:hint="eastAsia" w:ascii="宋体" w:hAnsi="宋体" w:cs="宋体"/>
                <w:color w:val="auto"/>
                <w:szCs w:val="21"/>
              </w:rPr>
              <w:br w:type="textWrapping"/>
            </w:r>
            <w:r>
              <w:rPr>
                <w:rFonts w:hint="eastAsia" w:ascii="宋体" w:hAnsi="宋体" w:cs="宋体"/>
                <w:color w:val="auto"/>
                <w:szCs w:val="21"/>
              </w:rPr>
              <w:t>4.铅当量:≥5.0mmpb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97</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59.74</w:t>
            </w:r>
          </w:p>
        </w:tc>
      </w:tr>
      <w:tr>
        <w:tblPrEx>
          <w:tblCellMar>
            <w:top w:w="0" w:type="dxa"/>
            <w:left w:w="108" w:type="dxa"/>
            <w:bottom w:w="0" w:type="dxa"/>
            <w:right w:w="108" w:type="dxa"/>
          </w:tblCellMar>
        </w:tblPrEx>
        <w:trPr>
          <w:gridAfter w:val="1"/>
          <w:wAfter w:w="127" w:type="pct"/>
          <w:trHeight w:val="1385"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电动防护平移门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1、洞口尺寸1500*2100，门体尺寸1800*2300</w:t>
            </w:r>
            <w:r>
              <w:rPr>
                <w:rFonts w:hint="eastAsia" w:ascii="宋体" w:hAnsi="宋体" w:cs="宋体"/>
                <w:color w:val="auto"/>
                <w:szCs w:val="21"/>
              </w:rPr>
              <w:br w:type="textWrapping"/>
            </w:r>
            <w:r>
              <w:rPr>
                <w:rFonts w:hint="eastAsia" w:ascii="宋体" w:hAnsi="宋体" w:cs="宋体"/>
                <w:color w:val="auto"/>
                <w:szCs w:val="21"/>
              </w:rPr>
              <w:t>2、内衬3.5mm铅板防护铅当量3.5mmpb</w:t>
            </w:r>
            <w:r>
              <w:rPr>
                <w:rFonts w:hint="eastAsia" w:ascii="宋体" w:hAnsi="宋体" w:cs="宋体"/>
                <w:color w:val="auto"/>
                <w:szCs w:val="21"/>
              </w:rPr>
              <w:br w:type="textWrapping"/>
            </w:r>
            <w:r>
              <w:rPr>
                <w:rFonts w:hint="eastAsia" w:ascii="宋体" w:hAnsi="宋体" w:cs="宋体"/>
                <w:color w:val="auto"/>
                <w:szCs w:val="21"/>
              </w:rPr>
              <w:t>3、全钢架结构，一体成型工艺，表面采用高分子喷塑工艺与不锈钢板镶拼饰面，不锈钢包边，升降式、下轨道防护铅条。</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248"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9.9</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电动平移门门机（医用标准自动门）</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1、医用标准自动门微电脑控制器</w:t>
            </w:r>
            <w:r>
              <w:rPr>
                <w:rFonts w:hint="eastAsia" w:ascii="宋体" w:hAnsi="宋体" w:cs="宋体"/>
                <w:color w:val="auto"/>
                <w:szCs w:val="21"/>
              </w:rPr>
              <w:br w:type="textWrapping"/>
            </w:r>
            <w:r>
              <w:rPr>
                <w:rFonts w:hint="eastAsia" w:ascii="宋体" w:hAnsi="宋体" w:cs="宋体"/>
                <w:color w:val="auto"/>
                <w:szCs w:val="21"/>
              </w:rPr>
              <w:t>2、微型直流电机</w:t>
            </w:r>
            <w:r>
              <w:rPr>
                <w:rFonts w:hint="eastAsia" w:ascii="宋体" w:hAnsi="宋体" w:cs="宋体"/>
                <w:color w:val="auto"/>
                <w:szCs w:val="21"/>
              </w:rPr>
              <w:br w:type="textWrapping"/>
            </w:r>
            <w:r>
              <w:rPr>
                <w:rFonts w:hint="eastAsia" w:ascii="宋体" w:hAnsi="宋体" w:cs="宋体"/>
                <w:color w:val="auto"/>
                <w:szCs w:val="21"/>
              </w:rPr>
              <w:t>3、2米高红外线安全光幕</w:t>
            </w:r>
            <w:r>
              <w:rPr>
                <w:rFonts w:hint="eastAsia" w:ascii="宋体" w:hAnsi="宋体" w:cs="宋体"/>
                <w:color w:val="auto"/>
                <w:szCs w:val="21"/>
              </w:rPr>
              <w:br w:type="textWrapping"/>
            </w:r>
            <w:r>
              <w:rPr>
                <w:rFonts w:hint="eastAsia" w:ascii="宋体" w:hAnsi="宋体" w:cs="宋体"/>
                <w:color w:val="auto"/>
                <w:szCs w:val="21"/>
              </w:rPr>
              <w:t>4、整体铝合金大梁等配件，手控加脚控开关。</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322"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9.10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1、门洞尺寸：1020*2120，门体尺寸：1000*2100</w:t>
            </w:r>
            <w:r>
              <w:rPr>
                <w:rFonts w:hint="eastAsia" w:ascii="宋体" w:hAnsi="宋体" w:cs="宋体"/>
                <w:color w:val="auto"/>
                <w:szCs w:val="21"/>
              </w:rPr>
              <w:br w:type="textWrapping"/>
            </w:r>
            <w:r>
              <w:rPr>
                <w:rFonts w:hint="eastAsia" w:ascii="宋体" w:hAnsi="宋体" w:cs="宋体"/>
                <w:color w:val="auto"/>
                <w:szCs w:val="21"/>
              </w:rPr>
              <w:t>2、内衬3.5mm铅板防护铅当量3.5mmpb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8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1.铅玻璃观察窗1500*900，3.5mmpb</w:t>
            </w:r>
            <w:r>
              <w:rPr>
                <w:rFonts w:hint="eastAsia" w:ascii="宋体" w:hAnsi="宋体" w:cs="宋体"/>
                <w:color w:val="auto"/>
                <w:szCs w:val="21"/>
              </w:rPr>
              <w:br w:type="textWrapping"/>
            </w:r>
            <w:r>
              <w:rPr>
                <w:rFonts w:hint="eastAsia" w:ascii="宋体" w:hAnsi="宋体" w:cs="宋体"/>
                <w:color w:val="auto"/>
                <w:szCs w:val="21"/>
              </w:rPr>
              <w:t>2.铅玻璃厚≥18mm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1.35</w:t>
            </w:r>
          </w:p>
        </w:tc>
      </w:tr>
      <w:tr>
        <w:tblPrEx>
          <w:tblCellMar>
            <w:top w:w="0" w:type="dxa"/>
            <w:left w:w="108" w:type="dxa"/>
            <w:bottom w:w="0" w:type="dxa"/>
            <w:right w:w="108" w:type="dxa"/>
          </w:tblCellMar>
        </w:tblPrEx>
        <w:trPr>
          <w:gridAfter w:val="1"/>
          <w:wAfter w:w="127" w:type="pct"/>
          <w:trHeight w:val="126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9.12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2.铅当量：4mmpb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81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1、吸顶式换气扇</w:t>
            </w:r>
            <w:r>
              <w:rPr>
                <w:rFonts w:hint="eastAsia" w:ascii="宋体" w:hAnsi="宋体" w:cs="宋体"/>
                <w:color w:val="auto"/>
                <w:szCs w:val="21"/>
              </w:rPr>
              <w:br w:type="textWrapping"/>
            </w:r>
            <w:r>
              <w:rPr>
                <w:rFonts w:hint="eastAsia" w:ascii="宋体" w:hAnsi="宋体" w:cs="宋体"/>
                <w:color w:val="auto"/>
                <w:szCs w:val="21"/>
              </w:rPr>
              <w:t>2、通风口、通风管道防护处理</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9.14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rPr>
              <w:t>9.</w:t>
            </w:r>
            <w:r>
              <w:rPr>
                <w:rFonts w:hint="eastAsia" w:ascii="宋体" w:hAnsi="宋体" w:cs="宋体"/>
                <w:color w:val="auto"/>
                <w:szCs w:val="21"/>
                <w:lang w:val="en-US" w:eastAsia="zh-CN"/>
              </w:rPr>
              <w:t>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胃肠机房</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335"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37.05</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37.05</w:t>
            </w:r>
          </w:p>
        </w:tc>
      </w:tr>
      <w:tr>
        <w:tblPrEx>
          <w:tblCellMar>
            <w:top w:w="0" w:type="dxa"/>
            <w:left w:w="108" w:type="dxa"/>
            <w:bottom w:w="0" w:type="dxa"/>
            <w:right w:w="108" w:type="dxa"/>
          </w:tblCellMar>
        </w:tblPrEx>
        <w:trPr>
          <w:gridAfter w:val="1"/>
          <w:wAfter w:w="127" w:type="pct"/>
          <w:trHeight w:val="131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rPr>
              <w:t>10.3</w:t>
            </w:r>
          </w:p>
        </w:tc>
        <w:tc>
          <w:tcPr>
            <w:tcW w:w="2183" w:type="dxa"/>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lang w:eastAsia="zh-CN"/>
              </w:rPr>
              <w:t>顶面灯膜</w:t>
            </w:r>
          </w:p>
        </w:tc>
        <w:tc>
          <w:tcPr>
            <w:tcW w:w="3797" w:type="dxa"/>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1、LED软膜灯箱</w:t>
            </w:r>
          </w:p>
          <w:p>
            <w:pPr>
              <w:widowControl/>
              <w:jc w:val="left"/>
              <w:textAlignment w:val="center"/>
              <w:rPr>
                <w:rFonts w:hint="eastAsia" w:ascii="宋体" w:hAnsi="宋体" w:cs="宋体"/>
                <w:color w:val="auto"/>
                <w:szCs w:val="21"/>
              </w:rPr>
            </w:pPr>
            <w:r>
              <w:rPr>
                <w:rFonts w:hint="eastAsia" w:ascii="宋体" w:hAnsi="宋体" w:cs="宋体"/>
                <w:color w:val="auto"/>
                <w:szCs w:val="21"/>
              </w:rPr>
              <w:t>2、轻钢龙骨支架</w:t>
            </w:r>
          </w:p>
          <w:p>
            <w:pPr>
              <w:widowControl/>
              <w:jc w:val="left"/>
              <w:textAlignment w:val="center"/>
              <w:rPr>
                <w:rFonts w:hint="eastAsia" w:ascii="宋体" w:hAnsi="宋体" w:cs="宋体"/>
                <w:color w:val="auto"/>
                <w:szCs w:val="21"/>
              </w:rPr>
            </w:pPr>
            <w:r>
              <w:rPr>
                <w:rFonts w:hint="eastAsia" w:ascii="宋体" w:hAnsi="宋体" w:cs="宋体"/>
                <w:color w:val="auto"/>
                <w:szCs w:val="21"/>
              </w:rPr>
              <w:t>3、和吊顶无缝衔接</w:t>
            </w:r>
          </w:p>
        </w:tc>
        <w:tc>
          <w:tcPr>
            <w:tcW w:w="938"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846" w:type="dxa"/>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hint="eastAsia" w:ascii="宋体" w:hAnsi="宋体" w:cs="宋体"/>
                <w:color w:val="auto"/>
                <w:szCs w:val="21"/>
              </w:rPr>
            </w:pPr>
            <w:r>
              <w:rPr>
                <w:rFonts w:hint="eastAsia" w:ascii="宋体" w:hAnsi="宋体" w:cs="宋体"/>
                <w:color w:val="auto"/>
                <w:szCs w:val="21"/>
                <w:lang w:val="en-US" w:eastAsia="zh-CN"/>
              </w:rPr>
              <w:t>8.64</w:t>
            </w:r>
          </w:p>
        </w:tc>
      </w:tr>
      <w:tr>
        <w:tblPrEx>
          <w:tblCellMar>
            <w:top w:w="0" w:type="dxa"/>
            <w:left w:w="108" w:type="dxa"/>
            <w:bottom w:w="0" w:type="dxa"/>
            <w:right w:w="108" w:type="dxa"/>
          </w:tblCellMar>
        </w:tblPrEx>
        <w:trPr>
          <w:gridAfter w:val="1"/>
          <w:wAfter w:w="127" w:type="pct"/>
          <w:trHeight w:val="171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2.喷刷涂料部位:地面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3.涂料品种、喷刷遍数:水泥：防护涂料（1：5），0-5mm颗粒状30mm厚高密度SFT复合防护钡砂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37.05</w:t>
            </w:r>
          </w:p>
        </w:tc>
      </w:tr>
      <w:tr>
        <w:tblPrEx>
          <w:tblCellMar>
            <w:top w:w="0" w:type="dxa"/>
            <w:left w:w="108" w:type="dxa"/>
            <w:bottom w:w="0" w:type="dxa"/>
            <w:right w:w="108" w:type="dxa"/>
          </w:tblCellMar>
        </w:tblPrEx>
        <w:trPr>
          <w:gridAfter w:val="1"/>
          <w:wAfter w:w="127" w:type="pct"/>
          <w:trHeight w:val="81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37.05</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3.共3mmpb铅板防辐射层</w:t>
            </w:r>
            <w:r>
              <w:rPr>
                <w:rFonts w:hint="eastAsia" w:ascii="宋体" w:hAnsi="宋体" w:cs="宋体"/>
                <w:color w:val="auto"/>
                <w:szCs w:val="21"/>
              </w:rPr>
              <w:br w:type="textWrapping"/>
            </w:r>
            <w:r>
              <w:rPr>
                <w:rFonts w:hint="eastAsia" w:ascii="宋体" w:hAnsi="宋体" w:cs="宋体"/>
                <w:color w:val="auto"/>
                <w:szCs w:val="21"/>
              </w:rPr>
              <w:t>4.铅当量:≥5.0mmpb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105.42</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10.7</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73</w:t>
            </w:r>
          </w:p>
        </w:tc>
      </w:tr>
      <w:tr>
        <w:tblPrEx>
          <w:tblCellMar>
            <w:top w:w="0" w:type="dxa"/>
            <w:left w:w="108" w:type="dxa"/>
            <w:bottom w:w="0" w:type="dxa"/>
            <w:right w:w="108" w:type="dxa"/>
          </w:tblCellMar>
        </w:tblPrEx>
        <w:trPr>
          <w:gridAfter w:val="1"/>
          <w:wAfter w:w="127" w:type="pct"/>
          <w:trHeight w:val="151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电动防护平移门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1、洞口尺寸1500*2100，门体尺寸1800*2300</w:t>
            </w:r>
            <w:r>
              <w:rPr>
                <w:rFonts w:hint="eastAsia" w:ascii="宋体" w:hAnsi="宋体" w:cs="宋体"/>
                <w:color w:val="auto"/>
                <w:szCs w:val="21"/>
              </w:rPr>
              <w:br w:type="textWrapping"/>
            </w:r>
            <w:r>
              <w:rPr>
                <w:rFonts w:hint="eastAsia" w:ascii="宋体" w:hAnsi="宋体" w:cs="宋体"/>
                <w:color w:val="auto"/>
                <w:szCs w:val="21"/>
              </w:rPr>
              <w:t>2、内衬3.5mm铅板防护铅当量3.5mmpb</w:t>
            </w:r>
            <w:r>
              <w:rPr>
                <w:rFonts w:hint="eastAsia" w:ascii="宋体" w:hAnsi="宋体" w:cs="宋体"/>
                <w:color w:val="auto"/>
                <w:szCs w:val="21"/>
              </w:rPr>
              <w:br w:type="textWrapping"/>
            </w:r>
            <w:r>
              <w:rPr>
                <w:rFonts w:hint="eastAsia" w:ascii="宋体" w:hAnsi="宋体" w:cs="宋体"/>
                <w:color w:val="auto"/>
                <w:szCs w:val="21"/>
              </w:rPr>
              <w:t>3、全钢架结构，一体成型工艺，表面采用高分子喷塑工艺与不锈钢板镶拼饰面，不锈钢包边，升降式、下轨道防护铅条。</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282"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电动平移门门机（医用标准自动门）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1、医用标准自动门微电脑控制器</w:t>
            </w:r>
            <w:r>
              <w:rPr>
                <w:rFonts w:hint="eastAsia" w:ascii="宋体" w:hAnsi="宋体" w:cs="宋体"/>
                <w:color w:val="auto"/>
                <w:szCs w:val="21"/>
              </w:rPr>
              <w:br w:type="textWrapping"/>
            </w:r>
            <w:r>
              <w:rPr>
                <w:rFonts w:hint="eastAsia" w:ascii="宋体" w:hAnsi="宋体" w:cs="宋体"/>
                <w:color w:val="auto"/>
                <w:szCs w:val="21"/>
              </w:rPr>
              <w:t>2、微型直流电机</w:t>
            </w:r>
            <w:r>
              <w:rPr>
                <w:rFonts w:hint="eastAsia" w:ascii="宋体" w:hAnsi="宋体" w:cs="宋体"/>
                <w:color w:val="auto"/>
                <w:szCs w:val="21"/>
              </w:rPr>
              <w:br w:type="textWrapping"/>
            </w:r>
            <w:r>
              <w:rPr>
                <w:rFonts w:hint="eastAsia" w:ascii="宋体" w:hAnsi="宋体" w:cs="宋体"/>
                <w:color w:val="auto"/>
                <w:szCs w:val="21"/>
              </w:rPr>
              <w:t>3、2米高红外线安全光幕</w:t>
            </w:r>
            <w:r>
              <w:rPr>
                <w:rFonts w:hint="eastAsia" w:ascii="宋体" w:hAnsi="宋体" w:cs="宋体"/>
                <w:color w:val="auto"/>
                <w:szCs w:val="21"/>
              </w:rPr>
              <w:br w:type="textWrapping"/>
            </w:r>
            <w:r>
              <w:rPr>
                <w:rFonts w:hint="eastAsia" w:ascii="宋体" w:hAnsi="宋体" w:cs="宋体"/>
                <w:color w:val="auto"/>
                <w:szCs w:val="21"/>
              </w:rPr>
              <w:t>4、整体铝合金大梁等配件，手控加脚控开关。</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557"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10.10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1、门洞尺寸：1020*2120，门体尺寸：1000*2100</w:t>
            </w:r>
            <w:r>
              <w:rPr>
                <w:rFonts w:hint="eastAsia" w:ascii="宋体" w:hAnsi="宋体" w:cs="宋体"/>
                <w:color w:val="auto"/>
                <w:szCs w:val="21"/>
              </w:rPr>
              <w:br w:type="textWrapping"/>
            </w:r>
            <w:r>
              <w:rPr>
                <w:rFonts w:hint="eastAsia" w:ascii="宋体" w:hAnsi="宋体" w:cs="宋体"/>
                <w:color w:val="auto"/>
                <w:szCs w:val="21"/>
              </w:rPr>
              <w:t>2、内衬3.5mm铅板防护铅当量3.5mmpb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1.铅玻璃观察窗1500*900，3.5mmpb</w:t>
            </w:r>
            <w:r>
              <w:rPr>
                <w:rFonts w:hint="eastAsia" w:ascii="宋体" w:hAnsi="宋体" w:cs="宋体"/>
                <w:color w:val="auto"/>
                <w:szCs w:val="21"/>
              </w:rPr>
              <w:br w:type="textWrapping"/>
            </w:r>
            <w:r>
              <w:rPr>
                <w:rFonts w:hint="eastAsia" w:ascii="宋体" w:hAnsi="宋体" w:cs="宋体"/>
                <w:color w:val="auto"/>
                <w:szCs w:val="21"/>
              </w:rPr>
              <w:t>2.铅玻璃厚≥18mm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1.35</w:t>
            </w:r>
          </w:p>
        </w:tc>
      </w:tr>
      <w:tr>
        <w:tblPrEx>
          <w:tblCellMar>
            <w:top w:w="0" w:type="dxa"/>
            <w:left w:w="108" w:type="dxa"/>
            <w:bottom w:w="0" w:type="dxa"/>
            <w:right w:w="108" w:type="dxa"/>
          </w:tblCellMar>
        </w:tblPrEx>
        <w:trPr>
          <w:gridAfter w:val="1"/>
          <w:wAfter w:w="127" w:type="pct"/>
          <w:trHeight w:val="1075" w:hRule="atLeast"/>
        </w:trPr>
        <w:tc>
          <w:tcPr>
            <w:tcW w:w="741" w:type="dxa"/>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10.12</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2.铅当量：3mmpb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673"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1、通风口、通风管道防护处理</w:t>
            </w:r>
            <w:r>
              <w:rPr>
                <w:rFonts w:hint="eastAsia" w:ascii="宋体" w:hAnsi="宋体" w:cs="宋体"/>
                <w:color w:val="auto"/>
                <w:szCs w:val="21"/>
              </w:rPr>
              <w:br w:type="textWrapping"/>
            </w:r>
            <w:r>
              <w:rPr>
                <w:rFonts w:hint="eastAsia" w:ascii="宋体" w:hAnsi="宋体" w:cs="宋体"/>
                <w:color w:val="auto"/>
                <w:szCs w:val="21"/>
              </w:rPr>
              <w:t>2、排风扇开孔打洞</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8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10.14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920" w:hRule="atLeast"/>
        </w:trPr>
        <w:tc>
          <w:tcPr>
            <w:tcW w:w="741" w:type="dxa"/>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rPr>
              <w:t>10.</w:t>
            </w:r>
            <w:r>
              <w:rPr>
                <w:rFonts w:hint="eastAsia" w:ascii="宋体" w:hAnsi="宋体" w:cs="宋体"/>
                <w:color w:val="auto"/>
                <w:szCs w:val="21"/>
                <w:lang w:val="en-US" w:eastAsia="zh-CN"/>
              </w:rPr>
              <w:t>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钼靶机房</w:t>
            </w:r>
          </w:p>
        </w:tc>
        <w:tc>
          <w:tcPr>
            <w:tcW w:w="2174" w:type="pct"/>
            <w:tcBorders>
              <w:top w:val="single" w:color="000000"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247"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4.铅当量:≥1.0mmpb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12.6</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12.6</w:t>
            </w:r>
          </w:p>
        </w:tc>
      </w:tr>
      <w:tr>
        <w:tblPrEx>
          <w:tblCellMar>
            <w:top w:w="0" w:type="dxa"/>
            <w:left w:w="108" w:type="dxa"/>
            <w:bottom w:w="0" w:type="dxa"/>
            <w:right w:w="108" w:type="dxa"/>
          </w:tblCellMar>
        </w:tblPrEx>
        <w:trPr>
          <w:gridAfter w:val="1"/>
          <w:wAfter w:w="127" w:type="pct"/>
          <w:trHeight w:val="1710" w:hRule="atLeast"/>
        </w:trPr>
        <w:tc>
          <w:tcPr>
            <w:tcW w:w="42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11.3</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2.喷刷涂料部位:地面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3.涂料品种、喷刷遍数:水泥：防护涂料（1：5），0-5mm颗粒状10mm厚高密度SFT复合防护钡砂</w:t>
            </w:r>
            <w:r>
              <w:rPr>
                <w:rFonts w:hint="eastAsia" w:ascii="宋体" w:hAnsi="宋体" w:cs="宋体"/>
                <w:color w:val="auto"/>
                <w:szCs w:val="21"/>
              </w:rPr>
              <w:br w:type="textWrapping"/>
            </w:r>
            <w:r>
              <w:rPr>
                <w:rFonts w:hint="eastAsia" w:ascii="宋体" w:hAnsi="宋体" w:cs="宋体"/>
                <w:color w:val="auto"/>
                <w:szCs w:val="21"/>
              </w:rPr>
              <w:t>4.铅当量:≥1.0mmpb</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12.6</w:t>
            </w:r>
          </w:p>
        </w:tc>
      </w:tr>
      <w:tr>
        <w:tblPrEx>
          <w:tblCellMar>
            <w:top w:w="0" w:type="dxa"/>
            <w:left w:w="108" w:type="dxa"/>
            <w:bottom w:w="0" w:type="dxa"/>
            <w:right w:w="108" w:type="dxa"/>
          </w:tblCellMar>
        </w:tblPrEx>
        <w:trPr>
          <w:gridAfter w:val="1"/>
          <w:wAfter w:w="127" w:type="pct"/>
          <w:trHeight w:val="81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12.6</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3.共1mmpb铅板防辐射层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60.48</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42</w:t>
            </w:r>
          </w:p>
        </w:tc>
      </w:tr>
      <w:tr>
        <w:tblPrEx>
          <w:tblCellMar>
            <w:top w:w="0" w:type="dxa"/>
            <w:left w:w="108" w:type="dxa"/>
            <w:bottom w:w="0" w:type="dxa"/>
            <w:right w:w="108" w:type="dxa"/>
          </w:tblCellMar>
        </w:tblPrEx>
        <w:trPr>
          <w:gridAfter w:val="1"/>
          <w:wAfter w:w="127" w:type="pct"/>
          <w:trHeight w:val="699"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1、门洞尺寸：1020*2120，门体尺寸：1000*2100</w:t>
            </w:r>
            <w:r>
              <w:rPr>
                <w:rFonts w:hint="eastAsia" w:ascii="宋体" w:hAnsi="宋体" w:cs="宋体"/>
                <w:color w:val="auto"/>
                <w:szCs w:val="21"/>
              </w:rPr>
              <w:br w:type="textWrapping"/>
            </w:r>
            <w:r>
              <w:rPr>
                <w:rFonts w:hint="eastAsia" w:ascii="宋体" w:hAnsi="宋体" w:cs="宋体"/>
                <w:color w:val="auto"/>
                <w:szCs w:val="21"/>
              </w:rPr>
              <w:t>2、内衬2.5mm铅板防护铅当量2.5mmpb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11.8</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1.铅玻璃观察窗800*600，2.5mmpb</w:t>
            </w:r>
            <w:r>
              <w:rPr>
                <w:rFonts w:hint="eastAsia" w:ascii="宋体" w:hAnsi="宋体" w:cs="宋体"/>
                <w:color w:val="auto"/>
                <w:szCs w:val="21"/>
              </w:rPr>
              <w:br w:type="textWrapping"/>
            </w:r>
            <w:r>
              <w:rPr>
                <w:rFonts w:hint="eastAsia" w:ascii="宋体" w:hAnsi="宋体" w:cs="宋体"/>
                <w:color w:val="auto"/>
                <w:szCs w:val="21"/>
              </w:rPr>
              <w:t>2.铅玻璃厚≥12mm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0.48</w:t>
            </w:r>
          </w:p>
        </w:tc>
      </w:tr>
      <w:tr>
        <w:tblPrEx>
          <w:tblCellMar>
            <w:top w:w="0" w:type="dxa"/>
            <w:left w:w="108" w:type="dxa"/>
            <w:bottom w:w="0" w:type="dxa"/>
            <w:right w:w="108" w:type="dxa"/>
          </w:tblCellMar>
        </w:tblPrEx>
        <w:trPr>
          <w:gridAfter w:val="1"/>
          <w:wAfter w:w="127" w:type="pct"/>
          <w:trHeight w:val="1260" w:hRule="atLeast"/>
        </w:trPr>
        <w:tc>
          <w:tcPr>
            <w:tcW w:w="424"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11.9</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2.铅当量：2mmpb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638" w:hRule="atLeast"/>
        </w:trPr>
        <w:tc>
          <w:tcPr>
            <w:tcW w:w="42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11.10 </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1、通风口、通风管道防护处理</w:t>
            </w:r>
            <w:r>
              <w:rPr>
                <w:rFonts w:hint="eastAsia" w:ascii="宋体" w:hAnsi="宋体" w:cs="宋体"/>
                <w:color w:val="auto"/>
                <w:szCs w:val="21"/>
              </w:rPr>
              <w:br w:type="textWrapping"/>
            </w:r>
            <w:r>
              <w:rPr>
                <w:rFonts w:hint="eastAsia" w:ascii="宋体" w:hAnsi="宋体" w:cs="宋体"/>
                <w:color w:val="auto"/>
                <w:szCs w:val="21"/>
              </w:rPr>
              <w:t>2、排风扇开孔打洞</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8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11.12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CBCT机房</w:t>
            </w:r>
          </w:p>
        </w:tc>
        <w:tc>
          <w:tcPr>
            <w:tcW w:w="2174" w:type="pct"/>
            <w:tcBorders>
              <w:top w:val="single" w:color="000000"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372"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4.铅当量:≥2.0mmpb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12.6</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12.6</w:t>
            </w:r>
          </w:p>
        </w:tc>
      </w:tr>
      <w:tr>
        <w:tblPrEx>
          <w:tblCellMar>
            <w:top w:w="0" w:type="dxa"/>
            <w:left w:w="108" w:type="dxa"/>
            <w:bottom w:w="0" w:type="dxa"/>
            <w:right w:w="108" w:type="dxa"/>
          </w:tblCellMar>
        </w:tblPrEx>
        <w:trPr>
          <w:gridAfter w:val="1"/>
          <w:wAfter w:w="127" w:type="pct"/>
          <w:trHeight w:val="171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2.喷刷涂料部位:地面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3.涂料品种、喷刷遍数:水泥：防护涂料（1：5），0-5mm颗粒状20mm厚高密度SFT复合防护钡砂</w:t>
            </w:r>
            <w:r>
              <w:rPr>
                <w:rFonts w:hint="eastAsia" w:ascii="宋体" w:hAnsi="宋体" w:cs="宋体"/>
                <w:color w:val="auto"/>
                <w:szCs w:val="21"/>
              </w:rPr>
              <w:br w:type="textWrapping"/>
            </w:r>
            <w:r>
              <w:rPr>
                <w:rFonts w:hint="eastAsia" w:ascii="宋体" w:hAnsi="宋体" w:cs="宋体"/>
                <w:color w:val="auto"/>
                <w:szCs w:val="21"/>
              </w:rPr>
              <w:t>4.铅当量:≥2.0mmpb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12.6</w:t>
            </w:r>
          </w:p>
        </w:tc>
      </w:tr>
      <w:tr>
        <w:tblPrEx>
          <w:tblCellMar>
            <w:top w:w="0" w:type="dxa"/>
            <w:left w:w="108" w:type="dxa"/>
            <w:bottom w:w="0" w:type="dxa"/>
            <w:right w:w="108" w:type="dxa"/>
          </w:tblCellMar>
        </w:tblPrEx>
        <w:trPr>
          <w:gridAfter w:val="1"/>
          <w:wAfter w:w="127" w:type="pct"/>
          <w:trHeight w:val="810" w:hRule="atLeast"/>
        </w:trPr>
        <w:tc>
          <w:tcPr>
            <w:tcW w:w="42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12.4</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12.6</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3.共2mmpb铅板防辐射层</w:t>
            </w:r>
            <w:r>
              <w:rPr>
                <w:rFonts w:hint="eastAsia" w:ascii="宋体" w:hAnsi="宋体" w:cs="宋体"/>
                <w:color w:val="auto"/>
                <w:szCs w:val="21"/>
              </w:rPr>
              <w:br w:type="textWrapping"/>
            </w:r>
            <w:r>
              <w:rPr>
                <w:rFonts w:hint="eastAsia" w:ascii="宋体" w:hAnsi="宋体" w:cs="宋体"/>
                <w:color w:val="auto"/>
                <w:szCs w:val="21"/>
              </w:rPr>
              <w:t>4.铅当量:≥4.0mmpb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60.48</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32</w:t>
            </w:r>
          </w:p>
        </w:tc>
      </w:tr>
      <w:tr>
        <w:tblPrEx>
          <w:tblCellMar>
            <w:top w:w="0" w:type="dxa"/>
            <w:left w:w="108" w:type="dxa"/>
            <w:bottom w:w="0" w:type="dxa"/>
            <w:right w:w="108" w:type="dxa"/>
          </w:tblCellMar>
        </w:tblPrEx>
        <w:trPr>
          <w:gridAfter w:val="1"/>
          <w:wAfter w:w="127" w:type="pct"/>
          <w:trHeight w:val="1447"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12.7</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1、门洞尺寸：1020*2120，门体尺寸：1000*2100</w:t>
            </w:r>
            <w:r>
              <w:rPr>
                <w:rFonts w:hint="eastAsia" w:ascii="宋体" w:hAnsi="宋体" w:cs="宋体"/>
                <w:color w:val="auto"/>
                <w:szCs w:val="21"/>
              </w:rPr>
              <w:br w:type="textWrapping"/>
            </w:r>
            <w:r>
              <w:rPr>
                <w:rFonts w:hint="eastAsia" w:ascii="宋体" w:hAnsi="宋体" w:cs="宋体"/>
                <w:color w:val="auto"/>
                <w:szCs w:val="21"/>
              </w:rPr>
              <w:t>2、内衬3.0mm铅板防护铅当量3.0mmpb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w:t>
            </w:r>
          </w:p>
        </w:tc>
      </w:tr>
      <w:tr>
        <w:tblPrEx>
          <w:tblCellMar>
            <w:top w:w="0" w:type="dxa"/>
            <w:left w:w="108" w:type="dxa"/>
            <w:bottom w:w="0" w:type="dxa"/>
            <w:right w:w="108" w:type="dxa"/>
          </w:tblCellMar>
        </w:tblPrEx>
        <w:trPr>
          <w:gridAfter w:val="1"/>
          <w:wAfter w:w="127" w:type="pct"/>
          <w:trHeight w:val="920" w:hRule="atLeast"/>
        </w:trPr>
        <w:tc>
          <w:tcPr>
            <w:tcW w:w="424"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12.8</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1.铅玻璃观察窗800*600，3mmpb</w:t>
            </w:r>
            <w:r>
              <w:rPr>
                <w:rFonts w:hint="eastAsia" w:ascii="宋体" w:hAnsi="宋体" w:cs="宋体"/>
                <w:color w:val="auto"/>
                <w:szCs w:val="21"/>
              </w:rPr>
              <w:br w:type="textWrapping"/>
            </w:r>
            <w:r>
              <w:rPr>
                <w:rFonts w:hint="eastAsia" w:ascii="宋体" w:hAnsi="宋体" w:cs="宋体"/>
                <w:color w:val="auto"/>
                <w:szCs w:val="21"/>
              </w:rPr>
              <w:t>2.铅玻璃厚≥15mm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0.48</w:t>
            </w:r>
          </w:p>
        </w:tc>
      </w:tr>
      <w:tr>
        <w:tblPrEx>
          <w:tblCellMar>
            <w:top w:w="0" w:type="dxa"/>
            <w:left w:w="108" w:type="dxa"/>
            <w:bottom w:w="0" w:type="dxa"/>
            <w:right w:w="108" w:type="dxa"/>
          </w:tblCellMar>
        </w:tblPrEx>
        <w:trPr>
          <w:gridAfter w:val="1"/>
          <w:wAfter w:w="127" w:type="pct"/>
          <w:trHeight w:val="126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2.铅当量：3mmpb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66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12.10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1、通风口、通风管道防护处理</w:t>
            </w:r>
            <w:r>
              <w:rPr>
                <w:rFonts w:hint="eastAsia" w:ascii="宋体" w:hAnsi="宋体" w:cs="宋体"/>
                <w:color w:val="auto"/>
                <w:szCs w:val="21"/>
              </w:rPr>
              <w:br w:type="textWrapping"/>
            </w:r>
            <w:r>
              <w:rPr>
                <w:rFonts w:hint="eastAsia" w:ascii="宋体" w:hAnsi="宋体" w:cs="宋体"/>
                <w:color w:val="auto"/>
                <w:szCs w:val="21"/>
              </w:rPr>
              <w:t>2、排风扇开孔打洞</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935" w:hRule="atLeast"/>
        </w:trPr>
        <w:tc>
          <w:tcPr>
            <w:tcW w:w="42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12.11</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907"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12.12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口腔牙片机机房</w:t>
            </w:r>
          </w:p>
        </w:tc>
        <w:tc>
          <w:tcPr>
            <w:tcW w:w="2174" w:type="pct"/>
            <w:tcBorders>
              <w:top w:val="single" w:color="000000"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472"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w:t>
            </w:r>
            <w:r>
              <w:rPr>
                <w:rFonts w:hint="eastAsia" w:ascii="宋体" w:hAnsi="宋体" w:cs="宋体"/>
                <w:color w:val="auto"/>
                <w:szCs w:val="21"/>
                <w:lang w:val="en-US" w:eastAsia="zh-CN"/>
              </w:rPr>
              <w:t>1</w:t>
            </w:r>
            <w:r>
              <w:rPr>
                <w:rFonts w:hint="eastAsia" w:ascii="宋体" w:hAnsi="宋体" w:cs="宋体"/>
                <w:color w:val="auto"/>
                <w:szCs w:val="21"/>
              </w:rPr>
              <w:t>.0mmpb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8.32</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8.32</w:t>
            </w:r>
          </w:p>
        </w:tc>
      </w:tr>
      <w:tr>
        <w:tblPrEx>
          <w:tblCellMar>
            <w:top w:w="0" w:type="dxa"/>
            <w:left w:w="108" w:type="dxa"/>
            <w:bottom w:w="0" w:type="dxa"/>
            <w:right w:w="108" w:type="dxa"/>
          </w:tblCellMar>
        </w:tblPrEx>
        <w:trPr>
          <w:gridAfter w:val="1"/>
          <w:wAfter w:w="127" w:type="pct"/>
          <w:trHeight w:val="171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2.喷刷涂料部位:地面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3.涂料品种、喷刷遍数:水泥：防护涂料（1：5），0-5mm颗粒状20mm厚高密度SFT复合防护钡砂</w:t>
            </w:r>
            <w:r>
              <w:rPr>
                <w:rFonts w:hint="eastAsia" w:ascii="宋体" w:hAnsi="宋体" w:cs="宋体"/>
                <w:color w:val="auto"/>
                <w:szCs w:val="21"/>
              </w:rPr>
              <w:br w:type="textWrapping"/>
            </w:r>
            <w:r>
              <w:rPr>
                <w:rFonts w:hint="eastAsia" w:ascii="宋体" w:hAnsi="宋体" w:cs="宋体"/>
                <w:color w:val="auto"/>
                <w:szCs w:val="21"/>
              </w:rPr>
              <w:t>4.铅当量:≥</w:t>
            </w:r>
            <w:r>
              <w:rPr>
                <w:rFonts w:hint="eastAsia" w:ascii="宋体" w:hAnsi="宋体" w:cs="宋体"/>
                <w:color w:val="auto"/>
                <w:szCs w:val="21"/>
                <w:lang w:val="en-US" w:eastAsia="zh-CN"/>
              </w:rPr>
              <w:t>1</w:t>
            </w:r>
            <w:r>
              <w:rPr>
                <w:rFonts w:hint="eastAsia" w:ascii="宋体" w:hAnsi="宋体" w:cs="宋体"/>
                <w:color w:val="auto"/>
                <w:szCs w:val="21"/>
              </w:rPr>
              <w:t>.0mmpb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8.32</w:t>
            </w:r>
          </w:p>
        </w:tc>
      </w:tr>
      <w:tr>
        <w:tblPrEx>
          <w:tblCellMar>
            <w:top w:w="0" w:type="dxa"/>
            <w:left w:w="108" w:type="dxa"/>
            <w:bottom w:w="0" w:type="dxa"/>
            <w:right w:w="108" w:type="dxa"/>
          </w:tblCellMar>
        </w:tblPrEx>
        <w:trPr>
          <w:gridAfter w:val="1"/>
          <w:wAfter w:w="127" w:type="pct"/>
          <w:trHeight w:val="81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8.32</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13.5</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3.共1mmpb铅板防辐射层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48.72</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29</w:t>
            </w:r>
          </w:p>
        </w:tc>
      </w:tr>
      <w:tr>
        <w:tblPrEx>
          <w:tblCellMar>
            <w:top w:w="0" w:type="dxa"/>
            <w:left w:w="108" w:type="dxa"/>
            <w:bottom w:w="0" w:type="dxa"/>
            <w:right w:w="108" w:type="dxa"/>
          </w:tblCellMar>
        </w:tblPrEx>
        <w:trPr>
          <w:gridAfter w:val="1"/>
          <w:wAfter w:w="127" w:type="pct"/>
          <w:trHeight w:val="417"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13.7</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1、门洞尺寸：1020*2120，门体尺寸：1000*2100</w:t>
            </w:r>
            <w:r>
              <w:rPr>
                <w:rFonts w:hint="eastAsia" w:ascii="宋体" w:hAnsi="宋体" w:cs="宋体"/>
                <w:color w:val="auto"/>
                <w:szCs w:val="21"/>
              </w:rPr>
              <w:br w:type="textWrapping"/>
            </w:r>
            <w:r>
              <w:rPr>
                <w:rFonts w:hint="eastAsia" w:ascii="宋体" w:hAnsi="宋体" w:cs="宋体"/>
                <w:color w:val="auto"/>
                <w:szCs w:val="21"/>
              </w:rPr>
              <w:t>2、内衬2.5mm铅板防护铅当量2.5mmpb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795" w:hRule="atLeast"/>
        </w:trPr>
        <w:tc>
          <w:tcPr>
            <w:tcW w:w="424"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13.8</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1.铅玻璃观察窗800*600，3mmpb</w:t>
            </w:r>
            <w:r>
              <w:rPr>
                <w:rFonts w:hint="eastAsia" w:ascii="宋体" w:hAnsi="宋体" w:cs="宋体"/>
                <w:color w:val="auto"/>
                <w:szCs w:val="21"/>
              </w:rPr>
              <w:br w:type="textWrapping"/>
            </w:r>
            <w:r>
              <w:rPr>
                <w:rFonts w:hint="eastAsia" w:ascii="宋体" w:hAnsi="宋体" w:cs="宋体"/>
                <w:color w:val="auto"/>
                <w:szCs w:val="21"/>
              </w:rPr>
              <w:t>2.铅玻璃厚≥12mm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0.48</w:t>
            </w:r>
          </w:p>
        </w:tc>
      </w:tr>
      <w:tr>
        <w:tblPrEx>
          <w:tblCellMar>
            <w:top w:w="0" w:type="dxa"/>
            <w:left w:w="108" w:type="dxa"/>
            <w:bottom w:w="0" w:type="dxa"/>
            <w:right w:w="108" w:type="dxa"/>
          </w:tblCellMar>
        </w:tblPrEx>
        <w:trPr>
          <w:gridAfter w:val="1"/>
          <w:wAfter w:w="127" w:type="pct"/>
          <w:trHeight w:val="116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2.铅当量：3mmpb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81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13.10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1、通风口、通风管道防护处理</w:t>
            </w:r>
            <w:r>
              <w:rPr>
                <w:rFonts w:hint="eastAsia" w:ascii="宋体" w:hAnsi="宋体" w:cs="宋体"/>
                <w:color w:val="auto"/>
                <w:szCs w:val="21"/>
              </w:rPr>
              <w:br w:type="textWrapping"/>
            </w:r>
            <w:r>
              <w:rPr>
                <w:rFonts w:hint="eastAsia" w:ascii="宋体" w:hAnsi="宋体" w:cs="宋体"/>
                <w:color w:val="auto"/>
                <w:szCs w:val="21"/>
              </w:rPr>
              <w:t>2、排风扇开孔打洞</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857"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13.12</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MR机房1</w:t>
            </w:r>
          </w:p>
        </w:tc>
        <w:tc>
          <w:tcPr>
            <w:tcW w:w="2174" w:type="pct"/>
            <w:tcBorders>
              <w:top w:val="single" w:color="000000"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5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砼板基层，0.35mm紫铜板，轻钢龙骨架铝扣板饰面。</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紫铜板焊接结构</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顶棚木龙骨框架</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防火涂料2道 40*60mm</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吊顶龙骨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铝合金龙骨</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吸音棉两层</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隔音吸音棉两层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吸音铝扣板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600*600mm</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5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砼板基层，0.35mm紫铜板，轻钢龙骨架铝扣板饰面。</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紫铜板焊接结构</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81.6</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墙面木龙骨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刷防火漆两道</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81.6</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防火板基层</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5mm厚</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81.6</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木龙骨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防火漆2道 30*50mm</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81.6</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14.10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墙体吸音棉</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隔音吸音棉两层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81.6</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墙面复合吸音板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防火A级</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81.6</w:t>
            </w:r>
          </w:p>
        </w:tc>
      </w:tr>
      <w:tr>
        <w:tblPrEx>
          <w:tblCellMar>
            <w:top w:w="0" w:type="dxa"/>
            <w:left w:w="108" w:type="dxa"/>
            <w:bottom w:w="0" w:type="dxa"/>
            <w:right w:w="108" w:type="dxa"/>
          </w:tblCellMar>
        </w:tblPrEx>
        <w:trPr>
          <w:gridAfter w:val="1"/>
          <w:wAfter w:w="127" w:type="pct"/>
          <w:trHeight w:val="5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14.12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砼板基层，0.35mm紫铜板，轻钢龙骨架铝扣板饰面。</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紫铜板焊接结构</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14.13</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3mm绝缘PVC板</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3mm</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14.14</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SBS防水两层</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上墙50cm</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auto"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RF屏蔽门（1.0m*2.2m）*1套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紫铜板结构，含防磁定制锁具</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2.64</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auto"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14.16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RF屏蔽门（1.3m*2.2m）*1套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紫铜板结构，含防磁定制锁具</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14.17</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铜板封包防护门框</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304不锈钢包边</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14.18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铜板封包防护窗框</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304不锈钢包边</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5</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14.19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1.5m×0.9m双层紫铜网观察窗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22目双层紫铜网</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1.35</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14.20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紧急按钮</w:t>
            </w:r>
          </w:p>
        </w:tc>
        <w:tc>
          <w:tcPr>
            <w:tcW w:w="217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ascii="Arial" w:hAnsi="Arial" w:cs="Arial"/>
                <w:color w:val="auto"/>
                <w:szCs w:val="21"/>
              </w:rPr>
            </w:pPr>
          </w:p>
        </w:tc>
        <w:tc>
          <w:tcPr>
            <w:tcW w:w="537" w:type="pct"/>
            <w:tcBorders>
              <w:top w:val="single" w:color="000000" w:sz="4" w:space="0"/>
              <w:left w:val="nil"/>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无磁筒灯</w:t>
            </w:r>
          </w:p>
        </w:tc>
        <w:tc>
          <w:tcPr>
            <w:tcW w:w="217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宋体" w:hAnsi="宋体" w:cs="宋体"/>
                <w:color w:val="auto"/>
                <w:szCs w:val="21"/>
              </w:rPr>
            </w:pPr>
            <w:r>
              <w:rPr>
                <w:rFonts w:hint="eastAsia" w:ascii="宋体" w:hAnsi="宋体" w:cs="宋体"/>
                <w:color w:val="auto"/>
                <w:szCs w:val="21"/>
              </w:rPr>
              <w:t>定制</w:t>
            </w:r>
          </w:p>
        </w:tc>
        <w:tc>
          <w:tcPr>
            <w:tcW w:w="537" w:type="pct"/>
            <w:tcBorders>
              <w:top w:val="single" w:color="000000" w:sz="4" w:space="0"/>
              <w:left w:val="nil"/>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设备动力配电箱</w:t>
            </w:r>
          </w:p>
        </w:tc>
        <w:tc>
          <w:tcPr>
            <w:tcW w:w="217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ascii="Arial" w:hAnsi="Arial" w:cs="Arial"/>
                <w:color w:val="auto"/>
                <w:szCs w:val="21"/>
              </w:rPr>
            </w:pPr>
          </w:p>
        </w:tc>
        <w:tc>
          <w:tcPr>
            <w:tcW w:w="537" w:type="pct"/>
            <w:tcBorders>
              <w:top w:val="single" w:color="000000" w:sz="4" w:space="0"/>
              <w:left w:val="nil"/>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220v照明电箱</w:t>
            </w:r>
          </w:p>
        </w:tc>
        <w:tc>
          <w:tcPr>
            <w:tcW w:w="217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ascii="Arial" w:hAnsi="Arial" w:cs="Arial"/>
                <w:color w:val="auto"/>
                <w:szCs w:val="21"/>
              </w:rPr>
            </w:pPr>
          </w:p>
        </w:tc>
        <w:tc>
          <w:tcPr>
            <w:tcW w:w="537" w:type="pct"/>
            <w:tcBorders>
              <w:top w:val="single" w:color="000000" w:sz="4" w:space="0"/>
              <w:left w:val="nil"/>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插座</w:t>
            </w:r>
          </w:p>
        </w:tc>
        <w:tc>
          <w:tcPr>
            <w:tcW w:w="217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ascii="Arial" w:hAnsi="Arial" w:cs="Arial"/>
                <w:color w:val="auto"/>
                <w:szCs w:val="21"/>
              </w:rPr>
            </w:pPr>
          </w:p>
        </w:tc>
        <w:tc>
          <w:tcPr>
            <w:tcW w:w="537" w:type="pct"/>
            <w:tcBorders>
              <w:top w:val="single" w:color="000000" w:sz="4" w:space="0"/>
              <w:left w:val="nil"/>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只</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w:t>
            </w:r>
          </w:p>
        </w:tc>
        <w:tc>
          <w:tcPr>
            <w:tcW w:w="217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ascii="Arial" w:hAnsi="Arial" w:cs="Arial"/>
                <w:color w:val="auto"/>
                <w:szCs w:val="21"/>
              </w:rPr>
            </w:pPr>
          </w:p>
        </w:tc>
        <w:tc>
          <w:tcPr>
            <w:tcW w:w="537" w:type="pct"/>
            <w:tcBorders>
              <w:top w:val="single" w:color="000000" w:sz="4" w:space="0"/>
              <w:left w:val="nil"/>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只</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电话网络端口</w:t>
            </w:r>
          </w:p>
        </w:tc>
        <w:tc>
          <w:tcPr>
            <w:tcW w:w="217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ascii="Arial" w:hAnsi="Arial" w:cs="Arial"/>
                <w:color w:val="auto"/>
                <w:szCs w:val="21"/>
              </w:rPr>
            </w:pPr>
          </w:p>
        </w:tc>
        <w:tc>
          <w:tcPr>
            <w:tcW w:w="537" w:type="pct"/>
            <w:tcBorders>
              <w:top w:val="single" w:color="000000" w:sz="4" w:space="0"/>
              <w:left w:val="nil"/>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只</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敷设电源线布线2.5mm2</w:t>
            </w:r>
          </w:p>
        </w:tc>
        <w:tc>
          <w:tcPr>
            <w:tcW w:w="2174" w:type="pct"/>
            <w:tcBorders>
              <w:top w:val="nil"/>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上海起帆</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空调进风波导300*600</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大孔径</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14.29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空调回风波导600*600</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大孔径</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14.30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紧急排风波导300*300</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大孔径</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紧急排风风机300*300</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轴流风机，含风道</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平衡波导300*300</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蜂窝状结构</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失超管￠159</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不锈钢，16米以内</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传导板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订制</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5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14.35</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空调风道系统</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铝合金风管、铁风管、空调静压箱</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直流照明无磁射灯220V，80W</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灯具</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直流电源变压器220V转15V</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220V转15V</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屏蔽室内外走线桥架</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根据要求订做</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14.39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传导板小柜及维修插座</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细木工板做柜，加装2扇木门</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14.40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铝合金散流器600*600MM</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百叶状</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个</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14.41</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铝合金散流器400*400MM</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百叶状</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个</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w:t>
            </w:r>
          </w:p>
        </w:tc>
      </w:tr>
      <w:tr>
        <w:tblPrEx>
          <w:tblCellMar>
            <w:top w:w="0" w:type="dxa"/>
            <w:left w:w="108" w:type="dxa"/>
            <w:bottom w:w="0" w:type="dxa"/>
            <w:right w:w="108" w:type="dxa"/>
          </w:tblCellMar>
        </w:tblPrEx>
        <w:trPr>
          <w:gridAfter w:val="1"/>
          <w:wAfter w:w="127" w:type="pct"/>
          <w:trHeight w:val="570" w:hRule="atLeast"/>
        </w:trPr>
        <w:tc>
          <w:tcPr>
            <w:tcW w:w="424"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14.42</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屏蔽室内布线走线的辅助材料</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维修插座，电线，线管，紧急排风，屏蔽室内外开关等</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5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14.43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直流电源滤波器2*25A</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屏蔽专用电源滤波器不含集成电路或集成块</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台</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14.44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波导管3.2mm</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注射器用</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MR机房2</w:t>
            </w:r>
          </w:p>
        </w:tc>
        <w:tc>
          <w:tcPr>
            <w:tcW w:w="2174" w:type="pct"/>
            <w:tcBorders>
              <w:top w:val="single" w:color="000000"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5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砼板基层，0.35mm紫铜板，轻钢龙骨架铝扣板饰面。</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紫铜板焊接结构</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顶棚木龙骨框架</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防火涂料2道 40*60mm</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吊顶龙骨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铝合金龙骨</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吸音棉两层</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隔音吸音棉两层</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吸音铝扣板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600*600mm</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5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砼板基层，0.35mm紫铜板，轻钢龙骨架铝扣板饰面。</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紫铜板焊接结构</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81.6</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15.7</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墙面木龙骨</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刷防火漆两道</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81.6</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防火板基层</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5mm厚</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81.6</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木龙骨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防火漆2道 30*50mm</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81.6</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15.10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墙体吸音棉</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隔音吸音棉两层</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81.6</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15.11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墙面复合吸音板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防火A级</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81.6</w:t>
            </w:r>
          </w:p>
        </w:tc>
      </w:tr>
      <w:tr>
        <w:tblPrEx>
          <w:tblCellMar>
            <w:top w:w="0" w:type="dxa"/>
            <w:left w:w="108" w:type="dxa"/>
            <w:bottom w:w="0" w:type="dxa"/>
            <w:right w:w="108" w:type="dxa"/>
          </w:tblCellMar>
        </w:tblPrEx>
        <w:trPr>
          <w:gridAfter w:val="1"/>
          <w:wAfter w:w="127" w:type="pct"/>
          <w:trHeight w:val="5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15.12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砼板基层，0.35mm紫铜板，轻钢龙骨架铝扣板饰面。</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紫铜板焊接结构</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3mm绝缘PVC板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3mm</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15.14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SBS防水两层</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上墙50cm</w:t>
            </w: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color w:val="auto"/>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45.3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15.15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RF屏蔽门（1.0m*2.2m）*1套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紫铜板结构，含防磁定制锁具</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2.64</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15.16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RF屏蔽门（1.3m*2.2m）*1套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紫铜板结构，含防磁定制锁具</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15.17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铜板封包防护门框</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304不锈钢包边</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15.18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铜板封包防护窗框</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304不锈钢包边</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5</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15.19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1.5m×0.9m双层紫铜网观察窗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22目双层紫铜网</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1.35</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15.20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紧急按钮</w:t>
            </w:r>
          </w:p>
        </w:tc>
        <w:tc>
          <w:tcPr>
            <w:tcW w:w="2174" w:type="pct"/>
            <w:tcBorders>
              <w:top w:val="single" w:color="000000"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15.21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无磁筒灯</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定制</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15.22</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设备动力配电箱</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15.23</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220v照明电箱</w:t>
            </w:r>
          </w:p>
        </w:tc>
        <w:tc>
          <w:tcPr>
            <w:tcW w:w="2174" w:type="pct"/>
            <w:tcBorders>
              <w:top w:val="single" w:color="auto"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15.24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插座</w:t>
            </w:r>
          </w:p>
        </w:tc>
        <w:tc>
          <w:tcPr>
            <w:tcW w:w="2174" w:type="pct"/>
            <w:tcBorders>
              <w:top w:val="single" w:color="000000"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只</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15.25</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只</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15.26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电话网络端口</w:t>
            </w:r>
          </w:p>
        </w:tc>
        <w:tc>
          <w:tcPr>
            <w:tcW w:w="2174" w:type="pct"/>
            <w:tcBorders>
              <w:top w:val="single" w:color="000000"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只</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15.27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敷设电源线布线2.5mm2</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上海起帆</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15.28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空调进风波导300*600</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大孔径</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15.29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空调回风波导600*600</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大孔径</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15.30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紧急排风波导300*300</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大孔径</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15.31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紧急排风风机300*300</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轴流风机，含风道</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15.32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平衡波导300*300</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蜂窝状结构</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15.33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失超管￠159</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不锈钢，16米以内</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15.34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传导板</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订制</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5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15.35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空调风道系统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铝合金风管、铁风管、空调静压箱</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15.36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直流照明无磁射灯220V，80W</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灯具</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15.37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直流电源变压器220V转15V</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220V转15V</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15.38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屏蔽室内外走线桥架</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根据要求订做</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15.39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传导板小柜及维修插座</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细木工板做柜，加装2扇木门</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15.40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铝合金散流器600*600MM</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百叶状</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个</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15.41</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铝合金散流器400*400MM</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百叶状</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个</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w:t>
            </w:r>
          </w:p>
        </w:tc>
      </w:tr>
      <w:tr>
        <w:tblPrEx>
          <w:tblCellMar>
            <w:top w:w="0" w:type="dxa"/>
            <w:left w:w="108" w:type="dxa"/>
            <w:bottom w:w="0" w:type="dxa"/>
            <w:right w:w="108" w:type="dxa"/>
          </w:tblCellMar>
        </w:tblPrEx>
        <w:trPr>
          <w:gridAfter w:val="1"/>
          <w:wAfter w:w="127" w:type="pct"/>
          <w:trHeight w:val="5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15.42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屏蔽室内布线走线的辅助材料</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维修插座，电线，线管，紧急排风，屏蔽室内外开关等</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57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15.43</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直流电源滤波器2*25A</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屏蔽专用电源滤波器不含集成电路或集成块</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台</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15.44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波导管3.2mm</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注射器用</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骨密度仪机房</w:t>
            </w:r>
          </w:p>
        </w:tc>
        <w:tc>
          <w:tcPr>
            <w:tcW w:w="2174" w:type="pct"/>
            <w:tcBorders>
              <w:top w:val="single" w:color="000000" w:sz="4" w:space="0"/>
              <w:left w:val="single" w:color="000000" w:sz="4" w:space="0"/>
              <w:bottom w:val="nil"/>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nil"/>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247"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16.1</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1.基层类型:二层抹灰面</w:t>
            </w:r>
            <w:r>
              <w:rPr>
                <w:rFonts w:hint="eastAsia" w:ascii="宋体" w:hAnsi="宋体" w:cs="宋体"/>
                <w:color w:val="auto"/>
                <w:szCs w:val="21"/>
              </w:rPr>
              <w:br w:type="textWrapping"/>
            </w:r>
            <w:r>
              <w:rPr>
                <w:rFonts w:hint="eastAsia" w:ascii="宋体" w:hAnsi="宋体" w:cs="宋体"/>
                <w:color w:val="auto"/>
                <w:szCs w:val="21"/>
              </w:rPr>
              <w:t>2.喷刷涂料部位:</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w:t>
            </w:r>
            <w:r>
              <w:rPr>
                <w:rFonts w:hint="eastAsia" w:ascii="宋体" w:hAnsi="宋体" w:cs="宋体"/>
                <w:color w:val="auto"/>
                <w:szCs w:val="21"/>
                <w:lang w:val="en-US" w:eastAsia="zh-CN"/>
              </w:rPr>
              <w:t>1</w:t>
            </w:r>
            <w:r>
              <w:rPr>
                <w:rFonts w:hint="eastAsia" w:ascii="宋体" w:hAnsi="宋体" w:cs="宋体"/>
                <w:color w:val="auto"/>
                <w:szCs w:val="21"/>
              </w:rPr>
              <w:t>.0mmpb</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8.32</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auto"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16.2</w:t>
            </w:r>
          </w:p>
        </w:tc>
        <w:tc>
          <w:tcPr>
            <w:tcW w:w="1250" w:type="pct"/>
            <w:tcBorders>
              <w:top w:val="single" w:color="auto"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顶面装饰</w:t>
            </w:r>
          </w:p>
        </w:tc>
        <w:tc>
          <w:tcPr>
            <w:tcW w:w="2174" w:type="pct"/>
            <w:tcBorders>
              <w:top w:val="single" w:color="auto"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auto"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auto"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8.32</w:t>
            </w:r>
          </w:p>
        </w:tc>
      </w:tr>
      <w:tr>
        <w:tblPrEx>
          <w:tblCellMar>
            <w:top w:w="0" w:type="dxa"/>
            <w:left w:w="108" w:type="dxa"/>
            <w:bottom w:w="0" w:type="dxa"/>
            <w:right w:w="108" w:type="dxa"/>
          </w:tblCellMar>
        </w:tblPrEx>
        <w:trPr>
          <w:gridAfter w:val="1"/>
          <w:wAfter w:w="127" w:type="pct"/>
          <w:trHeight w:val="1710" w:hRule="atLeast"/>
        </w:trPr>
        <w:tc>
          <w:tcPr>
            <w:tcW w:w="424"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16.3</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地面防护</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2.喷刷涂料部位:地面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3.涂料品种、喷刷遍数:水泥：防护涂料（1：5），0-5mm颗粒状20mm厚高密度SFT复合防护钡砂</w:t>
            </w:r>
            <w:r>
              <w:rPr>
                <w:rFonts w:hint="eastAsia" w:ascii="宋体" w:hAnsi="宋体" w:cs="宋体"/>
                <w:color w:val="auto"/>
                <w:szCs w:val="21"/>
              </w:rPr>
              <w:br w:type="textWrapping"/>
            </w:r>
            <w:r>
              <w:rPr>
                <w:rFonts w:hint="eastAsia" w:ascii="宋体" w:hAnsi="宋体" w:cs="宋体"/>
                <w:color w:val="auto"/>
                <w:szCs w:val="21"/>
              </w:rPr>
              <w:t>4.铅当量:≥</w:t>
            </w:r>
            <w:r>
              <w:rPr>
                <w:rFonts w:hint="eastAsia" w:ascii="宋体" w:hAnsi="宋体" w:cs="宋体"/>
                <w:color w:val="auto"/>
                <w:szCs w:val="21"/>
                <w:lang w:val="en-US" w:eastAsia="zh-CN"/>
              </w:rPr>
              <w:t>1</w:t>
            </w:r>
            <w:r>
              <w:rPr>
                <w:rFonts w:hint="eastAsia" w:ascii="宋体" w:hAnsi="宋体" w:cs="宋体"/>
                <w:color w:val="auto"/>
                <w:szCs w:val="21"/>
              </w:rPr>
              <w:t>.0mmpb</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8.32</w:t>
            </w:r>
          </w:p>
        </w:tc>
      </w:tr>
      <w:tr>
        <w:tblPrEx>
          <w:tblCellMar>
            <w:top w:w="0" w:type="dxa"/>
            <w:left w:w="108" w:type="dxa"/>
            <w:bottom w:w="0" w:type="dxa"/>
            <w:right w:w="108" w:type="dxa"/>
          </w:tblCellMar>
        </w:tblPrEx>
        <w:trPr>
          <w:gridAfter w:val="1"/>
          <w:wAfter w:w="127" w:type="pct"/>
          <w:trHeight w:val="81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16.4</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8.32</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16.5</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1.基层:2mmpb防护涂料</w:t>
            </w:r>
            <w:r>
              <w:rPr>
                <w:rFonts w:hint="eastAsia" w:ascii="宋体" w:hAnsi="宋体" w:cs="宋体"/>
                <w:color w:val="auto"/>
                <w:szCs w:val="21"/>
              </w:rPr>
              <w:br w:type="textWrapping"/>
            </w:r>
            <w:r>
              <w:rPr>
                <w:rFonts w:hint="eastAsia" w:ascii="宋体" w:hAnsi="宋体" w:cs="宋体"/>
                <w:color w:val="auto"/>
                <w:szCs w:val="21"/>
              </w:rPr>
              <w:t>2.墙面80*60钢结构支架支撑</w:t>
            </w:r>
            <w:r>
              <w:rPr>
                <w:rFonts w:hint="eastAsia" w:ascii="宋体" w:hAnsi="宋体" w:cs="宋体"/>
                <w:color w:val="auto"/>
                <w:szCs w:val="21"/>
              </w:rPr>
              <w:br w:type="textWrapping"/>
            </w:r>
            <w:r>
              <w:rPr>
                <w:rFonts w:hint="eastAsia" w:ascii="宋体" w:hAnsi="宋体" w:cs="宋体"/>
                <w:color w:val="auto"/>
                <w:szCs w:val="21"/>
              </w:rPr>
              <w:t>3.共1mmpb铅板防辐射层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48.72</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16.6</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29</w:t>
            </w:r>
          </w:p>
        </w:tc>
      </w:tr>
      <w:tr>
        <w:tblPrEx>
          <w:tblCellMar>
            <w:top w:w="0" w:type="dxa"/>
            <w:left w:w="108" w:type="dxa"/>
            <w:bottom w:w="0" w:type="dxa"/>
            <w:right w:w="108" w:type="dxa"/>
          </w:tblCellMar>
        </w:tblPrEx>
        <w:trPr>
          <w:gridAfter w:val="1"/>
          <w:wAfter w:w="127" w:type="pct"/>
          <w:trHeight w:val="1373"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16.7</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1、门洞尺寸：1020*2120，门体尺寸：1000*2100</w:t>
            </w:r>
            <w:r>
              <w:rPr>
                <w:rFonts w:hint="eastAsia" w:ascii="宋体" w:hAnsi="宋体" w:cs="宋体"/>
                <w:color w:val="auto"/>
                <w:szCs w:val="21"/>
              </w:rPr>
              <w:br w:type="textWrapping"/>
            </w:r>
            <w:r>
              <w:rPr>
                <w:rFonts w:hint="eastAsia" w:ascii="宋体" w:hAnsi="宋体" w:cs="宋体"/>
                <w:color w:val="auto"/>
                <w:szCs w:val="21"/>
              </w:rPr>
              <w:t>2、内衬2.5mm铅板防护铅当量2.5mmpb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66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16.8</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双开防护平开门</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1、门洞尺寸：1520*2120，门体尺寸：750mm*2100mm*2扇</w:t>
            </w:r>
            <w:r>
              <w:rPr>
                <w:rFonts w:hint="eastAsia" w:ascii="宋体" w:hAnsi="宋体" w:cs="宋体"/>
                <w:color w:val="auto"/>
                <w:szCs w:val="21"/>
              </w:rPr>
              <w:br w:type="textWrapping"/>
            </w:r>
            <w:r>
              <w:rPr>
                <w:rFonts w:hint="eastAsia" w:ascii="宋体" w:hAnsi="宋体" w:cs="宋体"/>
                <w:color w:val="auto"/>
                <w:szCs w:val="21"/>
              </w:rPr>
              <w:t>2、内衬2.5mm铅板防护铅当量2.5mmpb</w:t>
            </w:r>
            <w:r>
              <w:rPr>
                <w:rFonts w:hint="eastAsia" w:ascii="宋体" w:hAnsi="宋体" w:cs="宋体"/>
                <w:color w:val="auto"/>
                <w:szCs w:val="21"/>
              </w:rPr>
              <w:br w:type="textWrapping"/>
            </w:r>
            <w:r>
              <w:rPr>
                <w:rFonts w:hint="eastAsia" w:ascii="宋体" w:hAnsi="宋体" w:cs="宋体"/>
                <w:color w:val="auto"/>
                <w:szCs w:val="21"/>
              </w:rPr>
              <w:t>3、全钢架构，一体成型工艺，表面采用高分子喷塑工艺与不锈钢板镶拼饰面，不锈钢包边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4、不锈钢拉手，电磁锁。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16.9</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铅玻璃观察窗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1.铅玻璃观察窗800*600，2.5mmpb</w:t>
            </w:r>
            <w:r>
              <w:rPr>
                <w:rFonts w:hint="eastAsia" w:ascii="宋体" w:hAnsi="宋体" w:cs="宋体"/>
                <w:color w:val="auto"/>
                <w:szCs w:val="21"/>
              </w:rPr>
              <w:br w:type="textWrapping"/>
            </w:r>
            <w:r>
              <w:rPr>
                <w:rFonts w:hint="eastAsia" w:ascii="宋体" w:hAnsi="宋体" w:cs="宋体"/>
                <w:color w:val="auto"/>
                <w:szCs w:val="21"/>
              </w:rPr>
              <w:t>2.铅玻璃厚≥12mm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0.48</w:t>
            </w:r>
          </w:p>
        </w:tc>
      </w:tr>
      <w:tr>
        <w:tblPrEx>
          <w:tblCellMar>
            <w:top w:w="0" w:type="dxa"/>
            <w:left w:w="108" w:type="dxa"/>
            <w:bottom w:w="0" w:type="dxa"/>
            <w:right w:w="108" w:type="dxa"/>
          </w:tblCellMar>
        </w:tblPrEx>
        <w:trPr>
          <w:gridAfter w:val="1"/>
          <w:wAfter w:w="127" w:type="pct"/>
          <w:trHeight w:val="126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16.10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2.铅当量：2mmpb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16.11</w:t>
            </w:r>
          </w:p>
        </w:tc>
        <w:tc>
          <w:tcPr>
            <w:tcW w:w="1250"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1、吸顶式换气扇</w:t>
            </w:r>
            <w:r>
              <w:rPr>
                <w:rFonts w:hint="eastAsia" w:ascii="宋体" w:hAnsi="宋体" w:cs="宋体"/>
                <w:color w:val="auto"/>
                <w:szCs w:val="21"/>
              </w:rPr>
              <w:br w:type="textWrapping"/>
            </w:r>
            <w:r>
              <w:rPr>
                <w:rFonts w:hint="eastAsia" w:ascii="宋体" w:hAnsi="宋体" w:cs="宋体"/>
                <w:color w:val="auto"/>
                <w:szCs w:val="21"/>
              </w:rPr>
              <w:t>2、通风口、通风管道防护处理</w:t>
            </w:r>
            <w:r>
              <w:rPr>
                <w:rFonts w:hint="eastAsia" w:ascii="宋体" w:hAnsi="宋体" w:cs="宋体"/>
                <w:color w:val="auto"/>
                <w:szCs w:val="21"/>
              </w:rPr>
              <w:br w:type="textWrapping"/>
            </w:r>
            <w:r>
              <w:rPr>
                <w:rFonts w:hint="eastAsia" w:ascii="宋体" w:hAnsi="宋体" w:cs="宋体"/>
                <w:color w:val="auto"/>
                <w:szCs w:val="21"/>
              </w:rPr>
              <w:t>3、排风扇开孔打洞</w:t>
            </w:r>
          </w:p>
        </w:tc>
        <w:tc>
          <w:tcPr>
            <w:tcW w:w="537" w:type="pct"/>
            <w:tcBorders>
              <w:top w:val="single" w:color="000000" w:sz="4" w:space="0"/>
              <w:left w:val="single" w:color="000000" w:sz="4" w:space="0"/>
              <w:bottom w:val="single" w:color="000000"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 xml:space="preserve">16.12 </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02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16.13</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17</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eastAsia="宋体" w:cs="宋体"/>
                <w:color w:val="auto"/>
                <w:szCs w:val="21"/>
                <w:lang w:eastAsia="zh-CN"/>
              </w:rPr>
            </w:pPr>
            <w:r>
              <w:rPr>
                <w:rFonts w:hint="eastAsia" w:ascii="宋体" w:hAnsi="宋体" w:cs="宋体"/>
                <w:color w:val="auto"/>
                <w:szCs w:val="21"/>
              </w:rPr>
              <w:t>CT机房</w:t>
            </w:r>
            <w:r>
              <w:rPr>
                <w:rFonts w:hint="eastAsia" w:ascii="宋体" w:hAnsi="宋体" w:cs="宋体"/>
                <w:color w:val="auto"/>
                <w:szCs w:val="21"/>
                <w:lang w:eastAsia="zh-CN"/>
              </w:rPr>
              <w:t>（急诊一层）</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.1</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80*40镀锌方钢钢结构支架</w:t>
            </w:r>
            <w:r>
              <w:rPr>
                <w:rFonts w:hint="eastAsia" w:ascii="宋体" w:hAnsi="宋体" w:cs="宋体"/>
                <w:color w:val="auto"/>
                <w:szCs w:val="21"/>
              </w:rPr>
              <w:br w:type="textWrapping"/>
            </w:r>
            <w:r>
              <w:rPr>
                <w:rFonts w:hint="eastAsia" w:ascii="宋体" w:hAnsi="宋体" w:cs="宋体"/>
                <w:color w:val="auto"/>
                <w:szCs w:val="21"/>
              </w:rPr>
              <w:t>2.</w:t>
            </w:r>
            <w:r>
              <w:rPr>
                <w:rFonts w:hint="eastAsia" w:ascii="宋体" w:hAnsi="宋体" w:cs="宋体"/>
                <w:color w:val="auto"/>
                <w:szCs w:val="21"/>
                <w:lang w:eastAsia="zh-CN"/>
              </w:rPr>
              <w:t>施工部位：一层吊顶上方</w:t>
            </w:r>
            <w:r>
              <w:rPr>
                <w:rFonts w:hint="eastAsia" w:ascii="宋体" w:hAnsi="宋体" w:cs="宋体"/>
                <w:color w:val="auto"/>
                <w:szCs w:val="21"/>
              </w:rPr>
              <w:br w:type="textWrapping"/>
            </w:r>
            <w:r>
              <w:rPr>
                <w:rFonts w:hint="eastAsia" w:ascii="宋体" w:hAnsi="宋体" w:cs="宋体"/>
                <w:color w:val="auto"/>
                <w:szCs w:val="21"/>
              </w:rPr>
              <w:t>3.</w:t>
            </w:r>
            <w:r>
              <w:rPr>
                <w:rFonts w:hint="eastAsia" w:ascii="宋体" w:hAnsi="宋体" w:cs="宋体"/>
                <w:color w:val="auto"/>
                <w:szCs w:val="21"/>
                <w:lang w:eastAsia="zh-CN"/>
              </w:rPr>
              <w:t>高密度防护钡板</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30.3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.2</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lang w:val="en-US" w:eastAsia="zh-CN"/>
              </w:rPr>
              <w:t>30.3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.3</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2.喷刷涂料部位:内墙面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w:t>
            </w:r>
            <w:r>
              <w:rPr>
                <w:rFonts w:hint="eastAsia" w:ascii="宋体" w:hAnsi="宋体" w:cs="宋体"/>
                <w:color w:val="auto"/>
                <w:szCs w:val="21"/>
                <w:lang w:val="en-US" w:eastAsia="zh-CN"/>
              </w:rPr>
              <w:t>4</w:t>
            </w:r>
            <w:r>
              <w:rPr>
                <w:rFonts w:hint="eastAsia" w:ascii="宋体" w:hAnsi="宋体" w:cs="宋体"/>
                <w:color w:val="auto"/>
                <w:szCs w:val="21"/>
              </w:rPr>
              <w:t>.0mmpb</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lang w:val="en-US" w:eastAsia="zh-CN"/>
              </w:rPr>
              <w:t>30.3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.4</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lang w:val="en-US" w:eastAsia="zh-CN"/>
              </w:rPr>
              <w:t>30.3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.5</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2.喷刷涂料部位:地面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3.涂料品种、喷刷遍数:水泥：防护涂料（1：5），0-5mm颗粒状20mm厚高密度SFT复合防护钡砂</w:t>
            </w:r>
            <w:r>
              <w:rPr>
                <w:rFonts w:hint="eastAsia" w:ascii="宋体" w:hAnsi="宋体" w:cs="宋体"/>
                <w:color w:val="auto"/>
                <w:szCs w:val="21"/>
              </w:rPr>
              <w:br w:type="textWrapping"/>
            </w:r>
            <w:r>
              <w:rPr>
                <w:rFonts w:hint="eastAsia" w:ascii="宋体" w:hAnsi="宋体" w:cs="宋体"/>
                <w:color w:val="auto"/>
                <w:szCs w:val="21"/>
              </w:rPr>
              <w:t>4.铅当量:≥</w:t>
            </w:r>
            <w:r>
              <w:rPr>
                <w:rFonts w:hint="eastAsia" w:ascii="宋体" w:hAnsi="宋体" w:cs="宋体"/>
                <w:color w:val="auto"/>
                <w:szCs w:val="21"/>
                <w:lang w:val="en-US" w:eastAsia="zh-CN"/>
              </w:rPr>
              <w:t>4</w:t>
            </w:r>
            <w:r>
              <w:rPr>
                <w:rFonts w:hint="eastAsia" w:ascii="宋体" w:hAnsi="宋体" w:cs="宋体"/>
                <w:color w:val="auto"/>
                <w:szCs w:val="21"/>
              </w:rPr>
              <w:t>.0mmpb</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77.8</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.6</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66.7</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.7</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电动防护平移门</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1、洞口尺寸1500*2100，门体尺寸1800*2250</w:t>
            </w:r>
            <w:r>
              <w:rPr>
                <w:rFonts w:hint="eastAsia" w:ascii="宋体" w:hAnsi="宋体" w:cs="宋体"/>
                <w:color w:val="auto"/>
                <w:szCs w:val="21"/>
              </w:rPr>
              <w:br w:type="textWrapping"/>
            </w:r>
            <w:r>
              <w:rPr>
                <w:rFonts w:hint="eastAsia" w:ascii="宋体" w:hAnsi="宋体" w:cs="宋体"/>
                <w:color w:val="auto"/>
                <w:szCs w:val="21"/>
              </w:rPr>
              <w:t>2、内衬4mm铅板防护铅当量4.0mmpb</w:t>
            </w:r>
            <w:r>
              <w:rPr>
                <w:rFonts w:hint="eastAsia" w:ascii="宋体" w:hAnsi="宋体" w:cs="宋体"/>
                <w:color w:val="auto"/>
                <w:szCs w:val="21"/>
              </w:rPr>
              <w:br w:type="textWrapping"/>
            </w:r>
            <w:r>
              <w:rPr>
                <w:rFonts w:hint="eastAsia" w:ascii="宋体" w:hAnsi="宋体" w:cs="宋体"/>
                <w:color w:val="auto"/>
                <w:szCs w:val="21"/>
              </w:rPr>
              <w:t>3、全钢架结构，乳白色防静电板与不锈钢板镶拼饰面，不锈钢包边，升降式、下轨道防护铅条。</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.8</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电动平移门门机（医用标准自动门）</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1、医用标准自动门微电脑控制器</w:t>
            </w:r>
            <w:r>
              <w:rPr>
                <w:rFonts w:hint="eastAsia" w:ascii="宋体" w:hAnsi="宋体" w:cs="宋体"/>
                <w:color w:val="auto"/>
                <w:szCs w:val="21"/>
              </w:rPr>
              <w:br w:type="textWrapping"/>
            </w:r>
            <w:r>
              <w:rPr>
                <w:rFonts w:hint="eastAsia" w:ascii="宋体" w:hAnsi="宋体" w:cs="宋体"/>
                <w:color w:val="auto"/>
                <w:szCs w:val="21"/>
              </w:rPr>
              <w:t>2、微型直流电机</w:t>
            </w:r>
            <w:r>
              <w:rPr>
                <w:rFonts w:hint="eastAsia" w:ascii="宋体" w:hAnsi="宋体" w:cs="宋体"/>
                <w:color w:val="auto"/>
                <w:szCs w:val="21"/>
              </w:rPr>
              <w:br w:type="textWrapping"/>
            </w:r>
            <w:r>
              <w:rPr>
                <w:rFonts w:hint="eastAsia" w:ascii="宋体" w:hAnsi="宋体" w:cs="宋体"/>
                <w:color w:val="auto"/>
                <w:szCs w:val="21"/>
              </w:rPr>
              <w:t>3、2米高红外线安全光幕</w:t>
            </w:r>
            <w:r>
              <w:rPr>
                <w:rFonts w:hint="eastAsia" w:ascii="宋体" w:hAnsi="宋体" w:cs="宋体"/>
                <w:color w:val="auto"/>
                <w:szCs w:val="21"/>
              </w:rPr>
              <w:br w:type="textWrapping"/>
            </w:r>
            <w:r>
              <w:rPr>
                <w:rFonts w:hint="eastAsia" w:ascii="宋体" w:hAnsi="宋体" w:cs="宋体"/>
                <w:color w:val="auto"/>
                <w:szCs w:val="21"/>
              </w:rPr>
              <w:t>4、整体铝合金大梁等配件，手控加脚控开关。</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.9</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1、门洞尺寸：1000*2120，门体尺寸：980*2100</w:t>
            </w:r>
            <w:r>
              <w:rPr>
                <w:rFonts w:hint="eastAsia" w:ascii="宋体" w:hAnsi="宋体" w:cs="宋体"/>
                <w:color w:val="auto"/>
                <w:szCs w:val="21"/>
              </w:rPr>
              <w:br w:type="textWrapping"/>
            </w:r>
            <w:r>
              <w:rPr>
                <w:rFonts w:hint="eastAsia" w:ascii="宋体" w:hAnsi="宋体" w:cs="宋体"/>
                <w:color w:val="auto"/>
                <w:szCs w:val="21"/>
              </w:rPr>
              <w:t>2、内衬4mm铅板防护铅当量4.0mmpb</w:t>
            </w:r>
            <w:r>
              <w:rPr>
                <w:rFonts w:hint="eastAsia" w:ascii="宋体" w:hAnsi="宋体" w:cs="宋体"/>
                <w:color w:val="auto"/>
                <w:szCs w:val="21"/>
              </w:rPr>
              <w:br w:type="textWrapping"/>
            </w:r>
            <w:r>
              <w:rPr>
                <w:rFonts w:hint="eastAsia" w:ascii="宋体" w:hAnsi="宋体" w:cs="宋体"/>
                <w:color w:val="auto"/>
                <w:szCs w:val="21"/>
              </w:rPr>
              <w:t>3、全钢架构，乳白色防静电版与不锈钢板镶拼饰面，不锈钢包边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4、不锈钢啦手，中控牌电磁锁。</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 xml:space="preserve">.10 </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铅玻璃观察窗</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1.铅玻璃观察窗1</w:t>
            </w:r>
            <w:r>
              <w:rPr>
                <w:rFonts w:hint="eastAsia" w:ascii="宋体" w:hAnsi="宋体" w:cs="宋体"/>
                <w:color w:val="auto"/>
                <w:szCs w:val="21"/>
                <w:lang w:val="en-US" w:eastAsia="zh-CN"/>
              </w:rPr>
              <w:t>2</w:t>
            </w:r>
            <w:r>
              <w:rPr>
                <w:rFonts w:hint="eastAsia" w:ascii="宋体" w:hAnsi="宋体" w:cs="宋体"/>
                <w:color w:val="auto"/>
                <w:szCs w:val="21"/>
              </w:rPr>
              <w:t>00*</w:t>
            </w:r>
            <w:r>
              <w:rPr>
                <w:rFonts w:hint="eastAsia" w:ascii="宋体" w:hAnsi="宋体" w:cs="宋体"/>
                <w:color w:val="auto"/>
                <w:szCs w:val="21"/>
                <w:lang w:val="en-US" w:eastAsia="zh-CN"/>
              </w:rPr>
              <w:t>8</w:t>
            </w:r>
            <w:r>
              <w:rPr>
                <w:rFonts w:hint="eastAsia" w:ascii="宋体" w:hAnsi="宋体" w:cs="宋体"/>
                <w:color w:val="auto"/>
                <w:szCs w:val="21"/>
              </w:rPr>
              <w:t>00，4mmpb</w:t>
            </w:r>
            <w:r>
              <w:rPr>
                <w:rFonts w:hint="eastAsia" w:ascii="宋体" w:hAnsi="宋体" w:cs="宋体"/>
                <w:color w:val="auto"/>
                <w:szCs w:val="21"/>
              </w:rPr>
              <w:br w:type="textWrapping"/>
            </w:r>
            <w:r>
              <w:rPr>
                <w:rFonts w:hint="eastAsia" w:ascii="宋体" w:hAnsi="宋体" w:cs="宋体"/>
                <w:color w:val="auto"/>
                <w:szCs w:val="21"/>
              </w:rPr>
              <w:t>2.铅玻璃厚≥</w:t>
            </w:r>
            <w:r>
              <w:rPr>
                <w:rFonts w:hint="eastAsia" w:ascii="宋体" w:hAnsi="宋体" w:cs="宋体"/>
                <w:color w:val="auto"/>
                <w:szCs w:val="21"/>
                <w:lang w:val="en-US" w:eastAsia="zh-CN"/>
              </w:rPr>
              <w:t>20</w:t>
            </w:r>
            <w:r>
              <w:rPr>
                <w:rFonts w:hint="eastAsia" w:ascii="宋体" w:hAnsi="宋体" w:cs="宋体"/>
                <w:color w:val="auto"/>
                <w:szCs w:val="21"/>
              </w:rPr>
              <w:t>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0.96</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.11</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2.铅当量：4mmpb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.12</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1、吸顶式换气扇</w:t>
            </w:r>
            <w:r>
              <w:rPr>
                <w:rFonts w:hint="eastAsia" w:ascii="宋体" w:hAnsi="宋体" w:cs="宋体"/>
                <w:color w:val="auto"/>
                <w:szCs w:val="21"/>
              </w:rPr>
              <w:br w:type="textWrapping"/>
            </w:r>
            <w:r>
              <w:rPr>
                <w:rFonts w:hint="eastAsia" w:ascii="宋体" w:hAnsi="宋体" w:cs="宋体"/>
                <w:color w:val="auto"/>
                <w:szCs w:val="21"/>
              </w:rPr>
              <w:t>2、通风口、通风管道防护处理</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.13</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17</w:t>
            </w:r>
            <w:r>
              <w:rPr>
                <w:rFonts w:hint="eastAsia" w:ascii="宋体" w:hAnsi="宋体" w:cs="宋体"/>
                <w:color w:val="auto"/>
                <w:szCs w:val="21"/>
              </w:rPr>
              <w:t>.14</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default" w:ascii="宋体" w:hAnsi="宋体" w:cs="宋体"/>
                <w:color w:val="auto"/>
                <w:szCs w:val="21"/>
                <w:lang w:val="en-US"/>
              </w:rPr>
            </w:pPr>
            <w:r>
              <w:rPr>
                <w:rFonts w:hint="eastAsia" w:ascii="宋体" w:hAnsi="宋体" w:cs="宋体"/>
                <w:color w:val="auto"/>
                <w:szCs w:val="21"/>
                <w:lang w:val="en-US" w:eastAsia="zh-CN"/>
              </w:rPr>
              <w:t>18</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lang w:val="en-US" w:eastAsia="zh-CN"/>
              </w:rPr>
              <w:t>DR</w:t>
            </w:r>
            <w:r>
              <w:rPr>
                <w:rFonts w:hint="eastAsia" w:ascii="宋体" w:hAnsi="宋体" w:cs="宋体"/>
                <w:color w:val="auto"/>
                <w:szCs w:val="21"/>
              </w:rPr>
              <w:t>机房</w:t>
            </w:r>
            <w:r>
              <w:rPr>
                <w:rFonts w:hint="eastAsia" w:ascii="宋体" w:hAnsi="宋体" w:cs="宋体"/>
                <w:color w:val="auto"/>
                <w:szCs w:val="21"/>
                <w:lang w:eastAsia="zh-CN"/>
              </w:rPr>
              <w:t>（急诊一层）</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.1</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顶部防护</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80*40镀锌方钢钢结构支架</w:t>
            </w:r>
            <w:r>
              <w:rPr>
                <w:rFonts w:hint="eastAsia" w:ascii="宋体" w:hAnsi="宋体" w:cs="宋体"/>
                <w:color w:val="auto"/>
                <w:szCs w:val="21"/>
              </w:rPr>
              <w:br w:type="textWrapping"/>
            </w:r>
            <w:r>
              <w:rPr>
                <w:rFonts w:hint="eastAsia" w:ascii="宋体" w:hAnsi="宋体" w:cs="宋体"/>
                <w:color w:val="auto"/>
                <w:szCs w:val="21"/>
              </w:rPr>
              <w:t>2.</w:t>
            </w:r>
            <w:r>
              <w:rPr>
                <w:rFonts w:hint="eastAsia" w:ascii="宋体" w:hAnsi="宋体" w:cs="宋体"/>
                <w:color w:val="auto"/>
                <w:szCs w:val="21"/>
                <w:lang w:eastAsia="zh-CN"/>
              </w:rPr>
              <w:t>施工部位：一层吊顶上方</w:t>
            </w:r>
            <w:r>
              <w:rPr>
                <w:rFonts w:hint="eastAsia" w:ascii="宋体" w:hAnsi="宋体" w:cs="宋体"/>
                <w:color w:val="auto"/>
                <w:szCs w:val="21"/>
              </w:rPr>
              <w:br w:type="textWrapping"/>
            </w:r>
            <w:r>
              <w:rPr>
                <w:rFonts w:hint="eastAsia" w:ascii="宋体" w:hAnsi="宋体" w:cs="宋体"/>
                <w:color w:val="auto"/>
                <w:szCs w:val="21"/>
              </w:rPr>
              <w:t>3.</w:t>
            </w:r>
            <w:r>
              <w:rPr>
                <w:rFonts w:hint="eastAsia" w:ascii="宋体" w:hAnsi="宋体" w:cs="宋体"/>
                <w:color w:val="auto"/>
                <w:szCs w:val="21"/>
                <w:lang w:eastAsia="zh-CN"/>
              </w:rPr>
              <w:t>高密度防护钡板</w:t>
            </w:r>
            <w:r>
              <w:rPr>
                <w:rFonts w:hint="eastAsia" w:ascii="宋体" w:hAnsi="宋体" w:cs="宋体"/>
                <w:color w:val="auto"/>
                <w:szCs w:val="21"/>
              </w:rPr>
              <w:br w:type="textWrapping"/>
            </w:r>
            <w:r>
              <w:rPr>
                <w:rFonts w:hint="eastAsia" w:ascii="宋体" w:hAnsi="宋体" w:cs="宋体"/>
                <w:color w:val="auto"/>
                <w:szCs w:val="21"/>
              </w:rPr>
              <w:t>4.铅当量:≥</w:t>
            </w:r>
            <w:r>
              <w:rPr>
                <w:rFonts w:hint="eastAsia" w:ascii="宋体" w:hAnsi="宋体" w:cs="宋体"/>
                <w:color w:val="auto"/>
                <w:szCs w:val="21"/>
                <w:lang w:val="en-US" w:eastAsia="zh-CN"/>
              </w:rPr>
              <w:t>2</w:t>
            </w:r>
            <w:r>
              <w:rPr>
                <w:rFonts w:hint="eastAsia" w:ascii="宋体" w:hAnsi="宋体" w:cs="宋体"/>
                <w:color w:val="auto"/>
                <w:szCs w:val="21"/>
              </w:rPr>
              <w:t>.0mmpb</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lang w:val="en-US" w:eastAsia="zh-CN"/>
              </w:rPr>
              <w:t>23.3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.2</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顶面装饰</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1、轻钢龙骨支架</w:t>
            </w:r>
            <w:r>
              <w:rPr>
                <w:rFonts w:hint="eastAsia" w:ascii="宋体" w:hAnsi="宋体" w:cs="宋体"/>
                <w:color w:val="auto"/>
                <w:szCs w:val="21"/>
              </w:rPr>
              <w:br w:type="textWrapping"/>
            </w:r>
            <w:r>
              <w:rPr>
                <w:rFonts w:hint="eastAsia" w:ascii="宋体" w:hAnsi="宋体" w:cs="宋体"/>
                <w:color w:val="auto"/>
                <w:szCs w:val="21"/>
              </w:rPr>
              <w:t>2、厚度0.8mm</w:t>
            </w:r>
            <w:r>
              <w:rPr>
                <w:rFonts w:hint="eastAsia" w:ascii="宋体" w:hAnsi="宋体" w:cs="宋体"/>
                <w:color w:val="auto"/>
                <w:szCs w:val="21"/>
              </w:rPr>
              <w:br w:type="textWrapping"/>
            </w:r>
            <w:r>
              <w:rPr>
                <w:rFonts w:hint="eastAsia" w:ascii="宋体" w:hAnsi="宋体" w:cs="宋体"/>
                <w:color w:val="auto"/>
                <w:szCs w:val="21"/>
              </w:rPr>
              <w:t>3、600*600铝扣板装饰</w:t>
            </w:r>
            <w:r>
              <w:rPr>
                <w:rFonts w:hint="eastAsia" w:ascii="宋体" w:hAnsi="宋体" w:cs="宋体"/>
                <w:color w:val="auto"/>
                <w:szCs w:val="21"/>
              </w:rPr>
              <w:br w:type="textWrapping"/>
            </w:r>
            <w:r>
              <w:rPr>
                <w:rFonts w:hint="eastAsia" w:ascii="宋体" w:hAnsi="宋体" w:cs="宋体"/>
                <w:color w:val="auto"/>
                <w:szCs w:val="21"/>
              </w:rPr>
              <w:t>4、防辐射保护层</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lang w:val="en-US" w:eastAsia="zh-CN"/>
              </w:rPr>
              <w:t>23.3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.3</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地面防护</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2.喷刷涂料部位:内墙面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 高密度SFT复合防护钡砂</w:t>
            </w:r>
            <w:r>
              <w:rPr>
                <w:rFonts w:hint="eastAsia" w:ascii="宋体" w:hAnsi="宋体" w:cs="宋体"/>
                <w:color w:val="auto"/>
                <w:szCs w:val="21"/>
              </w:rPr>
              <w:br w:type="textWrapping"/>
            </w:r>
            <w:r>
              <w:rPr>
                <w:rFonts w:hint="eastAsia" w:ascii="宋体" w:hAnsi="宋体" w:cs="宋体"/>
                <w:color w:val="auto"/>
                <w:szCs w:val="21"/>
              </w:rPr>
              <w:t>4.铅当量:≥3.0mmpb</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lang w:val="en-US" w:eastAsia="zh-CN"/>
              </w:rPr>
              <w:t>23.3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.4</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地面装饰</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1、地面自流平找平</w:t>
            </w:r>
            <w:r>
              <w:rPr>
                <w:rFonts w:hint="eastAsia" w:ascii="宋体" w:hAnsi="宋体" w:cs="宋体"/>
                <w:color w:val="auto"/>
                <w:szCs w:val="21"/>
              </w:rPr>
              <w:br w:type="textWrapping"/>
            </w:r>
            <w:r>
              <w:rPr>
                <w:rFonts w:hint="eastAsia" w:ascii="宋体" w:hAnsi="宋体" w:cs="宋体"/>
                <w:color w:val="auto"/>
                <w:szCs w:val="21"/>
              </w:rPr>
              <w:t>2、2mm同透地胶板装饰</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23.3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.5</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四周墙体防护</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eastAsia="宋体" w:cs="宋体"/>
                <w:color w:val="auto"/>
                <w:sz w:val="21"/>
                <w:szCs w:val="21"/>
                <w:lang w:val="en-US" w:eastAsia="zh-CN" w:bidi="ar-SA"/>
              </w:rPr>
            </w:pPr>
            <w:r>
              <w:rPr>
                <w:rFonts w:hint="eastAsia" w:ascii="宋体" w:hAnsi="宋体" w:cs="宋体"/>
                <w:color w:val="auto"/>
                <w:szCs w:val="21"/>
              </w:rPr>
              <w:t>1.基层类型:抹灰面</w:t>
            </w:r>
            <w:r>
              <w:rPr>
                <w:rFonts w:hint="eastAsia" w:ascii="宋体" w:hAnsi="宋体" w:cs="宋体"/>
                <w:color w:val="auto"/>
                <w:szCs w:val="21"/>
              </w:rPr>
              <w:br w:type="textWrapping"/>
            </w:r>
            <w:r>
              <w:rPr>
                <w:rFonts w:hint="eastAsia" w:ascii="宋体" w:hAnsi="宋体" w:cs="宋体"/>
                <w:color w:val="auto"/>
                <w:szCs w:val="21"/>
              </w:rPr>
              <w:t>2.喷刷涂料部位:地面</w:t>
            </w:r>
            <w:r>
              <w:rPr>
                <w:rFonts w:hint="eastAsia" w:ascii="宋体" w:hAnsi="宋体" w:cs="宋体"/>
                <w:color w:val="auto"/>
                <w:szCs w:val="21"/>
              </w:rPr>
              <w:br w:type="textWrapping"/>
            </w:r>
            <w:r>
              <w:rPr>
                <w:rFonts w:hint="eastAsia" w:ascii="宋体" w:hAnsi="宋体" w:cs="宋体"/>
                <w:color w:val="auto"/>
                <w:szCs w:val="21"/>
              </w:rPr>
              <w:t>3.涂料品种、喷刷遍数:水泥：防护涂料（1：5），0-5mm颗粒状20mm厚高密度SFT复合防护钡砂</w:t>
            </w:r>
            <w:r>
              <w:rPr>
                <w:rFonts w:hint="eastAsia" w:ascii="宋体" w:hAnsi="宋体" w:cs="宋体"/>
                <w:color w:val="auto"/>
                <w:szCs w:val="21"/>
              </w:rPr>
              <w:br w:type="textWrapping"/>
            </w:r>
            <w:r>
              <w:rPr>
                <w:rFonts w:hint="eastAsia" w:ascii="宋体" w:hAnsi="宋体" w:cs="宋体"/>
                <w:color w:val="auto"/>
                <w:szCs w:val="21"/>
              </w:rPr>
              <w:t>4.铅当量:≥</w:t>
            </w:r>
            <w:r>
              <w:rPr>
                <w:rFonts w:hint="eastAsia" w:ascii="宋体" w:hAnsi="宋体" w:cs="宋体"/>
                <w:color w:val="auto"/>
                <w:szCs w:val="21"/>
                <w:lang w:val="en-US" w:eastAsia="zh-CN"/>
              </w:rPr>
              <w:t>3</w:t>
            </w:r>
            <w:r>
              <w:rPr>
                <w:rFonts w:hint="eastAsia" w:ascii="宋体" w:hAnsi="宋体" w:cs="宋体"/>
                <w:color w:val="auto"/>
                <w:szCs w:val="21"/>
              </w:rPr>
              <w:t>.0mmpb</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70.1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.6</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无机预涂洁净板</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1、品名：6mm无机预涂板，含基础找平层</w:t>
            </w:r>
            <w:r>
              <w:rPr>
                <w:rFonts w:hint="eastAsia" w:ascii="宋体" w:hAnsi="宋体" w:cs="宋体"/>
                <w:color w:val="auto"/>
                <w:szCs w:val="21"/>
              </w:rPr>
              <w:br w:type="textWrapping"/>
            </w:r>
            <w:r>
              <w:rPr>
                <w:rFonts w:hint="eastAsia" w:ascii="宋体" w:hAnsi="宋体" w:cs="宋体"/>
                <w:color w:val="auto"/>
                <w:szCs w:val="21"/>
              </w:rPr>
              <w:t>2、颜色：蓝色</w:t>
            </w:r>
            <w:r>
              <w:rPr>
                <w:rFonts w:hint="eastAsia" w:ascii="宋体" w:hAnsi="宋体" w:cs="宋体"/>
                <w:color w:val="auto"/>
                <w:szCs w:val="21"/>
              </w:rPr>
              <w:br w:type="textWrapping"/>
            </w:r>
            <w:r>
              <w:rPr>
                <w:rFonts w:hint="eastAsia" w:ascii="宋体" w:hAnsi="宋体" w:cs="宋体"/>
                <w:color w:val="auto"/>
                <w:szCs w:val="21"/>
              </w:rPr>
              <w:t>3、防辐射保护层</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60.1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.7</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电动防护平移门</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1、洞口尺寸1500*2100，门体尺寸1800*2250</w:t>
            </w:r>
            <w:r>
              <w:rPr>
                <w:rFonts w:hint="eastAsia" w:ascii="宋体" w:hAnsi="宋体" w:cs="宋体"/>
                <w:color w:val="auto"/>
                <w:szCs w:val="21"/>
              </w:rPr>
              <w:br w:type="textWrapping"/>
            </w:r>
            <w:r>
              <w:rPr>
                <w:rFonts w:hint="eastAsia" w:ascii="宋体" w:hAnsi="宋体" w:cs="宋体"/>
                <w:color w:val="auto"/>
                <w:szCs w:val="21"/>
              </w:rPr>
              <w:t>2、内衬4mm铅板防护铅当量4.0mmpb</w:t>
            </w:r>
            <w:r>
              <w:rPr>
                <w:rFonts w:hint="eastAsia" w:ascii="宋体" w:hAnsi="宋体" w:cs="宋体"/>
                <w:color w:val="auto"/>
                <w:szCs w:val="21"/>
              </w:rPr>
              <w:br w:type="textWrapping"/>
            </w:r>
            <w:r>
              <w:rPr>
                <w:rFonts w:hint="eastAsia" w:ascii="宋体" w:hAnsi="宋体" w:cs="宋体"/>
                <w:color w:val="auto"/>
                <w:szCs w:val="21"/>
              </w:rPr>
              <w:t>3、全钢架结构，乳白色防静电板与不锈钢板镶拼饰面，不锈钢包边，升降式、下轨道防护铅条。</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.8</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电动平移门门机（医用标准自动门）</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1、医用标准自动门微电脑控制器</w:t>
            </w:r>
            <w:r>
              <w:rPr>
                <w:rFonts w:hint="eastAsia" w:ascii="宋体" w:hAnsi="宋体" w:cs="宋体"/>
                <w:color w:val="auto"/>
                <w:szCs w:val="21"/>
              </w:rPr>
              <w:br w:type="textWrapping"/>
            </w:r>
            <w:r>
              <w:rPr>
                <w:rFonts w:hint="eastAsia" w:ascii="宋体" w:hAnsi="宋体" w:cs="宋体"/>
                <w:color w:val="auto"/>
                <w:szCs w:val="21"/>
              </w:rPr>
              <w:t>2、微型直流电机</w:t>
            </w:r>
            <w:r>
              <w:rPr>
                <w:rFonts w:hint="eastAsia" w:ascii="宋体" w:hAnsi="宋体" w:cs="宋体"/>
                <w:color w:val="auto"/>
                <w:szCs w:val="21"/>
              </w:rPr>
              <w:br w:type="textWrapping"/>
            </w:r>
            <w:r>
              <w:rPr>
                <w:rFonts w:hint="eastAsia" w:ascii="宋体" w:hAnsi="宋体" w:cs="宋体"/>
                <w:color w:val="auto"/>
                <w:szCs w:val="21"/>
              </w:rPr>
              <w:t>3、2米高红外线安全光幕</w:t>
            </w:r>
            <w:r>
              <w:rPr>
                <w:rFonts w:hint="eastAsia" w:ascii="宋体" w:hAnsi="宋体" w:cs="宋体"/>
                <w:color w:val="auto"/>
                <w:szCs w:val="21"/>
              </w:rPr>
              <w:br w:type="textWrapping"/>
            </w:r>
            <w:r>
              <w:rPr>
                <w:rFonts w:hint="eastAsia" w:ascii="宋体" w:hAnsi="宋体" w:cs="宋体"/>
                <w:color w:val="auto"/>
                <w:szCs w:val="21"/>
              </w:rPr>
              <w:t>4、整体铝合金大梁等配件，手控加脚控开关。</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.9</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手动防护平开门</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1、门洞尺寸：1000*2120，门体尺寸：980*2100</w:t>
            </w:r>
            <w:r>
              <w:rPr>
                <w:rFonts w:hint="eastAsia" w:ascii="宋体" w:hAnsi="宋体" w:cs="宋体"/>
                <w:color w:val="auto"/>
                <w:szCs w:val="21"/>
              </w:rPr>
              <w:br w:type="textWrapping"/>
            </w:r>
            <w:r>
              <w:rPr>
                <w:rFonts w:hint="eastAsia" w:ascii="宋体" w:hAnsi="宋体" w:cs="宋体"/>
                <w:color w:val="auto"/>
                <w:szCs w:val="21"/>
              </w:rPr>
              <w:t>2、内衬4mm铅板防护铅当量4.0mmpb</w:t>
            </w:r>
            <w:r>
              <w:rPr>
                <w:rFonts w:hint="eastAsia" w:ascii="宋体" w:hAnsi="宋体" w:cs="宋体"/>
                <w:color w:val="auto"/>
                <w:szCs w:val="21"/>
              </w:rPr>
              <w:br w:type="textWrapping"/>
            </w:r>
            <w:r>
              <w:rPr>
                <w:rFonts w:hint="eastAsia" w:ascii="宋体" w:hAnsi="宋体" w:cs="宋体"/>
                <w:color w:val="auto"/>
                <w:szCs w:val="21"/>
              </w:rPr>
              <w:t>3、全钢架构，乳白色防静电版与不锈钢板镶拼饰面，不锈钢包边</w:t>
            </w:r>
            <w:r>
              <w:rPr>
                <w:rFonts w:hint="eastAsia" w:ascii="宋体" w:hAnsi="宋体" w:cs="宋体"/>
                <w:color w:val="auto"/>
                <w:szCs w:val="21"/>
              </w:rPr>
              <w:br w:type="textWrapping"/>
            </w:r>
            <w:r>
              <w:rPr>
                <w:rFonts w:hint="eastAsia" w:ascii="宋体" w:hAnsi="宋体" w:cs="宋体"/>
                <w:color w:val="auto"/>
                <w:szCs w:val="21"/>
              </w:rPr>
              <w:t>4、不锈钢啦手，中控牌电磁锁。</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 xml:space="preserve">.10 </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铅玻璃观察窗</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1.铅玻璃观察窗1</w:t>
            </w:r>
            <w:r>
              <w:rPr>
                <w:rFonts w:hint="eastAsia" w:ascii="宋体" w:hAnsi="宋体" w:cs="宋体"/>
                <w:color w:val="auto"/>
                <w:szCs w:val="21"/>
                <w:lang w:val="en-US" w:eastAsia="zh-CN"/>
              </w:rPr>
              <w:t>2</w:t>
            </w:r>
            <w:r>
              <w:rPr>
                <w:rFonts w:hint="eastAsia" w:ascii="宋体" w:hAnsi="宋体" w:cs="宋体"/>
                <w:color w:val="auto"/>
                <w:szCs w:val="21"/>
              </w:rPr>
              <w:t>00*</w:t>
            </w:r>
            <w:r>
              <w:rPr>
                <w:rFonts w:hint="eastAsia" w:ascii="宋体" w:hAnsi="宋体" w:cs="宋体"/>
                <w:color w:val="auto"/>
                <w:szCs w:val="21"/>
                <w:lang w:val="en-US" w:eastAsia="zh-CN"/>
              </w:rPr>
              <w:t>8</w:t>
            </w:r>
            <w:r>
              <w:rPr>
                <w:rFonts w:hint="eastAsia" w:ascii="宋体" w:hAnsi="宋体" w:cs="宋体"/>
                <w:color w:val="auto"/>
                <w:szCs w:val="21"/>
              </w:rPr>
              <w:t>00，</w:t>
            </w:r>
            <w:r>
              <w:rPr>
                <w:rFonts w:hint="eastAsia" w:ascii="宋体" w:hAnsi="宋体" w:cs="宋体"/>
                <w:color w:val="auto"/>
                <w:szCs w:val="21"/>
                <w:lang w:val="en-US" w:eastAsia="zh-CN"/>
              </w:rPr>
              <w:t>3.5</w:t>
            </w:r>
            <w:r>
              <w:rPr>
                <w:rFonts w:hint="eastAsia" w:ascii="宋体" w:hAnsi="宋体" w:cs="宋体"/>
                <w:color w:val="auto"/>
                <w:szCs w:val="21"/>
              </w:rPr>
              <w:t>mmpb</w:t>
            </w:r>
            <w:r>
              <w:rPr>
                <w:rFonts w:hint="eastAsia" w:ascii="宋体" w:hAnsi="宋体" w:cs="宋体"/>
                <w:color w:val="auto"/>
                <w:szCs w:val="21"/>
              </w:rPr>
              <w:br w:type="textWrapping"/>
            </w:r>
            <w:r>
              <w:rPr>
                <w:rFonts w:hint="eastAsia" w:ascii="宋体" w:hAnsi="宋体" w:cs="宋体"/>
                <w:color w:val="auto"/>
                <w:szCs w:val="21"/>
              </w:rPr>
              <w:t>2.铅玻璃厚≥18mm</w:t>
            </w:r>
            <w:r>
              <w:rPr>
                <w:rFonts w:hint="eastAsia" w:ascii="宋体" w:hAnsi="宋体" w:cs="宋体"/>
                <w:color w:val="auto"/>
                <w:szCs w:val="21"/>
              </w:rPr>
              <w:br w:type="textWrapping"/>
            </w:r>
            <w:r>
              <w:rPr>
                <w:rFonts w:hint="eastAsia" w:ascii="宋体" w:hAnsi="宋体" w:cs="宋体"/>
                <w:color w:val="auto"/>
                <w:szCs w:val="21"/>
              </w:rPr>
              <w:t>3.透光率≥85%</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24"/>
                <w:szCs w:val="24"/>
              </w:rPr>
              <w:t>m</w:t>
            </w:r>
            <w:r>
              <w:rPr>
                <w:rFonts w:hint="eastAsia" w:ascii="宋体" w:hAnsi="宋体" w:cs="宋体"/>
                <w:color w:val="auto"/>
                <w:sz w:val="24"/>
                <w:szCs w:val="24"/>
                <w:vertAlign w:val="superscript"/>
              </w:rPr>
              <w:t>2</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0.96</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.11</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一体化防护门窗套</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1.材质：不锈钢门套</w:t>
            </w:r>
            <w:r>
              <w:rPr>
                <w:rFonts w:hint="eastAsia" w:ascii="宋体" w:hAnsi="宋体" w:cs="宋体"/>
                <w:color w:val="auto"/>
                <w:szCs w:val="21"/>
              </w:rPr>
              <w:br w:type="textWrapping"/>
            </w:r>
            <w:r>
              <w:rPr>
                <w:rFonts w:hint="eastAsia" w:ascii="宋体" w:hAnsi="宋体" w:cs="宋体"/>
                <w:color w:val="auto"/>
                <w:szCs w:val="21"/>
              </w:rPr>
              <w:t>2.铅当量：4mmpb</w:t>
            </w:r>
            <w:r>
              <w:rPr>
                <w:rFonts w:hint="eastAsia" w:ascii="宋体" w:hAnsi="宋体" w:cs="宋体"/>
                <w:color w:val="auto"/>
                <w:szCs w:val="21"/>
              </w:rPr>
              <w:br w:type="textWrapping"/>
            </w:r>
            <w:r>
              <w:rPr>
                <w:rFonts w:hint="eastAsia" w:ascii="宋体" w:hAnsi="宋体" w:cs="宋体"/>
                <w:color w:val="auto"/>
                <w:szCs w:val="21"/>
              </w:rPr>
              <w:t>3.预留安全光幕安装工艺槽（可拆卸）</w:t>
            </w:r>
            <w:r>
              <w:rPr>
                <w:rFonts w:hint="eastAsia" w:ascii="宋体" w:hAnsi="宋体" w:cs="宋体"/>
                <w:color w:val="auto"/>
                <w:szCs w:val="21"/>
              </w:rPr>
              <w:br w:type="textWrapping"/>
            </w:r>
            <w:r>
              <w:rPr>
                <w:rFonts w:hint="eastAsia" w:ascii="宋体" w:hAnsi="宋体" w:cs="宋体"/>
                <w:color w:val="auto"/>
                <w:szCs w:val="21"/>
              </w:rPr>
              <w:t>4.内置电源接口</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.12</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通风系统</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1、吸顶式换气扇</w:t>
            </w:r>
            <w:r>
              <w:rPr>
                <w:rFonts w:hint="eastAsia" w:ascii="宋体" w:hAnsi="宋体" w:cs="宋体"/>
                <w:color w:val="auto"/>
                <w:szCs w:val="21"/>
              </w:rPr>
              <w:br w:type="textWrapping"/>
            </w:r>
            <w:r>
              <w:rPr>
                <w:rFonts w:hint="eastAsia" w:ascii="宋体" w:hAnsi="宋体" w:cs="宋体"/>
                <w:color w:val="auto"/>
                <w:szCs w:val="21"/>
              </w:rPr>
              <w:t>2、通风口、通风管道防护处理</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.13</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警示系统</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1.名称：不锈钢板雕刻警示灯</w:t>
            </w:r>
            <w:r>
              <w:rPr>
                <w:rFonts w:hint="eastAsia" w:ascii="宋体" w:hAnsi="宋体" w:cs="宋体"/>
                <w:color w:val="auto"/>
                <w:szCs w:val="21"/>
              </w:rPr>
              <w:br w:type="textWrapping"/>
            </w:r>
            <w:r>
              <w:rPr>
                <w:rFonts w:hint="eastAsia" w:ascii="宋体" w:hAnsi="宋体" w:cs="宋体"/>
                <w:color w:val="auto"/>
                <w:szCs w:val="21"/>
              </w:rPr>
              <w:t>2.颜色：红（辐射有害，灯亮勿入）</w:t>
            </w:r>
            <w:r>
              <w:rPr>
                <w:rFonts w:hint="eastAsia" w:ascii="宋体" w:hAnsi="宋体" w:cs="宋体"/>
                <w:color w:val="auto"/>
                <w:szCs w:val="21"/>
              </w:rPr>
              <w:br w:type="textWrapping"/>
            </w:r>
            <w:r>
              <w:rPr>
                <w:rFonts w:hint="eastAsia" w:ascii="宋体" w:hAnsi="宋体" w:cs="宋体"/>
                <w:color w:val="auto"/>
                <w:szCs w:val="21"/>
              </w:rPr>
              <w:t>3.采用合格产品，门灯连锁。</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eastAsia" w:ascii="宋体" w:hAnsi="宋体" w:cs="宋体"/>
                <w:color w:val="auto"/>
                <w:szCs w:val="21"/>
              </w:rPr>
            </w:pPr>
            <w:r>
              <w:rPr>
                <w:rFonts w:hint="eastAsia" w:ascii="宋体" w:hAnsi="宋体" w:cs="宋体"/>
                <w:color w:val="auto"/>
                <w:szCs w:val="21"/>
                <w:lang w:val="en-US" w:eastAsia="zh-CN"/>
              </w:rPr>
              <w:t>18</w:t>
            </w:r>
            <w:r>
              <w:rPr>
                <w:rFonts w:hint="eastAsia" w:ascii="宋体" w:hAnsi="宋体" w:cs="宋体"/>
                <w:color w:val="auto"/>
                <w:szCs w:val="21"/>
              </w:rPr>
              <w:t>.14</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hint="eastAsia" w:ascii="宋体" w:hAnsi="宋体" w:cs="宋体"/>
                <w:color w:val="auto"/>
                <w:szCs w:val="21"/>
              </w:rPr>
            </w:pPr>
            <w:r>
              <w:rPr>
                <w:rFonts w:hint="eastAsia" w:ascii="宋体" w:hAnsi="宋体" w:cs="宋体"/>
                <w:color w:val="auto"/>
                <w:szCs w:val="21"/>
              </w:rPr>
              <w:t>管道管线防护</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开关、插座、新风管、排风管、水管、电缆沟及管线铅板防护。规格：3mm厚铅板。四周铅防护，含胶水及支架等。</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项</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450"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19</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直线加速器</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jc w:val="left"/>
              <w:rPr>
                <w:rFonts w:ascii="宋体" w:hAnsi="宋体" w:cs="宋体"/>
                <w:color w:val="auto"/>
                <w:szCs w:val="21"/>
              </w:rPr>
            </w:pP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jc w:val="center"/>
              <w:rPr>
                <w:rFonts w:ascii="宋体" w:hAnsi="宋体" w:cs="宋体"/>
                <w:color w:val="auto"/>
                <w:sz w:val="18"/>
                <w:szCs w:val="18"/>
              </w:rPr>
            </w:pP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jc w:val="right"/>
              <w:rPr>
                <w:rFonts w:ascii="宋体" w:hAnsi="宋体" w:cs="宋体"/>
                <w:color w:val="auto"/>
                <w:szCs w:val="21"/>
              </w:rPr>
            </w:pPr>
          </w:p>
        </w:tc>
      </w:tr>
      <w:tr>
        <w:tblPrEx>
          <w:tblCellMar>
            <w:top w:w="0" w:type="dxa"/>
            <w:left w:w="108" w:type="dxa"/>
            <w:bottom w:w="0" w:type="dxa"/>
            <w:right w:w="108" w:type="dxa"/>
          </w:tblCellMar>
        </w:tblPrEx>
        <w:trPr>
          <w:gridAfter w:val="1"/>
          <w:wAfter w:w="127" w:type="pct"/>
          <w:trHeight w:val="1699" w:hRule="atLeast"/>
        </w:trPr>
        <w:tc>
          <w:tcPr>
            <w:tcW w:w="424"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lang w:val="en-US" w:eastAsia="zh-CN"/>
              </w:rPr>
              <w:t>19</w:t>
            </w:r>
            <w:r>
              <w:rPr>
                <w:rFonts w:hint="eastAsia" w:ascii="宋体" w:hAnsi="宋体" w:cs="宋体"/>
                <w:color w:val="auto"/>
                <w:szCs w:val="21"/>
              </w:rPr>
              <w:t>.1</w:t>
            </w:r>
          </w:p>
        </w:tc>
        <w:tc>
          <w:tcPr>
            <w:tcW w:w="1250"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直线加速器大门</w:t>
            </w:r>
          </w:p>
        </w:tc>
        <w:tc>
          <w:tcPr>
            <w:tcW w:w="2174" w:type="pct"/>
            <w:tcBorders>
              <w:top w:val="single" w:color="auto"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1.门洞尺寸：1600*2300</w:t>
            </w:r>
            <w:r>
              <w:rPr>
                <w:rFonts w:hint="eastAsia" w:ascii="宋体" w:hAnsi="宋体" w:cs="宋体"/>
                <w:color w:val="auto"/>
                <w:szCs w:val="21"/>
              </w:rPr>
              <w:br w:type="textWrapping"/>
            </w:r>
            <w:r>
              <w:rPr>
                <w:rFonts w:hint="eastAsia" w:ascii="宋体" w:hAnsi="宋体" w:cs="宋体"/>
                <w:color w:val="auto"/>
                <w:szCs w:val="21"/>
              </w:rPr>
              <w:t>2.电动平开防护门</w:t>
            </w:r>
            <w:r>
              <w:rPr>
                <w:rFonts w:hint="eastAsia" w:ascii="宋体" w:hAnsi="宋体" w:cs="宋体"/>
                <w:color w:val="auto"/>
                <w:szCs w:val="21"/>
              </w:rPr>
              <w:br w:type="textWrapping"/>
            </w:r>
            <w:r>
              <w:rPr>
                <w:rFonts w:hint="eastAsia" w:ascii="宋体" w:hAnsi="宋体" w:cs="宋体"/>
                <w:color w:val="auto"/>
                <w:szCs w:val="21"/>
              </w:rPr>
              <w:t>3.设计防护厚度：15厚铅板+20mm含硼石蜡</w:t>
            </w:r>
            <w:r>
              <w:rPr>
                <w:rFonts w:hint="eastAsia" w:ascii="宋体" w:hAnsi="宋体" w:cs="宋体"/>
                <w:color w:val="auto"/>
                <w:szCs w:val="21"/>
              </w:rPr>
              <w:br w:type="textWrapping"/>
            </w:r>
            <w:r>
              <w:rPr>
                <w:rFonts w:hint="eastAsia" w:ascii="宋体" w:hAnsi="宋体" w:cs="宋体"/>
                <w:color w:val="auto"/>
                <w:szCs w:val="21"/>
              </w:rPr>
              <w:t>4.龙骨、门体、门套、门轴、执手锁及其他配套</w:t>
            </w:r>
            <w:r>
              <w:rPr>
                <w:rFonts w:hint="eastAsia" w:ascii="宋体" w:hAnsi="宋体" w:cs="宋体"/>
                <w:color w:val="auto"/>
                <w:szCs w:val="21"/>
              </w:rPr>
              <w:br w:type="textWrapping"/>
            </w:r>
            <w:r>
              <w:rPr>
                <w:rFonts w:hint="eastAsia" w:ascii="宋体" w:hAnsi="宋体" w:cs="宋体"/>
                <w:color w:val="auto"/>
                <w:szCs w:val="21"/>
              </w:rPr>
              <w:t>5.不锈钢门体面层</w:t>
            </w:r>
          </w:p>
        </w:tc>
        <w:tc>
          <w:tcPr>
            <w:tcW w:w="537" w:type="pct"/>
            <w:tcBorders>
              <w:top w:val="single" w:color="auto"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樘</w:t>
            </w:r>
          </w:p>
        </w:tc>
        <w:tc>
          <w:tcPr>
            <w:tcW w:w="484" w:type="pct"/>
            <w:tcBorders>
              <w:top w:val="single" w:color="auto"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810" w:hRule="atLeast"/>
        </w:trPr>
        <w:tc>
          <w:tcPr>
            <w:tcW w:w="424"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9</w:t>
            </w:r>
            <w:r>
              <w:rPr>
                <w:rFonts w:hint="eastAsia" w:ascii="宋体" w:hAnsi="宋体" w:cs="宋体"/>
                <w:color w:val="auto"/>
                <w:szCs w:val="21"/>
              </w:rPr>
              <w:t>.2</w:t>
            </w:r>
          </w:p>
        </w:tc>
        <w:tc>
          <w:tcPr>
            <w:tcW w:w="1250"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重型平开门系统</w:t>
            </w:r>
          </w:p>
        </w:tc>
        <w:tc>
          <w:tcPr>
            <w:tcW w:w="2174" w:type="pct"/>
            <w:tcBorders>
              <w:top w:val="single" w:color="000000" w:sz="4" w:space="0"/>
              <w:left w:val="single" w:color="000000" w:sz="4" w:space="0"/>
              <w:bottom w:val="nil"/>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1200比整体变速箱，电子离合器，三菱电机及PLC连锁变频控制器,威仑触摸屏控制面板。</w:t>
            </w:r>
          </w:p>
        </w:tc>
        <w:tc>
          <w:tcPr>
            <w:tcW w:w="537" w:type="pct"/>
            <w:tcBorders>
              <w:top w:val="single" w:color="000000" w:sz="4" w:space="0"/>
              <w:left w:val="single" w:color="000000" w:sz="4" w:space="0"/>
              <w:bottom w:val="nil"/>
              <w:right w:val="nil"/>
            </w:tcBorders>
            <w:shd w:val="clear" w:color="auto" w:fill="FFFFFF"/>
            <w:noWrap w:val="0"/>
            <w:vAlign w:val="center"/>
          </w:tcPr>
          <w:p>
            <w:pPr>
              <w:widowControl/>
              <w:jc w:val="center"/>
              <w:textAlignment w:val="center"/>
              <w:rPr>
                <w:rFonts w:ascii="宋体" w:hAnsi="宋体" w:cs="宋体"/>
                <w:color w:val="auto"/>
                <w:sz w:val="18"/>
                <w:szCs w:val="18"/>
              </w:rPr>
            </w:pPr>
            <w:r>
              <w:rPr>
                <w:rFonts w:hint="eastAsia" w:ascii="宋体" w:hAnsi="宋体" w:cs="宋体"/>
                <w:color w:val="auto"/>
                <w:sz w:val="18"/>
                <w:szCs w:val="18"/>
              </w:rPr>
              <w:t>套</w:t>
            </w:r>
          </w:p>
        </w:tc>
        <w:tc>
          <w:tcPr>
            <w:tcW w:w="484" w:type="pct"/>
            <w:tcBorders>
              <w:top w:val="single" w:color="000000" w:sz="4" w:space="0"/>
              <w:left w:val="single" w:color="000000" w:sz="4" w:space="0"/>
              <w:bottom w:val="nil"/>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1</w:t>
            </w:r>
          </w:p>
        </w:tc>
      </w:tr>
      <w:tr>
        <w:tblPrEx>
          <w:tblCellMar>
            <w:top w:w="0" w:type="dxa"/>
            <w:left w:w="108" w:type="dxa"/>
            <w:bottom w:w="0" w:type="dxa"/>
            <w:right w:w="108" w:type="dxa"/>
          </w:tblCellMar>
        </w:tblPrEx>
        <w:trPr>
          <w:gridAfter w:val="1"/>
          <w:wAfter w:w="127" w:type="pct"/>
          <w:trHeight w:val="1339" w:hRule="atLeast"/>
        </w:trPr>
        <w:tc>
          <w:tcPr>
            <w:tcW w:w="42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9</w:t>
            </w:r>
            <w:r>
              <w:rPr>
                <w:rFonts w:hint="eastAsia" w:ascii="宋体" w:hAnsi="宋体" w:cs="宋体"/>
                <w:color w:val="auto"/>
                <w:szCs w:val="21"/>
              </w:rPr>
              <w:t>.3</w:t>
            </w:r>
          </w:p>
        </w:tc>
        <w:tc>
          <w:tcPr>
            <w:tcW w:w="1250"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直线加速器重晶石混凝土</w:t>
            </w:r>
          </w:p>
        </w:tc>
        <w:tc>
          <w:tcPr>
            <w:tcW w:w="2174"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left"/>
              <w:textAlignment w:val="center"/>
              <w:rPr>
                <w:rFonts w:ascii="宋体" w:hAnsi="宋体" w:cs="宋体"/>
                <w:color w:val="auto"/>
                <w:szCs w:val="21"/>
              </w:rPr>
            </w:pPr>
            <w:r>
              <w:rPr>
                <w:rFonts w:hint="eastAsia" w:ascii="宋体" w:hAnsi="宋体" w:cs="宋体"/>
                <w:color w:val="auto"/>
                <w:szCs w:val="21"/>
              </w:rPr>
              <w:t>1、混凝土种类：泵送混凝土</w:t>
            </w:r>
            <w:r>
              <w:rPr>
                <w:rFonts w:hint="eastAsia" w:ascii="宋体" w:hAnsi="宋体" w:cs="宋体"/>
                <w:color w:val="auto"/>
                <w:szCs w:val="21"/>
              </w:rPr>
              <w:br w:type="textWrapping"/>
            </w:r>
            <w:r>
              <w:rPr>
                <w:rFonts w:hint="eastAsia" w:ascii="宋体" w:hAnsi="宋体" w:cs="宋体"/>
                <w:color w:val="auto"/>
                <w:szCs w:val="21"/>
              </w:rPr>
              <w:t>2、混凝土强度等级：C30</w:t>
            </w:r>
            <w:r>
              <w:rPr>
                <w:rFonts w:hint="eastAsia" w:ascii="宋体" w:hAnsi="宋体" w:cs="宋体"/>
                <w:b/>
                <w:bCs/>
                <w:color w:val="auto"/>
                <w:szCs w:val="21"/>
              </w:rPr>
              <w:t>抗裂纤维重晶石</w:t>
            </w:r>
            <w:r>
              <w:rPr>
                <w:rFonts w:hint="eastAsia" w:ascii="宋体" w:hAnsi="宋体" w:cs="宋体"/>
                <w:color w:val="auto"/>
                <w:szCs w:val="21"/>
              </w:rPr>
              <w:br w:type="textWrapping"/>
            </w:r>
            <w:r>
              <w:rPr>
                <w:rFonts w:hint="eastAsia" w:ascii="宋体" w:hAnsi="宋体" w:cs="宋体"/>
                <w:color w:val="auto"/>
                <w:szCs w:val="21"/>
              </w:rPr>
              <w:t>3、比重大于3.8的重晶石矿石和重晶石砂石混合材料</w:t>
            </w:r>
            <w:r>
              <w:rPr>
                <w:rFonts w:hint="eastAsia" w:ascii="宋体" w:hAnsi="宋体" w:cs="宋体"/>
                <w:color w:val="auto"/>
                <w:szCs w:val="21"/>
              </w:rPr>
              <w:br w:type="textWrapping"/>
            </w:r>
            <w:r>
              <w:rPr>
                <w:rFonts w:hint="eastAsia" w:ascii="宋体" w:hAnsi="宋体" w:cs="宋体"/>
                <w:color w:val="auto"/>
                <w:szCs w:val="21"/>
              </w:rPr>
              <w:t>4、混凝土浇筑</w:t>
            </w:r>
          </w:p>
          <w:p>
            <w:pPr>
              <w:pStyle w:val="2"/>
              <w:spacing w:line="240" w:lineRule="auto"/>
              <w:jc w:val="both"/>
              <w:rPr>
                <w:color w:val="auto"/>
                <w:sz w:val="21"/>
                <w:szCs w:val="21"/>
              </w:rPr>
            </w:pPr>
            <w:r>
              <w:rPr>
                <w:rFonts w:hint="eastAsia" w:ascii="宋体" w:hAnsi="宋体" w:eastAsia="宋体" w:cs="宋体"/>
                <w:color w:val="auto"/>
                <w:kern w:val="0"/>
                <w:sz w:val="21"/>
                <w:szCs w:val="21"/>
              </w:rPr>
              <w:t>注：该混凝土为特殊混凝土，须经市场调研后综合考虑报价。重晶石参考价为3100元-3200元。</w:t>
            </w:r>
          </w:p>
        </w:tc>
        <w:tc>
          <w:tcPr>
            <w:tcW w:w="537" w:type="pct"/>
            <w:tcBorders>
              <w:top w:val="single" w:color="000000" w:sz="4" w:space="0"/>
              <w:left w:val="single" w:color="000000" w:sz="4" w:space="0"/>
              <w:bottom w:val="single" w:color="auto" w:sz="4" w:space="0"/>
              <w:right w:val="nil"/>
            </w:tcBorders>
            <w:shd w:val="clear" w:color="auto" w:fill="FFFFFF"/>
            <w:noWrap w:val="0"/>
            <w:vAlign w:val="center"/>
          </w:tcPr>
          <w:p>
            <w:pPr>
              <w:widowControl/>
              <w:jc w:val="center"/>
              <w:textAlignment w:val="center"/>
              <w:rPr>
                <w:rFonts w:ascii="宋体" w:hAnsi="宋体" w:cs="宋体"/>
                <w:color w:val="auto"/>
                <w:sz w:val="24"/>
                <w:szCs w:val="24"/>
              </w:rPr>
            </w:pPr>
            <w:r>
              <w:rPr>
                <w:rFonts w:hint="eastAsia" w:ascii="宋体" w:hAnsi="宋体" w:cs="宋体"/>
                <w:color w:val="auto"/>
                <w:sz w:val="24"/>
                <w:szCs w:val="24"/>
              </w:rPr>
              <w:t>m³</w:t>
            </w:r>
          </w:p>
        </w:tc>
        <w:tc>
          <w:tcPr>
            <w:tcW w:w="484" w:type="pct"/>
            <w:tcBorders>
              <w:top w:val="single" w:color="000000" w:sz="4" w:space="0"/>
              <w:left w:val="single" w:color="000000" w:sz="4" w:space="0"/>
              <w:bottom w:val="single" w:color="auto" w:sz="4" w:space="0"/>
              <w:right w:val="single" w:color="auto" w:sz="4" w:space="0"/>
            </w:tcBorders>
            <w:shd w:val="clear" w:color="auto" w:fill="FFFFFF"/>
            <w:noWrap w:val="0"/>
            <w:vAlign w:val="center"/>
          </w:tcPr>
          <w:p>
            <w:pPr>
              <w:widowControl/>
              <w:jc w:val="right"/>
              <w:textAlignment w:val="center"/>
              <w:rPr>
                <w:rFonts w:ascii="宋体" w:hAnsi="宋体" w:cs="宋体"/>
                <w:color w:val="auto"/>
                <w:szCs w:val="21"/>
              </w:rPr>
            </w:pPr>
            <w:r>
              <w:rPr>
                <w:rFonts w:hint="eastAsia" w:ascii="宋体" w:hAnsi="宋体" w:cs="宋体"/>
                <w:color w:val="auto"/>
                <w:szCs w:val="21"/>
              </w:rPr>
              <w:t>315</w:t>
            </w:r>
          </w:p>
        </w:tc>
      </w:tr>
      <w:bookmarkEnd w:id="469"/>
    </w:tbl>
    <w:p>
      <w:pPr>
        <w:spacing w:line="360" w:lineRule="exact"/>
        <w:ind w:firstLine="482" w:firstLineChars="200"/>
        <w:rPr>
          <w:rFonts w:ascii="宋体" w:hAnsi="宋体" w:cs="宋体"/>
          <w:b/>
          <w:color w:val="auto"/>
          <w:sz w:val="24"/>
          <w:szCs w:val="24"/>
        </w:rPr>
      </w:pPr>
    </w:p>
    <w:tbl>
      <w:tblPr>
        <w:tblStyle w:val="38"/>
        <w:tblpPr w:leftFromText="180" w:rightFromText="180" w:vertAnchor="text" w:tblpX="22048" w:tblpY="-218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324" w:type="dxa"/>
          </w:tcPr>
          <w:p>
            <w:pPr>
              <w:spacing w:before="120" w:beforeLines="50" w:after="120" w:afterLines="50" w:line="400" w:lineRule="exact"/>
              <w:jc w:val="left"/>
              <w:rPr>
                <w:rFonts w:ascii="宋体" w:hAnsi="宋体" w:cs="宋体"/>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324" w:type="dxa"/>
          </w:tcPr>
          <w:p>
            <w:pPr>
              <w:spacing w:before="120" w:beforeLines="50" w:after="120" w:afterLines="50" w:line="400" w:lineRule="exact"/>
              <w:jc w:val="left"/>
              <w:rPr>
                <w:rFonts w:ascii="宋体" w:hAnsi="宋体" w:cs="宋体"/>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324" w:type="dxa"/>
          </w:tcPr>
          <w:p>
            <w:pPr>
              <w:spacing w:before="120" w:beforeLines="50" w:after="120" w:afterLines="50" w:line="400" w:lineRule="exact"/>
              <w:jc w:val="left"/>
              <w:rPr>
                <w:rFonts w:ascii="宋体" w:hAnsi="宋体" w:cs="宋体"/>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324" w:type="dxa"/>
          </w:tcPr>
          <w:p>
            <w:pPr>
              <w:spacing w:before="120" w:beforeLines="50" w:after="120" w:afterLines="50" w:line="400" w:lineRule="exact"/>
              <w:jc w:val="left"/>
              <w:rPr>
                <w:rFonts w:ascii="宋体" w:hAnsi="宋体" w:cs="宋体"/>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324" w:type="dxa"/>
          </w:tcPr>
          <w:p>
            <w:pPr>
              <w:spacing w:before="120" w:beforeLines="50" w:after="120" w:afterLines="50" w:line="400" w:lineRule="exact"/>
              <w:jc w:val="left"/>
              <w:rPr>
                <w:rFonts w:ascii="宋体" w:hAnsi="宋体" w:cs="宋体"/>
                <w:b/>
                <w:color w:val="auto"/>
                <w:sz w:val="24"/>
                <w:szCs w:val="24"/>
              </w:rPr>
            </w:pPr>
          </w:p>
        </w:tc>
      </w:tr>
    </w:tbl>
    <w:p>
      <w:pPr>
        <w:spacing w:before="120" w:beforeLines="50" w:after="120" w:afterLines="50" w:line="400" w:lineRule="exact"/>
        <w:ind w:firstLine="482" w:firstLineChars="200"/>
        <w:jc w:val="left"/>
        <w:rPr>
          <w:rFonts w:ascii="宋体" w:hAnsi="宋体" w:cs="宋体"/>
          <w:b/>
          <w:color w:val="auto"/>
          <w:sz w:val="24"/>
          <w:szCs w:val="24"/>
        </w:rPr>
      </w:pPr>
      <w:r>
        <w:rPr>
          <w:rFonts w:hint="eastAsia" w:ascii="宋体" w:hAnsi="宋体" w:cs="宋体"/>
          <w:b/>
          <w:color w:val="auto"/>
          <w:sz w:val="24"/>
          <w:szCs w:val="24"/>
        </w:rPr>
        <w:t>五、主要设备材料品牌推荐表</w:t>
      </w:r>
    </w:p>
    <w:tbl>
      <w:tblPr>
        <w:tblStyle w:val="3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1"/>
        <w:gridCol w:w="4144"/>
        <w:gridCol w:w="4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650" w:type="pct"/>
            <w:vAlign w:val="center"/>
          </w:tcPr>
          <w:p>
            <w:pPr>
              <w:jc w:val="center"/>
              <w:rPr>
                <w:color w:val="auto"/>
              </w:rPr>
            </w:pPr>
            <w:r>
              <w:rPr>
                <w:rFonts w:hint="eastAsia"/>
                <w:color w:val="auto"/>
              </w:rPr>
              <w:t>序号</w:t>
            </w:r>
          </w:p>
        </w:tc>
        <w:tc>
          <w:tcPr>
            <w:tcW w:w="2103" w:type="pct"/>
            <w:vAlign w:val="center"/>
          </w:tcPr>
          <w:p>
            <w:pPr>
              <w:jc w:val="center"/>
              <w:rPr>
                <w:color w:val="auto"/>
              </w:rPr>
            </w:pPr>
            <w:r>
              <w:rPr>
                <w:rFonts w:hint="eastAsia"/>
                <w:color w:val="auto"/>
              </w:rPr>
              <w:t>名称</w:t>
            </w:r>
          </w:p>
        </w:tc>
        <w:tc>
          <w:tcPr>
            <w:tcW w:w="2246" w:type="pct"/>
            <w:vAlign w:val="center"/>
          </w:tcPr>
          <w:p>
            <w:pPr>
              <w:jc w:val="center"/>
              <w:rPr>
                <w:color w:val="auto"/>
              </w:rPr>
            </w:pPr>
            <w:r>
              <w:rPr>
                <w:rFonts w:hint="eastAsia"/>
                <w:color w:val="auto"/>
              </w:rPr>
              <w:t>推荐品牌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650" w:type="pct"/>
            <w:vAlign w:val="center"/>
          </w:tcPr>
          <w:p>
            <w:pPr>
              <w:jc w:val="center"/>
              <w:rPr>
                <w:color w:val="auto"/>
              </w:rPr>
            </w:pPr>
            <w:r>
              <w:rPr>
                <w:rFonts w:hint="eastAsia"/>
                <w:color w:val="auto"/>
              </w:rPr>
              <w:t>1</w:t>
            </w:r>
          </w:p>
        </w:tc>
        <w:tc>
          <w:tcPr>
            <w:tcW w:w="2103" w:type="pct"/>
            <w:vAlign w:val="center"/>
          </w:tcPr>
          <w:p>
            <w:pPr>
              <w:jc w:val="center"/>
              <w:rPr>
                <w:color w:val="auto"/>
              </w:rPr>
            </w:pPr>
            <w:r>
              <w:rPr>
                <w:rFonts w:hint="eastAsia"/>
                <w:color w:val="auto"/>
              </w:rPr>
              <w:t>防护门门把手</w:t>
            </w:r>
          </w:p>
        </w:tc>
        <w:tc>
          <w:tcPr>
            <w:tcW w:w="2246" w:type="pct"/>
            <w:vAlign w:val="center"/>
          </w:tcPr>
          <w:p>
            <w:pPr>
              <w:jc w:val="center"/>
              <w:rPr>
                <w:color w:val="auto"/>
              </w:rPr>
            </w:pPr>
            <w:r>
              <w:rPr>
                <w:rFonts w:hint="eastAsia"/>
                <w:color w:val="auto"/>
              </w:rPr>
              <w:t>安恒通、固力、钥玛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650" w:type="pct"/>
            <w:vAlign w:val="center"/>
          </w:tcPr>
          <w:p>
            <w:pPr>
              <w:jc w:val="center"/>
              <w:rPr>
                <w:color w:val="auto"/>
              </w:rPr>
            </w:pPr>
            <w:r>
              <w:rPr>
                <w:rFonts w:hint="eastAsia"/>
                <w:color w:val="auto"/>
              </w:rPr>
              <w:t>2</w:t>
            </w:r>
          </w:p>
        </w:tc>
        <w:tc>
          <w:tcPr>
            <w:tcW w:w="2103" w:type="pct"/>
            <w:vAlign w:val="center"/>
          </w:tcPr>
          <w:p>
            <w:pPr>
              <w:jc w:val="center"/>
              <w:rPr>
                <w:color w:val="auto"/>
              </w:rPr>
            </w:pPr>
            <w:r>
              <w:rPr>
                <w:rFonts w:hint="eastAsia"/>
                <w:color w:val="auto"/>
              </w:rPr>
              <w:t>防护门闭门器</w:t>
            </w:r>
          </w:p>
        </w:tc>
        <w:tc>
          <w:tcPr>
            <w:tcW w:w="2246" w:type="pct"/>
            <w:vAlign w:val="center"/>
          </w:tcPr>
          <w:p>
            <w:pPr>
              <w:jc w:val="center"/>
              <w:rPr>
                <w:color w:val="auto"/>
              </w:rPr>
            </w:pPr>
            <w:r>
              <w:rPr>
                <w:rFonts w:hint="eastAsia"/>
                <w:color w:val="auto"/>
              </w:rPr>
              <w:t>安恒通、固力、钥玛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650" w:type="pct"/>
            <w:vAlign w:val="center"/>
          </w:tcPr>
          <w:p>
            <w:pPr>
              <w:jc w:val="center"/>
              <w:rPr>
                <w:color w:val="auto"/>
              </w:rPr>
            </w:pPr>
            <w:r>
              <w:rPr>
                <w:rFonts w:hint="eastAsia"/>
                <w:color w:val="auto"/>
              </w:rPr>
              <w:t>3</w:t>
            </w:r>
          </w:p>
        </w:tc>
        <w:tc>
          <w:tcPr>
            <w:tcW w:w="2103" w:type="pct"/>
            <w:vAlign w:val="center"/>
          </w:tcPr>
          <w:p>
            <w:pPr>
              <w:jc w:val="center"/>
              <w:rPr>
                <w:color w:val="auto"/>
              </w:rPr>
            </w:pPr>
            <w:r>
              <w:rPr>
                <w:rFonts w:hint="eastAsia"/>
                <w:color w:val="auto"/>
              </w:rPr>
              <w:t>警示灯</w:t>
            </w:r>
          </w:p>
        </w:tc>
        <w:tc>
          <w:tcPr>
            <w:tcW w:w="2246" w:type="pct"/>
            <w:vAlign w:val="center"/>
          </w:tcPr>
          <w:p>
            <w:pPr>
              <w:jc w:val="center"/>
              <w:rPr>
                <w:color w:val="auto"/>
              </w:rPr>
            </w:pPr>
            <w:r>
              <w:rPr>
                <w:rFonts w:hint="eastAsia"/>
                <w:color w:val="auto"/>
              </w:rPr>
              <w:t>广东右拉、三雄极光、山东大华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650" w:type="pct"/>
            <w:vAlign w:val="center"/>
          </w:tcPr>
          <w:p>
            <w:pPr>
              <w:jc w:val="center"/>
              <w:rPr>
                <w:color w:val="auto"/>
              </w:rPr>
            </w:pPr>
            <w:r>
              <w:rPr>
                <w:rFonts w:hint="eastAsia"/>
                <w:color w:val="auto"/>
              </w:rPr>
              <w:t>4</w:t>
            </w:r>
          </w:p>
        </w:tc>
        <w:tc>
          <w:tcPr>
            <w:tcW w:w="2103" w:type="pct"/>
            <w:vAlign w:val="center"/>
          </w:tcPr>
          <w:p>
            <w:pPr>
              <w:jc w:val="center"/>
              <w:rPr>
                <w:color w:val="auto"/>
              </w:rPr>
            </w:pPr>
            <w:r>
              <w:rPr>
                <w:rFonts w:hint="eastAsia"/>
                <w:color w:val="auto"/>
              </w:rPr>
              <w:t>防护移门档条</w:t>
            </w:r>
          </w:p>
        </w:tc>
        <w:tc>
          <w:tcPr>
            <w:tcW w:w="2246" w:type="pct"/>
            <w:vAlign w:val="center"/>
          </w:tcPr>
          <w:p>
            <w:pPr>
              <w:jc w:val="center"/>
              <w:rPr>
                <w:color w:val="auto"/>
              </w:rPr>
            </w:pPr>
            <w:r>
              <w:rPr>
                <w:rFonts w:hint="eastAsia"/>
                <w:color w:val="auto"/>
              </w:rPr>
              <w:t>绍兴颐昌、天一瑞邦、山东大华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650" w:type="pct"/>
            <w:vAlign w:val="center"/>
          </w:tcPr>
          <w:p>
            <w:pPr>
              <w:jc w:val="center"/>
              <w:rPr>
                <w:color w:val="auto"/>
              </w:rPr>
            </w:pPr>
            <w:r>
              <w:rPr>
                <w:rFonts w:hint="eastAsia"/>
                <w:color w:val="auto"/>
              </w:rPr>
              <w:t>5</w:t>
            </w:r>
          </w:p>
        </w:tc>
        <w:tc>
          <w:tcPr>
            <w:tcW w:w="2103" w:type="pct"/>
            <w:vAlign w:val="center"/>
          </w:tcPr>
          <w:p>
            <w:pPr>
              <w:jc w:val="center"/>
              <w:rPr>
                <w:color w:val="auto"/>
              </w:rPr>
            </w:pPr>
            <w:r>
              <w:rPr>
                <w:rFonts w:hint="eastAsia"/>
                <w:color w:val="auto"/>
              </w:rPr>
              <w:t>移门导轨轮</w:t>
            </w:r>
          </w:p>
        </w:tc>
        <w:tc>
          <w:tcPr>
            <w:tcW w:w="2246" w:type="pct"/>
            <w:vAlign w:val="center"/>
          </w:tcPr>
          <w:p>
            <w:pPr>
              <w:jc w:val="center"/>
              <w:rPr>
                <w:color w:val="auto"/>
              </w:rPr>
            </w:pPr>
            <w:r>
              <w:rPr>
                <w:rFonts w:hint="eastAsia"/>
                <w:color w:val="auto"/>
              </w:rPr>
              <w:t>绍兴颐昌、天一瑞邦、山东大华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650" w:type="pct"/>
            <w:vAlign w:val="center"/>
          </w:tcPr>
          <w:p>
            <w:pPr>
              <w:jc w:val="center"/>
              <w:rPr>
                <w:color w:val="auto"/>
              </w:rPr>
            </w:pPr>
            <w:r>
              <w:rPr>
                <w:rFonts w:hint="eastAsia"/>
                <w:color w:val="auto"/>
              </w:rPr>
              <w:t>6</w:t>
            </w:r>
          </w:p>
        </w:tc>
        <w:tc>
          <w:tcPr>
            <w:tcW w:w="2103" w:type="pct"/>
            <w:vAlign w:val="center"/>
          </w:tcPr>
          <w:p>
            <w:pPr>
              <w:jc w:val="center"/>
              <w:rPr>
                <w:color w:val="auto"/>
              </w:rPr>
            </w:pPr>
            <w:r>
              <w:rPr>
                <w:rFonts w:hint="eastAsia"/>
                <w:color w:val="auto"/>
              </w:rPr>
              <w:t>移门皮带</w:t>
            </w:r>
          </w:p>
        </w:tc>
        <w:tc>
          <w:tcPr>
            <w:tcW w:w="2246" w:type="pct"/>
            <w:vAlign w:val="center"/>
          </w:tcPr>
          <w:p>
            <w:pPr>
              <w:jc w:val="center"/>
              <w:rPr>
                <w:color w:val="auto"/>
              </w:rPr>
            </w:pPr>
            <w:r>
              <w:rPr>
                <w:rFonts w:hint="eastAsia"/>
                <w:color w:val="auto"/>
              </w:rPr>
              <w:t>绍兴颐昌、天一瑞邦、山东大华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650" w:type="pct"/>
            <w:vAlign w:val="center"/>
          </w:tcPr>
          <w:p>
            <w:pPr>
              <w:jc w:val="center"/>
              <w:rPr>
                <w:color w:val="auto"/>
              </w:rPr>
            </w:pPr>
            <w:r>
              <w:rPr>
                <w:rFonts w:hint="eastAsia"/>
                <w:color w:val="auto"/>
              </w:rPr>
              <w:t>7</w:t>
            </w:r>
          </w:p>
        </w:tc>
        <w:tc>
          <w:tcPr>
            <w:tcW w:w="2103" w:type="pct"/>
            <w:vAlign w:val="center"/>
          </w:tcPr>
          <w:p>
            <w:pPr>
              <w:jc w:val="center"/>
              <w:rPr>
                <w:color w:val="auto"/>
              </w:rPr>
            </w:pPr>
            <w:r>
              <w:rPr>
                <w:rFonts w:hint="eastAsia"/>
                <w:color w:val="auto"/>
              </w:rPr>
              <w:t>电动门控制器</w:t>
            </w:r>
          </w:p>
        </w:tc>
        <w:tc>
          <w:tcPr>
            <w:tcW w:w="2246" w:type="pct"/>
            <w:vAlign w:val="center"/>
          </w:tcPr>
          <w:p>
            <w:pPr>
              <w:jc w:val="center"/>
              <w:rPr>
                <w:color w:val="auto"/>
              </w:rPr>
            </w:pPr>
            <w:r>
              <w:rPr>
                <w:rFonts w:hint="eastAsia"/>
                <w:color w:val="auto"/>
              </w:rPr>
              <w:t>欧尼克、松下、多玛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650" w:type="pct"/>
            <w:vAlign w:val="center"/>
          </w:tcPr>
          <w:p>
            <w:pPr>
              <w:jc w:val="center"/>
              <w:rPr>
                <w:color w:val="auto"/>
              </w:rPr>
            </w:pPr>
            <w:r>
              <w:rPr>
                <w:rFonts w:hint="eastAsia"/>
                <w:color w:val="auto"/>
              </w:rPr>
              <w:t>8</w:t>
            </w:r>
          </w:p>
        </w:tc>
        <w:tc>
          <w:tcPr>
            <w:tcW w:w="2103" w:type="pct"/>
            <w:vAlign w:val="center"/>
          </w:tcPr>
          <w:p>
            <w:pPr>
              <w:jc w:val="center"/>
              <w:rPr>
                <w:color w:val="auto"/>
              </w:rPr>
            </w:pPr>
            <w:r>
              <w:rPr>
                <w:rFonts w:hint="eastAsia"/>
                <w:color w:val="auto"/>
              </w:rPr>
              <w:t>电动门电机</w:t>
            </w:r>
          </w:p>
        </w:tc>
        <w:tc>
          <w:tcPr>
            <w:tcW w:w="2246" w:type="pct"/>
            <w:vAlign w:val="center"/>
          </w:tcPr>
          <w:p>
            <w:pPr>
              <w:jc w:val="center"/>
              <w:rPr>
                <w:color w:val="auto"/>
              </w:rPr>
            </w:pPr>
            <w:r>
              <w:rPr>
                <w:rFonts w:hint="eastAsia"/>
                <w:color w:val="auto"/>
              </w:rPr>
              <w:t>欧尼克、松下、多玛</w:t>
            </w:r>
          </w:p>
        </w:tc>
      </w:tr>
    </w:tbl>
    <w:p>
      <w:pPr>
        <w:spacing w:line="360" w:lineRule="exact"/>
        <w:ind w:firstLine="422" w:firstLineChars="200"/>
        <w:rPr>
          <w:rFonts w:ascii="宋体" w:hAnsi="宋体" w:cs="宋体"/>
          <w:b/>
          <w:bCs/>
          <w:color w:val="auto"/>
          <w:szCs w:val="21"/>
        </w:rPr>
      </w:pPr>
      <w:r>
        <w:rPr>
          <w:rFonts w:hint="eastAsia"/>
          <w:b/>
          <w:bCs/>
          <w:color w:val="auto"/>
        </w:rPr>
        <w:t>注：1.本工程推荐的设备及材料品牌为参考范围，投标人所投产品品牌可在上述品牌范围内选择一种，或选择“同档次及以上”品牌（须提供有效的证明材料），并在填报的“投标标价表”中明确注明所选材料设备品牌；如选择非推荐品牌的，</w:t>
      </w:r>
      <w:r>
        <w:rPr>
          <w:rFonts w:hint="eastAsia" w:ascii="宋体" w:hAnsi="宋体" w:cs="宋体"/>
          <w:b/>
          <w:bCs/>
          <w:color w:val="auto"/>
          <w:szCs w:val="21"/>
        </w:rPr>
        <w:t>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spacing w:line="360" w:lineRule="exact"/>
        <w:ind w:firstLine="422" w:firstLineChars="200"/>
        <w:rPr>
          <w:b/>
          <w:bCs/>
          <w:color w:val="auto"/>
        </w:rPr>
      </w:pPr>
      <w:r>
        <w:rPr>
          <w:rFonts w:hint="eastAsia"/>
          <w:b/>
          <w:bCs/>
          <w:color w:val="auto"/>
        </w:rPr>
        <w:t>2.投标人必须提供列明所有主要材料和设备的品牌、产地（包括</w:t>
      </w:r>
      <w:r>
        <w:rPr>
          <w:rFonts w:hint="eastAsia"/>
          <w:b/>
          <w:bCs/>
          <w:color w:val="auto"/>
          <w:szCs w:val="21"/>
        </w:rPr>
        <w:t>招标文件未提供品牌的材料和设备</w:t>
      </w:r>
      <w:r>
        <w:rPr>
          <w:rFonts w:hint="eastAsia"/>
          <w:b/>
          <w:bCs/>
          <w:color w:val="auto"/>
        </w:rPr>
        <w:t>）。</w:t>
      </w:r>
      <w:r>
        <w:rPr>
          <w:rFonts w:hint="eastAsia"/>
          <w:b/>
          <w:bCs/>
          <w:color w:val="auto"/>
          <w:szCs w:val="21"/>
        </w:rPr>
        <w:t>未推荐品牌的材料和设备应至少采用市场中档品牌的国标产品</w:t>
      </w:r>
      <w:r>
        <w:rPr>
          <w:rFonts w:hint="eastAsia"/>
          <w:b/>
          <w:bCs/>
          <w:color w:val="auto"/>
        </w:rPr>
        <w:t>。</w:t>
      </w:r>
    </w:p>
    <w:p>
      <w:pPr>
        <w:spacing w:line="360" w:lineRule="exact"/>
        <w:ind w:firstLine="422" w:firstLineChars="200"/>
        <w:jc w:val="left"/>
        <w:rPr>
          <w:color w:val="auto"/>
          <w:szCs w:val="21"/>
        </w:rPr>
      </w:pPr>
      <w:r>
        <w:rPr>
          <w:rFonts w:hint="eastAsia"/>
          <w:b/>
          <w:bCs/>
          <w:color w:val="auto"/>
          <w:szCs w:val="21"/>
        </w:rPr>
        <w:t>3.承包人在施工过程中若采用品牌推荐表外且招标同档次及以上品牌（不包括投标时已选用同档次及以上品牌），必须经发包人签证同意后实施，否则不予以实施和结算。</w:t>
      </w:r>
    </w:p>
    <w:p>
      <w:pPr>
        <w:spacing w:before="120" w:beforeLines="50" w:after="120" w:afterLines="50" w:line="400" w:lineRule="exact"/>
        <w:ind w:firstLine="632" w:firstLineChars="300"/>
        <w:jc w:val="center"/>
        <w:rPr>
          <w:rFonts w:ascii="宋体" w:hAnsi="宋体" w:cs="宋体"/>
          <w:b/>
          <w:color w:val="auto"/>
          <w:sz w:val="24"/>
          <w:szCs w:val="24"/>
        </w:rPr>
      </w:pPr>
      <w:r>
        <w:rPr>
          <w:rFonts w:hint="eastAsia" w:ascii="宋体" w:hAnsi="宋体" w:cs="宋体"/>
          <w:b/>
          <w:color w:val="auto"/>
          <w:szCs w:val="21"/>
        </w:rPr>
        <w:t>提示清单（包括但不限于）</w:t>
      </w:r>
    </w:p>
    <w:tbl>
      <w:tblPr>
        <w:tblStyle w:val="37"/>
        <w:tblW w:w="5000" w:type="pct"/>
        <w:tblInd w:w="0" w:type="dxa"/>
        <w:tblLayout w:type="autofit"/>
        <w:tblCellMar>
          <w:top w:w="0" w:type="dxa"/>
          <w:left w:w="108" w:type="dxa"/>
          <w:bottom w:w="0" w:type="dxa"/>
          <w:right w:w="108" w:type="dxa"/>
        </w:tblCellMar>
      </w:tblPr>
      <w:tblGrid>
        <w:gridCol w:w="676"/>
        <w:gridCol w:w="3402"/>
        <w:gridCol w:w="5777"/>
      </w:tblGrid>
      <w:tr>
        <w:tblPrEx>
          <w:tblCellMar>
            <w:top w:w="0" w:type="dxa"/>
            <w:left w:w="108" w:type="dxa"/>
            <w:bottom w:w="0" w:type="dxa"/>
            <w:right w:w="108" w:type="dxa"/>
          </w:tblCellMar>
        </w:tblPrEx>
        <w:trPr>
          <w:trHeight w:val="240" w:hRule="atLeast"/>
        </w:trPr>
        <w:tc>
          <w:tcPr>
            <w:tcW w:w="343"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rPr>
            </w:pPr>
            <w:r>
              <w:rPr>
                <w:rFonts w:hint="eastAsia" w:ascii="宋体" w:hAnsi="宋体" w:cs="宋体"/>
                <w:color w:val="auto"/>
                <w:szCs w:val="21"/>
              </w:rPr>
              <w:t>序号</w:t>
            </w:r>
          </w:p>
        </w:tc>
        <w:tc>
          <w:tcPr>
            <w:tcW w:w="1726"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rPr>
            </w:pPr>
            <w:r>
              <w:rPr>
                <w:rFonts w:hint="eastAsia" w:ascii="宋体" w:hAnsi="宋体" w:cs="宋体"/>
                <w:color w:val="auto"/>
                <w:szCs w:val="21"/>
              </w:rPr>
              <w:t>项  目</w:t>
            </w:r>
          </w:p>
        </w:tc>
        <w:tc>
          <w:tcPr>
            <w:tcW w:w="293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rPr>
            </w:pPr>
            <w:r>
              <w:rPr>
                <w:rFonts w:hint="eastAsia" w:ascii="宋体" w:hAnsi="宋体" w:cs="宋体"/>
                <w:color w:val="auto"/>
                <w:szCs w:val="21"/>
              </w:rPr>
              <w:t>具体内容</w:t>
            </w:r>
          </w:p>
        </w:tc>
      </w:tr>
      <w:tr>
        <w:tblPrEx>
          <w:tblCellMar>
            <w:top w:w="0" w:type="dxa"/>
            <w:left w:w="108" w:type="dxa"/>
            <w:bottom w:w="0" w:type="dxa"/>
            <w:right w:w="108" w:type="dxa"/>
          </w:tblCellMar>
        </w:tblPrEx>
        <w:trPr>
          <w:trHeight w:val="240" w:hRule="atLeast"/>
        </w:trPr>
        <w:tc>
          <w:tcPr>
            <w:tcW w:w="343"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1</w:t>
            </w:r>
          </w:p>
        </w:tc>
        <w:tc>
          <w:tcPr>
            <w:tcW w:w="1726"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现场必须发生的费用</w:t>
            </w:r>
          </w:p>
        </w:tc>
        <w:tc>
          <w:tcPr>
            <w:tcW w:w="293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详见投标人须知前附表第3.2.4条款和投标报价表</w:t>
            </w:r>
          </w:p>
        </w:tc>
      </w:tr>
      <w:tr>
        <w:tblPrEx>
          <w:tblCellMar>
            <w:top w:w="0" w:type="dxa"/>
            <w:left w:w="108" w:type="dxa"/>
            <w:bottom w:w="0" w:type="dxa"/>
            <w:right w:w="108" w:type="dxa"/>
          </w:tblCellMar>
        </w:tblPrEx>
        <w:trPr>
          <w:trHeight w:val="240" w:hRule="atLeast"/>
        </w:trPr>
        <w:tc>
          <w:tcPr>
            <w:tcW w:w="343"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2</w:t>
            </w:r>
          </w:p>
        </w:tc>
        <w:tc>
          <w:tcPr>
            <w:tcW w:w="1726"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Style w:val="87"/>
                <w:rFonts w:ascii="宋体" w:hAnsi="宋体" w:cs="宋体"/>
                <w:color w:val="auto"/>
                <w:kern w:val="2"/>
                <w:szCs w:val="21"/>
              </w:rPr>
            </w:pPr>
            <w:r>
              <w:rPr>
                <w:rFonts w:hint="eastAsia" w:ascii="宋体" w:hAnsi="宋体" w:cs="宋体"/>
                <w:color w:val="auto"/>
                <w:szCs w:val="21"/>
              </w:rPr>
              <w:t>工程施工过程中的开孔和工程完工后的填补、修复与清理工作等等费用</w:t>
            </w:r>
          </w:p>
        </w:tc>
        <w:tc>
          <w:tcPr>
            <w:tcW w:w="293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详见投标人须知前附表第3.2.4条款</w:t>
            </w:r>
          </w:p>
        </w:tc>
      </w:tr>
      <w:tr>
        <w:tblPrEx>
          <w:tblCellMar>
            <w:top w:w="0" w:type="dxa"/>
            <w:left w:w="108" w:type="dxa"/>
            <w:bottom w:w="0" w:type="dxa"/>
            <w:right w:w="108" w:type="dxa"/>
          </w:tblCellMar>
        </w:tblPrEx>
        <w:trPr>
          <w:trHeight w:val="240" w:hRule="atLeast"/>
        </w:trPr>
        <w:tc>
          <w:tcPr>
            <w:tcW w:w="343"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3</w:t>
            </w:r>
          </w:p>
        </w:tc>
        <w:tc>
          <w:tcPr>
            <w:tcW w:w="1726"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双方自行协商解决费用</w:t>
            </w:r>
          </w:p>
        </w:tc>
        <w:tc>
          <w:tcPr>
            <w:tcW w:w="293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详见投标人须知前附表第3.2.4条款</w:t>
            </w:r>
          </w:p>
        </w:tc>
      </w:tr>
    </w:tbl>
    <w:p>
      <w:pPr>
        <w:pStyle w:val="54"/>
        <w:ind w:firstLine="420"/>
        <w:rPr>
          <w:color w:val="auto"/>
        </w:rPr>
      </w:pPr>
      <w:r>
        <w:rPr>
          <w:rFonts w:hint="eastAsia"/>
          <w:color w:val="auto"/>
          <w:sz w:val="21"/>
          <w:szCs w:val="21"/>
        </w:rPr>
        <w:t>特别提醒：此提示清单仅为了提醒投标单位报价时须（需）考虑的内容，实际内容以投标单位在投标报价表中填报的为准。</w:t>
      </w:r>
    </w:p>
    <w:p>
      <w:pPr>
        <w:spacing w:before="120" w:beforeLines="50" w:after="120" w:afterLines="50" w:line="400" w:lineRule="exact"/>
        <w:ind w:firstLine="482" w:firstLineChars="200"/>
        <w:jc w:val="left"/>
        <w:rPr>
          <w:rFonts w:ascii="宋体" w:hAnsi="宋体" w:cs="宋体"/>
          <w:b/>
          <w:color w:val="auto"/>
          <w:sz w:val="24"/>
          <w:szCs w:val="24"/>
        </w:rPr>
      </w:pPr>
      <w:r>
        <w:rPr>
          <w:rFonts w:hint="eastAsia" w:ascii="宋体" w:hAnsi="宋体" w:cs="宋体"/>
          <w:b/>
          <w:color w:val="auto"/>
          <w:sz w:val="24"/>
          <w:szCs w:val="24"/>
        </w:rPr>
        <w:t>六、备品备件（易损件）清单</w:t>
      </w:r>
    </w:p>
    <w:p>
      <w:pPr>
        <w:pStyle w:val="54"/>
        <w:ind w:firstLine="422"/>
        <w:jc w:val="left"/>
        <w:rPr>
          <w:rFonts w:ascii="宋体" w:hAnsi="宋体" w:cs="宋体"/>
          <w:color w:val="auto"/>
          <w:sz w:val="21"/>
          <w:szCs w:val="21"/>
          <w:lang w:val="en-US"/>
        </w:rPr>
      </w:pPr>
      <w:r>
        <w:rPr>
          <w:rFonts w:hint="eastAsia" w:ascii="宋体" w:hAnsi="宋体" w:cs="宋体"/>
          <w:b/>
          <w:bCs/>
          <w:color w:val="auto"/>
          <w:sz w:val="21"/>
          <w:szCs w:val="21"/>
        </w:rPr>
        <w:t>放射防护备品备件（易损件）清单（包括但不限于）</w:t>
      </w:r>
    </w:p>
    <w:tbl>
      <w:tblPr>
        <w:tblStyle w:val="37"/>
        <w:tblW w:w="5000" w:type="pct"/>
        <w:tblInd w:w="0" w:type="dxa"/>
        <w:tblLayout w:type="autofit"/>
        <w:tblCellMar>
          <w:top w:w="0" w:type="dxa"/>
          <w:left w:w="108" w:type="dxa"/>
          <w:bottom w:w="0" w:type="dxa"/>
          <w:right w:w="108" w:type="dxa"/>
        </w:tblCellMar>
      </w:tblPr>
      <w:tblGrid>
        <w:gridCol w:w="1401"/>
        <w:gridCol w:w="3527"/>
        <w:gridCol w:w="2693"/>
        <w:gridCol w:w="2234"/>
      </w:tblGrid>
      <w:tr>
        <w:tblPrEx>
          <w:tblCellMar>
            <w:top w:w="0" w:type="dxa"/>
            <w:left w:w="108" w:type="dxa"/>
            <w:bottom w:w="0" w:type="dxa"/>
            <w:right w:w="108" w:type="dxa"/>
          </w:tblCellMar>
        </w:tblPrEx>
        <w:trPr>
          <w:trHeight w:val="397" w:hRule="exact"/>
        </w:trPr>
        <w:tc>
          <w:tcPr>
            <w:tcW w:w="71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
                <w:bCs/>
                <w:color w:val="auto"/>
                <w:szCs w:val="21"/>
              </w:rPr>
            </w:pPr>
            <w:r>
              <w:rPr>
                <w:rFonts w:hint="eastAsia" w:ascii="宋体" w:hAnsi="宋体" w:cs="宋体"/>
                <w:color w:val="auto"/>
                <w:szCs w:val="21"/>
              </w:rPr>
              <w:t>序号</w:t>
            </w:r>
          </w:p>
        </w:tc>
        <w:tc>
          <w:tcPr>
            <w:tcW w:w="1789"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b/>
                <w:bCs/>
                <w:color w:val="auto"/>
                <w:szCs w:val="21"/>
              </w:rPr>
            </w:pPr>
            <w:r>
              <w:rPr>
                <w:rFonts w:hint="eastAsia" w:ascii="宋体" w:hAnsi="宋体" w:cs="宋体"/>
                <w:color w:val="auto"/>
                <w:szCs w:val="21"/>
              </w:rPr>
              <w:t>名称</w:t>
            </w:r>
          </w:p>
        </w:tc>
        <w:tc>
          <w:tcPr>
            <w:tcW w:w="1366"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auto"/>
                <w:szCs w:val="21"/>
              </w:rPr>
            </w:pPr>
            <w:r>
              <w:rPr>
                <w:rFonts w:hint="eastAsia" w:ascii="宋体" w:hAnsi="宋体" w:cs="宋体"/>
                <w:color w:val="auto"/>
                <w:szCs w:val="21"/>
              </w:rPr>
              <w:t>规格</w:t>
            </w:r>
          </w:p>
        </w:tc>
        <w:tc>
          <w:tcPr>
            <w:tcW w:w="1133" w:type="pct"/>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s="宋体"/>
                <w:color w:val="auto"/>
                <w:szCs w:val="21"/>
              </w:rPr>
            </w:pPr>
            <w:r>
              <w:rPr>
                <w:rFonts w:hint="eastAsia" w:ascii="宋体" w:hAnsi="宋体" w:cs="宋体"/>
                <w:color w:val="auto"/>
                <w:szCs w:val="21"/>
              </w:rPr>
              <w:t>数量</w:t>
            </w:r>
          </w:p>
        </w:tc>
      </w:tr>
      <w:tr>
        <w:tblPrEx>
          <w:tblCellMar>
            <w:top w:w="0" w:type="dxa"/>
            <w:left w:w="108" w:type="dxa"/>
            <w:bottom w:w="0" w:type="dxa"/>
            <w:right w:w="108" w:type="dxa"/>
          </w:tblCellMar>
        </w:tblPrEx>
        <w:trPr>
          <w:trHeight w:val="397"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rPr>
            </w:pPr>
            <w:r>
              <w:rPr>
                <w:rFonts w:hint="eastAsia" w:ascii="宋体" w:hAnsi="宋体" w:cs="宋体"/>
                <w:color w:val="auto"/>
                <w:szCs w:val="21"/>
              </w:rPr>
              <w:t>1</w:t>
            </w:r>
          </w:p>
        </w:tc>
        <w:tc>
          <w:tcPr>
            <w:tcW w:w="1789" w:type="pct"/>
            <w:tcBorders>
              <w:top w:val="nil"/>
              <w:left w:val="nil"/>
              <w:bottom w:val="single" w:color="auto" w:sz="4" w:space="0"/>
              <w:right w:val="single" w:color="auto" w:sz="4" w:space="0"/>
            </w:tcBorders>
            <w:shd w:val="clear" w:color="auto" w:fill="auto"/>
            <w:vAlign w:val="center"/>
          </w:tcPr>
          <w:p>
            <w:pPr>
              <w:jc w:val="center"/>
              <w:rPr>
                <w:color w:val="auto"/>
              </w:rPr>
            </w:pPr>
            <w:r>
              <w:rPr>
                <w:rFonts w:hint="eastAsia"/>
                <w:color w:val="auto"/>
              </w:rPr>
              <w:t>防护门门把手</w:t>
            </w:r>
          </w:p>
        </w:tc>
        <w:tc>
          <w:tcPr>
            <w:tcW w:w="1366" w:type="pct"/>
            <w:tcBorders>
              <w:top w:val="nil"/>
              <w:left w:val="nil"/>
              <w:bottom w:val="single" w:color="auto" w:sz="4" w:space="0"/>
              <w:right w:val="single" w:color="auto" w:sz="4" w:space="0"/>
            </w:tcBorders>
            <w:shd w:val="clear" w:color="auto" w:fill="auto"/>
            <w:noWrap/>
            <w:vAlign w:val="center"/>
          </w:tcPr>
          <w:p>
            <w:pPr>
              <w:jc w:val="center"/>
              <w:rPr>
                <w:color w:val="auto"/>
              </w:rPr>
            </w:pPr>
            <w:r>
              <w:rPr>
                <w:rFonts w:hint="eastAsia"/>
                <w:color w:val="auto"/>
              </w:rPr>
              <w:t>300*100</w:t>
            </w:r>
          </w:p>
        </w:tc>
        <w:tc>
          <w:tcPr>
            <w:tcW w:w="1133" w:type="pct"/>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auto"/>
                <w:szCs w:val="21"/>
              </w:rPr>
            </w:pPr>
          </w:p>
        </w:tc>
      </w:tr>
      <w:tr>
        <w:tblPrEx>
          <w:tblCellMar>
            <w:top w:w="0" w:type="dxa"/>
            <w:left w:w="108" w:type="dxa"/>
            <w:bottom w:w="0" w:type="dxa"/>
            <w:right w:w="108" w:type="dxa"/>
          </w:tblCellMar>
        </w:tblPrEx>
        <w:trPr>
          <w:trHeight w:val="397"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rPr>
            </w:pPr>
            <w:r>
              <w:rPr>
                <w:rFonts w:hint="eastAsia" w:ascii="宋体" w:hAnsi="宋体" w:cs="宋体"/>
                <w:color w:val="auto"/>
                <w:szCs w:val="21"/>
              </w:rPr>
              <w:t>2</w:t>
            </w:r>
          </w:p>
        </w:tc>
        <w:tc>
          <w:tcPr>
            <w:tcW w:w="1789" w:type="pct"/>
            <w:tcBorders>
              <w:top w:val="nil"/>
              <w:left w:val="nil"/>
              <w:bottom w:val="single" w:color="auto" w:sz="4" w:space="0"/>
              <w:right w:val="single" w:color="auto" w:sz="4" w:space="0"/>
            </w:tcBorders>
            <w:shd w:val="clear" w:color="auto" w:fill="auto"/>
            <w:vAlign w:val="center"/>
          </w:tcPr>
          <w:p>
            <w:pPr>
              <w:jc w:val="center"/>
              <w:rPr>
                <w:color w:val="auto"/>
              </w:rPr>
            </w:pPr>
            <w:r>
              <w:rPr>
                <w:rFonts w:hint="eastAsia"/>
                <w:color w:val="auto"/>
              </w:rPr>
              <w:t>防护门闭门器</w:t>
            </w:r>
          </w:p>
        </w:tc>
        <w:tc>
          <w:tcPr>
            <w:tcW w:w="1366" w:type="pct"/>
            <w:tcBorders>
              <w:top w:val="nil"/>
              <w:left w:val="nil"/>
              <w:bottom w:val="single" w:color="auto" w:sz="4" w:space="0"/>
              <w:right w:val="single" w:color="auto" w:sz="4" w:space="0"/>
            </w:tcBorders>
            <w:shd w:val="clear" w:color="auto" w:fill="auto"/>
            <w:noWrap/>
            <w:vAlign w:val="center"/>
          </w:tcPr>
          <w:p>
            <w:pPr>
              <w:jc w:val="center"/>
              <w:rPr>
                <w:color w:val="auto"/>
              </w:rPr>
            </w:pPr>
            <w:r>
              <w:rPr>
                <w:rFonts w:hint="eastAsia"/>
                <w:color w:val="auto"/>
              </w:rPr>
              <w:t>RK1300</w:t>
            </w:r>
          </w:p>
        </w:tc>
        <w:tc>
          <w:tcPr>
            <w:tcW w:w="1133" w:type="pct"/>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auto"/>
                <w:szCs w:val="21"/>
              </w:rPr>
            </w:pPr>
          </w:p>
        </w:tc>
      </w:tr>
      <w:tr>
        <w:tblPrEx>
          <w:tblCellMar>
            <w:top w:w="0" w:type="dxa"/>
            <w:left w:w="108" w:type="dxa"/>
            <w:bottom w:w="0" w:type="dxa"/>
            <w:right w:w="108" w:type="dxa"/>
          </w:tblCellMar>
        </w:tblPrEx>
        <w:trPr>
          <w:trHeight w:val="397" w:hRule="exact"/>
        </w:trPr>
        <w:tc>
          <w:tcPr>
            <w:tcW w:w="71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rPr>
            </w:pPr>
            <w:r>
              <w:rPr>
                <w:rFonts w:hint="eastAsia" w:ascii="宋体" w:hAnsi="宋体" w:cs="宋体"/>
                <w:color w:val="auto"/>
                <w:szCs w:val="21"/>
              </w:rPr>
              <w:t>3</w:t>
            </w:r>
          </w:p>
        </w:tc>
        <w:tc>
          <w:tcPr>
            <w:tcW w:w="1789" w:type="pct"/>
            <w:tcBorders>
              <w:top w:val="single" w:color="auto" w:sz="4" w:space="0"/>
              <w:left w:val="nil"/>
              <w:bottom w:val="single" w:color="auto" w:sz="4" w:space="0"/>
              <w:right w:val="single" w:color="auto" w:sz="4" w:space="0"/>
            </w:tcBorders>
            <w:shd w:val="clear" w:color="auto" w:fill="auto"/>
            <w:vAlign w:val="center"/>
          </w:tcPr>
          <w:p>
            <w:pPr>
              <w:jc w:val="center"/>
              <w:rPr>
                <w:color w:val="auto"/>
              </w:rPr>
            </w:pPr>
            <w:r>
              <w:rPr>
                <w:rFonts w:hint="eastAsia"/>
                <w:color w:val="auto"/>
              </w:rPr>
              <w:t>警示灯</w:t>
            </w:r>
          </w:p>
        </w:tc>
        <w:tc>
          <w:tcPr>
            <w:tcW w:w="1366" w:type="pct"/>
            <w:tcBorders>
              <w:top w:val="single" w:color="auto" w:sz="4" w:space="0"/>
              <w:left w:val="nil"/>
              <w:bottom w:val="single" w:color="auto" w:sz="4" w:space="0"/>
              <w:right w:val="single" w:color="auto" w:sz="4" w:space="0"/>
            </w:tcBorders>
            <w:shd w:val="clear" w:color="auto" w:fill="auto"/>
            <w:noWrap/>
            <w:vAlign w:val="center"/>
          </w:tcPr>
          <w:p>
            <w:pPr>
              <w:jc w:val="center"/>
              <w:rPr>
                <w:color w:val="auto"/>
              </w:rPr>
            </w:pPr>
            <w:r>
              <w:rPr>
                <w:rFonts w:hint="eastAsia"/>
                <w:color w:val="auto"/>
              </w:rPr>
              <w:t>不锈钢款</w:t>
            </w:r>
          </w:p>
        </w:tc>
        <w:tc>
          <w:tcPr>
            <w:tcW w:w="1133" w:type="pct"/>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color w:val="auto"/>
                <w:szCs w:val="21"/>
              </w:rPr>
            </w:pPr>
          </w:p>
        </w:tc>
      </w:tr>
      <w:tr>
        <w:tblPrEx>
          <w:tblCellMar>
            <w:top w:w="0" w:type="dxa"/>
            <w:left w:w="108" w:type="dxa"/>
            <w:bottom w:w="0" w:type="dxa"/>
            <w:right w:w="108" w:type="dxa"/>
          </w:tblCellMar>
        </w:tblPrEx>
        <w:trPr>
          <w:trHeight w:val="397"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rPr>
            </w:pPr>
            <w:r>
              <w:rPr>
                <w:rFonts w:hint="eastAsia" w:ascii="宋体" w:hAnsi="宋体" w:cs="宋体"/>
                <w:color w:val="auto"/>
                <w:szCs w:val="21"/>
              </w:rPr>
              <w:t>4</w:t>
            </w:r>
          </w:p>
        </w:tc>
        <w:tc>
          <w:tcPr>
            <w:tcW w:w="1789" w:type="pct"/>
            <w:tcBorders>
              <w:top w:val="nil"/>
              <w:left w:val="nil"/>
              <w:bottom w:val="single" w:color="auto" w:sz="4" w:space="0"/>
              <w:right w:val="single" w:color="auto" w:sz="4" w:space="0"/>
            </w:tcBorders>
            <w:shd w:val="clear" w:color="auto" w:fill="auto"/>
            <w:vAlign w:val="center"/>
          </w:tcPr>
          <w:p>
            <w:pPr>
              <w:jc w:val="center"/>
              <w:rPr>
                <w:color w:val="auto"/>
              </w:rPr>
            </w:pPr>
            <w:r>
              <w:rPr>
                <w:rFonts w:hint="eastAsia"/>
                <w:color w:val="auto"/>
              </w:rPr>
              <w:t>防护移门档条</w:t>
            </w:r>
          </w:p>
        </w:tc>
        <w:tc>
          <w:tcPr>
            <w:tcW w:w="1366" w:type="pct"/>
            <w:tcBorders>
              <w:top w:val="nil"/>
              <w:left w:val="nil"/>
              <w:bottom w:val="single" w:color="auto" w:sz="4" w:space="0"/>
              <w:right w:val="single" w:color="auto" w:sz="4" w:space="0"/>
            </w:tcBorders>
            <w:shd w:val="clear" w:color="auto" w:fill="auto"/>
            <w:noWrap/>
            <w:vAlign w:val="center"/>
          </w:tcPr>
          <w:p>
            <w:pPr>
              <w:jc w:val="center"/>
              <w:rPr>
                <w:color w:val="auto"/>
              </w:rPr>
            </w:pPr>
            <w:r>
              <w:rPr>
                <w:rFonts w:hint="eastAsia"/>
                <w:color w:val="auto"/>
              </w:rPr>
              <w:t>活动式</w:t>
            </w:r>
          </w:p>
        </w:tc>
        <w:tc>
          <w:tcPr>
            <w:tcW w:w="1133" w:type="pct"/>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auto"/>
                <w:szCs w:val="21"/>
              </w:rPr>
            </w:pPr>
          </w:p>
        </w:tc>
      </w:tr>
      <w:tr>
        <w:tblPrEx>
          <w:tblCellMar>
            <w:top w:w="0" w:type="dxa"/>
            <w:left w:w="108" w:type="dxa"/>
            <w:bottom w:w="0" w:type="dxa"/>
            <w:right w:w="108" w:type="dxa"/>
          </w:tblCellMar>
        </w:tblPrEx>
        <w:trPr>
          <w:trHeight w:val="397"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rPr>
            </w:pPr>
            <w:r>
              <w:rPr>
                <w:rFonts w:hint="eastAsia" w:ascii="宋体" w:hAnsi="宋体" w:cs="宋体"/>
                <w:color w:val="auto"/>
                <w:szCs w:val="21"/>
              </w:rPr>
              <w:t>5</w:t>
            </w:r>
          </w:p>
        </w:tc>
        <w:tc>
          <w:tcPr>
            <w:tcW w:w="1789" w:type="pct"/>
            <w:tcBorders>
              <w:top w:val="nil"/>
              <w:left w:val="nil"/>
              <w:bottom w:val="single" w:color="auto" w:sz="4" w:space="0"/>
              <w:right w:val="single" w:color="auto" w:sz="4" w:space="0"/>
            </w:tcBorders>
            <w:shd w:val="clear" w:color="auto" w:fill="auto"/>
            <w:vAlign w:val="center"/>
          </w:tcPr>
          <w:p>
            <w:pPr>
              <w:jc w:val="center"/>
              <w:rPr>
                <w:color w:val="auto"/>
              </w:rPr>
            </w:pPr>
            <w:r>
              <w:rPr>
                <w:rFonts w:hint="eastAsia"/>
                <w:color w:val="auto"/>
              </w:rPr>
              <w:t>移门导轨轮</w:t>
            </w:r>
          </w:p>
        </w:tc>
        <w:tc>
          <w:tcPr>
            <w:tcW w:w="1366" w:type="pct"/>
            <w:tcBorders>
              <w:top w:val="nil"/>
              <w:left w:val="nil"/>
              <w:bottom w:val="single" w:color="auto" w:sz="4" w:space="0"/>
              <w:right w:val="single" w:color="auto" w:sz="4" w:space="0"/>
            </w:tcBorders>
            <w:shd w:val="clear" w:color="auto" w:fill="auto"/>
            <w:noWrap/>
            <w:vAlign w:val="center"/>
          </w:tcPr>
          <w:p>
            <w:pPr>
              <w:jc w:val="center"/>
              <w:rPr>
                <w:color w:val="auto"/>
              </w:rPr>
            </w:pPr>
            <w:r>
              <w:rPr>
                <w:rFonts w:hint="eastAsia"/>
                <w:color w:val="auto"/>
              </w:rPr>
              <w:t>挂式</w:t>
            </w:r>
          </w:p>
        </w:tc>
        <w:tc>
          <w:tcPr>
            <w:tcW w:w="1133" w:type="pct"/>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auto"/>
                <w:szCs w:val="21"/>
              </w:rPr>
            </w:pPr>
          </w:p>
        </w:tc>
      </w:tr>
      <w:tr>
        <w:tblPrEx>
          <w:tblCellMar>
            <w:top w:w="0" w:type="dxa"/>
            <w:left w:w="108" w:type="dxa"/>
            <w:bottom w:w="0" w:type="dxa"/>
            <w:right w:w="108" w:type="dxa"/>
          </w:tblCellMar>
        </w:tblPrEx>
        <w:trPr>
          <w:trHeight w:val="397"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rPr>
            </w:pPr>
            <w:r>
              <w:rPr>
                <w:rFonts w:hint="eastAsia" w:ascii="宋体" w:hAnsi="宋体" w:cs="宋体"/>
                <w:color w:val="auto"/>
                <w:szCs w:val="21"/>
              </w:rPr>
              <w:t>6</w:t>
            </w:r>
          </w:p>
        </w:tc>
        <w:tc>
          <w:tcPr>
            <w:tcW w:w="1789" w:type="pct"/>
            <w:tcBorders>
              <w:top w:val="nil"/>
              <w:left w:val="nil"/>
              <w:bottom w:val="single" w:color="auto" w:sz="4" w:space="0"/>
              <w:right w:val="single" w:color="auto" w:sz="4" w:space="0"/>
            </w:tcBorders>
            <w:shd w:val="clear" w:color="auto" w:fill="auto"/>
            <w:vAlign w:val="center"/>
          </w:tcPr>
          <w:p>
            <w:pPr>
              <w:jc w:val="center"/>
              <w:rPr>
                <w:color w:val="auto"/>
              </w:rPr>
            </w:pPr>
            <w:r>
              <w:rPr>
                <w:rFonts w:hint="eastAsia"/>
                <w:color w:val="auto"/>
              </w:rPr>
              <w:t>移门皮带</w:t>
            </w:r>
          </w:p>
        </w:tc>
        <w:tc>
          <w:tcPr>
            <w:tcW w:w="1366" w:type="pct"/>
            <w:tcBorders>
              <w:top w:val="nil"/>
              <w:left w:val="nil"/>
              <w:bottom w:val="single" w:color="auto" w:sz="4" w:space="0"/>
              <w:right w:val="single" w:color="auto" w:sz="4" w:space="0"/>
            </w:tcBorders>
            <w:shd w:val="clear" w:color="auto" w:fill="auto"/>
            <w:noWrap/>
            <w:vAlign w:val="center"/>
          </w:tcPr>
          <w:p>
            <w:pPr>
              <w:jc w:val="center"/>
              <w:rPr>
                <w:color w:val="auto"/>
              </w:rPr>
            </w:pPr>
            <w:r>
              <w:rPr>
                <w:rFonts w:hint="eastAsia"/>
                <w:color w:val="auto"/>
              </w:rPr>
              <w:t>/</w:t>
            </w:r>
          </w:p>
        </w:tc>
        <w:tc>
          <w:tcPr>
            <w:tcW w:w="1133" w:type="pct"/>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auto"/>
                <w:szCs w:val="21"/>
              </w:rPr>
            </w:pPr>
          </w:p>
        </w:tc>
      </w:tr>
      <w:tr>
        <w:tblPrEx>
          <w:tblCellMar>
            <w:top w:w="0" w:type="dxa"/>
            <w:left w:w="108" w:type="dxa"/>
            <w:bottom w:w="0" w:type="dxa"/>
            <w:right w:w="108" w:type="dxa"/>
          </w:tblCellMar>
        </w:tblPrEx>
        <w:trPr>
          <w:trHeight w:val="397"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rPr>
            </w:pPr>
            <w:r>
              <w:rPr>
                <w:rFonts w:hint="eastAsia" w:ascii="宋体" w:hAnsi="宋体" w:cs="宋体"/>
                <w:color w:val="auto"/>
                <w:szCs w:val="21"/>
              </w:rPr>
              <w:t>7</w:t>
            </w:r>
          </w:p>
        </w:tc>
        <w:tc>
          <w:tcPr>
            <w:tcW w:w="1789" w:type="pct"/>
            <w:tcBorders>
              <w:top w:val="nil"/>
              <w:left w:val="nil"/>
              <w:bottom w:val="single" w:color="auto" w:sz="4" w:space="0"/>
              <w:right w:val="single" w:color="auto" w:sz="4" w:space="0"/>
            </w:tcBorders>
            <w:shd w:val="clear" w:color="auto" w:fill="auto"/>
            <w:vAlign w:val="center"/>
          </w:tcPr>
          <w:p>
            <w:pPr>
              <w:jc w:val="center"/>
              <w:rPr>
                <w:color w:val="auto"/>
              </w:rPr>
            </w:pPr>
            <w:r>
              <w:rPr>
                <w:rFonts w:hint="eastAsia"/>
                <w:color w:val="auto"/>
              </w:rPr>
              <w:t>电动门控制器</w:t>
            </w:r>
          </w:p>
        </w:tc>
        <w:tc>
          <w:tcPr>
            <w:tcW w:w="1366" w:type="pct"/>
            <w:tcBorders>
              <w:top w:val="nil"/>
              <w:left w:val="nil"/>
              <w:bottom w:val="single" w:color="auto" w:sz="4" w:space="0"/>
              <w:right w:val="single" w:color="auto" w:sz="4" w:space="0"/>
            </w:tcBorders>
            <w:shd w:val="clear" w:color="auto" w:fill="auto"/>
            <w:noWrap/>
            <w:vAlign w:val="center"/>
          </w:tcPr>
          <w:p>
            <w:pPr>
              <w:jc w:val="center"/>
              <w:rPr>
                <w:color w:val="auto"/>
              </w:rPr>
            </w:pPr>
            <w:r>
              <w:rPr>
                <w:rFonts w:hint="eastAsia"/>
                <w:color w:val="auto"/>
              </w:rPr>
              <w:t>重型</w:t>
            </w:r>
          </w:p>
        </w:tc>
        <w:tc>
          <w:tcPr>
            <w:tcW w:w="1133" w:type="pct"/>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auto"/>
                <w:szCs w:val="21"/>
              </w:rPr>
            </w:pPr>
          </w:p>
        </w:tc>
      </w:tr>
      <w:tr>
        <w:tblPrEx>
          <w:tblCellMar>
            <w:top w:w="0" w:type="dxa"/>
            <w:left w:w="108" w:type="dxa"/>
            <w:bottom w:w="0" w:type="dxa"/>
            <w:right w:w="108" w:type="dxa"/>
          </w:tblCellMar>
        </w:tblPrEx>
        <w:trPr>
          <w:trHeight w:val="397" w:hRule="exact"/>
        </w:trPr>
        <w:tc>
          <w:tcPr>
            <w:tcW w:w="711" w:type="pct"/>
            <w:tcBorders>
              <w:top w:val="nil"/>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rPr>
            </w:pPr>
            <w:r>
              <w:rPr>
                <w:rFonts w:hint="eastAsia" w:ascii="宋体" w:hAnsi="宋体" w:cs="宋体"/>
                <w:color w:val="auto"/>
                <w:szCs w:val="21"/>
              </w:rPr>
              <w:t>8</w:t>
            </w:r>
          </w:p>
        </w:tc>
        <w:tc>
          <w:tcPr>
            <w:tcW w:w="1789" w:type="pct"/>
            <w:tcBorders>
              <w:top w:val="nil"/>
              <w:left w:val="nil"/>
              <w:bottom w:val="single" w:color="auto" w:sz="4" w:space="0"/>
              <w:right w:val="single" w:color="auto" w:sz="4" w:space="0"/>
            </w:tcBorders>
            <w:shd w:val="clear" w:color="auto" w:fill="auto"/>
            <w:vAlign w:val="center"/>
          </w:tcPr>
          <w:p>
            <w:pPr>
              <w:jc w:val="center"/>
              <w:rPr>
                <w:color w:val="auto"/>
              </w:rPr>
            </w:pPr>
            <w:r>
              <w:rPr>
                <w:rFonts w:hint="eastAsia"/>
                <w:color w:val="auto"/>
              </w:rPr>
              <w:t>电动门电机</w:t>
            </w:r>
          </w:p>
        </w:tc>
        <w:tc>
          <w:tcPr>
            <w:tcW w:w="1366" w:type="pct"/>
            <w:tcBorders>
              <w:top w:val="nil"/>
              <w:left w:val="nil"/>
              <w:bottom w:val="single" w:color="auto" w:sz="4" w:space="0"/>
              <w:right w:val="single" w:color="auto" w:sz="4" w:space="0"/>
            </w:tcBorders>
            <w:shd w:val="clear" w:color="auto" w:fill="auto"/>
            <w:noWrap/>
            <w:vAlign w:val="center"/>
          </w:tcPr>
          <w:p>
            <w:pPr>
              <w:jc w:val="center"/>
              <w:rPr>
                <w:color w:val="auto"/>
              </w:rPr>
            </w:pPr>
            <w:r>
              <w:rPr>
                <w:rFonts w:hint="eastAsia"/>
                <w:color w:val="auto"/>
              </w:rPr>
              <w:t>重型</w:t>
            </w:r>
          </w:p>
        </w:tc>
        <w:tc>
          <w:tcPr>
            <w:tcW w:w="1133" w:type="pct"/>
            <w:tcBorders>
              <w:top w:val="nil"/>
              <w:left w:val="nil"/>
              <w:bottom w:val="single" w:color="auto" w:sz="4" w:space="0"/>
              <w:right w:val="single" w:color="auto" w:sz="4" w:space="0"/>
            </w:tcBorders>
            <w:shd w:val="clear" w:color="auto" w:fill="auto"/>
            <w:noWrap/>
            <w:vAlign w:val="center"/>
          </w:tcPr>
          <w:p>
            <w:pPr>
              <w:jc w:val="center"/>
              <w:rPr>
                <w:rFonts w:ascii="宋体" w:hAnsi="宋体" w:cs="宋体"/>
                <w:color w:val="auto"/>
                <w:szCs w:val="21"/>
              </w:rPr>
            </w:pPr>
          </w:p>
        </w:tc>
      </w:tr>
    </w:tbl>
    <w:p>
      <w:pPr>
        <w:rPr>
          <w:rFonts w:ascii="宋体" w:hAnsi="宋体" w:cs="宋体"/>
          <w:color w:val="auto"/>
          <w:szCs w:val="21"/>
        </w:rPr>
        <w:sectPr>
          <w:footerReference r:id="rId6" w:type="default"/>
          <w:footerReference r:id="rId7" w:type="even"/>
          <w:pgSz w:w="11907" w:h="16840"/>
          <w:pgMar w:top="1440" w:right="1134" w:bottom="1440" w:left="1134" w:header="680" w:footer="680" w:gutter="0"/>
          <w:cols w:space="720" w:num="1"/>
          <w:docGrid w:linePitch="271" w:charSpace="0"/>
        </w:sectPr>
      </w:pPr>
    </w:p>
    <w:p>
      <w:pPr>
        <w:pStyle w:val="13"/>
        <w:spacing w:line="360" w:lineRule="exact"/>
        <w:ind w:left="141" w:leftChars="67" w:right="68"/>
        <w:jc w:val="center"/>
        <w:rPr>
          <w:rFonts w:ascii="宋体" w:hAnsi="宋体"/>
          <w:color w:val="auto"/>
          <w:sz w:val="30"/>
          <w:szCs w:val="30"/>
        </w:rPr>
      </w:pPr>
      <w:r>
        <w:rPr>
          <w:rFonts w:ascii="宋体" w:hAnsi="宋体"/>
          <w:color w:val="auto"/>
          <w:w w:val="90"/>
          <w:sz w:val="30"/>
          <w:szCs w:val="30"/>
        </w:rPr>
        <w:t>放射防护</w:t>
      </w:r>
      <w:r>
        <w:rPr>
          <w:rFonts w:hint="eastAsia" w:ascii="宋体" w:hAnsi="宋体"/>
          <w:color w:val="auto"/>
          <w:w w:val="90"/>
          <w:sz w:val="30"/>
          <w:szCs w:val="30"/>
        </w:rPr>
        <w:t>-防护</w:t>
      </w:r>
      <w:r>
        <w:rPr>
          <w:rFonts w:ascii="宋体" w:hAnsi="宋体"/>
          <w:color w:val="auto"/>
          <w:w w:val="90"/>
          <w:sz w:val="30"/>
          <w:szCs w:val="30"/>
        </w:rPr>
        <w:t>门窗表</w:t>
      </w:r>
    </w:p>
    <w:tbl>
      <w:tblPr>
        <w:tblStyle w:val="37"/>
        <w:tblpPr w:leftFromText="180" w:rightFromText="180" w:vertAnchor="text" w:horzAnchor="page" w:tblpXSpec="center" w:tblpY="86"/>
        <w:tblW w:w="542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66"/>
        <w:gridCol w:w="1135"/>
        <w:gridCol w:w="1123"/>
        <w:gridCol w:w="9"/>
        <w:gridCol w:w="1141"/>
        <w:gridCol w:w="1132"/>
        <w:gridCol w:w="9"/>
        <w:gridCol w:w="1123"/>
        <w:gridCol w:w="9"/>
        <w:gridCol w:w="1126"/>
        <w:gridCol w:w="6"/>
        <w:gridCol w:w="1129"/>
        <w:gridCol w:w="9"/>
        <w:gridCol w:w="1153"/>
        <w:gridCol w:w="1147"/>
        <w:gridCol w:w="1002"/>
        <w:gridCol w:w="91"/>
        <w:gridCol w:w="999"/>
        <w:gridCol w:w="12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机房名称</w:t>
            </w:r>
          </w:p>
        </w:tc>
        <w:tc>
          <w:tcPr>
            <w:tcW w:w="1123" w:type="pct"/>
            <w:gridSpan w:val="4"/>
          </w:tcPr>
          <w:p>
            <w:pPr>
              <w:pStyle w:val="71"/>
              <w:spacing w:line="240" w:lineRule="exact"/>
              <w:jc w:val="center"/>
              <w:rPr>
                <w:color w:val="auto"/>
                <w:spacing w:val="-20"/>
                <w:sz w:val="24"/>
              </w:rPr>
            </w:pPr>
            <w:r>
              <w:rPr>
                <w:color w:val="auto"/>
                <w:spacing w:val="-20"/>
                <w:w w:val="90"/>
                <w:sz w:val="24"/>
              </w:rPr>
              <w:t>模拟CT机房（地下一层放疗科）</w:t>
            </w:r>
          </w:p>
        </w:tc>
        <w:tc>
          <w:tcPr>
            <w:tcW w:w="1120" w:type="pct"/>
            <w:gridSpan w:val="5"/>
          </w:tcPr>
          <w:p>
            <w:pPr>
              <w:pStyle w:val="71"/>
              <w:spacing w:line="240" w:lineRule="exact"/>
              <w:jc w:val="center"/>
              <w:rPr>
                <w:color w:val="auto"/>
                <w:spacing w:val="-20"/>
                <w:sz w:val="24"/>
              </w:rPr>
            </w:pPr>
            <w:r>
              <w:rPr>
                <w:color w:val="auto"/>
                <w:spacing w:val="-20"/>
                <w:w w:val="90"/>
                <w:sz w:val="24"/>
              </w:rPr>
              <w:t>CT机房1（一层放射科）</w:t>
            </w:r>
          </w:p>
        </w:tc>
        <w:tc>
          <w:tcPr>
            <w:tcW w:w="1135" w:type="pct"/>
            <w:gridSpan w:val="5"/>
          </w:tcPr>
          <w:p>
            <w:pPr>
              <w:pStyle w:val="71"/>
              <w:spacing w:line="240" w:lineRule="exact"/>
              <w:jc w:val="center"/>
              <w:rPr>
                <w:color w:val="auto"/>
                <w:spacing w:val="-20"/>
                <w:sz w:val="24"/>
              </w:rPr>
            </w:pPr>
            <w:r>
              <w:rPr>
                <w:color w:val="auto"/>
                <w:spacing w:val="-20"/>
                <w:w w:val="90"/>
                <w:sz w:val="24"/>
              </w:rPr>
              <w:t>CT机房2（一层放射科）</w:t>
            </w:r>
          </w:p>
        </w:tc>
        <w:tc>
          <w:tcPr>
            <w:tcW w:w="1106" w:type="pct"/>
            <w:gridSpan w:val="4"/>
          </w:tcPr>
          <w:p>
            <w:pPr>
              <w:pStyle w:val="71"/>
              <w:spacing w:line="240" w:lineRule="exact"/>
              <w:jc w:val="center"/>
              <w:rPr>
                <w:color w:val="auto"/>
                <w:spacing w:val="-20"/>
                <w:sz w:val="24"/>
              </w:rPr>
            </w:pPr>
            <w:r>
              <w:rPr>
                <w:color w:val="auto"/>
                <w:spacing w:val="-20"/>
                <w:w w:val="90"/>
                <w:sz w:val="24"/>
              </w:rPr>
              <w:t>CT机房3（一层放射科）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门窗名称</w:t>
            </w:r>
          </w:p>
        </w:tc>
        <w:tc>
          <w:tcPr>
            <w:tcW w:w="374" w:type="pct"/>
          </w:tcPr>
          <w:p>
            <w:pPr>
              <w:pStyle w:val="71"/>
              <w:tabs>
                <w:tab w:val="left" w:pos="1105"/>
              </w:tabs>
              <w:spacing w:line="240" w:lineRule="exact"/>
              <w:jc w:val="center"/>
              <w:rPr>
                <w:color w:val="auto"/>
                <w:spacing w:val="-20"/>
                <w:sz w:val="24"/>
              </w:rPr>
            </w:pPr>
            <w:r>
              <w:rPr>
                <w:color w:val="auto"/>
                <w:spacing w:val="-20"/>
                <w:w w:val="80"/>
                <w:sz w:val="24"/>
              </w:rPr>
              <w:t>防护观察窗</w:t>
            </w:r>
          </w:p>
        </w:tc>
        <w:tc>
          <w:tcPr>
            <w:tcW w:w="373" w:type="pct"/>
            <w:gridSpan w:val="2"/>
          </w:tcPr>
          <w:p>
            <w:pPr>
              <w:pStyle w:val="71"/>
              <w:spacing w:line="240" w:lineRule="exact"/>
              <w:jc w:val="center"/>
              <w:rPr>
                <w:color w:val="auto"/>
                <w:spacing w:val="-20"/>
                <w:sz w:val="24"/>
              </w:rPr>
            </w:pPr>
            <w:r>
              <w:rPr>
                <w:color w:val="auto"/>
                <w:spacing w:val="-20"/>
                <w:w w:val="90"/>
                <w:sz w:val="24"/>
              </w:rPr>
              <w:t>单开防护门</w:t>
            </w:r>
          </w:p>
        </w:tc>
        <w:tc>
          <w:tcPr>
            <w:tcW w:w="376" w:type="pct"/>
          </w:tcPr>
          <w:p>
            <w:pPr>
              <w:pStyle w:val="71"/>
              <w:spacing w:line="240" w:lineRule="exact"/>
              <w:ind w:right="73"/>
              <w:jc w:val="center"/>
              <w:rPr>
                <w:color w:val="auto"/>
                <w:spacing w:val="-20"/>
                <w:sz w:val="24"/>
              </w:rPr>
            </w:pPr>
            <w:r>
              <w:rPr>
                <w:color w:val="auto"/>
                <w:spacing w:val="-20"/>
                <w:w w:val="80"/>
                <w:sz w:val="24"/>
              </w:rPr>
              <w:t>电动防护门</w:t>
            </w:r>
          </w:p>
        </w:tc>
        <w:tc>
          <w:tcPr>
            <w:tcW w:w="373" w:type="pct"/>
          </w:tcPr>
          <w:p>
            <w:pPr>
              <w:pStyle w:val="71"/>
              <w:spacing w:line="240" w:lineRule="exact"/>
              <w:jc w:val="center"/>
              <w:rPr>
                <w:color w:val="auto"/>
                <w:spacing w:val="-20"/>
                <w:sz w:val="24"/>
              </w:rPr>
            </w:pPr>
            <w:r>
              <w:rPr>
                <w:color w:val="auto"/>
                <w:spacing w:val="-20"/>
                <w:w w:val="90"/>
                <w:sz w:val="24"/>
              </w:rPr>
              <w:t>防护观察窗</w:t>
            </w:r>
          </w:p>
        </w:tc>
        <w:tc>
          <w:tcPr>
            <w:tcW w:w="373" w:type="pct"/>
            <w:gridSpan w:val="2"/>
          </w:tcPr>
          <w:p>
            <w:pPr>
              <w:pStyle w:val="71"/>
              <w:spacing w:line="240" w:lineRule="exact"/>
              <w:jc w:val="center"/>
              <w:rPr>
                <w:color w:val="auto"/>
                <w:spacing w:val="-20"/>
                <w:sz w:val="24"/>
              </w:rPr>
            </w:pPr>
            <w:r>
              <w:rPr>
                <w:color w:val="auto"/>
                <w:spacing w:val="-20"/>
                <w:w w:val="90"/>
                <w:sz w:val="24"/>
              </w:rPr>
              <w:t>单开防护门</w:t>
            </w:r>
          </w:p>
        </w:tc>
        <w:tc>
          <w:tcPr>
            <w:tcW w:w="374" w:type="pct"/>
            <w:gridSpan w:val="2"/>
          </w:tcPr>
          <w:p>
            <w:pPr>
              <w:pStyle w:val="71"/>
              <w:spacing w:line="240" w:lineRule="exact"/>
              <w:jc w:val="center"/>
              <w:rPr>
                <w:color w:val="auto"/>
                <w:spacing w:val="-20"/>
                <w:sz w:val="24"/>
              </w:rPr>
            </w:pPr>
            <w:r>
              <w:rPr>
                <w:color w:val="auto"/>
                <w:spacing w:val="-20"/>
                <w:w w:val="90"/>
                <w:sz w:val="24"/>
              </w:rPr>
              <w:t>电动防护门</w:t>
            </w:r>
          </w:p>
        </w:tc>
        <w:tc>
          <w:tcPr>
            <w:tcW w:w="374" w:type="pct"/>
            <w:gridSpan w:val="2"/>
          </w:tcPr>
          <w:p>
            <w:pPr>
              <w:pStyle w:val="71"/>
              <w:spacing w:line="240" w:lineRule="exact"/>
              <w:jc w:val="center"/>
              <w:rPr>
                <w:color w:val="auto"/>
                <w:spacing w:val="-20"/>
                <w:sz w:val="24"/>
              </w:rPr>
            </w:pPr>
            <w:r>
              <w:rPr>
                <w:color w:val="auto"/>
                <w:spacing w:val="-20"/>
                <w:w w:val="80"/>
                <w:sz w:val="24"/>
              </w:rPr>
              <w:t>防护观察窗</w:t>
            </w:r>
          </w:p>
        </w:tc>
        <w:tc>
          <w:tcPr>
            <w:tcW w:w="383" w:type="pct"/>
            <w:gridSpan w:val="2"/>
          </w:tcPr>
          <w:p>
            <w:pPr>
              <w:pStyle w:val="71"/>
              <w:spacing w:line="240" w:lineRule="exact"/>
              <w:jc w:val="center"/>
              <w:rPr>
                <w:color w:val="auto"/>
                <w:spacing w:val="-20"/>
                <w:sz w:val="24"/>
              </w:rPr>
            </w:pPr>
            <w:r>
              <w:rPr>
                <w:color w:val="auto"/>
                <w:spacing w:val="-20"/>
                <w:w w:val="80"/>
                <w:sz w:val="24"/>
              </w:rPr>
              <w:t>单开防护门</w:t>
            </w:r>
          </w:p>
        </w:tc>
        <w:tc>
          <w:tcPr>
            <w:tcW w:w="378" w:type="pct"/>
          </w:tcPr>
          <w:p>
            <w:pPr>
              <w:pStyle w:val="71"/>
              <w:spacing w:line="240" w:lineRule="exact"/>
              <w:jc w:val="center"/>
              <w:rPr>
                <w:color w:val="auto"/>
                <w:spacing w:val="-20"/>
                <w:sz w:val="24"/>
              </w:rPr>
            </w:pPr>
            <w:r>
              <w:rPr>
                <w:color w:val="auto"/>
                <w:spacing w:val="-20"/>
                <w:w w:val="80"/>
                <w:sz w:val="24"/>
              </w:rPr>
              <w:t>电动防护门</w:t>
            </w:r>
          </w:p>
        </w:tc>
        <w:tc>
          <w:tcPr>
            <w:tcW w:w="360" w:type="pct"/>
            <w:gridSpan w:val="2"/>
          </w:tcPr>
          <w:p>
            <w:pPr>
              <w:pStyle w:val="71"/>
              <w:spacing w:line="240" w:lineRule="exact"/>
              <w:jc w:val="center"/>
              <w:rPr>
                <w:color w:val="auto"/>
                <w:spacing w:val="-20"/>
                <w:sz w:val="24"/>
              </w:rPr>
            </w:pPr>
            <w:r>
              <w:rPr>
                <w:color w:val="auto"/>
                <w:spacing w:val="-20"/>
                <w:w w:val="80"/>
                <w:sz w:val="24"/>
              </w:rPr>
              <w:t>防护观察窗</w:t>
            </w:r>
          </w:p>
        </w:tc>
        <w:tc>
          <w:tcPr>
            <w:tcW w:w="329" w:type="pct"/>
          </w:tcPr>
          <w:p>
            <w:pPr>
              <w:pStyle w:val="71"/>
              <w:spacing w:line="240" w:lineRule="exact"/>
              <w:jc w:val="center"/>
              <w:rPr>
                <w:color w:val="auto"/>
                <w:spacing w:val="-20"/>
                <w:sz w:val="24"/>
              </w:rPr>
            </w:pPr>
            <w:r>
              <w:rPr>
                <w:color w:val="auto"/>
                <w:spacing w:val="-20"/>
                <w:w w:val="80"/>
                <w:sz w:val="24"/>
              </w:rPr>
              <w:t>单开防护门</w:t>
            </w:r>
          </w:p>
        </w:tc>
        <w:tc>
          <w:tcPr>
            <w:tcW w:w="417" w:type="pct"/>
          </w:tcPr>
          <w:p>
            <w:pPr>
              <w:pStyle w:val="71"/>
              <w:spacing w:line="240" w:lineRule="exact"/>
              <w:jc w:val="center"/>
              <w:rPr>
                <w:color w:val="auto"/>
                <w:spacing w:val="-20"/>
                <w:sz w:val="24"/>
              </w:rPr>
            </w:pPr>
            <w:r>
              <w:rPr>
                <w:color w:val="auto"/>
                <w:spacing w:val="-20"/>
                <w:w w:val="80"/>
                <w:sz w:val="24"/>
              </w:rPr>
              <w:t>电动防护门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 w:hRule="atLeast"/>
        </w:trPr>
        <w:tc>
          <w:tcPr>
            <w:tcW w:w="516" w:type="pct"/>
          </w:tcPr>
          <w:p>
            <w:pPr>
              <w:pStyle w:val="71"/>
              <w:spacing w:line="240" w:lineRule="exact"/>
              <w:jc w:val="center"/>
              <w:rPr>
                <w:color w:val="auto"/>
                <w:spacing w:val="-20"/>
                <w:sz w:val="24"/>
              </w:rPr>
            </w:pPr>
            <w:r>
              <w:rPr>
                <w:color w:val="auto"/>
                <w:spacing w:val="-20"/>
                <w:w w:val="90"/>
                <w:sz w:val="24"/>
              </w:rPr>
              <w:t>门窗型号</w:t>
            </w:r>
          </w:p>
        </w:tc>
        <w:tc>
          <w:tcPr>
            <w:tcW w:w="374" w:type="pct"/>
          </w:tcPr>
          <w:p>
            <w:pPr>
              <w:pStyle w:val="71"/>
              <w:spacing w:line="240" w:lineRule="exact"/>
              <w:jc w:val="center"/>
              <w:rPr>
                <w:color w:val="auto"/>
                <w:spacing w:val="-20"/>
                <w:sz w:val="24"/>
              </w:rPr>
            </w:pPr>
            <w:r>
              <w:rPr>
                <w:color w:val="auto"/>
                <w:spacing w:val="-20"/>
                <w:w w:val="90"/>
                <w:sz w:val="24"/>
              </w:rPr>
              <w:t>FHC1509</w:t>
            </w:r>
          </w:p>
        </w:tc>
        <w:tc>
          <w:tcPr>
            <w:tcW w:w="373" w:type="pct"/>
            <w:gridSpan w:val="2"/>
          </w:tcPr>
          <w:p>
            <w:pPr>
              <w:pStyle w:val="71"/>
              <w:spacing w:line="240" w:lineRule="exact"/>
              <w:jc w:val="center"/>
              <w:rPr>
                <w:color w:val="auto"/>
                <w:spacing w:val="-20"/>
                <w:sz w:val="24"/>
              </w:rPr>
            </w:pPr>
            <w:r>
              <w:rPr>
                <w:color w:val="auto"/>
                <w:spacing w:val="-20"/>
                <w:w w:val="90"/>
                <w:sz w:val="24"/>
              </w:rPr>
              <w:t>HFM1021</w:t>
            </w:r>
          </w:p>
        </w:tc>
        <w:tc>
          <w:tcPr>
            <w:tcW w:w="376" w:type="pct"/>
          </w:tcPr>
          <w:p>
            <w:pPr>
              <w:pStyle w:val="71"/>
              <w:spacing w:line="240" w:lineRule="exact"/>
              <w:ind w:right="340"/>
              <w:jc w:val="center"/>
              <w:rPr>
                <w:color w:val="auto"/>
                <w:spacing w:val="-20"/>
                <w:sz w:val="24"/>
              </w:rPr>
            </w:pPr>
            <w:r>
              <w:rPr>
                <w:color w:val="auto"/>
                <w:spacing w:val="-20"/>
                <w:w w:val="80"/>
                <w:sz w:val="24"/>
              </w:rPr>
              <w:t>FHM1723</w:t>
            </w:r>
          </w:p>
        </w:tc>
        <w:tc>
          <w:tcPr>
            <w:tcW w:w="373" w:type="pct"/>
          </w:tcPr>
          <w:p>
            <w:pPr>
              <w:pStyle w:val="71"/>
              <w:spacing w:line="240" w:lineRule="exact"/>
              <w:jc w:val="center"/>
              <w:rPr>
                <w:color w:val="auto"/>
                <w:spacing w:val="-20"/>
                <w:sz w:val="24"/>
              </w:rPr>
            </w:pPr>
            <w:r>
              <w:rPr>
                <w:color w:val="auto"/>
                <w:spacing w:val="-20"/>
                <w:w w:val="90"/>
                <w:sz w:val="24"/>
              </w:rPr>
              <w:t>FHC1509</w:t>
            </w:r>
          </w:p>
        </w:tc>
        <w:tc>
          <w:tcPr>
            <w:tcW w:w="373" w:type="pct"/>
            <w:gridSpan w:val="2"/>
          </w:tcPr>
          <w:p>
            <w:pPr>
              <w:pStyle w:val="71"/>
              <w:spacing w:line="240" w:lineRule="exact"/>
              <w:jc w:val="center"/>
              <w:rPr>
                <w:color w:val="auto"/>
                <w:spacing w:val="-20"/>
                <w:sz w:val="24"/>
              </w:rPr>
            </w:pPr>
            <w:r>
              <w:rPr>
                <w:color w:val="auto"/>
                <w:spacing w:val="-20"/>
                <w:w w:val="90"/>
                <w:sz w:val="24"/>
              </w:rPr>
              <w:t>HFM1021</w:t>
            </w:r>
          </w:p>
        </w:tc>
        <w:tc>
          <w:tcPr>
            <w:tcW w:w="374" w:type="pct"/>
            <w:gridSpan w:val="2"/>
          </w:tcPr>
          <w:p>
            <w:pPr>
              <w:pStyle w:val="71"/>
              <w:spacing w:line="240" w:lineRule="exact"/>
              <w:jc w:val="center"/>
              <w:rPr>
                <w:color w:val="auto"/>
                <w:spacing w:val="-20"/>
                <w:sz w:val="24"/>
              </w:rPr>
            </w:pPr>
            <w:r>
              <w:rPr>
                <w:color w:val="auto"/>
                <w:spacing w:val="-20"/>
                <w:w w:val="90"/>
                <w:sz w:val="24"/>
              </w:rPr>
              <w:t>FHM1723</w:t>
            </w:r>
          </w:p>
        </w:tc>
        <w:tc>
          <w:tcPr>
            <w:tcW w:w="374" w:type="pct"/>
            <w:gridSpan w:val="2"/>
          </w:tcPr>
          <w:p>
            <w:pPr>
              <w:pStyle w:val="71"/>
              <w:spacing w:line="240" w:lineRule="exact"/>
              <w:jc w:val="center"/>
              <w:rPr>
                <w:color w:val="auto"/>
                <w:spacing w:val="-20"/>
                <w:sz w:val="24"/>
              </w:rPr>
            </w:pPr>
            <w:r>
              <w:rPr>
                <w:color w:val="auto"/>
                <w:spacing w:val="-20"/>
                <w:w w:val="90"/>
                <w:sz w:val="24"/>
              </w:rPr>
              <w:t>FHC1509</w:t>
            </w:r>
          </w:p>
        </w:tc>
        <w:tc>
          <w:tcPr>
            <w:tcW w:w="383" w:type="pct"/>
            <w:gridSpan w:val="2"/>
          </w:tcPr>
          <w:p>
            <w:pPr>
              <w:pStyle w:val="71"/>
              <w:spacing w:line="240" w:lineRule="exact"/>
              <w:jc w:val="center"/>
              <w:rPr>
                <w:color w:val="auto"/>
                <w:spacing w:val="-20"/>
                <w:sz w:val="24"/>
              </w:rPr>
            </w:pPr>
            <w:r>
              <w:rPr>
                <w:color w:val="auto"/>
                <w:spacing w:val="-20"/>
                <w:w w:val="90"/>
                <w:sz w:val="24"/>
              </w:rPr>
              <w:t>HFM1021</w:t>
            </w:r>
          </w:p>
        </w:tc>
        <w:tc>
          <w:tcPr>
            <w:tcW w:w="378" w:type="pct"/>
          </w:tcPr>
          <w:p>
            <w:pPr>
              <w:pStyle w:val="71"/>
              <w:spacing w:line="240" w:lineRule="exact"/>
              <w:jc w:val="center"/>
              <w:rPr>
                <w:color w:val="auto"/>
                <w:spacing w:val="-20"/>
                <w:sz w:val="24"/>
              </w:rPr>
            </w:pPr>
            <w:r>
              <w:rPr>
                <w:color w:val="auto"/>
                <w:spacing w:val="-20"/>
                <w:w w:val="80"/>
                <w:sz w:val="24"/>
              </w:rPr>
              <w:t>FHM1723</w:t>
            </w:r>
          </w:p>
        </w:tc>
        <w:tc>
          <w:tcPr>
            <w:tcW w:w="360" w:type="pct"/>
            <w:gridSpan w:val="2"/>
          </w:tcPr>
          <w:p>
            <w:pPr>
              <w:pStyle w:val="71"/>
              <w:spacing w:line="240" w:lineRule="exact"/>
              <w:jc w:val="center"/>
              <w:rPr>
                <w:color w:val="auto"/>
                <w:spacing w:val="-20"/>
                <w:sz w:val="24"/>
              </w:rPr>
            </w:pPr>
            <w:r>
              <w:rPr>
                <w:color w:val="auto"/>
                <w:spacing w:val="-20"/>
                <w:w w:val="90"/>
                <w:sz w:val="24"/>
              </w:rPr>
              <w:t>FHC1509</w:t>
            </w:r>
          </w:p>
        </w:tc>
        <w:tc>
          <w:tcPr>
            <w:tcW w:w="329" w:type="pct"/>
          </w:tcPr>
          <w:p>
            <w:pPr>
              <w:pStyle w:val="71"/>
              <w:spacing w:line="240" w:lineRule="exact"/>
              <w:jc w:val="center"/>
              <w:rPr>
                <w:color w:val="auto"/>
                <w:spacing w:val="-20"/>
                <w:sz w:val="24"/>
              </w:rPr>
            </w:pPr>
            <w:r>
              <w:rPr>
                <w:color w:val="auto"/>
                <w:spacing w:val="-20"/>
                <w:w w:val="90"/>
                <w:sz w:val="24"/>
              </w:rPr>
              <w:t>HFM1021</w:t>
            </w:r>
          </w:p>
        </w:tc>
        <w:tc>
          <w:tcPr>
            <w:tcW w:w="417" w:type="pct"/>
          </w:tcPr>
          <w:p>
            <w:pPr>
              <w:pStyle w:val="71"/>
              <w:spacing w:line="240" w:lineRule="exact"/>
              <w:jc w:val="center"/>
              <w:rPr>
                <w:color w:val="auto"/>
                <w:spacing w:val="-20"/>
                <w:sz w:val="24"/>
              </w:rPr>
            </w:pPr>
            <w:r>
              <w:rPr>
                <w:color w:val="auto"/>
                <w:spacing w:val="-20"/>
                <w:w w:val="80"/>
                <w:sz w:val="24"/>
              </w:rPr>
              <w:t>FHM1723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516" w:type="pct"/>
          </w:tcPr>
          <w:p>
            <w:pPr>
              <w:pStyle w:val="71"/>
              <w:spacing w:line="240" w:lineRule="exact"/>
              <w:jc w:val="center"/>
              <w:rPr>
                <w:color w:val="auto"/>
                <w:spacing w:val="-20"/>
                <w:sz w:val="24"/>
              </w:rPr>
            </w:pPr>
            <w:r>
              <w:rPr>
                <w:color w:val="auto"/>
                <w:spacing w:val="-20"/>
                <w:w w:val="90"/>
                <w:sz w:val="24"/>
              </w:rPr>
              <w:t>材料尺寸</w:t>
            </w:r>
          </w:p>
          <w:p>
            <w:pPr>
              <w:pStyle w:val="71"/>
              <w:spacing w:line="240" w:lineRule="exact"/>
              <w:jc w:val="center"/>
              <w:rPr>
                <w:color w:val="auto"/>
                <w:spacing w:val="-20"/>
                <w:sz w:val="24"/>
              </w:rPr>
            </w:pPr>
            <w:r>
              <w:rPr>
                <w:color w:val="auto"/>
                <w:spacing w:val="-20"/>
                <w:w w:val="90"/>
                <w:sz w:val="24"/>
              </w:rPr>
              <w:t>（mm)</w:t>
            </w:r>
          </w:p>
        </w:tc>
        <w:tc>
          <w:tcPr>
            <w:tcW w:w="374" w:type="pct"/>
          </w:tcPr>
          <w:p>
            <w:pPr>
              <w:pStyle w:val="71"/>
              <w:spacing w:line="240" w:lineRule="exact"/>
              <w:jc w:val="center"/>
              <w:rPr>
                <w:color w:val="auto"/>
                <w:spacing w:val="-20"/>
                <w:sz w:val="24"/>
              </w:rPr>
            </w:pPr>
            <w:r>
              <w:rPr>
                <w:color w:val="auto"/>
                <w:spacing w:val="-20"/>
                <w:w w:val="80"/>
                <w:sz w:val="24"/>
              </w:rPr>
              <w:t>1500*900*20</w:t>
            </w:r>
          </w:p>
        </w:tc>
        <w:tc>
          <w:tcPr>
            <w:tcW w:w="373" w:type="pct"/>
            <w:gridSpan w:val="2"/>
          </w:tcPr>
          <w:p>
            <w:pPr>
              <w:pStyle w:val="71"/>
              <w:spacing w:line="240" w:lineRule="exact"/>
              <w:jc w:val="center"/>
              <w:rPr>
                <w:color w:val="auto"/>
                <w:spacing w:val="-20"/>
                <w:sz w:val="24"/>
              </w:rPr>
            </w:pPr>
            <w:r>
              <w:rPr>
                <w:color w:val="auto"/>
                <w:spacing w:val="-20"/>
                <w:w w:val="90"/>
                <w:sz w:val="24"/>
              </w:rPr>
              <w:t>1000*2100</w:t>
            </w:r>
          </w:p>
        </w:tc>
        <w:tc>
          <w:tcPr>
            <w:tcW w:w="376" w:type="pct"/>
          </w:tcPr>
          <w:p>
            <w:pPr>
              <w:pStyle w:val="71"/>
              <w:spacing w:line="240" w:lineRule="exact"/>
              <w:ind w:right="340"/>
              <w:jc w:val="center"/>
              <w:rPr>
                <w:color w:val="auto"/>
                <w:spacing w:val="-20"/>
                <w:sz w:val="24"/>
              </w:rPr>
            </w:pPr>
            <w:r>
              <w:rPr>
                <w:color w:val="auto"/>
                <w:spacing w:val="-20"/>
                <w:w w:val="80"/>
                <w:sz w:val="24"/>
              </w:rPr>
              <w:t>1700*2300</w:t>
            </w:r>
          </w:p>
        </w:tc>
        <w:tc>
          <w:tcPr>
            <w:tcW w:w="373" w:type="pct"/>
          </w:tcPr>
          <w:p>
            <w:pPr>
              <w:pStyle w:val="71"/>
              <w:spacing w:line="240" w:lineRule="exact"/>
              <w:jc w:val="center"/>
              <w:rPr>
                <w:color w:val="auto"/>
                <w:spacing w:val="-20"/>
                <w:sz w:val="24"/>
              </w:rPr>
            </w:pPr>
            <w:r>
              <w:rPr>
                <w:color w:val="auto"/>
                <w:spacing w:val="-20"/>
                <w:w w:val="90"/>
                <w:sz w:val="24"/>
              </w:rPr>
              <w:t>1500*900*20</w:t>
            </w:r>
          </w:p>
        </w:tc>
        <w:tc>
          <w:tcPr>
            <w:tcW w:w="373" w:type="pct"/>
            <w:gridSpan w:val="2"/>
          </w:tcPr>
          <w:p>
            <w:pPr>
              <w:pStyle w:val="71"/>
              <w:spacing w:line="240" w:lineRule="exact"/>
              <w:jc w:val="center"/>
              <w:rPr>
                <w:color w:val="auto"/>
                <w:spacing w:val="-20"/>
                <w:sz w:val="24"/>
              </w:rPr>
            </w:pPr>
            <w:r>
              <w:rPr>
                <w:color w:val="auto"/>
                <w:spacing w:val="-20"/>
                <w:w w:val="90"/>
                <w:sz w:val="24"/>
              </w:rPr>
              <w:t>1000*2100</w:t>
            </w:r>
          </w:p>
        </w:tc>
        <w:tc>
          <w:tcPr>
            <w:tcW w:w="374" w:type="pct"/>
            <w:gridSpan w:val="2"/>
          </w:tcPr>
          <w:p>
            <w:pPr>
              <w:pStyle w:val="71"/>
              <w:spacing w:line="240" w:lineRule="exact"/>
              <w:jc w:val="center"/>
              <w:rPr>
                <w:color w:val="auto"/>
                <w:spacing w:val="-20"/>
                <w:sz w:val="24"/>
              </w:rPr>
            </w:pPr>
            <w:r>
              <w:rPr>
                <w:color w:val="auto"/>
                <w:spacing w:val="-20"/>
                <w:w w:val="90"/>
                <w:sz w:val="24"/>
              </w:rPr>
              <w:t>1700*2300</w:t>
            </w:r>
          </w:p>
        </w:tc>
        <w:tc>
          <w:tcPr>
            <w:tcW w:w="374" w:type="pct"/>
            <w:gridSpan w:val="2"/>
          </w:tcPr>
          <w:p>
            <w:pPr>
              <w:pStyle w:val="71"/>
              <w:spacing w:line="240" w:lineRule="exact"/>
              <w:jc w:val="center"/>
              <w:rPr>
                <w:color w:val="auto"/>
                <w:spacing w:val="-20"/>
                <w:sz w:val="24"/>
              </w:rPr>
            </w:pPr>
            <w:r>
              <w:rPr>
                <w:color w:val="auto"/>
                <w:spacing w:val="-20"/>
                <w:w w:val="80"/>
                <w:sz w:val="24"/>
              </w:rPr>
              <w:t>1500*900*20</w:t>
            </w:r>
          </w:p>
        </w:tc>
        <w:tc>
          <w:tcPr>
            <w:tcW w:w="383" w:type="pct"/>
            <w:gridSpan w:val="2"/>
          </w:tcPr>
          <w:p>
            <w:pPr>
              <w:pStyle w:val="71"/>
              <w:spacing w:line="240" w:lineRule="exact"/>
              <w:jc w:val="center"/>
              <w:rPr>
                <w:color w:val="auto"/>
                <w:spacing w:val="-20"/>
                <w:sz w:val="24"/>
              </w:rPr>
            </w:pPr>
            <w:r>
              <w:rPr>
                <w:color w:val="auto"/>
                <w:spacing w:val="-20"/>
                <w:w w:val="80"/>
                <w:sz w:val="24"/>
              </w:rPr>
              <w:t>1000*2100</w:t>
            </w:r>
          </w:p>
        </w:tc>
        <w:tc>
          <w:tcPr>
            <w:tcW w:w="378" w:type="pct"/>
          </w:tcPr>
          <w:p>
            <w:pPr>
              <w:pStyle w:val="71"/>
              <w:spacing w:line="240" w:lineRule="exact"/>
              <w:jc w:val="center"/>
              <w:rPr>
                <w:color w:val="auto"/>
                <w:spacing w:val="-20"/>
                <w:sz w:val="24"/>
              </w:rPr>
            </w:pPr>
            <w:r>
              <w:rPr>
                <w:color w:val="auto"/>
                <w:spacing w:val="-20"/>
                <w:w w:val="80"/>
                <w:sz w:val="24"/>
              </w:rPr>
              <w:t>1700*2300</w:t>
            </w:r>
          </w:p>
        </w:tc>
        <w:tc>
          <w:tcPr>
            <w:tcW w:w="360" w:type="pct"/>
            <w:gridSpan w:val="2"/>
          </w:tcPr>
          <w:p>
            <w:pPr>
              <w:pStyle w:val="71"/>
              <w:spacing w:line="240" w:lineRule="exact"/>
              <w:jc w:val="center"/>
              <w:rPr>
                <w:color w:val="auto"/>
                <w:spacing w:val="-20"/>
                <w:sz w:val="24"/>
              </w:rPr>
            </w:pPr>
            <w:r>
              <w:rPr>
                <w:color w:val="auto"/>
                <w:spacing w:val="-20"/>
                <w:w w:val="80"/>
                <w:sz w:val="24"/>
              </w:rPr>
              <w:t>1500*900*20</w:t>
            </w:r>
          </w:p>
        </w:tc>
        <w:tc>
          <w:tcPr>
            <w:tcW w:w="329" w:type="pct"/>
          </w:tcPr>
          <w:p>
            <w:pPr>
              <w:pStyle w:val="71"/>
              <w:spacing w:line="240" w:lineRule="exact"/>
              <w:jc w:val="center"/>
              <w:rPr>
                <w:color w:val="auto"/>
                <w:spacing w:val="-20"/>
                <w:sz w:val="24"/>
              </w:rPr>
            </w:pPr>
            <w:r>
              <w:rPr>
                <w:color w:val="auto"/>
                <w:spacing w:val="-20"/>
                <w:w w:val="80"/>
                <w:sz w:val="24"/>
              </w:rPr>
              <w:t>1000*2100</w:t>
            </w:r>
          </w:p>
        </w:tc>
        <w:tc>
          <w:tcPr>
            <w:tcW w:w="417" w:type="pct"/>
          </w:tcPr>
          <w:p>
            <w:pPr>
              <w:pStyle w:val="71"/>
              <w:spacing w:line="240" w:lineRule="exact"/>
              <w:jc w:val="center"/>
              <w:rPr>
                <w:color w:val="auto"/>
                <w:spacing w:val="-20"/>
                <w:sz w:val="24"/>
              </w:rPr>
            </w:pPr>
            <w:r>
              <w:rPr>
                <w:color w:val="auto"/>
                <w:spacing w:val="-20"/>
                <w:w w:val="80"/>
                <w:sz w:val="24"/>
              </w:rPr>
              <w:t>1700*2300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rPr>
        <w:tc>
          <w:tcPr>
            <w:tcW w:w="516" w:type="pct"/>
          </w:tcPr>
          <w:p>
            <w:pPr>
              <w:pStyle w:val="71"/>
              <w:spacing w:line="240" w:lineRule="exact"/>
              <w:jc w:val="center"/>
              <w:rPr>
                <w:color w:val="auto"/>
                <w:spacing w:val="-20"/>
                <w:sz w:val="24"/>
              </w:rPr>
            </w:pPr>
            <w:r>
              <w:rPr>
                <w:color w:val="auto"/>
                <w:spacing w:val="-20"/>
                <w:w w:val="90"/>
                <w:sz w:val="24"/>
              </w:rPr>
              <w:t>墙体留洞尺寸</w:t>
            </w:r>
          </w:p>
          <w:p>
            <w:pPr>
              <w:pStyle w:val="71"/>
              <w:spacing w:line="240" w:lineRule="exact"/>
              <w:jc w:val="center"/>
              <w:rPr>
                <w:color w:val="auto"/>
                <w:spacing w:val="-20"/>
                <w:sz w:val="24"/>
              </w:rPr>
            </w:pPr>
            <w:r>
              <w:rPr>
                <w:color w:val="auto"/>
                <w:spacing w:val="-20"/>
                <w:w w:val="90"/>
                <w:sz w:val="24"/>
              </w:rPr>
              <w:t>（mm)</w:t>
            </w:r>
          </w:p>
        </w:tc>
        <w:tc>
          <w:tcPr>
            <w:tcW w:w="374" w:type="pct"/>
          </w:tcPr>
          <w:p>
            <w:pPr>
              <w:pStyle w:val="71"/>
              <w:spacing w:line="240" w:lineRule="exact"/>
              <w:jc w:val="center"/>
              <w:rPr>
                <w:color w:val="auto"/>
                <w:spacing w:val="-20"/>
                <w:sz w:val="24"/>
              </w:rPr>
            </w:pPr>
            <w:r>
              <w:rPr>
                <w:color w:val="auto"/>
                <w:spacing w:val="-20"/>
                <w:w w:val="90"/>
                <w:sz w:val="24"/>
              </w:rPr>
              <w:t>1520*920</w:t>
            </w:r>
          </w:p>
        </w:tc>
        <w:tc>
          <w:tcPr>
            <w:tcW w:w="373" w:type="pct"/>
            <w:gridSpan w:val="2"/>
          </w:tcPr>
          <w:p>
            <w:pPr>
              <w:pStyle w:val="71"/>
              <w:spacing w:line="240" w:lineRule="exact"/>
              <w:jc w:val="center"/>
              <w:rPr>
                <w:color w:val="auto"/>
                <w:spacing w:val="-20"/>
                <w:sz w:val="24"/>
              </w:rPr>
            </w:pPr>
            <w:r>
              <w:rPr>
                <w:color w:val="auto"/>
                <w:spacing w:val="-20"/>
                <w:w w:val="90"/>
                <w:sz w:val="24"/>
              </w:rPr>
              <w:t>1020*2120</w:t>
            </w:r>
          </w:p>
        </w:tc>
        <w:tc>
          <w:tcPr>
            <w:tcW w:w="376" w:type="pct"/>
          </w:tcPr>
          <w:p>
            <w:pPr>
              <w:pStyle w:val="71"/>
              <w:spacing w:line="240" w:lineRule="exact"/>
              <w:ind w:right="340"/>
              <w:jc w:val="center"/>
              <w:rPr>
                <w:color w:val="auto"/>
                <w:spacing w:val="-20"/>
                <w:sz w:val="24"/>
              </w:rPr>
            </w:pPr>
            <w:r>
              <w:rPr>
                <w:color w:val="auto"/>
                <w:spacing w:val="-20"/>
                <w:w w:val="80"/>
                <w:sz w:val="24"/>
              </w:rPr>
              <w:t>1400*2100</w:t>
            </w:r>
          </w:p>
        </w:tc>
        <w:tc>
          <w:tcPr>
            <w:tcW w:w="373" w:type="pct"/>
          </w:tcPr>
          <w:p>
            <w:pPr>
              <w:pStyle w:val="71"/>
              <w:spacing w:line="240" w:lineRule="exact"/>
              <w:jc w:val="center"/>
              <w:rPr>
                <w:color w:val="auto"/>
                <w:spacing w:val="-20"/>
                <w:sz w:val="24"/>
              </w:rPr>
            </w:pPr>
            <w:r>
              <w:rPr>
                <w:color w:val="auto"/>
                <w:spacing w:val="-20"/>
                <w:w w:val="90"/>
                <w:sz w:val="24"/>
              </w:rPr>
              <w:t>1520*920</w:t>
            </w:r>
          </w:p>
        </w:tc>
        <w:tc>
          <w:tcPr>
            <w:tcW w:w="373" w:type="pct"/>
            <w:gridSpan w:val="2"/>
          </w:tcPr>
          <w:p>
            <w:pPr>
              <w:pStyle w:val="71"/>
              <w:spacing w:line="240" w:lineRule="exact"/>
              <w:jc w:val="center"/>
              <w:rPr>
                <w:color w:val="auto"/>
                <w:spacing w:val="-20"/>
                <w:sz w:val="24"/>
              </w:rPr>
            </w:pPr>
            <w:r>
              <w:rPr>
                <w:color w:val="auto"/>
                <w:spacing w:val="-20"/>
                <w:w w:val="90"/>
                <w:sz w:val="24"/>
              </w:rPr>
              <w:t>1020*2120</w:t>
            </w:r>
          </w:p>
        </w:tc>
        <w:tc>
          <w:tcPr>
            <w:tcW w:w="374" w:type="pct"/>
            <w:gridSpan w:val="2"/>
          </w:tcPr>
          <w:p>
            <w:pPr>
              <w:pStyle w:val="71"/>
              <w:spacing w:line="240" w:lineRule="exact"/>
              <w:jc w:val="center"/>
              <w:rPr>
                <w:color w:val="auto"/>
                <w:spacing w:val="-20"/>
                <w:sz w:val="24"/>
              </w:rPr>
            </w:pPr>
            <w:r>
              <w:rPr>
                <w:color w:val="auto"/>
                <w:spacing w:val="-20"/>
                <w:w w:val="90"/>
                <w:sz w:val="24"/>
              </w:rPr>
              <w:t>1400*2100</w:t>
            </w:r>
          </w:p>
        </w:tc>
        <w:tc>
          <w:tcPr>
            <w:tcW w:w="374" w:type="pct"/>
            <w:gridSpan w:val="2"/>
          </w:tcPr>
          <w:p>
            <w:pPr>
              <w:pStyle w:val="71"/>
              <w:spacing w:line="240" w:lineRule="exact"/>
              <w:jc w:val="center"/>
              <w:rPr>
                <w:color w:val="auto"/>
                <w:spacing w:val="-20"/>
                <w:sz w:val="24"/>
              </w:rPr>
            </w:pPr>
            <w:r>
              <w:rPr>
                <w:color w:val="auto"/>
                <w:spacing w:val="-20"/>
                <w:w w:val="90"/>
                <w:sz w:val="24"/>
              </w:rPr>
              <w:t>1520*920</w:t>
            </w:r>
          </w:p>
        </w:tc>
        <w:tc>
          <w:tcPr>
            <w:tcW w:w="383" w:type="pct"/>
            <w:gridSpan w:val="2"/>
          </w:tcPr>
          <w:p>
            <w:pPr>
              <w:pStyle w:val="71"/>
              <w:spacing w:line="240" w:lineRule="exact"/>
              <w:jc w:val="center"/>
              <w:rPr>
                <w:color w:val="auto"/>
                <w:spacing w:val="-20"/>
                <w:sz w:val="24"/>
              </w:rPr>
            </w:pPr>
            <w:r>
              <w:rPr>
                <w:color w:val="auto"/>
                <w:spacing w:val="-20"/>
                <w:w w:val="80"/>
                <w:sz w:val="24"/>
              </w:rPr>
              <w:t>1020*2120</w:t>
            </w:r>
          </w:p>
        </w:tc>
        <w:tc>
          <w:tcPr>
            <w:tcW w:w="378" w:type="pct"/>
          </w:tcPr>
          <w:p>
            <w:pPr>
              <w:pStyle w:val="71"/>
              <w:spacing w:line="240" w:lineRule="exact"/>
              <w:jc w:val="center"/>
              <w:rPr>
                <w:color w:val="auto"/>
                <w:spacing w:val="-20"/>
                <w:sz w:val="24"/>
              </w:rPr>
            </w:pPr>
            <w:r>
              <w:rPr>
                <w:color w:val="auto"/>
                <w:spacing w:val="-20"/>
                <w:w w:val="80"/>
                <w:sz w:val="24"/>
              </w:rPr>
              <w:t>1400*2100</w:t>
            </w:r>
          </w:p>
        </w:tc>
        <w:tc>
          <w:tcPr>
            <w:tcW w:w="360" w:type="pct"/>
            <w:gridSpan w:val="2"/>
          </w:tcPr>
          <w:p>
            <w:pPr>
              <w:pStyle w:val="71"/>
              <w:spacing w:line="240" w:lineRule="exact"/>
              <w:jc w:val="center"/>
              <w:rPr>
                <w:color w:val="auto"/>
                <w:spacing w:val="-20"/>
                <w:sz w:val="24"/>
              </w:rPr>
            </w:pPr>
            <w:r>
              <w:rPr>
                <w:color w:val="auto"/>
                <w:spacing w:val="-20"/>
                <w:w w:val="90"/>
                <w:sz w:val="24"/>
              </w:rPr>
              <w:t>1520*920</w:t>
            </w:r>
          </w:p>
        </w:tc>
        <w:tc>
          <w:tcPr>
            <w:tcW w:w="329" w:type="pct"/>
          </w:tcPr>
          <w:p>
            <w:pPr>
              <w:pStyle w:val="71"/>
              <w:spacing w:line="240" w:lineRule="exact"/>
              <w:jc w:val="center"/>
              <w:rPr>
                <w:color w:val="auto"/>
                <w:spacing w:val="-20"/>
                <w:sz w:val="24"/>
              </w:rPr>
            </w:pPr>
            <w:r>
              <w:rPr>
                <w:color w:val="auto"/>
                <w:spacing w:val="-20"/>
                <w:w w:val="80"/>
                <w:sz w:val="24"/>
              </w:rPr>
              <w:t>1020*2120</w:t>
            </w:r>
          </w:p>
        </w:tc>
        <w:tc>
          <w:tcPr>
            <w:tcW w:w="417" w:type="pct"/>
          </w:tcPr>
          <w:p>
            <w:pPr>
              <w:pStyle w:val="71"/>
              <w:spacing w:line="240" w:lineRule="exact"/>
              <w:jc w:val="center"/>
              <w:rPr>
                <w:color w:val="auto"/>
                <w:spacing w:val="-20"/>
                <w:sz w:val="24"/>
              </w:rPr>
            </w:pPr>
            <w:r>
              <w:rPr>
                <w:color w:val="auto"/>
                <w:spacing w:val="-20"/>
                <w:w w:val="80"/>
                <w:sz w:val="24"/>
              </w:rPr>
              <w:t>1400*2100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rPr>
        <w:tc>
          <w:tcPr>
            <w:tcW w:w="516" w:type="pct"/>
          </w:tcPr>
          <w:p>
            <w:pPr>
              <w:pStyle w:val="71"/>
              <w:spacing w:line="240" w:lineRule="exact"/>
              <w:jc w:val="center"/>
              <w:rPr>
                <w:color w:val="auto"/>
                <w:spacing w:val="-20"/>
                <w:sz w:val="24"/>
              </w:rPr>
            </w:pPr>
            <w:r>
              <w:rPr>
                <w:color w:val="auto"/>
                <w:spacing w:val="-20"/>
                <w:w w:val="80"/>
                <w:sz w:val="24"/>
              </w:rPr>
              <w:t>防护当量</w:t>
            </w:r>
          </w:p>
          <w:p>
            <w:pPr>
              <w:pStyle w:val="71"/>
              <w:spacing w:line="240" w:lineRule="exact"/>
              <w:jc w:val="center"/>
              <w:rPr>
                <w:color w:val="auto"/>
                <w:spacing w:val="-20"/>
                <w:sz w:val="24"/>
              </w:rPr>
            </w:pPr>
            <w:r>
              <w:rPr>
                <w:color w:val="auto"/>
                <w:spacing w:val="-20"/>
                <w:w w:val="85"/>
                <w:sz w:val="24"/>
              </w:rPr>
              <w:t>（mm pb)</w:t>
            </w:r>
          </w:p>
        </w:tc>
        <w:tc>
          <w:tcPr>
            <w:tcW w:w="374" w:type="pct"/>
          </w:tcPr>
          <w:p>
            <w:pPr>
              <w:pStyle w:val="71"/>
              <w:spacing w:line="240" w:lineRule="exact"/>
              <w:jc w:val="center"/>
              <w:rPr>
                <w:color w:val="auto"/>
                <w:spacing w:val="-20"/>
                <w:sz w:val="24"/>
              </w:rPr>
            </w:pPr>
            <w:r>
              <w:rPr>
                <w:color w:val="auto"/>
                <w:spacing w:val="-20"/>
                <w:w w:val="90"/>
                <w:sz w:val="24"/>
              </w:rPr>
              <w:t>4.0</w:t>
            </w:r>
          </w:p>
        </w:tc>
        <w:tc>
          <w:tcPr>
            <w:tcW w:w="373" w:type="pct"/>
            <w:gridSpan w:val="2"/>
          </w:tcPr>
          <w:p>
            <w:pPr>
              <w:pStyle w:val="71"/>
              <w:spacing w:line="240" w:lineRule="exact"/>
              <w:jc w:val="center"/>
              <w:rPr>
                <w:color w:val="auto"/>
                <w:spacing w:val="-20"/>
                <w:sz w:val="24"/>
              </w:rPr>
            </w:pPr>
            <w:r>
              <w:rPr>
                <w:color w:val="auto"/>
                <w:spacing w:val="-20"/>
                <w:w w:val="90"/>
                <w:sz w:val="24"/>
              </w:rPr>
              <w:t>4.0</w:t>
            </w:r>
          </w:p>
        </w:tc>
        <w:tc>
          <w:tcPr>
            <w:tcW w:w="376" w:type="pct"/>
          </w:tcPr>
          <w:p>
            <w:pPr>
              <w:pStyle w:val="71"/>
              <w:spacing w:line="240" w:lineRule="exact"/>
              <w:jc w:val="center"/>
              <w:rPr>
                <w:color w:val="auto"/>
                <w:spacing w:val="-20"/>
                <w:sz w:val="24"/>
              </w:rPr>
            </w:pPr>
            <w:r>
              <w:rPr>
                <w:color w:val="auto"/>
                <w:spacing w:val="-20"/>
                <w:w w:val="90"/>
                <w:sz w:val="24"/>
              </w:rPr>
              <w:t>4.0</w:t>
            </w:r>
          </w:p>
        </w:tc>
        <w:tc>
          <w:tcPr>
            <w:tcW w:w="373" w:type="pct"/>
          </w:tcPr>
          <w:p>
            <w:pPr>
              <w:pStyle w:val="71"/>
              <w:spacing w:line="240" w:lineRule="exact"/>
              <w:jc w:val="center"/>
              <w:rPr>
                <w:color w:val="auto"/>
                <w:spacing w:val="-20"/>
                <w:sz w:val="24"/>
              </w:rPr>
            </w:pPr>
            <w:r>
              <w:rPr>
                <w:color w:val="auto"/>
                <w:spacing w:val="-20"/>
                <w:w w:val="90"/>
                <w:sz w:val="24"/>
              </w:rPr>
              <w:t>4.0</w:t>
            </w:r>
          </w:p>
        </w:tc>
        <w:tc>
          <w:tcPr>
            <w:tcW w:w="373" w:type="pct"/>
            <w:gridSpan w:val="2"/>
          </w:tcPr>
          <w:p>
            <w:pPr>
              <w:pStyle w:val="71"/>
              <w:spacing w:line="240" w:lineRule="exact"/>
              <w:jc w:val="center"/>
              <w:rPr>
                <w:color w:val="auto"/>
                <w:spacing w:val="-20"/>
                <w:sz w:val="24"/>
              </w:rPr>
            </w:pPr>
            <w:r>
              <w:rPr>
                <w:color w:val="auto"/>
                <w:spacing w:val="-20"/>
                <w:w w:val="90"/>
                <w:sz w:val="24"/>
              </w:rPr>
              <w:t>4.0</w:t>
            </w:r>
          </w:p>
        </w:tc>
        <w:tc>
          <w:tcPr>
            <w:tcW w:w="374" w:type="pct"/>
            <w:gridSpan w:val="2"/>
          </w:tcPr>
          <w:p>
            <w:pPr>
              <w:pStyle w:val="71"/>
              <w:spacing w:line="240" w:lineRule="exact"/>
              <w:jc w:val="center"/>
              <w:rPr>
                <w:color w:val="auto"/>
                <w:spacing w:val="-20"/>
                <w:sz w:val="24"/>
              </w:rPr>
            </w:pPr>
            <w:r>
              <w:rPr>
                <w:color w:val="auto"/>
                <w:spacing w:val="-20"/>
                <w:w w:val="90"/>
                <w:sz w:val="24"/>
              </w:rPr>
              <w:t>4.0</w:t>
            </w:r>
          </w:p>
        </w:tc>
        <w:tc>
          <w:tcPr>
            <w:tcW w:w="374" w:type="pct"/>
            <w:gridSpan w:val="2"/>
          </w:tcPr>
          <w:p>
            <w:pPr>
              <w:pStyle w:val="71"/>
              <w:spacing w:line="240" w:lineRule="exact"/>
              <w:jc w:val="center"/>
              <w:rPr>
                <w:color w:val="auto"/>
                <w:spacing w:val="-20"/>
                <w:sz w:val="24"/>
              </w:rPr>
            </w:pPr>
            <w:r>
              <w:rPr>
                <w:color w:val="auto"/>
                <w:spacing w:val="-20"/>
                <w:w w:val="90"/>
                <w:sz w:val="24"/>
              </w:rPr>
              <w:t>4.0</w:t>
            </w:r>
          </w:p>
        </w:tc>
        <w:tc>
          <w:tcPr>
            <w:tcW w:w="383" w:type="pct"/>
            <w:gridSpan w:val="2"/>
          </w:tcPr>
          <w:p>
            <w:pPr>
              <w:pStyle w:val="71"/>
              <w:spacing w:line="240" w:lineRule="exact"/>
              <w:jc w:val="center"/>
              <w:rPr>
                <w:color w:val="auto"/>
                <w:spacing w:val="-20"/>
                <w:sz w:val="24"/>
              </w:rPr>
            </w:pPr>
            <w:r>
              <w:rPr>
                <w:color w:val="auto"/>
                <w:spacing w:val="-20"/>
                <w:w w:val="90"/>
                <w:sz w:val="24"/>
              </w:rPr>
              <w:t>4.0</w:t>
            </w:r>
          </w:p>
        </w:tc>
        <w:tc>
          <w:tcPr>
            <w:tcW w:w="378" w:type="pct"/>
          </w:tcPr>
          <w:p>
            <w:pPr>
              <w:pStyle w:val="71"/>
              <w:spacing w:line="240" w:lineRule="exact"/>
              <w:jc w:val="center"/>
              <w:rPr>
                <w:color w:val="auto"/>
                <w:spacing w:val="-20"/>
                <w:sz w:val="24"/>
              </w:rPr>
            </w:pPr>
            <w:r>
              <w:rPr>
                <w:color w:val="auto"/>
                <w:spacing w:val="-20"/>
                <w:w w:val="90"/>
                <w:sz w:val="24"/>
              </w:rPr>
              <w:t>4.0</w:t>
            </w:r>
          </w:p>
        </w:tc>
        <w:tc>
          <w:tcPr>
            <w:tcW w:w="360" w:type="pct"/>
            <w:gridSpan w:val="2"/>
          </w:tcPr>
          <w:p>
            <w:pPr>
              <w:pStyle w:val="71"/>
              <w:spacing w:line="240" w:lineRule="exact"/>
              <w:jc w:val="center"/>
              <w:rPr>
                <w:color w:val="auto"/>
                <w:spacing w:val="-20"/>
                <w:sz w:val="24"/>
              </w:rPr>
            </w:pPr>
            <w:r>
              <w:rPr>
                <w:color w:val="auto"/>
                <w:spacing w:val="-20"/>
                <w:w w:val="90"/>
                <w:sz w:val="24"/>
              </w:rPr>
              <w:t>4.0</w:t>
            </w:r>
          </w:p>
        </w:tc>
        <w:tc>
          <w:tcPr>
            <w:tcW w:w="329" w:type="pct"/>
          </w:tcPr>
          <w:p>
            <w:pPr>
              <w:pStyle w:val="71"/>
              <w:spacing w:line="240" w:lineRule="exact"/>
              <w:jc w:val="center"/>
              <w:rPr>
                <w:color w:val="auto"/>
                <w:spacing w:val="-20"/>
                <w:sz w:val="24"/>
              </w:rPr>
            </w:pPr>
            <w:r>
              <w:rPr>
                <w:color w:val="auto"/>
                <w:spacing w:val="-20"/>
                <w:w w:val="90"/>
                <w:sz w:val="24"/>
              </w:rPr>
              <w:t>4.0</w:t>
            </w:r>
          </w:p>
        </w:tc>
        <w:tc>
          <w:tcPr>
            <w:tcW w:w="417" w:type="pct"/>
          </w:tcPr>
          <w:p>
            <w:pPr>
              <w:pStyle w:val="71"/>
              <w:spacing w:line="240" w:lineRule="exact"/>
              <w:jc w:val="center"/>
              <w:rPr>
                <w:color w:val="auto"/>
                <w:spacing w:val="-20"/>
                <w:sz w:val="24"/>
              </w:rPr>
            </w:pPr>
            <w:r>
              <w:rPr>
                <w:color w:val="auto"/>
                <w:spacing w:val="-20"/>
                <w:w w:val="90"/>
                <w:sz w:val="24"/>
              </w:rPr>
              <w:t>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单位</w:t>
            </w:r>
          </w:p>
        </w:tc>
        <w:tc>
          <w:tcPr>
            <w:tcW w:w="374" w:type="pct"/>
          </w:tcPr>
          <w:p>
            <w:pPr>
              <w:pStyle w:val="71"/>
              <w:spacing w:line="240" w:lineRule="exact"/>
              <w:jc w:val="center"/>
              <w:rPr>
                <w:color w:val="auto"/>
                <w:spacing w:val="-20"/>
                <w:sz w:val="24"/>
              </w:rPr>
            </w:pPr>
            <w:r>
              <w:rPr>
                <w:color w:val="auto"/>
                <w:spacing w:val="-20"/>
                <w:w w:val="82"/>
                <w:sz w:val="24"/>
              </w:rPr>
              <w:t>套</w:t>
            </w:r>
          </w:p>
        </w:tc>
        <w:tc>
          <w:tcPr>
            <w:tcW w:w="373" w:type="pct"/>
            <w:gridSpan w:val="2"/>
          </w:tcPr>
          <w:p>
            <w:pPr>
              <w:pStyle w:val="71"/>
              <w:spacing w:line="240" w:lineRule="exact"/>
              <w:jc w:val="center"/>
              <w:rPr>
                <w:color w:val="auto"/>
                <w:spacing w:val="-20"/>
                <w:sz w:val="24"/>
              </w:rPr>
            </w:pPr>
            <w:r>
              <w:rPr>
                <w:color w:val="auto"/>
                <w:spacing w:val="-20"/>
                <w:w w:val="82"/>
                <w:sz w:val="24"/>
              </w:rPr>
              <w:t>樘</w:t>
            </w:r>
          </w:p>
        </w:tc>
        <w:tc>
          <w:tcPr>
            <w:tcW w:w="376" w:type="pct"/>
          </w:tcPr>
          <w:p>
            <w:pPr>
              <w:pStyle w:val="71"/>
              <w:spacing w:line="240" w:lineRule="exact"/>
              <w:jc w:val="center"/>
              <w:rPr>
                <w:color w:val="auto"/>
                <w:spacing w:val="-20"/>
                <w:sz w:val="24"/>
              </w:rPr>
            </w:pPr>
            <w:r>
              <w:rPr>
                <w:color w:val="auto"/>
                <w:spacing w:val="-20"/>
                <w:w w:val="82"/>
                <w:sz w:val="24"/>
              </w:rPr>
              <w:t>樘</w:t>
            </w:r>
          </w:p>
        </w:tc>
        <w:tc>
          <w:tcPr>
            <w:tcW w:w="373" w:type="pct"/>
          </w:tcPr>
          <w:p>
            <w:pPr>
              <w:pStyle w:val="71"/>
              <w:spacing w:line="240" w:lineRule="exact"/>
              <w:jc w:val="center"/>
              <w:rPr>
                <w:color w:val="auto"/>
                <w:spacing w:val="-20"/>
                <w:sz w:val="24"/>
              </w:rPr>
            </w:pPr>
            <w:r>
              <w:rPr>
                <w:color w:val="auto"/>
                <w:spacing w:val="-20"/>
                <w:w w:val="82"/>
                <w:sz w:val="24"/>
              </w:rPr>
              <w:t>套</w:t>
            </w:r>
          </w:p>
        </w:tc>
        <w:tc>
          <w:tcPr>
            <w:tcW w:w="373" w:type="pct"/>
            <w:gridSpan w:val="2"/>
          </w:tcPr>
          <w:p>
            <w:pPr>
              <w:pStyle w:val="71"/>
              <w:spacing w:line="240" w:lineRule="exact"/>
              <w:jc w:val="center"/>
              <w:rPr>
                <w:color w:val="auto"/>
                <w:spacing w:val="-20"/>
                <w:sz w:val="24"/>
              </w:rPr>
            </w:pPr>
            <w:r>
              <w:rPr>
                <w:color w:val="auto"/>
                <w:spacing w:val="-20"/>
                <w:w w:val="82"/>
                <w:sz w:val="24"/>
              </w:rPr>
              <w:t>樘</w:t>
            </w:r>
          </w:p>
        </w:tc>
        <w:tc>
          <w:tcPr>
            <w:tcW w:w="374" w:type="pct"/>
            <w:gridSpan w:val="2"/>
          </w:tcPr>
          <w:p>
            <w:pPr>
              <w:pStyle w:val="71"/>
              <w:spacing w:line="240" w:lineRule="exact"/>
              <w:jc w:val="center"/>
              <w:rPr>
                <w:color w:val="auto"/>
                <w:spacing w:val="-20"/>
                <w:sz w:val="24"/>
              </w:rPr>
            </w:pPr>
            <w:r>
              <w:rPr>
                <w:color w:val="auto"/>
                <w:spacing w:val="-20"/>
                <w:w w:val="82"/>
                <w:sz w:val="24"/>
              </w:rPr>
              <w:t>樘</w:t>
            </w:r>
          </w:p>
        </w:tc>
        <w:tc>
          <w:tcPr>
            <w:tcW w:w="374" w:type="pct"/>
            <w:gridSpan w:val="2"/>
          </w:tcPr>
          <w:p>
            <w:pPr>
              <w:pStyle w:val="71"/>
              <w:spacing w:line="240" w:lineRule="exact"/>
              <w:jc w:val="center"/>
              <w:rPr>
                <w:color w:val="auto"/>
                <w:spacing w:val="-20"/>
                <w:sz w:val="24"/>
              </w:rPr>
            </w:pPr>
            <w:r>
              <w:rPr>
                <w:color w:val="auto"/>
                <w:spacing w:val="-20"/>
                <w:w w:val="82"/>
                <w:sz w:val="24"/>
              </w:rPr>
              <w:t>套</w:t>
            </w:r>
          </w:p>
        </w:tc>
        <w:tc>
          <w:tcPr>
            <w:tcW w:w="383" w:type="pct"/>
            <w:gridSpan w:val="2"/>
          </w:tcPr>
          <w:p>
            <w:pPr>
              <w:pStyle w:val="71"/>
              <w:spacing w:line="240" w:lineRule="exact"/>
              <w:jc w:val="center"/>
              <w:rPr>
                <w:color w:val="auto"/>
                <w:spacing w:val="-20"/>
                <w:sz w:val="24"/>
              </w:rPr>
            </w:pPr>
            <w:r>
              <w:rPr>
                <w:color w:val="auto"/>
                <w:spacing w:val="-20"/>
                <w:w w:val="82"/>
                <w:sz w:val="24"/>
              </w:rPr>
              <w:t>樘</w:t>
            </w:r>
          </w:p>
        </w:tc>
        <w:tc>
          <w:tcPr>
            <w:tcW w:w="378" w:type="pct"/>
          </w:tcPr>
          <w:p>
            <w:pPr>
              <w:pStyle w:val="71"/>
              <w:spacing w:line="240" w:lineRule="exact"/>
              <w:jc w:val="center"/>
              <w:rPr>
                <w:color w:val="auto"/>
                <w:spacing w:val="-20"/>
                <w:sz w:val="24"/>
              </w:rPr>
            </w:pPr>
            <w:r>
              <w:rPr>
                <w:color w:val="auto"/>
                <w:spacing w:val="-20"/>
                <w:w w:val="82"/>
                <w:sz w:val="24"/>
              </w:rPr>
              <w:t>樘</w:t>
            </w:r>
          </w:p>
        </w:tc>
        <w:tc>
          <w:tcPr>
            <w:tcW w:w="360" w:type="pct"/>
            <w:gridSpan w:val="2"/>
          </w:tcPr>
          <w:p>
            <w:pPr>
              <w:pStyle w:val="71"/>
              <w:spacing w:line="240" w:lineRule="exact"/>
              <w:jc w:val="center"/>
              <w:rPr>
                <w:color w:val="auto"/>
                <w:spacing w:val="-20"/>
                <w:sz w:val="24"/>
              </w:rPr>
            </w:pPr>
            <w:r>
              <w:rPr>
                <w:color w:val="auto"/>
                <w:spacing w:val="-20"/>
                <w:w w:val="82"/>
                <w:sz w:val="24"/>
              </w:rPr>
              <w:t>套</w:t>
            </w:r>
          </w:p>
        </w:tc>
        <w:tc>
          <w:tcPr>
            <w:tcW w:w="329" w:type="pct"/>
          </w:tcPr>
          <w:p>
            <w:pPr>
              <w:pStyle w:val="71"/>
              <w:spacing w:line="240" w:lineRule="exact"/>
              <w:jc w:val="center"/>
              <w:rPr>
                <w:color w:val="auto"/>
                <w:spacing w:val="-20"/>
                <w:sz w:val="24"/>
              </w:rPr>
            </w:pPr>
            <w:r>
              <w:rPr>
                <w:color w:val="auto"/>
                <w:spacing w:val="-20"/>
                <w:w w:val="82"/>
                <w:sz w:val="24"/>
              </w:rPr>
              <w:t>樘</w:t>
            </w:r>
          </w:p>
        </w:tc>
        <w:tc>
          <w:tcPr>
            <w:tcW w:w="417" w:type="pct"/>
          </w:tcPr>
          <w:p>
            <w:pPr>
              <w:pStyle w:val="71"/>
              <w:spacing w:line="240" w:lineRule="exact"/>
              <w:jc w:val="center"/>
              <w:rPr>
                <w:color w:val="auto"/>
                <w:spacing w:val="-20"/>
                <w:sz w:val="24"/>
              </w:rPr>
            </w:pPr>
            <w:r>
              <w:rPr>
                <w:color w:val="auto"/>
                <w:spacing w:val="-20"/>
                <w:w w:val="82"/>
                <w:sz w:val="24"/>
              </w:rPr>
              <w:t>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 w:hRule="atLeast"/>
        </w:trPr>
        <w:tc>
          <w:tcPr>
            <w:tcW w:w="516" w:type="pct"/>
          </w:tcPr>
          <w:p>
            <w:pPr>
              <w:pStyle w:val="71"/>
              <w:spacing w:line="240" w:lineRule="exact"/>
              <w:jc w:val="center"/>
              <w:rPr>
                <w:color w:val="auto"/>
                <w:spacing w:val="-20"/>
                <w:sz w:val="24"/>
              </w:rPr>
            </w:pPr>
            <w:r>
              <w:rPr>
                <w:color w:val="auto"/>
                <w:spacing w:val="-20"/>
                <w:w w:val="90"/>
                <w:sz w:val="24"/>
              </w:rPr>
              <w:t>数量</w:t>
            </w:r>
          </w:p>
        </w:tc>
        <w:tc>
          <w:tcPr>
            <w:tcW w:w="374" w:type="pct"/>
          </w:tcPr>
          <w:p>
            <w:pPr>
              <w:pStyle w:val="71"/>
              <w:spacing w:line="240" w:lineRule="exact"/>
              <w:jc w:val="center"/>
              <w:rPr>
                <w:color w:val="auto"/>
                <w:spacing w:val="-20"/>
                <w:sz w:val="24"/>
              </w:rPr>
            </w:pPr>
            <w:r>
              <w:rPr>
                <w:color w:val="auto"/>
                <w:spacing w:val="-20"/>
                <w:w w:val="82"/>
                <w:sz w:val="24"/>
              </w:rPr>
              <w:t>1</w:t>
            </w:r>
          </w:p>
        </w:tc>
        <w:tc>
          <w:tcPr>
            <w:tcW w:w="373" w:type="pct"/>
            <w:gridSpan w:val="2"/>
          </w:tcPr>
          <w:p>
            <w:pPr>
              <w:pStyle w:val="71"/>
              <w:spacing w:line="240" w:lineRule="exact"/>
              <w:jc w:val="center"/>
              <w:rPr>
                <w:color w:val="auto"/>
                <w:spacing w:val="-20"/>
                <w:sz w:val="24"/>
              </w:rPr>
            </w:pPr>
            <w:r>
              <w:rPr>
                <w:color w:val="auto"/>
                <w:spacing w:val="-20"/>
                <w:w w:val="82"/>
                <w:sz w:val="24"/>
              </w:rPr>
              <w:t>1</w:t>
            </w:r>
          </w:p>
        </w:tc>
        <w:tc>
          <w:tcPr>
            <w:tcW w:w="376" w:type="pct"/>
          </w:tcPr>
          <w:p>
            <w:pPr>
              <w:pStyle w:val="71"/>
              <w:spacing w:line="240" w:lineRule="exact"/>
              <w:jc w:val="center"/>
              <w:rPr>
                <w:color w:val="auto"/>
                <w:spacing w:val="-20"/>
                <w:sz w:val="24"/>
              </w:rPr>
            </w:pPr>
            <w:r>
              <w:rPr>
                <w:color w:val="auto"/>
                <w:spacing w:val="-20"/>
                <w:w w:val="82"/>
                <w:sz w:val="24"/>
              </w:rPr>
              <w:t>1</w:t>
            </w:r>
          </w:p>
        </w:tc>
        <w:tc>
          <w:tcPr>
            <w:tcW w:w="373" w:type="pct"/>
          </w:tcPr>
          <w:p>
            <w:pPr>
              <w:pStyle w:val="71"/>
              <w:spacing w:line="240" w:lineRule="exact"/>
              <w:jc w:val="center"/>
              <w:rPr>
                <w:color w:val="auto"/>
                <w:spacing w:val="-20"/>
                <w:sz w:val="24"/>
              </w:rPr>
            </w:pPr>
            <w:r>
              <w:rPr>
                <w:color w:val="auto"/>
                <w:spacing w:val="-20"/>
                <w:w w:val="82"/>
                <w:sz w:val="24"/>
              </w:rPr>
              <w:t>1</w:t>
            </w:r>
          </w:p>
        </w:tc>
        <w:tc>
          <w:tcPr>
            <w:tcW w:w="373" w:type="pct"/>
            <w:gridSpan w:val="2"/>
          </w:tcPr>
          <w:p>
            <w:pPr>
              <w:pStyle w:val="71"/>
              <w:spacing w:line="240" w:lineRule="exact"/>
              <w:jc w:val="center"/>
              <w:rPr>
                <w:color w:val="auto"/>
                <w:spacing w:val="-20"/>
                <w:sz w:val="24"/>
              </w:rPr>
            </w:pPr>
            <w:r>
              <w:rPr>
                <w:color w:val="auto"/>
                <w:spacing w:val="-20"/>
                <w:w w:val="82"/>
                <w:sz w:val="24"/>
              </w:rPr>
              <w:t>1</w:t>
            </w:r>
          </w:p>
        </w:tc>
        <w:tc>
          <w:tcPr>
            <w:tcW w:w="374" w:type="pct"/>
            <w:gridSpan w:val="2"/>
          </w:tcPr>
          <w:p>
            <w:pPr>
              <w:pStyle w:val="71"/>
              <w:spacing w:line="240" w:lineRule="exact"/>
              <w:jc w:val="center"/>
              <w:rPr>
                <w:color w:val="auto"/>
                <w:spacing w:val="-20"/>
                <w:sz w:val="24"/>
              </w:rPr>
            </w:pPr>
            <w:r>
              <w:rPr>
                <w:color w:val="auto"/>
                <w:spacing w:val="-20"/>
                <w:w w:val="82"/>
                <w:sz w:val="24"/>
              </w:rPr>
              <w:t>1</w:t>
            </w:r>
          </w:p>
        </w:tc>
        <w:tc>
          <w:tcPr>
            <w:tcW w:w="374" w:type="pct"/>
            <w:gridSpan w:val="2"/>
          </w:tcPr>
          <w:p>
            <w:pPr>
              <w:pStyle w:val="71"/>
              <w:spacing w:line="240" w:lineRule="exact"/>
              <w:jc w:val="center"/>
              <w:rPr>
                <w:color w:val="auto"/>
                <w:spacing w:val="-20"/>
                <w:sz w:val="24"/>
              </w:rPr>
            </w:pPr>
            <w:r>
              <w:rPr>
                <w:color w:val="auto"/>
                <w:spacing w:val="-20"/>
                <w:w w:val="82"/>
                <w:sz w:val="24"/>
              </w:rPr>
              <w:t>1</w:t>
            </w:r>
          </w:p>
        </w:tc>
        <w:tc>
          <w:tcPr>
            <w:tcW w:w="383" w:type="pct"/>
            <w:gridSpan w:val="2"/>
          </w:tcPr>
          <w:p>
            <w:pPr>
              <w:pStyle w:val="71"/>
              <w:spacing w:line="240" w:lineRule="exact"/>
              <w:jc w:val="center"/>
              <w:rPr>
                <w:color w:val="auto"/>
                <w:spacing w:val="-20"/>
                <w:sz w:val="24"/>
              </w:rPr>
            </w:pPr>
            <w:r>
              <w:rPr>
                <w:color w:val="auto"/>
                <w:spacing w:val="-20"/>
                <w:w w:val="82"/>
                <w:sz w:val="24"/>
              </w:rPr>
              <w:t>1</w:t>
            </w:r>
          </w:p>
        </w:tc>
        <w:tc>
          <w:tcPr>
            <w:tcW w:w="378" w:type="pct"/>
          </w:tcPr>
          <w:p>
            <w:pPr>
              <w:pStyle w:val="71"/>
              <w:spacing w:line="240" w:lineRule="exact"/>
              <w:jc w:val="center"/>
              <w:rPr>
                <w:color w:val="auto"/>
                <w:spacing w:val="-20"/>
                <w:sz w:val="24"/>
              </w:rPr>
            </w:pPr>
            <w:r>
              <w:rPr>
                <w:color w:val="auto"/>
                <w:spacing w:val="-20"/>
                <w:w w:val="82"/>
                <w:sz w:val="24"/>
              </w:rPr>
              <w:t>1</w:t>
            </w:r>
          </w:p>
        </w:tc>
        <w:tc>
          <w:tcPr>
            <w:tcW w:w="360" w:type="pct"/>
            <w:gridSpan w:val="2"/>
          </w:tcPr>
          <w:p>
            <w:pPr>
              <w:pStyle w:val="71"/>
              <w:spacing w:line="240" w:lineRule="exact"/>
              <w:jc w:val="center"/>
              <w:rPr>
                <w:color w:val="auto"/>
                <w:spacing w:val="-20"/>
                <w:sz w:val="24"/>
              </w:rPr>
            </w:pPr>
            <w:r>
              <w:rPr>
                <w:color w:val="auto"/>
                <w:spacing w:val="-20"/>
                <w:w w:val="82"/>
                <w:sz w:val="24"/>
              </w:rPr>
              <w:t>1</w:t>
            </w:r>
          </w:p>
        </w:tc>
        <w:tc>
          <w:tcPr>
            <w:tcW w:w="329" w:type="pct"/>
          </w:tcPr>
          <w:p>
            <w:pPr>
              <w:pStyle w:val="71"/>
              <w:spacing w:line="240" w:lineRule="exact"/>
              <w:jc w:val="center"/>
              <w:rPr>
                <w:color w:val="auto"/>
                <w:spacing w:val="-20"/>
                <w:sz w:val="24"/>
              </w:rPr>
            </w:pPr>
            <w:r>
              <w:rPr>
                <w:color w:val="auto"/>
                <w:spacing w:val="-20"/>
                <w:w w:val="82"/>
                <w:sz w:val="24"/>
              </w:rPr>
              <w:t>1</w:t>
            </w:r>
          </w:p>
        </w:tc>
        <w:tc>
          <w:tcPr>
            <w:tcW w:w="417" w:type="pct"/>
          </w:tcPr>
          <w:p>
            <w:pPr>
              <w:pStyle w:val="71"/>
              <w:spacing w:line="240" w:lineRule="exact"/>
              <w:jc w:val="center"/>
              <w:rPr>
                <w:color w:val="auto"/>
                <w:spacing w:val="-20"/>
                <w:sz w:val="24"/>
              </w:rPr>
            </w:pPr>
            <w:r>
              <w:rPr>
                <w:color w:val="auto"/>
                <w:spacing w:val="-20"/>
                <w:w w:val="82"/>
                <w:sz w:val="24"/>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专用防护套</w:t>
            </w:r>
          </w:p>
        </w:tc>
        <w:tc>
          <w:tcPr>
            <w:tcW w:w="374" w:type="pct"/>
          </w:tcPr>
          <w:p>
            <w:pPr>
              <w:pStyle w:val="71"/>
              <w:spacing w:line="240" w:lineRule="exact"/>
              <w:jc w:val="center"/>
              <w:rPr>
                <w:color w:val="auto"/>
                <w:spacing w:val="-20"/>
                <w:sz w:val="24"/>
              </w:rPr>
            </w:pPr>
            <w:r>
              <w:rPr>
                <w:color w:val="auto"/>
                <w:spacing w:val="-20"/>
                <w:w w:val="90"/>
                <w:sz w:val="24"/>
              </w:rPr>
              <w:t>304不锈钢</w:t>
            </w:r>
          </w:p>
        </w:tc>
        <w:tc>
          <w:tcPr>
            <w:tcW w:w="373" w:type="pct"/>
            <w:gridSpan w:val="2"/>
          </w:tcPr>
          <w:p>
            <w:pPr>
              <w:pStyle w:val="71"/>
              <w:spacing w:line="240" w:lineRule="exact"/>
              <w:jc w:val="center"/>
              <w:rPr>
                <w:color w:val="auto"/>
                <w:spacing w:val="-20"/>
                <w:sz w:val="24"/>
              </w:rPr>
            </w:pPr>
            <w:r>
              <w:rPr>
                <w:color w:val="auto"/>
                <w:spacing w:val="-20"/>
                <w:w w:val="90"/>
                <w:sz w:val="24"/>
              </w:rPr>
              <w:t>304不锈钢</w:t>
            </w:r>
          </w:p>
        </w:tc>
        <w:tc>
          <w:tcPr>
            <w:tcW w:w="376" w:type="pct"/>
          </w:tcPr>
          <w:p>
            <w:pPr>
              <w:pStyle w:val="71"/>
              <w:spacing w:line="240" w:lineRule="exact"/>
              <w:jc w:val="center"/>
              <w:rPr>
                <w:color w:val="auto"/>
                <w:spacing w:val="-20"/>
                <w:sz w:val="24"/>
              </w:rPr>
            </w:pPr>
            <w:r>
              <w:rPr>
                <w:color w:val="auto"/>
                <w:spacing w:val="-20"/>
                <w:w w:val="90"/>
                <w:sz w:val="24"/>
              </w:rPr>
              <w:t>304不锈钢</w:t>
            </w:r>
          </w:p>
        </w:tc>
        <w:tc>
          <w:tcPr>
            <w:tcW w:w="373" w:type="pct"/>
          </w:tcPr>
          <w:p>
            <w:pPr>
              <w:pStyle w:val="71"/>
              <w:spacing w:line="240" w:lineRule="exact"/>
              <w:jc w:val="center"/>
              <w:rPr>
                <w:color w:val="auto"/>
                <w:spacing w:val="-20"/>
                <w:sz w:val="24"/>
              </w:rPr>
            </w:pPr>
            <w:r>
              <w:rPr>
                <w:color w:val="auto"/>
                <w:spacing w:val="-20"/>
                <w:w w:val="90"/>
                <w:sz w:val="24"/>
              </w:rPr>
              <w:t>304不锈钢</w:t>
            </w:r>
          </w:p>
        </w:tc>
        <w:tc>
          <w:tcPr>
            <w:tcW w:w="373" w:type="pct"/>
            <w:gridSpan w:val="2"/>
          </w:tcPr>
          <w:p>
            <w:pPr>
              <w:pStyle w:val="71"/>
              <w:spacing w:line="240" w:lineRule="exact"/>
              <w:jc w:val="center"/>
              <w:rPr>
                <w:color w:val="auto"/>
                <w:spacing w:val="-20"/>
                <w:sz w:val="24"/>
              </w:rPr>
            </w:pPr>
            <w:r>
              <w:rPr>
                <w:color w:val="auto"/>
                <w:spacing w:val="-20"/>
                <w:w w:val="90"/>
                <w:sz w:val="24"/>
              </w:rPr>
              <w:t>304不锈钢</w:t>
            </w:r>
          </w:p>
        </w:tc>
        <w:tc>
          <w:tcPr>
            <w:tcW w:w="374" w:type="pct"/>
            <w:gridSpan w:val="2"/>
          </w:tcPr>
          <w:p>
            <w:pPr>
              <w:pStyle w:val="71"/>
              <w:spacing w:line="240" w:lineRule="exact"/>
              <w:jc w:val="center"/>
              <w:rPr>
                <w:color w:val="auto"/>
                <w:spacing w:val="-20"/>
                <w:sz w:val="24"/>
              </w:rPr>
            </w:pPr>
            <w:r>
              <w:rPr>
                <w:color w:val="auto"/>
                <w:spacing w:val="-20"/>
                <w:w w:val="90"/>
                <w:sz w:val="24"/>
              </w:rPr>
              <w:t>304不锈钢</w:t>
            </w:r>
          </w:p>
        </w:tc>
        <w:tc>
          <w:tcPr>
            <w:tcW w:w="374" w:type="pct"/>
            <w:gridSpan w:val="2"/>
          </w:tcPr>
          <w:p>
            <w:pPr>
              <w:pStyle w:val="71"/>
              <w:spacing w:line="240" w:lineRule="exact"/>
              <w:jc w:val="center"/>
              <w:rPr>
                <w:color w:val="auto"/>
                <w:spacing w:val="-20"/>
                <w:sz w:val="24"/>
              </w:rPr>
            </w:pPr>
            <w:r>
              <w:rPr>
                <w:color w:val="auto"/>
                <w:spacing w:val="-20"/>
                <w:w w:val="90"/>
                <w:sz w:val="24"/>
              </w:rPr>
              <w:t>304不锈钢</w:t>
            </w:r>
          </w:p>
        </w:tc>
        <w:tc>
          <w:tcPr>
            <w:tcW w:w="383" w:type="pct"/>
            <w:gridSpan w:val="2"/>
          </w:tcPr>
          <w:p>
            <w:pPr>
              <w:pStyle w:val="71"/>
              <w:spacing w:line="240" w:lineRule="exact"/>
              <w:jc w:val="center"/>
              <w:rPr>
                <w:color w:val="auto"/>
                <w:spacing w:val="-20"/>
                <w:sz w:val="24"/>
              </w:rPr>
            </w:pPr>
            <w:r>
              <w:rPr>
                <w:color w:val="auto"/>
                <w:spacing w:val="-20"/>
                <w:w w:val="80"/>
                <w:sz w:val="24"/>
              </w:rPr>
              <w:t>304不锈钢</w:t>
            </w:r>
          </w:p>
        </w:tc>
        <w:tc>
          <w:tcPr>
            <w:tcW w:w="378" w:type="pct"/>
          </w:tcPr>
          <w:p>
            <w:pPr>
              <w:pStyle w:val="71"/>
              <w:spacing w:line="240" w:lineRule="exact"/>
              <w:jc w:val="center"/>
              <w:rPr>
                <w:color w:val="auto"/>
                <w:spacing w:val="-20"/>
                <w:sz w:val="24"/>
              </w:rPr>
            </w:pPr>
            <w:r>
              <w:rPr>
                <w:color w:val="auto"/>
                <w:spacing w:val="-20"/>
                <w:w w:val="90"/>
                <w:sz w:val="24"/>
              </w:rPr>
              <w:t>304不锈钢</w:t>
            </w:r>
          </w:p>
        </w:tc>
        <w:tc>
          <w:tcPr>
            <w:tcW w:w="360" w:type="pct"/>
            <w:gridSpan w:val="2"/>
          </w:tcPr>
          <w:p>
            <w:pPr>
              <w:pStyle w:val="71"/>
              <w:spacing w:line="240" w:lineRule="exact"/>
              <w:jc w:val="center"/>
              <w:rPr>
                <w:color w:val="auto"/>
                <w:spacing w:val="-20"/>
                <w:sz w:val="24"/>
              </w:rPr>
            </w:pPr>
            <w:r>
              <w:rPr>
                <w:color w:val="auto"/>
                <w:spacing w:val="-20"/>
                <w:w w:val="90"/>
                <w:sz w:val="24"/>
              </w:rPr>
              <w:t>304不锈钢</w:t>
            </w:r>
          </w:p>
        </w:tc>
        <w:tc>
          <w:tcPr>
            <w:tcW w:w="329" w:type="pct"/>
          </w:tcPr>
          <w:p>
            <w:pPr>
              <w:pStyle w:val="71"/>
              <w:spacing w:line="240" w:lineRule="exact"/>
              <w:jc w:val="center"/>
              <w:rPr>
                <w:color w:val="auto"/>
                <w:spacing w:val="-20"/>
                <w:sz w:val="24"/>
              </w:rPr>
            </w:pPr>
            <w:r>
              <w:rPr>
                <w:color w:val="auto"/>
                <w:spacing w:val="-20"/>
                <w:w w:val="80"/>
                <w:sz w:val="24"/>
              </w:rPr>
              <w:t>304不锈钢</w:t>
            </w:r>
          </w:p>
        </w:tc>
        <w:tc>
          <w:tcPr>
            <w:tcW w:w="417" w:type="pct"/>
          </w:tcPr>
          <w:p>
            <w:pPr>
              <w:pStyle w:val="71"/>
              <w:spacing w:line="240" w:lineRule="exact"/>
              <w:jc w:val="center"/>
              <w:rPr>
                <w:color w:val="auto"/>
                <w:spacing w:val="-20"/>
                <w:sz w:val="24"/>
              </w:rPr>
            </w:pPr>
            <w:r>
              <w:rPr>
                <w:color w:val="auto"/>
                <w:spacing w:val="-20"/>
                <w:w w:val="80"/>
                <w:sz w:val="24"/>
              </w:rPr>
              <w:t>304不锈钢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5" w:hRule="atLeast"/>
        </w:trPr>
        <w:tc>
          <w:tcPr>
            <w:tcW w:w="5000" w:type="pct"/>
            <w:gridSpan w:val="19"/>
          </w:tcPr>
          <w:p>
            <w:pPr>
              <w:pStyle w:val="71"/>
              <w:spacing w:line="240" w:lineRule="exact"/>
              <w:jc w:val="center"/>
              <w:rPr>
                <w:color w:val="auto"/>
                <w:spacing w:val="-20"/>
                <w:sz w:val="1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 w:hRule="atLeast"/>
        </w:trPr>
        <w:tc>
          <w:tcPr>
            <w:tcW w:w="516" w:type="pct"/>
          </w:tcPr>
          <w:p>
            <w:pPr>
              <w:pStyle w:val="71"/>
              <w:spacing w:line="240" w:lineRule="exact"/>
              <w:jc w:val="center"/>
              <w:rPr>
                <w:color w:val="auto"/>
                <w:spacing w:val="-20"/>
                <w:sz w:val="24"/>
              </w:rPr>
            </w:pPr>
            <w:r>
              <w:rPr>
                <w:color w:val="auto"/>
                <w:spacing w:val="-20"/>
                <w:w w:val="90"/>
                <w:sz w:val="24"/>
              </w:rPr>
              <w:t>机房名称</w:t>
            </w:r>
          </w:p>
        </w:tc>
        <w:tc>
          <w:tcPr>
            <w:tcW w:w="1123" w:type="pct"/>
            <w:gridSpan w:val="4"/>
          </w:tcPr>
          <w:p>
            <w:pPr>
              <w:pStyle w:val="71"/>
              <w:spacing w:line="240" w:lineRule="exact"/>
              <w:jc w:val="center"/>
              <w:rPr>
                <w:color w:val="auto"/>
                <w:spacing w:val="-20"/>
                <w:sz w:val="24"/>
              </w:rPr>
            </w:pPr>
            <w:r>
              <w:rPr>
                <w:color w:val="auto"/>
                <w:spacing w:val="-20"/>
                <w:w w:val="90"/>
                <w:sz w:val="24"/>
              </w:rPr>
              <w:t>DR1机房（一层放射科）</w:t>
            </w:r>
          </w:p>
        </w:tc>
        <w:tc>
          <w:tcPr>
            <w:tcW w:w="1122" w:type="pct"/>
            <w:gridSpan w:val="6"/>
          </w:tcPr>
          <w:p>
            <w:pPr>
              <w:pStyle w:val="71"/>
              <w:spacing w:line="240" w:lineRule="exact"/>
              <w:jc w:val="center"/>
              <w:rPr>
                <w:color w:val="auto"/>
                <w:spacing w:val="-20"/>
                <w:sz w:val="24"/>
              </w:rPr>
            </w:pPr>
            <w:r>
              <w:rPr>
                <w:color w:val="auto"/>
                <w:spacing w:val="-20"/>
                <w:w w:val="90"/>
                <w:sz w:val="24"/>
              </w:rPr>
              <w:t>DR2机房（一层放射科）</w:t>
            </w:r>
          </w:p>
        </w:tc>
        <w:tc>
          <w:tcPr>
            <w:tcW w:w="1133" w:type="pct"/>
            <w:gridSpan w:val="4"/>
          </w:tcPr>
          <w:p>
            <w:pPr>
              <w:pStyle w:val="71"/>
              <w:spacing w:line="240" w:lineRule="exact"/>
              <w:jc w:val="center"/>
              <w:rPr>
                <w:color w:val="auto"/>
                <w:spacing w:val="-20"/>
                <w:sz w:val="24"/>
              </w:rPr>
            </w:pPr>
            <w:r>
              <w:rPr>
                <w:color w:val="auto"/>
                <w:spacing w:val="-20"/>
                <w:w w:val="90"/>
                <w:sz w:val="24"/>
              </w:rPr>
              <w:t>DR3机房（一层放射科）</w:t>
            </w:r>
          </w:p>
        </w:tc>
        <w:tc>
          <w:tcPr>
            <w:tcW w:w="1106" w:type="pct"/>
            <w:gridSpan w:val="4"/>
          </w:tcPr>
          <w:p>
            <w:pPr>
              <w:pStyle w:val="71"/>
              <w:spacing w:line="240" w:lineRule="exact"/>
              <w:jc w:val="center"/>
              <w:rPr>
                <w:color w:val="auto"/>
                <w:spacing w:val="-20"/>
                <w:sz w:val="24"/>
              </w:rPr>
            </w:pPr>
            <w:r>
              <w:rPr>
                <w:color w:val="auto"/>
                <w:spacing w:val="-20"/>
                <w:w w:val="90"/>
                <w:sz w:val="24"/>
              </w:rPr>
              <w:t>DR4机房（一层放射科）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门窗名称</w:t>
            </w:r>
          </w:p>
        </w:tc>
        <w:tc>
          <w:tcPr>
            <w:tcW w:w="374" w:type="pct"/>
          </w:tcPr>
          <w:p>
            <w:pPr>
              <w:pStyle w:val="71"/>
              <w:spacing w:line="240" w:lineRule="exact"/>
              <w:jc w:val="center"/>
              <w:rPr>
                <w:color w:val="auto"/>
                <w:spacing w:val="-20"/>
                <w:sz w:val="24"/>
              </w:rPr>
            </w:pPr>
            <w:r>
              <w:rPr>
                <w:color w:val="auto"/>
                <w:spacing w:val="-20"/>
                <w:w w:val="90"/>
                <w:sz w:val="24"/>
              </w:rPr>
              <w:t>防护观察窗</w:t>
            </w:r>
          </w:p>
        </w:tc>
        <w:tc>
          <w:tcPr>
            <w:tcW w:w="373" w:type="pct"/>
            <w:gridSpan w:val="2"/>
          </w:tcPr>
          <w:p>
            <w:pPr>
              <w:pStyle w:val="71"/>
              <w:spacing w:line="240" w:lineRule="exact"/>
              <w:jc w:val="center"/>
              <w:rPr>
                <w:color w:val="auto"/>
                <w:spacing w:val="-20"/>
                <w:sz w:val="24"/>
              </w:rPr>
            </w:pPr>
            <w:r>
              <w:rPr>
                <w:color w:val="auto"/>
                <w:spacing w:val="-20"/>
                <w:w w:val="90"/>
                <w:sz w:val="24"/>
              </w:rPr>
              <w:t>单开防护门</w:t>
            </w:r>
          </w:p>
        </w:tc>
        <w:tc>
          <w:tcPr>
            <w:tcW w:w="376" w:type="pct"/>
          </w:tcPr>
          <w:p>
            <w:pPr>
              <w:pStyle w:val="71"/>
              <w:spacing w:line="240" w:lineRule="exact"/>
              <w:jc w:val="center"/>
              <w:rPr>
                <w:color w:val="auto"/>
                <w:spacing w:val="-20"/>
                <w:sz w:val="24"/>
              </w:rPr>
            </w:pPr>
            <w:r>
              <w:rPr>
                <w:color w:val="auto"/>
                <w:spacing w:val="-20"/>
                <w:w w:val="90"/>
                <w:sz w:val="24"/>
              </w:rPr>
              <w:t>电动防护门</w:t>
            </w:r>
          </w:p>
        </w:tc>
        <w:tc>
          <w:tcPr>
            <w:tcW w:w="376" w:type="pct"/>
            <w:gridSpan w:val="2"/>
          </w:tcPr>
          <w:p>
            <w:pPr>
              <w:pStyle w:val="71"/>
              <w:spacing w:line="240" w:lineRule="exact"/>
              <w:jc w:val="center"/>
              <w:rPr>
                <w:color w:val="auto"/>
                <w:spacing w:val="-20"/>
                <w:sz w:val="24"/>
              </w:rPr>
            </w:pPr>
            <w:r>
              <w:rPr>
                <w:color w:val="auto"/>
                <w:spacing w:val="-20"/>
                <w:w w:val="90"/>
                <w:sz w:val="24"/>
              </w:rPr>
              <w:t>防护观察窗</w:t>
            </w:r>
          </w:p>
        </w:tc>
        <w:tc>
          <w:tcPr>
            <w:tcW w:w="370" w:type="pct"/>
          </w:tcPr>
          <w:p>
            <w:pPr>
              <w:pStyle w:val="71"/>
              <w:spacing w:line="240" w:lineRule="exact"/>
              <w:jc w:val="center"/>
              <w:rPr>
                <w:color w:val="auto"/>
                <w:spacing w:val="-20"/>
                <w:sz w:val="24"/>
              </w:rPr>
            </w:pPr>
            <w:r>
              <w:rPr>
                <w:color w:val="auto"/>
                <w:spacing w:val="-20"/>
                <w:w w:val="90"/>
                <w:sz w:val="24"/>
              </w:rPr>
              <w:t>单开防护门</w:t>
            </w:r>
          </w:p>
        </w:tc>
        <w:tc>
          <w:tcPr>
            <w:tcW w:w="376" w:type="pct"/>
            <w:gridSpan w:val="3"/>
          </w:tcPr>
          <w:p>
            <w:pPr>
              <w:pStyle w:val="71"/>
              <w:spacing w:line="240" w:lineRule="exact"/>
              <w:jc w:val="center"/>
              <w:rPr>
                <w:color w:val="auto"/>
                <w:spacing w:val="-20"/>
                <w:sz w:val="24"/>
              </w:rPr>
            </w:pPr>
            <w:r>
              <w:rPr>
                <w:color w:val="auto"/>
                <w:spacing w:val="-20"/>
                <w:w w:val="80"/>
                <w:sz w:val="24"/>
              </w:rPr>
              <w:t>电动防护门</w:t>
            </w:r>
          </w:p>
        </w:tc>
        <w:tc>
          <w:tcPr>
            <w:tcW w:w="375" w:type="pct"/>
            <w:gridSpan w:val="2"/>
          </w:tcPr>
          <w:p>
            <w:pPr>
              <w:pStyle w:val="71"/>
              <w:spacing w:line="240" w:lineRule="exact"/>
              <w:jc w:val="center"/>
              <w:rPr>
                <w:color w:val="auto"/>
                <w:spacing w:val="-20"/>
                <w:sz w:val="24"/>
              </w:rPr>
            </w:pPr>
            <w:r>
              <w:rPr>
                <w:color w:val="auto"/>
                <w:spacing w:val="-20"/>
                <w:w w:val="90"/>
                <w:sz w:val="24"/>
              </w:rPr>
              <w:t>防护观察窗</w:t>
            </w:r>
          </w:p>
        </w:tc>
        <w:tc>
          <w:tcPr>
            <w:tcW w:w="380" w:type="pct"/>
          </w:tcPr>
          <w:p>
            <w:pPr>
              <w:pStyle w:val="71"/>
              <w:spacing w:line="240" w:lineRule="exact"/>
              <w:jc w:val="center"/>
              <w:rPr>
                <w:color w:val="auto"/>
                <w:spacing w:val="-20"/>
                <w:sz w:val="24"/>
              </w:rPr>
            </w:pPr>
            <w:r>
              <w:rPr>
                <w:color w:val="auto"/>
                <w:spacing w:val="-20"/>
                <w:w w:val="90"/>
                <w:sz w:val="24"/>
              </w:rPr>
              <w:t>单开防护门</w:t>
            </w:r>
          </w:p>
        </w:tc>
        <w:tc>
          <w:tcPr>
            <w:tcW w:w="378" w:type="pct"/>
          </w:tcPr>
          <w:p>
            <w:pPr>
              <w:pStyle w:val="71"/>
              <w:spacing w:line="240" w:lineRule="exact"/>
              <w:jc w:val="center"/>
              <w:rPr>
                <w:color w:val="auto"/>
                <w:spacing w:val="-20"/>
                <w:sz w:val="24"/>
              </w:rPr>
            </w:pPr>
            <w:r>
              <w:rPr>
                <w:color w:val="auto"/>
                <w:spacing w:val="-20"/>
                <w:w w:val="90"/>
                <w:sz w:val="24"/>
              </w:rPr>
              <w:t>电动防护门</w:t>
            </w:r>
          </w:p>
        </w:tc>
        <w:tc>
          <w:tcPr>
            <w:tcW w:w="360" w:type="pct"/>
            <w:gridSpan w:val="2"/>
          </w:tcPr>
          <w:p>
            <w:pPr>
              <w:pStyle w:val="71"/>
              <w:spacing w:line="240" w:lineRule="exact"/>
              <w:jc w:val="center"/>
              <w:rPr>
                <w:color w:val="auto"/>
                <w:spacing w:val="-20"/>
                <w:sz w:val="24"/>
              </w:rPr>
            </w:pPr>
            <w:r>
              <w:rPr>
                <w:color w:val="auto"/>
                <w:spacing w:val="-20"/>
                <w:w w:val="80"/>
                <w:sz w:val="24"/>
              </w:rPr>
              <w:t>防护观察窗</w:t>
            </w:r>
          </w:p>
        </w:tc>
        <w:tc>
          <w:tcPr>
            <w:tcW w:w="329" w:type="pct"/>
          </w:tcPr>
          <w:p>
            <w:pPr>
              <w:pStyle w:val="71"/>
              <w:spacing w:line="240" w:lineRule="exact"/>
              <w:jc w:val="center"/>
              <w:rPr>
                <w:color w:val="auto"/>
                <w:spacing w:val="-20"/>
                <w:sz w:val="24"/>
              </w:rPr>
            </w:pPr>
            <w:r>
              <w:rPr>
                <w:color w:val="auto"/>
                <w:spacing w:val="-20"/>
                <w:w w:val="90"/>
                <w:sz w:val="24"/>
              </w:rPr>
              <w:t>单开防护门</w:t>
            </w:r>
          </w:p>
        </w:tc>
        <w:tc>
          <w:tcPr>
            <w:tcW w:w="417" w:type="pct"/>
          </w:tcPr>
          <w:p>
            <w:pPr>
              <w:pStyle w:val="71"/>
              <w:spacing w:line="240" w:lineRule="exact"/>
              <w:jc w:val="center"/>
              <w:rPr>
                <w:color w:val="auto"/>
                <w:spacing w:val="-20"/>
                <w:sz w:val="24"/>
              </w:rPr>
            </w:pPr>
            <w:r>
              <w:rPr>
                <w:color w:val="auto"/>
                <w:spacing w:val="-20"/>
                <w:w w:val="90"/>
                <w:sz w:val="24"/>
              </w:rPr>
              <w:t>电动防护门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门窗型号</w:t>
            </w:r>
          </w:p>
        </w:tc>
        <w:tc>
          <w:tcPr>
            <w:tcW w:w="374" w:type="pct"/>
          </w:tcPr>
          <w:p>
            <w:pPr>
              <w:pStyle w:val="71"/>
              <w:spacing w:line="240" w:lineRule="exact"/>
              <w:jc w:val="center"/>
              <w:rPr>
                <w:color w:val="auto"/>
                <w:spacing w:val="-20"/>
                <w:sz w:val="24"/>
              </w:rPr>
            </w:pPr>
            <w:r>
              <w:rPr>
                <w:color w:val="auto"/>
                <w:spacing w:val="-20"/>
                <w:w w:val="90"/>
                <w:sz w:val="24"/>
              </w:rPr>
              <w:t>FHC1509</w:t>
            </w:r>
          </w:p>
        </w:tc>
        <w:tc>
          <w:tcPr>
            <w:tcW w:w="373" w:type="pct"/>
            <w:gridSpan w:val="2"/>
          </w:tcPr>
          <w:p>
            <w:pPr>
              <w:pStyle w:val="71"/>
              <w:spacing w:line="240" w:lineRule="exact"/>
              <w:jc w:val="center"/>
              <w:rPr>
                <w:color w:val="auto"/>
                <w:spacing w:val="-20"/>
                <w:sz w:val="24"/>
              </w:rPr>
            </w:pPr>
            <w:r>
              <w:rPr>
                <w:color w:val="auto"/>
                <w:spacing w:val="-20"/>
                <w:w w:val="90"/>
                <w:sz w:val="24"/>
              </w:rPr>
              <w:t>HFM1021</w:t>
            </w:r>
          </w:p>
        </w:tc>
        <w:tc>
          <w:tcPr>
            <w:tcW w:w="376" w:type="pct"/>
          </w:tcPr>
          <w:p>
            <w:pPr>
              <w:pStyle w:val="71"/>
              <w:spacing w:line="240" w:lineRule="exact"/>
              <w:jc w:val="center"/>
              <w:rPr>
                <w:color w:val="auto"/>
                <w:spacing w:val="-20"/>
                <w:sz w:val="24"/>
              </w:rPr>
            </w:pPr>
            <w:r>
              <w:rPr>
                <w:color w:val="auto"/>
                <w:spacing w:val="-20"/>
                <w:w w:val="90"/>
                <w:sz w:val="24"/>
              </w:rPr>
              <w:t>FHM1723</w:t>
            </w:r>
          </w:p>
        </w:tc>
        <w:tc>
          <w:tcPr>
            <w:tcW w:w="376" w:type="pct"/>
            <w:gridSpan w:val="2"/>
          </w:tcPr>
          <w:p>
            <w:pPr>
              <w:pStyle w:val="71"/>
              <w:spacing w:line="240" w:lineRule="exact"/>
              <w:jc w:val="center"/>
              <w:rPr>
                <w:color w:val="auto"/>
                <w:spacing w:val="-20"/>
                <w:sz w:val="24"/>
              </w:rPr>
            </w:pPr>
            <w:r>
              <w:rPr>
                <w:color w:val="auto"/>
                <w:spacing w:val="-20"/>
                <w:w w:val="90"/>
                <w:sz w:val="24"/>
              </w:rPr>
              <w:t>FHC1509</w:t>
            </w:r>
          </w:p>
        </w:tc>
        <w:tc>
          <w:tcPr>
            <w:tcW w:w="370" w:type="pct"/>
          </w:tcPr>
          <w:p>
            <w:pPr>
              <w:pStyle w:val="71"/>
              <w:spacing w:line="240" w:lineRule="exact"/>
              <w:jc w:val="center"/>
              <w:rPr>
                <w:color w:val="auto"/>
                <w:spacing w:val="-20"/>
                <w:sz w:val="24"/>
              </w:rPr>
            </w:pPr>
            <w:r>
              <w:rPr>
                <w:color w:val="auto"/>
                <w:spacing w:val="-20"/>
                <w:w w:val="90"/>
                <w:sz w:val="24"/>
              </w:rPr>
              <w:t>HFM1021</w:t>
            </w:r>
          </w:p>
        </w:tc>
        <w:tc>
          <w:tcPr>
            <w:tcW w:w="376" w:type="pct"/>
            <w:gridSpan w:val="3"/>
          </w:tcPr>
          <w:p>
            <w:pPr>
              <w:pStyle w:val="71"/>
              <w:spacing w:line="240" w:lineRule="exact"/>
              <w:jc w:val="center"/>
              <w:rPr>
                <w:color w:val="auto"/>
                <w:spacing w:val="-20"/>
                <w:sz w:val="24"/>
              </w:rPr>
            </w:pPr>
            <w:r>
              <w:rPr>
                <w:color w:val="auto"/>
                <w:spacing w:val="-20"/>
                <w:w w:val="90"/>
                <w:sz w:val="24"/>
              </w:rPr>
              <w:t>FHM1723</w:t>
            </w:r>
          </w:p>
        </w:tc>
        <w:tc>
          <w:tcPr>
            <w:tcW w:w="375" w:type="pct"/>
            <w:gridSpan w:val="2"/>
          </w:tcPr>
          <w:p>
            <w:pPr>
              <w:pStyle w:val="71"/>
              <w:spacing w:line="240" w:lineRule="exact"/>
              <w:jc w:val="center"/>
              <w:rPr>
                <w:color w:val="auto"/>
                <w:spacing w:val="-20"/>
                <w:sz w:val="24"/>
              </w:rPr>
            </w:pPr>
            <w:r>
              <w:rPr>
                <w:color w:val="auto"/>
                <w:spacing w:val="-20"/>
                <w:w w:val="90"/>
                <w:sz w:val="24"/>
              </w:rPr>
              <w:t>FHC1509</w:t>
            </w:r>
          </w:p>
        </w:tc>
        <w:tc>
          <w:tcPr>
            <w:tcW w:w="380" w:type="pct"/>
          </w:tcPr>
          <w:p>
            <w:pPr>
              <w:pStyle w:val="71"/>
              <w:spacing w:line="240" w:lineRule="exact"/>
              <w:jc w:val="center"/>
              <w:rPr>
                <w:color w:val="auto"/>
                <w:spacing w:val="-20"/>
                <w:sz w:val="24"/>
              </w:rPr>
            </w:pPr>
            <w:r>
              <w:rPr>
                <w:color w:val="auto"/>
                <w:spacing w:val="-20"/>
                <w:w w:val="90"/>
                <w:sz w:val="24"/>
              </w:rPr>
              <w:t>HFM1021</w:t>
            </w:r>
          </w:p>
        </w:tc>
        <w:tc>
          <w:tcPr>
            <w:tcW w:w="378" w:type="pct"/>
          </w:tcPr>
          <w:p>
            <w:pPr>
              <w:pStyle w:val="71"/>
              <w:spacing w:line="240" w:lineRule="exact"/>
              <w:jc w:val="center"/>
              <w:rPr>
                <w:color w:val="auto"/>
                <w:spacing w:val="-20"/>
                <w:sz w:val="24"/>
              </w:rPr>
            </w:pPr>
            <w:r>
              <w:rPr>
                <w:color w:val="auto"/>
                <w:spacing w:val="-20"/>
                <w:w w:val="90"/>
                <w:sz w:val="24"/>
              </w:rPr>
              <w:t>FHM1723</w:t>
            </w:r>
          </w:p>
        </w:tc>
        <w:tc>
          <w:tcPr>
            <w:tcW w:w="360" w:type="pct"/>
            <w:gridSpan w:val="2"/>
          </w:tcPr>
          <w:p>
            <w:pPr>
              <w:pStyle w:val="71"/>
              <w:spacing w:line="240" w:lineRule="exact"/>
              <w:jc w:val="center"/>
              <w:rPr>
                <w:color w:val="auto"/>
                <w:spacing w:val="-20"/>
                <w:sz w:val="24"/>
              </w:rPr>
            </w:pPr>
            <w:r>
              <w:rPr>
                <w:color w:val="auto"/>
                <w:spacing w:val="-20"/>
                <w:w w:val="90"/>
                <w:sz w:val="24"/>
              </w:rPr>
              <w:t>FHC1509</w:t>
            </w:r>
          </w:p>
        </w:tc>
        <w:tc>
          <w:tcPr>
            <w:tcW w:w="329" w:type="pct"/>
          </w:tcPr>
          <w:p>
            <w:pPr>
              <w:pStyle w:val="71"/>
              <w:spacing w:line="240" w:lineRule="exact"/>
              <w:jc w:val="center"/>
              <w:rPr>
                <w:color w:val="auto"/>
                <w:spacing w:val="-20"/>
                <w:sz w:val="24"/>
              </w:rPr>
            </w:pPr>
            <w:r>
              <w:rPr>
                <w:color w:val="auto"/>
                <w:spacing w:val="-20"/>
                <w:w w:val="90"/>
                <w:sz w:val="24"/>
              </w:rPr>
              <w:t>HFM1021</w:t>
            </w:r>
          </w:p>
        </w:tc>
        <w:tc>
          <w:tcPr>
            <w:tcW w:w="417" w:type="pct"/>
          </w:tcPr>
          <w:p>
            <w:pPr>
              <w:pStyle w:val="71"/>
              <w:spacing w:line="240" w:lineRule="exact"/>
              <w:jc w:val="center"/>
              <w:rPr>
                <w:color w:val="auto"/>
                <w:spacing w:val="-20"/>
                <w:sz w:val="24"/>
              </w:rPr>
            </w:pPr>
            <w:r>
              <w:rPr>
                <w:color w:val="auto"/>
                <w:spacing w:val="-20"/>
                <w:w w:val="90"/>
                <w:sz w:val="24"/>
              </w:rPr>
              <w:t>FHM1723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rPr>
        <w:tc>
          <w:tcPr>
            <w:tcW w:w="516" w:type="pct"/>
          </w:tcPr>
          <w:p>
            <w:pPr>
              <w:pStyle w:val="71"/>
              <w:spacing w:line="240" w:lineRule="exact"/>
              <w:jc w:val="center"/>
              <w:rPr>
                <w:color w:val="auto"/>
                <w:spacing w:val="-20"/>
                <w:sz w:val="24"/>
              </w:rPr>
            </w:pPr>
            <w:r>
              <w:rPr>
                <w:color w:val="auto"/>
                <w:spacing w:val="-20"/>
                <w:w w:val="90"/>
                <w:sz w:val="24"/>
              </w:rPr>
              <w:t>材料尺寸</w:t>
            </w:r>
          </w:p>
          <w:p>
            <w:pPr>
              <w:pStyle w:val="71"/>
              <w:spacing w:line="240" w:lineRule="exact"/>
              <w:jc w:val="center"/>
              <w:rPr>
                <w:color w:val="auto"/>
                <w:spacing w:val="-20"/>
                <w:sz w:val="24"/>
              </w:rPr>
            </w:pPr>
            <w:r>
              <w:rPr>
                <w:color w:val="auto"/>
                <w:spacing w:val="-20"/>
                <w:w w:val="90"/>
                <w:sz w:val="24"/>
              </w:rPr>
              <w:t>（mm)</w:t>
            </w:r>
          </w:p>
        </w:tc>
        <w:tc>
          <w:tcPr>
            <w:tcW w:w="374" w:type="pct"/>
          </w:tcPr>
          <w:p>
            <w:pPr>
              <w:pStyle w:val="71"/>
              <w:spacing w:line="240" w:lineRule="exact"/>
              <w:jc w:val="center"/>
              <w:rPr>
                <w:color w:val="auto"/>
                <w:spacing w:val="-20"/>
                <w:sz w:val="24"/>
              </w:rPr>
            </w:pPr>
            <w:r>
              <w:rPr>
                <w:color w:val="auto"/>
                <w:spacing w:val="-20"/>
                <w:w w:val="90"/>
                <w:sz w:val="24"/>
              </w:rPr>
              <w:t>1500*900*18</w:t>
            </w:r>
          </w:p>
        </w:tc>
        <w:tc>
          <w:tcPr>
            <w:tcW w:w="373" w:type="pct"/>
            <w:gridSpan w:val="2"/>
          </w:tcPr>
          <w:p>
            <w:pPr>
              <w:pStyle w:val="71"/>
              <w:spacing w:line="240" w:lineRule="exact"/>
              <w:jc w:val="center"/>
              <w:rPr>
                <w:color w:val="auto"/>
                <w:spacing w:val="-20"/>
                <w:sz w:val="24"/>
              </w:rPr>
            </w:pPr>
            <w:r>
              <w:rPr>
                <w:color w:val="auto"/>
                <w:spacing w:val="-20"/>
                <w:w w:val="90"/>
                <w:sz w:val="24"/>
              </w:rPr>
              <w:t>1000*2100</w:t>
            </w:r>
          </w:p>
        </w:tc>
        <w:tc>
          <w:tcPr>
            <w:tcW w:w="376" w:type="pct"/>
          </w:tcPr>
          <w:p>
            <w:pPr>
              <w:pStyle w:val="71"/>
              <w:spacing w:line="240" w:lineRule="exact"/>
              <w:jc w:val="center"/>
              <w:rPr>
                <w:color w:val="auto"/>
                <w:spacing w:val="-20"/>
                <w:sz w:val="24"/>
              </w:rPr>
            </w:pPr>
            <w:r>
              <w:rPr>
                <w:color w:val="auto"/>
                <w:spacing w:val="-20"/>
                <w:w w:val="90"/>
                <w:sz w:val="24"/>
              </w:rPr>
              <w:t>1700*2300</w:t>
            </w:r>
          </w:p>
        </w:tc>
        <w:tc>
          <w:tcPr>
            <w:tcW w:w="376" w:type="pct"/>
            <w:gridSpan w:val="2"/>
          </w:tcPr>
          <w:p>
            <w:pPr>
              <w:pStyle w:val="71"/>
              <w:spacing w:line="240" w:lineRule="exact"/>
              <w:jc w:val="center"/>
              <w:rPr>
                <w:color w:val="auto"/>
                <w:spacing w:val="-20"/>
                <w:sz w:val="24"/>
              </w:rPr>
            </w:pPr>
            <w:r>
              <w:rPr>
                <w:color w:val="auto"/>
                <w:spacing w:val="-20"/>
                <w:w w:val="90"/>
                <w:sz w:val="24"/>
              </w:rPr>
              <w:t>1500*900*18</w:t>
            </w:r>
          </w:p>
        </w:tc>
        <w:tc>
          <w:tcPr>
            <w:tcW w:w="370" w:type="pct"/>
          </w:tcPr>
          <w:p>
            <w:pPr>
              <w:pStyle w:val="71"/>
              <w:spacing w:line="240" w:lineRule="exact"/>
              <w:jc w:val="center"/>
              <w:rPr>
                <w:color w:val="auto"/>
                <w:spacing w:val="-20"/>
                <w:sz w:val="24"/>
              </w:rPr>
            </w:pPr>
            <w:r>
              <w:rPr>
                <w:color w:val="auto"/>
                <w:spacing w:val="-20"/>
                <w:w w:val="80"/>
                <w:sz w:val="24"/>
              </w:rPr>
              <w:t>1000*2100</w:t>
            </w:r>
          </w:p>
        </w:tc>
        <w:tc>
          <w:tcPr>
            <w:tcW w:w="376" w:type="pct"/>
            <w:gridSpan w:val="3"/>
          </w:tcPr>
          <w:p>
            <w:pPr>
              <w:pStyle w:val="71"/>
              <w:spacing w:line="240" w:lineRule="exact"/>
              <w:jc w:val="center"/>
              <w:rPr>
                <w:color w:val="auto"/>
                <w:spacing w:val="-20"/>
                <w:sz w:val="24"/>
              </w:rPr>
            </w:pPr>
            <w:r>
              <w:rPr>
                <w:color w:val="auto"/>
                <w:spacing w:val="-20"/>
                <w:w w:val="80"/>
                <w:sz w:val="24"/>
              </w:rPr>
              <w:t>1700*2300</w:t>
            </w:r>
          </w:p>
        </w:tc>
        <w:tc>
          <w:tcPr>
            <w:tcW w:w="375" w:type="pct"/>
            <w:gridSpan w:val="2"/>
          </w:tcPr>
          <w:p>
            <w:pPr>
              <w:pStyle w:val="71"/>
              <w:spacing w:line="240" w:lineRule="exact"/>
              <w:jc w:val="center"/>
              <w:rPr>
                <w:color w:val="auto"/>
                <w:spacing w:val="-20"/>
                <w:sz w:val="24"/>
              </w:rPr>
            </w:pPr>
            <w:r>
              <w:rPr>
                <w:color w:val="auto"/>
                <w:spacing w:val="-20"/>
                <w:w w:val="90"/>
                <w:sz w:val="24"/>
              </w:rPr>
              <w:t>1500*900*18</w:t>
            </w:r>
          </w:p>
        </w:tc>
        <w:tc>
          <w:tcPr>
            <w:tcW w:w="380" w:type="pct"/>
          </w:tcPr>
          <w:p>
            <w:pPr>
              <w:pStyle w:val="71"/>
              <w:spacing w:line="240" w:lineRule="exact"/>
              <w:jc w:val="center"/>
              <w:rPr>
                <w:color w:val="auto"/>
                <w:spacing w:val="-20"/>
                <w:sz w:val="24"/>
              </w:rPr>
            </w:pPr>
            <w:r>
              <w:rPr>
                <w:color w:val="auto"/>
                <w:spacing w:val="-20"/>
                <w:w w:val="90"/>
                <w:sz w:val="24"/>
              </w:rPr>
              <w:t>1000*2100</w:t>
            </w:r>
          </w:p>
        </w:tc>
        <w:tc>
          <w:tcPr>
            <w:tcW w:w="378" w:type="pct"/>
          </w:tcPr>
          <w:p>
            <w:pPr>
              <w:pStyle w:val="71"/>
              <w:spacing w:line="240" w:lineRule="exact"/>
              <w:jc w:val="center"/>
              <w:rPr>
                <w:color w:val="auto"/>
                <w:spacing w:val="-20"/>
                <w:sz w:val="24"/>
              </w:rPr>
            </w:pPr>
            <w:r>
              <w:rPr>
                <w:color w:val="auto"/>
                <w:spacing w:val="-20"/>
                <w:w w:val="90"/>
                <w:sz w:val="24"/>
              </w:rPr>
              <w:t>1700*2300</w:t>
            </w:r>
          </w:p>
        </w:tc>
        <w:tc>
          <w:tcPr>
            <w:tcW w:w="360" w:type="pct"/>
            <w:gridSpan w:val="2"/>
          </w:tcPr>
          <w:p>
            <w:pPr>
              <w:pStyle w:val="71"/>
              <w:spacing w:line="240" w:lineRule="exact"/>
              <w:jc w:val="center"/>
              <w:rPr>
                <w:color w:val="auto"/>
                <w:spacing w:val="-20"/>
                <w:sz w:val="24"/>
              </w:rPr>
            </w:pPr>
            <w:r>
              <w:rPr>
                <w:color w:val="auto"/>
                <w:spacing w:val="-20"/>
                <w:w w:val="90"/>
                <w:sz w:val="24"/>
              </w:rPr>
              <w:t>1500*900*18</w:t>
            </w:r>
          </w:p>
        </w:tc>
        <w:tc>
          <w:tcPr>
            <w:tcW w:w="329" w:type="pct"/>
          </w:tcPr>
          <w:p>
            <w:pPr>
              <w:pStyle w:val="71"/>
              <w:spacing w:line="240" w:lineRule="exact"/>
              <w:jc w:val="center"/>
              <w:rPr>
                <w:color w:val="auto"/>
                <w:spacing w:val="-20"/>
                <w:sz w:val="24"/>
              </w:rPr>
            </w:pPr>
            <w:r>
              <w:rPr>
                <w:color w:val="auto"/>
                <w:spacing w:val="-20"/>
                <w:w w:val="90"/>
                <w:sz w:val="24"/>
              </w:rPr>
              <w:t>1000*2100</w:t>
            </w:r>
          </w:p>
        </w:tc>
        <w:tc>
          <w:tcPr>
            <w:tcW w:w="417" w:type="pct"/>
          </w:tcPr>
          <w:p>
            <w:pPr>
              <w:pStyle w:val="71"/>
              <w:spacing w:line="240" w:lineRule="exact"/>
              <w:jc w:val="center"/>
              <w:rPr>
                <w:color w:val="auto"/>
                <w:spacing w:val="-20"/>
                <w:sz w:val="24"/>
              </w:rPr>
            </w:pPr>
            <w:r>
              <w:rPr>
                <w:color w:val="auto"/>
                <w:spacing w:val="-20"/>
                <w:w w:val="80"/>
                <w:sz w:val="24"/>
              </w:rPr>
              <w:t>1700*2300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rPr>
        <w:tc>
          <w:tcPr>
            <w:tcW w:w="516" w:type="pct"/>
          </w:tcPr>
          <w:p>
            <w:pPr>
              <w:pStyle w:val="71"/>
              <w:spacing w:line="240" w:lineRule="exact"/>
              <w:jc w:val="center"/>
              <w:rPr>
                <w:color w:val="auto"/>
                <w:spacing w:val="-20"/>
                <w:sz w:val="24"/>
              </w:rPr>
            </w:pPr>
            <w:r>
              <w:rPr>
                <w:color w:val="auto"/>
                <w:spacing w:val="-20"/>
                <w:w w:val="90"/>
                <w:sz w:val="24"/>
              </w:rPr>
              <w:t>墙体留洞尺寸</w:t>
            </w:r>
          </w:p>
          <w:p>
            <w:pPr>
              <w:pStyle w:val="71"/>
              <w:spacing w:line="240" w:lineRule="exact"/>
              <w:jc w:val="center"/>
              <w:rPr>
                <w:color w:val="auto"/>
                <w:spacing w:val="-20"/>
                <w:sz w:val="24"/>
              </w:rPr>
            </w:pPr>
            <w:r>
              <w:rPr>
                <w:color w:val="auto"/>
                <w:spacing w:val="-20"/>
                <w:w w:val="90"/>
                <w:sz w:val="24"/>
              </w:rPr>
              <w:t>（mm)</w:t>
            </w:r>
          </w:p>
        </w:tc>
        <w:tc>
          <w:tcPr>
            <w:tcW w:w="374" w:type="pct"/>
          </w:tcPr>
          <w:p>
            <w:pPr>
              <w:pStyle w:val="71"/>
              <w:spacing w:line="240" w:lineRule="exact"/>
              <w:jc w:val="center"/>
              <w:rPr>
                <w:color w:val="auto"/>
                <w:spacing w:val="-20"/>
                <w:sz w:val="24"/>
              </w:rPr>
            </w:pPr>
            <w:r>
              <w:rPr>
                <w:color w:val="auto"/>
                <w:spacing w:val="-20"/>
                <w:w w:val="90"/>
                <w:sz w:val="24"/>
              </w:rPr>
              <w:t>1520*920</w:t>
            </w:r>
          </w:p>
        </w:tc>
        <w:tc>
          <w:tcPr>
            <w:tcW w:w="373" w:type="pct"/>
            <w:gridSpan w:val="2"/>
          </w:tcPr>
          <w:p>
            <w:pPr>
              <w:pStyle w:val="71"/>
              <w:spacing w:line="240" w:lineRule="exact"/>
              <w:jc w:val="center"/>
              <w:rPr>
                <w:color w:val="auto"/>
                <w:spacing w:val="-20"/>
                <w:sz w:val="24"/>
              </w:rPr>
            </w:pPr>
            <w:r>
              <w:rPr>
                <w:color w:val="auto"/>
                <w:spacing w:val="-20"/>
                <w:w w:val="90"/>
                <w:sz w:val="24"/>
              </w:rPr>
              <w:t>1020*2120</w:t>
            </w:r>
          </w:p>
        </w:tc>
        <w:tc>
          <w:tcPr>
            <w:tcW w:w="376" w:type="pct"/>
          </w:tcPr>
          <w:p>
            <w:pPr>
              <w:pStyle w:val="71"/>
              <w:spacing w:line="240" w:lineRule="exact"/>
              <w:jc w:val="center"/>
              <w:rPr>
                <w:color w:val="auto"/>
                <w:spacing w:val="-20"/>
                <w:sz w:val="24"/>
              </w:rPr>
            </w:pPr>
            <w:r>
              <w:rPr>
                <w:color w:val="auto"/>
                <w:spacing w:val="-20"/>
                <w:w w:val="90"/>
                <w:sz w:val="24"/>
              </w:rPr>
              <w:t>1400*2100</w:t>
            </w:r>
          </w:p>
        </w:tc>
        <w:tc>
          <w:tcPr>
            <w:tcW w:w="376" w:type="pct"/>
            <w:gridSpan w:val="2"/>
          </w:tcPr>
          <w:p>
            <w:pPr>
              <w:pStyle w:val="71"/>
              <w:spacing w:line="240" w:lineRule="exact"/>
              <w:jc w:val="center"/>
              <w:rPr>
                <w:color w:val="auto"/>
                <w:spacing w:val="-20"/>
                <w:sz w:val="24"/>
              </w:rPr>
            </w:pPr>
            <w:r>
              <w:rPr>
                <w:color w:val="auto"/>
                <w:spacing w:val="-20"/>
                <w:w w:val="90"/>
                <w:sz w:val="24"/>
              </w:rPr>
              <w:t>1520*920</w:t>
            </w:r>
          </w:p>
        </w:tc>
        <w:tc>
          <w:tcPr>
            <w:tcW w:w="370" w:type="pct"/>
          </w:tcPr>
          <w:p>
            <w:pPr>
              <w:pStyle w:val="71"/>
              <w:spacing w:line="240" w:lineRule="exact"/>
              <w:jc w:val="center"/>
              <w:rPr>
                <w:color w:val="auto"/>
                <w:spacing w:val="-20"/>
                <w:sz w:val="24"/>
              </w:rPr>
            </w:pPr>
            <w:r>
              <w:rPr>
                <w:color w:val="auto"/>
                <w:spacing w:val="-20"/>
                <w:w w:val="80"/>
                <w:sz w:val="24"/>
              </w:rPr>
              <w:t>1020*2120</w:t>
            </w:r>
          </w:p>
        </w:tc>
        <w:tc>
          <w:tcPr>
            <w:tcW w:w="376" w:type="pct"/>
            <w:gridSpan w:val="3"/>
          </w:tcPr>
          <w:p>
            <w:pPr>
              <w:pStyle w:val="71"/>
              <w:spacing w:line="240" w:lineRule="exact"/>
              <w:jc w:val="center"/>
              <w:rPr>
                <w:color w:val="auto"/>
                <w:spacing w:val="-20"/>
                <w:sz w:val="24"/>
              </w:rPr>
            </w:pPr>
            <w:r>
              <w:rPr>
                <w:color w:val="auto"/>
                <w:spacing w:val="-20"/>
                <w:w w:val="80"/>
                <w:sz w:val="24"/>
              </w:rPr>
              <w:t>1400*2100</w:t>
            </w:r>
          </w:p>
        </w:tc>
        <w:tc>
          <w:tcPr>
            <w:tcW w:w="375" w:type="pct"/>
            <w:gridSpan w:val="2"/>
          </w:tcPr>
          <w:p>
            <w:pPr>
              <w:pStyle w:val="71"/>
              <w:spacing w:line="240" w:lineRule="exact"/>
              <w:jc w:val="center"/>
              <w:rPr>
                <w:color w:val="auto"/>
                <w:spacing w:val="-20"/>
                <w:sz w:val="24"/>
              </w:rPr>
            </w:pPr>
            <w:r>
              <w:rPr>
                <w:color w:val="auto"/>
                <w:spacing w:val="-20"/>
                <w:w w:val="90"/>
                <w:sz w:val="24"/>
              </w:rPr>
              <w:t>1520*920</w:t>
            </w:r>
          </w:p>
        </w:tc>
        <w:tc>
          <w:tcPr>
            <w:tcW w:w="380" w:type="pct"/>
          </w:tcPr>
          <w:p>
            <w:pPr>
              <w:pStyle w:val="71"/>
              <w:spacing w:line="240" w:lineRule="exact"/>
              <w:jc w:val="center"/>
              <w:rPr>
                <w:color w:val="auto"/>
                <w:spacing w:val="-20"/>
                <w:sz w:val="24"/>
              </w:rPr>
            </w:pPr>
            <w:r>
              <w:rPr>
                <w:color w:val="auto"/>
                <w:spacing w:val="-20"/>
                <w:w w:val="90"/>
                <w:sz w:val="24"/>
              </w:rPr>
              <w:t>1020*2120</w:t>
            </w:r>
          </w:p>
        </w:tc>
        <w:tc>
          <w:tcPr>
            <w:tcW w:w="378" w:type="pct"/>
          </w:tcPr>
          <w:p>
            <w:pPr>
              <w:pStyle w:val="71"/>
              <w:spacing w:line="240" w:lineRule="exact"/>
              <w:jc w:val="center"/>
              <w:rPr>
                <w:color w:val="auto"/>
                <w:spacing w:val="-20"/>
                <w:sz w:val="24"/>
              </w:rPr>
            </w:pPr>
            <w:r>
              <w:rPr>
                <w:color w:val="auto"/>
                <w:spacing w:val="-20"/>
                <w:w w:val="90"/>
                <w:sz w:val="24"/>
              </w:rPr>
              <w:t>1400*2100</w:t>
            </w:r>
          </w:p>
        </w:tc>
        <w:tc>
          <w:tcPr>
            <w:tcW w:w="360" w:type="pct"/>
            <w:gridSpan w:val="2"/>
          </w:tcPr>
          <w:p>
            <w:pPr>
              <w:pStyle w:val="71"/>
              <w:spacing w:line="240" w:lineRule="exact"/>
              <w:jc w:val="center"/>
              <w:rPr>
                <w:color w:val="auto"/>
                <w:spacing w:val="-20"/>
                <w:sz w:val="24"/>
              </w:rPr>
            </w:pPr>
            <w:r>
              <w:rPr>
                <w:color w:val="auto"/>
                <w:spacing w:val="-20"/>
                <w:w w:val="90"/>
                <w:sz w:val="24"/>
              </w:rPr>
              <w:t>1520*920</w:t>
            </w:r>
          </w:p>
        </w:tc>
        <w:tc>
          <w:tcPr>
            <w:tcW w:w="329" w:type="pct"/>
          </w:tcPr>
          <w:p>
            <w:pPr>
              <w:pStyle w:val="71"/>
              <w:spacing w:line="240" w:lineRule="exact"/>
              <w:jc w:val="center"/>
              <w:rPr>
                <w:color w:val="auto"/>
                <w:spacing w:val="-20"/>
                <w:sz w:val="24"/>
              </w:rPr>
            </w:pPr>
            <w:r>
              <w:rPr>
                <w:color w:val="auto"/>
                <w:spacing w:val="-20"/>
                <w:w w:val="90"/>
                <w:sz w:val="24"/>
              </w:rPr>
              <w:t>1020*2120</w:t>
            </w:r>
          </w:p>
        </w:tc>
        <w:tc>
          <w:tcPr>
            <w:tcW w:w="417" w:type="pct"/>
          </w:tcPr>
          <w:p>
            <w:pPr>
              <w:pStyle w:val="71"/>
              <w:spacing w:line="240" w:lineRule="exact"/>
              <w:jc w:val="center"/>
              <w:rPr>
                <w:color w:val="auto"/>
                <w:spacing w:val="-20"/>
                <w:sz w:val="24"/>
              </w:rPr>
            </w:pPr>
            <w:r>
              <w:rPr>
                <w:color w:val="auto"/>
                <w:spacing w:val="-20"/>
                <w:w w:val="80"/>
                <w:sz w:val="24"/>
              </w:rPr>
              <w:t>1400*2100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rPr>
        <w:tc>
          <w:tcPr>
            <w:tcW w:w="516" w:type="pct"/>
          </w:tcPr>
          <w:p>
            <w:pPr>
              <w:pStyle w:val="71"/>
              <w:spacing w:line="240" w:lineRule="exact"/>
              <w:jc w:val="center"/>
              <w:rPr>
                <w:color w:val="auto"/>
                <w:spacing w:val="-20"/>
                <w:sz w:val="24"/>
              </w:rPr>
            </w:pPr>
            <w:r>
              <w:rPr>
                <w:color w:val="auto"/>
                <w:spacing w:val="-20"/>
                <w:w w:val="80"/>
                <w:sz w:val="24"/>
              </w:rPr>
              <w:t>防护当量</w:t>
            </w:r>
          </w:p>
          <w:p>
            <w:pPr>
              <w:pStyle w:val="71"/>
              <w:spacing w:line="240" w:lineRule="exact"/>
              <w:jc w:val="center"/>
              <w:rPr>
                <w:color w:val="auto"/>
                <w:spacing w:val="-20"/>
                <w:sz w:val="24"/>
              </w:rPr>
            </w:pPr>
            <w:r>
              <w:rPr>
                <w:color w:val="auto"/>
                <w:spacing w:val="-20"/>
                <w:w w:val="85"/>
                <w:sz w:val="24"/>
              </w:rPr>
              <w:t>（mm pb)</w:t>
            </w:r>
          </w:p>
        </w:tc>
        <w:tc>
          <w:tcPr>
            <w:tcW w:w="374" w:type="pct"/>
          </w:tcPr>
          <w:p>
            <w:pPr>
              <w:pStyle w:val="71"/>
              <w:spacing w:line="240" w:lineRule="exact"/>
              <w:jc w:val="center"/>
              <w:rPr>
                <w:color w:val="auto"/>
                <w:spacing w:val="-20"/>
                <w:sz w:val="24"/>
              </w:rPr>
            </w:pPr>
            <w:r>
              <w:rPr>
                <w:color w:val="auto"/>
                <w:spacing w:val="-20"/>
                <w:w w:val="90"/>
                <w:sz w:val="24"/>
              </w:rPr>
              <w:t>3.5</w:t>
            </w:r>
          </w:p>
        </w:tc>
        <w:tc>
          <w:tcPr>
            <w:tcW w:w="373" w:type="pct"/>
            <w:gridSpan w:val="2"/>
          </w:tcPr>
          <w:p>
            <w:pPr>
              <w:pStyle w:val="71"/>
              <w:spacing w:line="240" w:lineRule="exact"/>
              <w:jc w:val="center"/>
              <w:rPr>
                <w:color w:val="auto"/>
                <w:spacing w:val="-20"/>
                <w:sz w:val="24"/>
              </w:rPr>
            </w:pPr>
            <w:r>
              <w:rPr>
                <w:color w:val="auto"/>
                <w:spacing w:val="-20"/>
                <w:w w:val="90"/>
                <w:sz w:val="24"/>
              </w:rPr>
              <w:t>3.5</w:t>
            </w:r>
          </w:p>
        </w:tc>
        <w:tc>
          <w:tcPr>
            <w:tcW w:w="376" w:type="pct"/>
          </w:tcPr>
          <w:p>
            <w:pPr>
              <w:pStyle w:val="71"/>
              <w:spacing w:line="240" w:lineRule="exact"/>
              <w:jc w:val="center"/>
              <w:rPr>
                <w:color w:val="auto"/>
                <w:spacing w:val="-20"/>
                <w:sz w:val="24"/>
              </w:rPr>
            </w:pPr>
            <w:r>
              <w:rPr>
                <w:color w:val="auto"/>
                <w:spacing w:val="-20"/>
                <w:w w:val="90"/>
                <w:sz w:val="24"/>
              </w:rPr>
              <w:t>3.5</w:t>
            </w:r>
          </w:p>
        </w:tc>
        <w:tc>
          <w:tcPr>
            <w:tcW w:w="376" w:type="pct"/>
            <w:gridSpan w:val="2"/>
          </w:tcPr>
          <w:p>
            <w:pPr>
              <w:pStyle w:val="71"/>
              <w:spacing w:line="240" w:lineRule="exact"/>
              <w:jc w:val="center"/>
              <w:rPr>
                <w:color w:val="auto"/>
                <w:spacing w:val="-20"/>
                <w:sz w:val="24"/>
              </w:rPr>
            </w:pPr>
            <w:r>
              <w:rPr>
                <w:color w:val="auto"/>
                <w:spacing w:val="-20"/>
                <w:w w:val="90"/>
                <w:sz w:val="24"/>
              </w:rPr>
              <w:t>3.5</w:t>
            </w:r>
          </w:p>
        </w:tc>
        <w:tc>
          <w:tcPr>
            <w:tcW w:w="370" w:type="pct"/>
          </w:tcPr>
          <w:p>
            <w:pPr>
              <w:pStyle w:val="71"/>
              <w:spacing w:line="240" w:lineRule="exact"/>
              <w:jc w:val="center"/>
              <w:rPr>
                <w:color w:val="auto"/>
                <w:spacing w:val="-20"/>
                <w:sz w:val="24"/>
              </w:rPr>
            </w:pPr>
            <w:r>
              <w:rPr>
                <w:color w:val="auto"/>
                <w:spacing w:val="-20"/>
                <w:w w:val="90"/>
                <w:sz w:val="24"/>
              </w:rPr>
              <w:t>3.5</w:t>
            </w:r>
          </w:p>
        </w:tc>
        <w:tc>
          <w:tcPr>
            <w:tcW w:w="376" w:type="pct"/>
            <w:gridSpan w:val="3"/>
          </w:tcPr>
          <w:p>
            <w:pPr>
              <w:pStyle w:val="71"/>
              <w:spacing w:line="240" w:lineRule="exact"/>
              <w:jc w:val="center"/>
              <w:rPr>
                <w:color w:val="auto"/>
                <w:spacing w:val="-20"/>
                <w:sz w:val="24"/>
              </w:rPr>
            </w:pPr>
            <w:r>
              <w:rPr>
                <w:color w:val="auto"/>
                <w:spacing w:val="-20"/>
                <w:w w:val="90"/>
                <w:sz w:val="24"/>
              </w:rPr>
              <w:t>3.5</w:t>
            </w:r>
          </w:p>
        </w:tc>
        <w:tc>
          <w:tcPr>
            <w:tcW w:w="375" w:type="pct"/>
            <w:gridSpan w:val="2"/>
          </w:tcPr>
          <w:p>
            <w:pPr>
              <w:pStyle w:val="71"/>
              <w:spacing w:line="240" w:lineRule="exact"/>
              <w:jc w:val="center"/>
              <w:rPr>
                <w:color w:val="auto"/>
                <w:spacing w:val="-20"/>
                <w:sz w:val="24"/>
              </w:rPr>
            </w:pPr>
            <w:r>
              <w:rPr>
                <w:color w:val="auto"/>
                <w:spacing w:val="-20"/>
                <w:w w:val="90"/>
                <w:sz w:val="24"/>
              </w:rPr>
              <w:t>3.5</w:t>
            </w:r>
          </w:p>
        </w:tc>
        <w:tc>
          <w:tcPr>
            <w:tcW w:w="380" w:type="pct"/>
          </w:tcPr>
          <w:p>
            <w:pPr>
              <w:pStyle w:val="71"/>
              <w:spacing w:line="240" w:lineRule="exact"/>
              <w:jc w:val="center"/>
              <w:rPr>
                <w:color w:val="auto"/>
                <w:spacing w:val="-20"/>
                <w:sz w:val="24"/>
              </w:rPr>
            </w:pPr>
            <w:r>
              <w:rPr>
                <w:color w:val="auto"/>
                <w:spacing w:val="-20"/>
                <w:w w:val="90"/>
                <w:sz w:val="24"/>
              </w:rPr>
              <w:t>3.5</w:t>
            </w:r>
          </w:p>
        </w:tc>
        <w:tc>
          <w:tcPr>
            <w:tcW w:w="378" w:type="pct"/>
          </w:tcPr>
          <w:p>
            <w:pPr>
              <w:pStyle w:val="71"/>
              <w:spacing w:line="240" w:lineRule="exact"/>
              <w:jc w:val="center"/>
              <w:rPr>
                <w:color w:val="auto"/>
                <w:spacing w:val="-20"/>
                <w:sz w:val="24"/>
              </w:rPr>
            </w:pPr>
            <w:r>
              <w:rPr>
                <w:color w:val="auto"/>
                <w:spacing w:val="-20"/>
                <w:w w:val="90"/>
                <w:sz w:val="24"/>
              </w:rPr>
              <w:t>3.5</w:t>
            </w:r>
          </w:p>
        </w:tc>
        <w:tc>
          <w:tcPr>
            <w:tcW w:w="360" w:type="pct"/>
            <w:gridSpan w:val="2"/>
          </w:tcPr>
          <w:p>
            <w:pPr>
              <w:pStyle w:val="71"/>
              <w:spacing w:line="240" w:lineRule="exact"/>
              <w:jc w:val="center"/>
              <w:rPr>
                <w:color w:val="auto"/>
                <w:spacing w:val="-20"/>
                <w:sz w:val="24"/>
              </w:rPr>
            </w:pPr>
            <w:r>
              <w:rPr>
                <w:color w:val="auto"/>
                <w:spacing w:val="-20"/>
                <w:w w:val="90"/>
                <w:sz w:val="24"/>
              </w:rPr>
              <w:t>3.5</w:t>
            </w:r>
          </w:p>
        </w:tc>
        <w:tc>
          <w:tcPr>
            <w:tcW w:w="329" w:type="pct"/>
          </w:tcPr>
          <w:p>
            <w:pPr>
              <w:pStyle w:val="71"/>
              <w:spacing w:line="240" w:lineRule="exact"/>
              <w:jc w:val="center"/>
              <w:rPr>
                <w:color w:val="auto"/>
                <w:spacing w:val="-20"/>
                <w:sz w:val="24"/>
              </w:rPr>
            </w:pPr>
            <w:r>
              <w:rPr>
                <w:color w:val="auto"/>
                <w:spacing w:val="-20"/>
                <w:w w:val="90"/>
                <w:sz w:val="24"/>
              </w:rPr>
              <w:t>3.5</w:t>
            </w:r>
          </w:p>
        </w:tc>
        <w:tc>
          <w:tcPr>
            <w:tcW w:w="417" w:type="pct"/>
          </w:tcPr>
          <w:p>
            <w:pPr>
              <w:pStyle w:val="71"/>
              <w:spacing w:line="240" w:lineRule="exact"/>
              <w:jc w:val="center"/>
              <w:rPr>
                <w:color w:val="auto"/>
                <w:spacing w:val="-20"/>
                <w:sz w:val="24"/>
              </w:rPr>
            </w:pPr>
            <w:r>
              <w:rPr>
                <w:color w:val="auto"/>
                <w:spacing w:val="-20"/>
                <w:w w:val="90"/>
                <w:sz w:val="24"/>
              </w:rPr>
              <w:t>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单位</w:t>
            </w:r>
          </w:p>
        </w:tc>
        <w:tc>
          <w:tcPr>
            <w:tcW w:w="374" w:type="pct"/>
          </w:tcPr>
          <w:p>
            <w:pPr>
              <w:pStyle w:val="71"/>
              <w:spacing w:line="240" w:lineRule="exact"/>
              <w:jc w:val="center"/>
              <w:rPr>
                <w:color w:val="auto"/>
                <w:spacing w:val="-20"/>
                <w:sz w:val="24"/>
              </w:rPr>
            </w:pPr>
            <w:r>
              <w:rPr>
                <w:color w:val="auto"/>
                <w:spacing w:val="-20"/>
                <w:w w:val="82"/>
                <w:sz w:val="24"/>
              </w:rPr>
              <w:t>套</w:t>
            </w:r>
          </w:p>
        </w:tc>
        <w:tc>
          <w:tcPr>
            <w:tcW w:w="373" w:type="pct"/>
            <w:gridSpan w:val="2"/>
          </w:tcPr>
          <w:p>
            <w:pPr>
              <w:pStyle w:val="71"/>
              <w:spacing w:line="240" w:lineRule="exact"/>
              <w:jc w:val="center"/>
              <w:rPr>
                <w:color w:val="auto"/>
                <w:spacing w:val="-20"/>
                <w:sz w:val="24"/>
              </w:rPr>
            </w:pPr>
            <w:r>
              <w:rPr>
                <w:color w:val="auto"/>
                <w:spacing w:val="-20"/>
                <w:w w:val="82"/>
                <w:sz w:val="24"/>
              </w:rPr>
              <w:t>樘</w:t>
            </w:r>
          </w:p>
        </w:tc>
        <w:tc>
          <w:tcPr>
            <w:tcW w:w="376" w:type="pct"/>
          </w:tcPr>
          <w:p>
            <w:pPr>
              <w:pStyle w:val="71"/>
              <w:spacing w:line="240" w:lineRule="exact"/>
              <w:jc w:val="center"/>
              <w:rPr>
                <w:color w:val="auto"/>
                <w:spacing w:val="-20"/>
                <w:sz w:val="24"/>
              </w:rPr>
            </w:pPr>
            <w:r>
              <w:rPr>
                <w:color w:val="auto"/>
                <w:spacing w:val="-20"/>
                <w:w w:val="82"/>
                <w:sz w:val="24"/>
              </w:rPr>
              <w:t>樘</w:t>
            </w:r>
          </w:p>
        </w:tc>
        <w:tc>
          <w:tcPr>
            <w:tcW w:w="376" w:type="pct"/>
            <w:gridSpan w:val="2"/>
          </w:tcPr>
          <w:p>
            <w:pPr>
              <w:pStyle w:val="71"/>
              <w:spacing w:line="240" w:lineRule="exact"/>
              <w:jc w:val="center"/>
              <w:rPr>
                <w:color w:val="auto"/>
                <w:spacing w:val="-20"/>
                <w:sz w:val="24"/>
              </w:rPr>
            </w:pPr>
            <w:r>
              <w:rPr>
                <w:color w:val="auto"/>
                <w:spacing w:val="-20"/>
                <w:w w:val="82"/>
                <w:sz w:val="24"/>
              </w:rPr>
              <w:t>套</w:t>
            </w:r>
          </w:p>
        </w:tc>
        <w:tc>
          <w:tcPr>
            <w:tcW w:w="370" w:type="pct"/>
          </w:tcPr>
          <w:p>
            <w:pPr>
              <w:pStyle w:val="71"/>
              <w:spacing w:line="240" w:lineRule="exact"/>
              <w:jc w:val="center"/>
              <w:rPr>
                <w:color w:val="auto"/>
                <w:spacing w:val="-20"/>
                <w:sz w:val="24"/>
              </w:rPr>
            </w:pPr>
            <w:r>
              <w:rPr>
                <w:color w:val="auto"/>
                <w:spacing w:val="-20"/>
                <w:w w:val="82"/>
                <w:sz w:val="24"/>
              </w:rPr>
              <w:t>樘</w:t>
            </w:r>
          </w:p>
        </w:tc>
        <w:tc>
          <w:tcPr>
            <w:tcW w:w="376" w:type="pct"/>
            <w:gridSpan w:val="3"/>
          </w:tcPr>
          <w:p>
            <w:pPr>
              <w:pStyle w:val="71"/>
              <w:spacing w:line="240" w:lineRule="exact"/>
              <w:jc w:val="center"/>
              <w:rPr>
                <w:color w:val="auto"/>
                <w:spacing w:val="-20"/>
                <w:sz w:val="24"/>
              </w:rPr>
            </w:pPr>
            <w:r>
              <w:rPr>
                <w:color w:val="auto"/>
                <w:spacing w:val="-20"/>
                <w:w w:val="82"/>
                <w:sz w:val="24"/>
              </w:rPr>
              <w:t>樘</w:t>
            </w:r>
          </w:p>
        </w:tc>
        <w:tc>
          <w:tcPr>
            <w:tcW w:w="375" w:type="pct"/>
            <w:gridSpan w:val="2"/>
          </w:tcPr>
          <w:p>
            <w:pPr>
              <w:pStyle w:val="71"/>
              <w:spacing w:line="240" w:lineRule="exact"/>
              <w:jc w:val="center"/>
              <w:rPr>
                <w:color w:val="auto"/>
                <w:spacing w:val="-20"/>
                <w:sz w:val="24"/>
              </w:rPr>
            </w:pPr>
            <w:r>
              <w:rPr>
                <w:color w:val="auto"/>
                <w:spacing w:val="-20"/>
                <w:w w:val="82"/>
                <w:sz w:val="24"/>
              </w:rPr>
              <w:t>套</w:t>
            </w:r>
          </w:p>
        </w:tc>
        <w:tc>
          <w:tcPr>
            <w:tcW w:w="380" w:type="pct"/>
          </w:tcPr>
          <w:p>
            <w:pPr>
              <w:pStyle w:val="71"/>
              <w:spacing w:line="240" w:lineRule="exact"/>
              <w:jc w:val="center"/>
              <w:rPr>
                <w:color w:val="auto"/>
                <w:spacing w:val="-20"/>
                <w:sz w:val="24"/>
              </w:rPr>
            </w:pPr>
            <w:r>
              <w:rPr>
                <w:color w:val="auto"/>
                <w:spacing w:val="-20"/>
                <w:w w:val="82"/>
                <w:sz w:val="24"/>
              </w:rPr>
              <w:t>樘</w:t>
            </w:r>
          </w:p>
        </w:tc>
        <w:tc>
          <w:tcPr>
            <w:tcW w:w="378" w:type="pct"/>
          </w:tcPr>
          <w:p>
            <w:pPr>
              <w:pStyle w:val="71"/>
              <w:spacing w:line="240" w:lineRule="exact"/>
              <w:jc w:val="center"/>
              <w:rPr>
                <w:color w:val="auto"/>
                <w:spacing w:val="-20"/>
                <w:sz w:val="24"/>
              </w:rPr>
            </w:pPr>
            <w:r>
              <w:rPr>
                <w:color w:val="auto"/>
                <w:spacing w:val="-20"/>
                <w:w w:val="82"/>
                <w:sz w:val="24"/>
              </w:rPr>
              <w:t>樘</w:t>
            </w:r>
          </w:p>
        </w:tc>
        <w:tc>
          <w:tcPr>
            <w:tcW w:w="360" w:type="pct"/>
            <w:gridSpan w:val="2"/>
          </w:tcPr>
          <w:p>
            <w:pPr>
              <w:pStyle w:val="71"/>
              <w:spacing w:line="240" w:lineRule="exact"/>
              <w:jc w:val="center"/>
              <w:rPr>
                <w:color w:val="auto"/>
                <w:spacing w:val="-20"/>
                <w:sz w:val="24"/>
              </w:rPr>
            </w:pPr>
            <w:r>
              <w:rPr>
                <w:color w:val="auto"/>
                <w:spacing w:val="-20"/>
                <w:w w:val="82"/>
                <w:sz w:val="24"/>
              </w:rPr>
              <w:t>套</w:t>
            </w:r>
          </w:p>
        </w:tc>
        <w:tc>
          <w:tcPr>
            <w:tcW w:w="329" w:type="pct"/>
          </w:tcPr>
          <w:p>
            <w:pPr>
              <w:pStyle w:val="71"/>
              <w:spacing w:line="240" w:lineRule="exact"/>
              <w:jc w:val="center"/>
              <w:rPr>
                <w:color w:val="auto"/>
                <w:spacing w:val="-20"/>
                <w:sz w:val="24"/>
              </w:rPr>
            </w:pPr>
            <w:r>
              <w:rPr>
                <w:color w:val="auto"/>
                <w:spacing w:val="-20"/>
                <w:w w:val="82"/>
                <w:sz w:val="24"/>
              </w:rPr>
              <w:t>樘</w:t>
            </w:r>
          </w:p>
        </w:tc>
        <w:tc>
          <w:tcPr>
            <w:tcW w:w="417" w:type="pct"/>
          </w:tcPr>
          <w:p>
            <w:pPr>
              <w:pStyle w:val="71"/>
              <w:spacing w:line="240" w:lineRule="exact"/>
              <w:jc w:val="center"/>
              <w:rPr>
                <w:color w:val="auto"/>
                <w:spacing w:val="-20"/>
                <w:sz w:val="24"/>
              </w:rPr>
            </w:pPr>
            <w:r>
              <w:rPr>
                <w:color w:val="auto"/>
                <w:spacing w:val="-20"/>
                <w:w w:val="82"/>
                <w:sz w:val="24"/>
              </w:rPr>
              <w:t>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数量</w:t>
            </w:r>
          </w:p>
        </w:tc>
        <w:tc>
          <w:tcPr>
            <w:tcW w:w="374" w:type="pct"/>
          </w:tcPr>
          <w:p>
            <w:pPr>
              <w:pStyle w:val="71"/>
              <w:spacing w:line="240" w:lineRule="exact"/>
              <w:jc w:val="center"/>
              <w:rPr>
                <w:color w:val="auto"/>
                <w:spacing w:val="-20"/>
                <w:sz w:val="24"/>
              </w:rPr>
            </w:pPr>
            <w:r>
              <w:rPr>
                <w:color w:val="auto"/>
                <w:spacing w:val="-20"/>
                <w:w w:val="82"/>
                <w:sz w:val="24"/>
              </w:rPr>
              <w:t>1</w:t>
            </w:r>
          </w:p>
        </w:tc>
        <w:tc>
          <w:tcPr>
            <w:tcW w:w="373" w:type="pct"/>
            <w:gridSpan w:val="2"/>
          </w:tcPr>
          <w:p>
            <w:pPr>
              <w:pStyle w:val="71"/>
              <w:spacing w:line="240" w:lineRule="exact"/>
              <w:jc w:val="center"/>
              <w:rPr>
                <w:color w:val="auto"/>
                <w:spacing w:val="-20"/>
                <w:sz w:val="24"/>
              </w:rPr>
            </w:pPr>
            <w:r>
              <w:rPr>
                <w:color w:val="auto"/>
                <w:spacing w:val="-20"/>
                <w:w w:val="82"/>
                <w:sz w:val="24"/>
              </w:rPr>
              <w:t>1</w:t>
            </w:r>
          </w:p>
        </w:tc>
        <w:tc>
          <w:tcPr>
            <w:tcW w:w="376" w:type="pct"/>
          </w:tcPr>
          <w:p>
            <w:pPr>
              <w:pStyle w:val="71"/>
              <w:spacing w:line="240" w:lineRule="exact"/>
              <w:jc w:val="center"/>
              <w:rPr>
                <w:color w:val="auto"/>
                <w:spacing w:val="-20"/>
                <w:sz w:val="24"/>
              </w:rPr>
            </w:pPr>
            <w:r>
              <w:rPr>
                <w:color w:val="auto"/>
                <w:spacing w:val="-20"/>
                <w:w w:val="82"/>
                <w:sz w:val="24"/>
              </w:rPr>
              <w:t>1</w:t>
            </w:r>
          </w:p>
        </w:tc>
        <w:tc>
          <w:tcPr>
            <w:tcW w:w="376" w:type="pct"/>
            <w:gridSpan w:val="2"/>
          </w:tcPr>
          <w:p>
            <w:pPr>
              <w:pStyle w:val="71"/>
              <w:spacing w:line="240" w:lineRule="exact"/>
              <w:jc w:val="center"/>
              <w:rPr>
                <w:color w:val="auto"/>
                <w:spacing w:val="-20"/>
                <w:sz w:val="24"/>
              </w:rPr>
            </w:pPr>
            <w:r>
              <w:rPr>
                <w:color w:val="auto"/>
                <w:spacing w:val="-20"/>
                <w:w w:val="82"/>
                <w:sz w:val="24"/>
              </w:rPr>
              <w:t>1</w:t>
            </w:r>
          </w:p>
        </w:tc>
        <w:tc>
          <w:tcPr>
            <w:tcW w:w="370" w:type="pct"/>
          </w:tcPr>
          <w:p>
            <w:pPr>
              <w:pStyle w:val="71"/>
              <w:spacing w:line="240" w:lineRule="exact"/>
              <w:jc w:val="center"/>
              <w:rPr>
                <w:color w:val="auto"/>
                <w:spacing w:val="-20"/>
                <w:sz w:val="24"/>
              </w:rPr>
            </w:pPr>
            <w:r>
              <w:rPr>
                <w:color w:val="auto"/>
                <w:spacing w:val="-20"/>
                <w:w w:val="82"/>
                <w:sz w:val="24"/>
              </w:rPr>
              <w:t>1</w:t>
            </w:r>
          </w:p>
        </w:tc>
        <w:tc>
          <w:tcPr>
            <w:tcW w:w="376" w:type="pct"/>
            <w:gridSpan w:val="3"/>
          </w:tcPr>
          <w:p>
            <w:pPr>
              <w:pStyle w:val="71"/>
              <w:spacing w:line="240" w:lineRule="exact"/>
              <w:jc w:val="center"/>
              <w:rPr>
                <w:color w:val="auto"/>
                <w:spacing w:val="-20"/>
                <w:sz w:val="24"/>
              </w:rPr>
            </w:pPr>
            <w:r>
              <w:rPr>
                <w:color w:val="auto"/>
                <w:spacing w:val="-20"/>
                <w:w w:val="82"/>
                <w:sz w:val="24"/>
              </w:rPr>
              <w:t>1</w:t>
            </w:r>
          </w:p>
        </w:tc>
        <w:tc>
          <w:tcPr>
            <w:tcW w:w="375" w:type="pct"/>
            <w:gridSpan w:val="2"/>
          </w:tcPr>
          <w:p>
            <w:pPr>
              <w:pStyle w:val="71"/>
              <w:spacing w:line="240" w:lineRule="exact"/>
              <w:jc w:val="center"/>
              <w:rPr>
                <w:color w:val="auto"/>
                <w:spacing w:val="-20"/>
                <w:sz w:val="24"/>
              </w:rPr>
            </w:pPr>
            <w:r>
              <w:rPr>
                <w:color w:val="auto"/>
                <w:spacing w:val="-20"/>
                <w:w w:val="82"/>
                <w:sz w:val="24"/>
              </w:rPr>
              <w:t>1</w:t>
            </w:r>
          </w:p>
        </w:tc>
        <w:tc>
          <w:tcPr>
            <w:tcW w:w="380" w:type="pct"/>
          </w:tcPr>
          <w:p>
            <w:pPr>
              <w:pStyle w:val="71"/>
              <w:spacing w:line="240" w:lineRule="exact"/>
              <w:jc w:val="center"/>
              <w:rPr>
                <w:color w:val="auto"/>
                <w:spacing w:val="-20"/>
                <w:sz w:val="24"/>
              </w:rPr>
            </w:pPr>
            <w:r>
              <w:rPr>
                <w:color w:val="auto"/>
                <w:spacing w:val="-20"/>
                <w:w w:val="82"/>
                <w:sz w:val="24"/>
              </w:rPr>
              <w:t>1</w:t>
            </w:r>
          </w:p>
        </w:tc>
        <w:tc>
          <w:tcPr>
            <w:tcW w:w="378" w:type="pct"/>
          </w:tcPr>
          <w:p>
            <w:pPr>
              <w:pStyle w:val="71"/>
              <w:spacing w:line="240" w:lineRule="exact"/>
              <w:jc w:val="center"/>
              <w:rPr>
                <w:color w:val="auto"/>
                <w:spacing w:val="-20"/>
                <w:sz w:val="24"/>
              </w:rPr>
            </w:pPr>
            <w:r>
              <w:rPr>
                <w:color w:val="auto"/>
                <w:spacing w:val="-20"/>
                <w:w w:val="82"/>
                <w:sz w:val="24"/>
              </w:rPr>
              <w:t>1</w:t>
            </w:r>
          </w:p>
        </w:tc>
        <w:tc>
          <w:tcPr>
            <w:tcW w:w="360" w:type="pct"/>
            <w:gridSpan w:val="2"/>
          </w:tcPr>
          <w:p>
            <w:pPr>
              <w:pStyle w:val="71"/>
              <w:spacing w:line="240" w:lineRule="exact"/>
              <w:jc w:val="center"/>
              <w:rPr>
                <w:color w:val="auto"/>
                <w:spacing w:val="-20"/>
                <w:sz w:val="24"/>
              </w:rPr>
            </w:pPr>
            <w:r>
              <w:rPr>
                <w:color w:val="auto"/>
                <w:spacing w:val="-20"/>
                <w:w w:val="82"/>
                <w:sz w:val="24"/>
              </w:rPr>
              <w:t>1</w:t>
            </w:r>
          </w:p>
        </w:tc>
        <w:tc>
          <w:tcPr>
            <w:tcW w:w="329" w:type="pct"/>
          </w:tcPr>
          <w:p>
            <w:pPr>
              <w:pStyle w:val="71"/>
              <w:spacing w:line="240" w:lineRule="exact"/>
              <w:jc w:val="center"/>
              <w:rPr>
                <w:color w:val="auto"/>
                <w:spacing w:val="-20"/>
                <w:sz w:val="24"/>
              </w:rPr>
            </w:pPr>
            <w:r>
              <w:rPr>
                <w:color w:val="auto"/>
                <w:spacing w:val="-20"/>
                <w:w w:val="82"/>
                <w:sz w:val="24"/>
              </w:rPr>
              <w:t>1</w:t>
            </w:r>
          </w:p>
        </w:tc>
        <w:tc>
          <w:tcPr>
            <w:tcW w:w="417" w:type="pct"/>
          </w:tcPr>
          <w:p>
            <w:pPr>
              <w:pStyle w:val="71"/>
              <w:spacing w:line="240" w:lineRule="exact"/>
              <w:jc w:val="center"/>
              <w:rPr>
                <w:color w:val="auto"/>
                <w:spacing w:val="-20"/>
                <w:sz w:val="24"/>
              </w:rPr>
            </w:pPr>
            <w:r>
              <w:rPr>
                <w:color w:val="auto"/>
                <w:spacing w:val="-20"/>
                <w:w w:val="82"/>
                <w:sz w:val="24"/>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 w:hRule="atLeast"/>
        </w:trPr>
        <w:tc>
          <w:tcPr>
            <w:tcW w:w="516" w:type="pct"/>
          </w:tcPr>
          <w:p>
            <w:pPr>
              <w:pStyle w:val="71"/>
              <w:spacing w:line="240" w:lineRule="exact"/>
              <w:jc w:val="center"/>
              <w:rPr>
                <w:color w:val="auto"/>
                <w:spacing w:val="-20"/>
                <w:sz w:val="24"/>
              </w:rPr>
            </w:pPr>
            <w:r>
              <w:rPr>
                <w:color w:val="auto"/>
                <w:spacing w:val="-20"/>
                <w:w w:val="90"/>
                <w:sz w:val="24"/>
              </w:rPr>
              <w:t>专用防护套</w:t>
            </w:r>
          </w:p>
        </w:tc>
        <w:tc>
          <w:tcPr>
            <w:tcW w:w="374" w:type="pct"/>
          </w:tcPr>
          <w:p>
            <w:pPr>
              <w:pStyle w:val="71"/>
              <w:spacing w:line="240" w:lineRule="exact"/>
              <w:jc w:val="center"/>
              <w:rPr>
                <w:color w:val="auto"/>
                <w:spacing w:val="-20"/>
                <w:sz w:val="24"/>
              </w:rPr>
            </w:pPr>
            <w:r>
              <w:rPr>
                <w:color w:val="auto"/>
                <w:spacing w:val="-20"/>
                <w:w w:val="90"/>
                <w:sz w:val="24"/>
              </w:rPr>
              <w:t>304不锈钢</w:t>
            </w:r>
          </w:p>
        </w:tc>
        <w:tc>
          <w:tcPr>
            <w:tcW w:w="373" w:type="pct"/>
            <w:gridSpan w:val="2"/>
          </w:tcPr>
          <w:p>
            <w:pPr>
              <w:pStyle w:val="71"/>
              <w:spacing w:line="240" w:lineRule="exact"/>
              <w:jc w:val="center"/>
              <w:rPr>
                <w:color w:val="auto"/>
                <w:spacing w:val="-20"/>
                <w:sz w:val="24"/>
              </w:rPr>
            </w:pPr>
            <w:r>
              <w:rPr>
                <w:color w:val="auto"/>
                <w:spacing w:val="-20"/>
                <w:w w:val="90"/>
                <w:sz w:val="24"/>
              </w:rPr>
              <w:t>304不锈钢</w:t>
            </w:r>
          </w:p>
        </w:tc>
        <w:tc>
          <w:tcPr>
            <w:tcW w:w="376" w:type="pct"/>
          </w:tcPr>
          <w:p>
            <w:pPr>
              <w:pStyle w:val="71"/>
              <w:spacing w:line="240" w:lineRule="exact"/>
              <w:jc w:val="center"/>
              <w:rPr>
                <w:color w:val="auto"/>
                <w:spacing w:val="-20"/>
                <w:sz w:val="24"/>
              </w:rPr>
            </w:pPr>
            <w:r>
              <w:rPr>
                <w:color w:val="auto"/>
                <w:spacing w:val="-20"/>
                <w:w w:val="90"/>
                <w:sz w:val="24"/>
              </w:rPr>
              <w:t>304不锈钢</w:t>
            </w:r>
          </w:p>
        </w:tc>
        <w:tc>
          <w:tcPr>
            <w:tcW w:w="376" w:type="pct"/>
            <w:gridSpan w:val="2"/>
          </w:tcPr>
          <w:p>
            <w:pPr>
              <w:pStyle w:val="71"/>
              <w:spacing w:line="240" w:lineRule="exact"/>
              <w:jc w:val="center"/>
              <w:rPr>
                <w:color w:val="auto"/>
                <w:spacing w:val="-20"/>
                <w:sz w:val="24"/>
              </w:rPr>
            </w:pPr>
            <w:r>
              <w:rPr>
                <w:color w:val="auto"/>
                <w:spacing w:val="-20"/>
                <w:w w:val="90"/>
                <w:sz w:val="24"/>
              </w:rPr>
              <w:t>304不锈钢</w:t>
            </w:r>
          </w:p>
        </w:tc>
        <w:tc>
          <w:tcPr>
            <w:tcW w:w="370" w:type="pct"/>
          </w:tcPr>
          <w:p>
            <w:pPr>
              <w:pStyle w:val="71"/>
              <w:spacing w:line="240" w:lineRule="exact"/>
              <w:jc w:val="center"/>
              <w:rPr>
                <w:color w:val="auto"/>
                <w:spacing w:val="-20"/>
                <w:sz w:val="24"/>
              </w:rPr>
            </w:pPr>
            <w:r>
              <w:rPr>
                <w:color w:val="auto"/>
                <w:spacing w:val="-20"/>
                <w:w w:val="90"/>
                <w:sz w:val="24"/>
              </w:rPr>
              <w:t>304不锈钢</w:t>
            </w:r>
          </w:p>
        </w:tc>
        <w:tc>
          <w:tcPr>
            <w:tcW w:w="376" w:type="pct"/>
            <w:gridSpan w:val="3"/>
          </w:tcPr>
          <w:p>
            <w:pPr>
              <w:pStyle w:val="71"/>
              <w:spacing w:line="240" w:lineRule="exact"/>
              <w:jc w:val="center"/>
              <w:rPr>
                <w:color w:val="auto"/>
                <w:spacing w:val="-20"/>
                <w:sz w:val="24"/>
              </w:rPr>
            </w:pPr>
            <w:r>
              <w:rPr>
                <w:color w:val="auto"/>
                <w:spacing w:val="-20"/>
                <w:w w:val="90"/>
                <w:sz w:val="24"/>
              </w:rPr>
              <w:t>304不锈钢</w:t>
            </w:r>
          </w:p>
        </w:tc>
        <w:tc>
          <w:tcPr>
            <w:tcW w:w="375" w:type="pct"/>
            <w:gridSpan w:val="2"/>
          </w:tcPr>
          <w:p>
            <w:pPr>
              <w:pStyle w:val="71"/>
              <w:spacing w:line="240" w:lineRule="exact"/>
              <w:jc w:val="center"/>
              <w:rPr>
                <w:color w:val="auto"/>
                <w:spacing w:val="-20"/>
                <w:sz w:val="24"/>
              </w:rPr>
            </w:pPr>
            <w:r>
              <w:rPr>
                <w:color w:val="auto"/>
                <w:spacing w:val="-20"/>
                <w:w w:val="90"/>
                <w:sz w:val="24"/>
              </w:rPr>
              <w:t>304不锈钢</w:t>
            </w:r>
          </w:p>
        </w:tc>
        <w:tc>
          <w:tcPr>
            <w:tcW w:w="380" w:type="pct"/>
          </w:tcPr>
          <w:p>
            <w:pPr>
              <w:pStyle w:val="71"/>
              <w:spacing w:line="240" w:lineRule="exact"/>
              <w:jc w:val="center"/>
              <w:rPr>
                <w:color w:val="auto"/>
                <w:spacing w:val="-20"/>
                <w:sz w:val="24"/>
              </w:rPr>
            </w:pPr>
            <w:r>
              <w:rPr>
                <w:color w:val="auto"/>
                <w:spacing w:val="-20"/>
                <w:w w:val="90"/>
                <w:sz w:val="24"/>
              </w:rPr>
              <w:t>304不锈钢</w:t>
            </w:r>
          </w:p>
        </w:tc>
        <w:tc>
          <w:tcPr>
            <w:tcW w:w="378" w:type="pct"/>
          </w:tcPr>
          <w:p>
            <w:pPr>
              <w:pStyle w:val="71"/>
              <w:spacing w:line="240" w:lineRule="exact"/>
              <w:jc w:val="center"/>
              <w:rPr>
                <w:color w:val="auto"/>
                <w:spacing w:val="-20"/>
                <w:sz w:val="24"/>
              </w:rPr>
            </w:pPr>
            <w:r>
              <w:rPr>
                <w:color w:val="auto"/>
                <w:spacing w:val="-20"/>
                <w:w w:val="90"/>
                <w:sz w:val="24"/>
              </w:rPr>
              <w:t>304不锈钢</w:t>
            </w:r>
          </w:p>
        </w:tc>
        <w:tc>
          <w:tcPr>
            <w:tcW w:w="360" w:type="pct"/>
            <w:gridSpan w:val="2"/>
          </w:tcPr>
          <w:p>
            <w:pPr>
              <w:pStyle w:val="71"/>
              <w:spacing w:line="240" w:lineRule="exact"/>
              <w:jc w:val="center"/>
              <w:rPr>
                <w:color w:val="auto"/>
                <w:spacing w:val="-20"/>
                <w:sz w:val="24"/>
              </w:rPr>
            </w:pPr>
            <w:r>
              <w:rPr>
                <w:color w:val="auto"/>
                <w:spacing w:val="-20"/>
                <w:w w:val="90"/>
                <w:sz w:val="24"/>
              </w:rPr>
              <w:t>304不锈钢</w:t>
            </w:r>
          </w:p>
        </w:tc>
        <w:tc>
          <w:tcPr>
            <w:tcW w:w="329" w:type="pct"/>
          </w:tcPr>
          <w:p>
            <w:pPr>
              <w:pStyle w:val="71"/>
              <w:spacing w:line="240" w:lineRule="exact"/>
              <w:jc w:val="center"/>
              <w:rPr>
                <w:color w:val="auto"/>
                <w:spacing w:val="-20"/>
                <w:sz w:val="24"/>
              </w:rPr>
            </w:pPr>
            <w:r>
              <w:rPr>
                <w:color w:val="auto"/>
                <w:spacing w:val="-20"/>
                <w:w w:val="90"/>
                <w:sz w:val="24"/>
              </w:rPr>
              <w:t>304不锈钢</w:t>
            </w:r>
          </w:p>
        </w:tc>
        <w:tc>
          <w:tcPr>
            <w:tcW w:w="417" w:type="pct"/>
          </w:tcPr>
          <w:p>
            <w:pPr>
              <w:pStyle w:val="71"/>
              <w:spacing w:line="240" w:lineRule="exact"/>
              <w:jc w:val="center"/>
              <w:rPr>
                <w:color w:val="auto"/>
                <w:spacing w:val="-20"/>
                <w:sz w:val="24"/>
              </w:rPr>
            </w:pPr>
            <w:r>
              <w:rPr>
                <w:color w:val="auto"/>
                <w:spacing w:val="-20"/>
                <w:w w:val="90"/>
                <w:sz w:val="24"/>
              </w:rPr>
              <w:t>304不锈钢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5" w:hRule="atLeast"/>
        </w:trPr>
        <w:tc>
          <w:tcPr>
            <w:tcW w:w="5000" w:type="pct"/>
            <w:gridSpan w:val="19"/>
            <w:tcBorders>
              <w:bottom w:val="single" w:color="000000" w:sz="12" w:space="0"/>
            </w:tcBorders>
          </w:tcPr>
          <w:p>
            <w:pPr>
              <w:pStyle w:val="71"/>
              <w:spacing w:line="240" w:lineRule="exact"/>
              <w:jc w:val="center"/>
              <w:rPr>
                <w:color w:val="auto"/>
                <w:spacing w:val="-20"/>
                <w:sz w:val="1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5" w:hRule="atLeast"/>
        </w:trPr>
        <w:tc>
          <w:tcPr>
            <w:tcW w:w="516" w:type="pct"/>
          </w:tcPr>
          <w:p>
            <w:pPr>
              <w:pStyle w:val="71"/>
              <w:spacing w:line="240" w:lineRule="exact"/>
              <w:jc w:val="center"/>
              <w:rPr>
                <w:color w:val="auto"/>
                <w:spacing w:val="-20"/>
                <w:sz w:val="24"/>
              </w:rPr>
            </w:pPr>
            <w:r>
              <w:rPr>
                <w:color w:val="auto"/>
                <w:spacing w:val="-20"/>
                <w:w w:val="90"/>
                <w:sz w:val="24"/>
              </w:rPr>
              <w:t>机房名称</w:t>
            </w:r>
          </w:p>
        </w:tc>
        <w:tc>
          <w:tcPr>
            <w:tcW w:w="1123" w:type="pct"/>
            <w:gridSpan w:val="4"/>
          </w:tcPr>
          <w:p>
            <w:pPr>
              <w:pStyle w:val="71"/>
              <w:spacing w:line="240" w:lineRule="exact"/>
              <w:jc w:val="center"/>
              <w:rPr>
                <w:color w:val="auto"/>
                <w:spacing w:val="-20"/>
                <w:sz w:val="24"/>
              </w:rPr>
            </w:pPr>
            <w:r>
              <w:rPr>
                <w:color w:val="auto"/>
                <w:spacing w:val="-20"/>
                <w:w w:val="90"/>
                <w:sz w:val="24"/>
              </w:rPr>
              <w:t>胃肠机房（一层放射科）</w:t>
            </w:r>
          </w:p>
        </w:tc>
        <w:tc>
          <w:tcPr>
            <w:tcW w:w="1122" w:type="pct"/>
            <w:gridSpan w:val="6"/>
          </w:tcPr>
          <w:p>
            <w:pPr>
              <w:pStyle w:val="71"/>
              <w:spacing w:line="240" w:lineRule="exact"/>
              <w:jc w:val="center"/>
              <w:rPr>
                <w:color w:val="auto"/>
                <w:spacing w:val="-20"/>
                <w:sz w:val="24"/>
              </w:rPr>
            </w:pPr>
            <w:r>
              <w:rPr>
                <w:color w:val="auto"/>
                <w:spacing w:val="-20"/>
                <w:w w:val="90"/>
                <w:sz w:val="24"/>
              </w:rPr>
              <w:t>预留机房（一层放射科）</w:t>
            </w:r>
          </w:p>
        </w:tc>
        <w:tc>
          <w:tcPr>
            <w:tcW w:w="1133" w:type="pct"/>
            <w:gridSpan w:val="4"/>
          </w:tcPr>
          <w:p>
            <w:pPr>
              <w:pStyle w:val="71"/>
              <w:spacing w:line="240" w:lineRule="exact"/>
              <w:jc w:val="center"/>
              <w:rPr>
                <w:color w:val="auto"/>
                <w:spacing w:val="-20"/>
                <w:sz w:val="24"/>
              </w:rPr>
            </w:pPr>
            <w:r>
              <w:rPr>
                <w:color w:val="auto"/>
                <w:spacing w:val="-20"/>
                <w:w w:val="90"/>
                <w:sz w:val="24"/>
              </w:rPr>
              <w:t>钼靶机房（一层放射科）</w:t>
            </w:r>
          </w:p>
        </w:tc>
        <w:tc>
          <w:tcPr>
            <w:tcW w:w="1106" w:type="pct"/>
            <w:gridSpan w:val="4"/>
          </w:tcPr>
          <w:p>
            <w:pPr>
              <w:pStyle w:val="71"/>
              <w:spacing w:line="240" w:lineRule="exact"/>
              <w:jc w:val="center"/>
              <w:rPr>
                <w:color w:val="auto"/>
                <w:spacing w:val="-20"/>
                <w:sz w:val="24"/>
              </w:rPr>
            </w:pPr>
            <w:r>
              <w:rPr>
                <w:color w:val="auto"/>
                <w:spacing w:val="-20"/>
                <w:w w:val="90"/>
                <w:sz w:val="24"/>
              </w:rPr>
              <w:t>CBCT机房（一层放射科）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 w:hRule="atLeast"/>
        </w:trPr>
        <w:tc>
          <w:tcPr>
            <w:tcW w:w="516" w:type="pct"/>
          </w:tcPr>
          <w:p>
            <w:pPr>
              <w:pStyle w:val="71"/>
              <w:spacing w:line="240" w:lineRule="exact"/>
              <w:jc w:val="center"/>
              <w:rPr>
                <w:color w:val="auto"/>
                <w:spacing w:val="-20"/>
                <w:sz w:val="24"/>
              </w:rPr>
            </w:pPr>
            <w:r>
              <w:rPr>
                <w:color w:val="auto"/>
                <w:spacing w:val="-20"/>
                <w:w w:val="90"/>
                <w:sz w:val="24"/>
              </w:rPr>
              <w:t>门窗名称</w:t>
            </w:r>
          </w:p>
        </w:tc>
        <w:tc>
          <w:tcPr>
            <w:tcW w:w="374" w:type="pct"/>
          </w:tcPr>
          <w:p>
            <w:pPr>
              <w:pStyle w:val="71"/>
              <w:spacing w:line="240" w:lineRule="exact"/>
              <w:jc w:val="center"/>
              <w:rPr>
                <w:color w:val="auto"/>
                <w:spacing w:val="-20"/>
                <w:sz w:val="24"/>
              </w:rPr>
            </w:pPr>
            <w:r>
              <w:rPr>
                <w:color w:val="auto"/>
                <w:spacing w:val="-20"/>
                <w:w w:val="80"/>
                <w:sz w:val="24"/>
              </w:rPr>
              <w:t>防护观察窗</w:t>
            </w:r>
          </w:p>
        </w:tc>
        <w:tc>
          <w:tcPr>
            <w:tcW w:w="370" w:type="pct"/>
          </w:tcPr>
          <w:p>
            <w:pPr>
              <w:pStyle w:val="71"/>
              <w:spacing w:line="240" w:lineRule="exact"/>
              <w:jc w:val="center"/>
              <w:rPr>
                <w:color w:val="auto"/>
                <w:spacing w:val="-20"/>
                <w:sz w:val="24"/>
              </w:rPr>
            </w:pPr>
            <w:r>
              <w:rPr>
                <w:color w:val="auto"/>
                <w:spacing w:val="-20"/>
                <w:w w:val="90"/>
                <w:sz w:val="24"/>
              </w:rPr>
              <w:t>单开防护门</w:t>
            </w:r>
          </w:p>
        </w:tc>
        <w:tc>
          <w:tcPr>
            <w:tcW w:w="379" w:type="pct"/>
            <w:gridSpan w:val="2"/>
          </w:tcPr>
          <w:p>
            <w:pPr>
              <w:pStyle w:val="71"/>
              <w:spacing w:line="240" w:lineRule="exact"/>
              <w:jc w:val="center"/>
              <w:rPr>
                <w:color w:val="auto"/>
                <w:spacing w:val="-20"/>
                <w:sz w:val="24"/>
              </w:rPr>
            </w:pPr>
            <w:r>
              <w:rPr>
                <w:color w:val="auto"/>
                <w:spacing w:val="-20"/>
                <w:w w:val="90"/>
                <w:sz w:val="24"/>
              </w:rPr>
              <w:t>电动防护门</w:t>
            </w:r>
          </w:p>
        </w:tc>
        <w:tc>
          <w:tcPr>
            <w:tcW w:w="373" w:type="pct"/>
          </w:tcPr>
          <w:p>
            <w:pPr>
              <w:pStyle w:val="71"/>
              <w:spacing w:line="240" w:lineRule="exact"/>
              <w:jc w:val="center"/>
              <w:rPr>
                <w:color w:val="auto"/>
                <w:spacing w:val="-20"/>
                <w:sz w:val="24"/>
              </w:rPr>
            </w:pPr>
            <w:r>
              <w:rPr>
                <w:color w:val="auto"/>
                <w:spacing w:val="-20"/>
                <w:w w:val="90"/>
                <w:sz w:val="24"/>
              </w:rPr>
              <w:t>防护观察窗</w:t>
            </w:r>
          </w:p>
        </w:tc>
        <w:tc>
          <w:tcPr>
            <w:tcW w:w="373" w:type="pct"/>
            <w:gridSpan w:val="2"/>
          </w:tcPr>
          <w:p>
            <w:pPr>
              <w:pStyle w:val="71"/>
              <w:spacing w:line="240" w:lineRule="exact"/>
              <w:jc w:val="center"/>
              <w:rPr>
                <w:color w:val="auto"/>
                <w:spacing w:val="-20"/>
                <w:sz w:val="24"/>
              </w:rPr>
            </w:pPr>
            <w:r>
              <w:rPr>
                <w:color w:val="auto"/>
                <w:spacing w:val="-20"/>
                <w:w w:val="90"/>
                <w:sz w:val="24"/>
              </w:rPr>
              <w:t>单开防护门</w:t>
            </w:r>
          </w:p>
        </w:tc>
        <w:tc>
          <w:tcPr>
            <w:tcW w:w="376" w:type="pct"/>
            <w:gridSpan w:val="3"/>
          </w:tcPr>
          <w:p>
            <w:pPr>
              <w:pStyle w:val="71"/>
              <w:spacing w:line="240" w:lineRule="exact"/>
              <w:jc w:val="center"/>
              <w:rPr>
                <w:color w:val="auto"/>
                <w:spacing w:val="-20"/>
                <w:sz w:val="24"/>
              </w:rPr>
            </w:pPr>
            <w:r>
              <w:rPr>
                <w:color w:val="auto"/>
                <w:spacing w:val="-20"/>
                <w:w w:val="90"/>
                <w:sz w:val="24"/>
              </w:rPr>
              <w:t>电动防护门</w:t>
            </w:r>
          </w:p>
        </w:tc>
        <w:tc>
          <w:tcPr>
            <w:tcW w:w="375" w:type="pct"/>
            <w:gridSpan w:val="2"/>
          </w:tcPr>
          <w:p>
            <w:pPr>
              <w:pStyle w:val="71"/>
              <w:spacing w:line="240" w:lineRule="exact"/>
              <w:jc w:val="center"/>
              <w:rPr>
                <w:color w:val="auto"/>
                <w:spacing w:val="-20"/>
                <w:sz w:val="24"/>
              </w:rPr>
            </w:pPr>
            <w:r>
              <w:rPr>
                <w:color w:val="auto"/>
                <w:spacing w:val="-20"/>
                <w:w w:val="90"/>
                <w:sz w:val="24"/>
              </w:rPr>
              <w:t>防护观察窗</w:t>
            </w:r>
          </w:p>
        </w:tc>
        <w:tc>
          <w:tcPr>
            <w:tcW w:w="380" w:type="pct"/>
          </w:tcPr>
          <w:p>
            <w:pPr>
              <w:pStyle w:val="71"/>
              <w:spacing w:line="240" w:lineRule="exact"/>
              <w:jc w:val="center"/>
              <w:rPr>
                <w:color w:val="auto"/>
                <w:spacing w:val="-20"/>
                <w:sz w:val="24"/>
              </w:rPr>
            </w:pPr>
            <w:r>
              <w:rPr>
                <w:color w:val="auto"/>
                <w:spacing w:val="-20"/>
                <w:w w:val="90"/>
                <w:sz w:val="24"/>
              </w:rPr>
              <w:t>单开防护门</w:t>
            </w:r>
          </w:p>
        </w:tc>
        <w:tc>
          <w:tcPr>
            <w:tcW w:w="378" w:type="pct"/>
          </w:tcPr>
          <w:p>
            <w:pPr>
              <w:pStyle w:val="71"/>
              <w:spacing w:line="240" w:lineRule="exact"/>
              <w:jc w:val="center"/>
              <w:rPr>
                <w:color w:val="auto"/>
                <w:spacing w:val="-20"/>
                <w:sz w:val="24"/>
              </w:rPr>
            </w:pPr>
            <w:r>
              <w:rPr>
                <w:color w:val="auto"/>
                <w:spacing w:val="-20"/>
                <w:w w:val="90"/>
                <w:sz w:val="24"/>
              </w:rPr>
              <w:t>电动防护门</w:t>
            </w:r>
          </w:p>
        </w:tc>
        <w:tc>
          <w:tcPr>
            <w:tcW w:w="330" w:type="pct"/>
          </w:tcPr>
          <w:p>
            <w:pPr>
              <w:pStyle w:val="71"/>
              <w:spacing w:line="240" w:lineRule="exact"/>
              <w:jc w:val="center"/>
              <w:rPr>
                <w:color w:val="auto"/>
                <w:spacing w:val="-20"/>
                <w:sz w:val="24"/>
              </w:rPr>
            </w:pPr>
            <w:r>
              <w:rPr>
                <w:color w:val="auto"/>
                <w:spacing w:val="-20"/>
                <w:w w:val="90"/>
                <w:sz w:val="24"/>
              </w:rPr>
              <w:t>防护观察窗</w:t>
            </w:r>
          </w:p>
        </w:tc>
        <w:tc>
          <w:tcPr>
            <w:tcW w:w="359" w:type="pct"/>
            <w:gridSpan w:val="2"/>
          </w:tcPr>
          <w:p>
            <w:pPr>
              <w:pStyle w:val="71"/>
              <w:spacing w:line="240" w:lineRule="exact"/>
              <w:jc w:val="center"/>
              <w:rPr>
                <w:color w:val="auto"/>
                <w:spacing w:val="-20"/>
                <w:sz w:val="24"/>
              </w:rPr>
            </w:pPr>
            <w:r>
              <w:rPr>
                <w:color w:val="auto"/>
                <w:spacing w:val="-20"/>
                <w:w w:val="90"/>
                <w:sz w:val="24"/>
              </w:rPr>
              <w:t>单开防护门</w:t>
            </w:r>
          </w:p>
        </w:tc>
        <w:tc>
          <w:tcPr>
            <w:tcW w:w="417" w:type="pct"/>
          </w:tcPr>
          <w:p>
            <w:pPr>
              <w:pStyle w:val="71"/>
              <w:spacing w:line="240" w:lineRule="exact"/>
              <w:jc w:val="center"/>
              <w:rPr>
                <w:color w:val="auto"/>
                <w:spacing w:val="-20"/>
                <w:sz w:val="24"/>
              </w:rPr>
            </w:pPr>
            <w:r>
              <w:rPr>
                <w:color w:val="auto"/>
                <w:spacing w:val="-20"/>
                <w:w w:val="90"/>
                <w:sz w:val="24"/>
              </w:rPr>
              <w:t>电动防护门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门窗型号</w:t>
            </w:r>
          </w:p>
        </w:tc>
        <w:tc>
          <w:tcPr>
            <w:tcW w:w="374" w:type="pct"/>
          </w:tcPr>
          <w:p>
            <w:pPr>
              <w:pStyle w:val="71"/>
              <w:spacing w:line="240" w:lineRule="exact"/>
              <w:jc w:val="center"/>
              <w:rPr>
                <w:color w:val="auto"/>
                <w:spacing w:val="-20"/>
                <w:sz w:val="24"/>
              </w:rPr>
            </w:pPr>
            <w:r>
              <w:rPr>
                <w:color w:val="auto"/>
                <w:spacing w:val="-20"/>
                <w:w w:val="90"/>
                <w:sz w:val="24"/>
              </w:rPr>
              <w:t>FHC1509</w:t>
            </w:r>
          </w:p>
        </w:tc>
        <w:tc>
          <w:tcPr>
            <w:tcW w:w="370" w:type="pct"/>
          </w:tcPr>
          <w:p>
            <w:pPr>
              <w:pStyle w:val="71"/>
              <w:spacing w:line="240" w:lineRule="exact"/>
              <w:jc w:val="center"/>
              <w:rPr>
                <w:color w:val="auto"/>
                <w:spacing w:val="-20"/>
                <w:sz w:val="24"/>
              </w:rPr>
            </w:pPr>
            <w:r>
              <w:rPr>
                <w:color w:val="auto"/>
                <w:spacing w:val="-20"/>
                <w:w w:val="90"/>
                <w:sz w:val="24"/>
              </w:rPr>
              <w:t>HFM1021</w:t>
            </w:r>
          </w:p>
        </w:tc>
        <w:tc>
          <w:tcPr>
            <w:tcW w:w="379" w:type="pct"/>
            <w:gridSpan w:val="2"/>
          </w:tcPr>
          <w:p>
            <w:pPr>
              <w:pStyle w:val="71"/>
              <w:spacing w:line="240" w:lineRule="exact"/>
              <w:jc w:val="center"/>
              <w:rPr>
                <w:color w:val="auto"/>
                <w:spacing w:val="-20"/>
                <w:sz w:val="24"/>
              </w:rPr>
            </w:pPr>
            <w:r>
              <w:rPr>
                <w:color w:val="auto"/>
                <w:spacing w:val="-20"/>
                <w:w w:val="90"/>
                <w:sz w:val="24"/>
              </w:rPr>
              <w:t>FHM1723</w:t>
            </w:r>
          </w:p>
        </w:tc>
        <w:tc>
          <w:tcPr>
            <w:tcW w:w="373" w:type="pct"/>
          </w:tcPr>
          <w:p>
            <w:pPr>
              <w:pStyle w:val="71"/>
              <w:spacing w:line="240" w:lineRule="exact"/>
              <w:jc w:val="center"/>
              <w:rPr>
                <w:color w:val="auto"/>
                <w:spacing w:val="-20"/>
                <w:sz w:val="24"/>
              </w:rPr>
            </w:pPr>
            <w:r>
              <w:rPr>
                <w:color w:val="auto"/>
                <w:spacing w:val="-20"/>
                <w:w w:val="90"/>
                <w:sz w:val="24"/>
              </w:rPr>
              <w:t>FHC1509</w:t>
            </w:r>
          </w:p>
        </w:tc>
        <w:tc>
          <w:tcPr>
            <w:tcW w:w="373" w:type="pct"/>
            <w:gridSpan w:val="2"/>
          </w:tcPr>
          <w:p>
            <w:pPr>
              <w:pStyle w:val="71"/>
              <w:spacing w:line="240" w:lineRule="exact"/>
              <w:jc w:val="center"/>
              <w:rPr>
                <w:color w:val="auto"/>
                <w:spacing w:val="-20"/>
                <w:sz w:val="24"/>
              </w:rPr>
            </w:pPr>
            <w:r>
              <w:rPr>
                <w:color w:val="auto"/>
                <w:spacing w:val="-20"/>
                <w:w w:val="90"/>
                <w:sz w:val="24"/>
              </w:rPr>
              <w:t>HFM1021</w:t>
            </w:r>
          </w:p>
        </w:tc>
        <w:tc>
          <w:tcPr>
            <w:tcW w:w="376" w:type="pct"/>
            <w:gridSpan w:val="3"/>
          </w:tcPr>
          <w:p>
            <w:pPr>
              <w:pStyle w:val="71"/>
              <w:spacing w:line="240" w:lineRule="exact"/>
              <w:jc w:val="center"/>
              <w:rPr>
                <w:color w:val="auto"/>
                <w:spacing w:val="-20"/>
                <w:sz w:val="24"/>
              </w:rPr>
            </w:pPr>
            <w:r>
              <w:rPr>
                <w:color w:val="auto"/>
                <w:spacing w:val="-20"/>
                <w:w w:val="90"/>
                <w:sz w:val="24"/>
              </w:rPr>
              <w:t>FHM1623</w:t>
            </w:r>
          </w:p>
        </w:tc>
        <w:tc>
          <w:tcPr>
            <w:tcW w:w="375" w:type="pct"/>
            <w:gridSpan w:val="2"/>
          </w:tcPr>
          <w:p>
            <w:pPr>
              <w:pStyle w:val="71"/>
              <w:spacing w:line="240" w:lineRule="exact"/>
              <w:jc w:val="center"/>
              <w:rPr>
                <w:color w:val="auto"/>
                <w:spacing w:val="-20"/>
                <w:sz w:val="24"/>
              </w:rPr>
            </w:pPr>
            <w:r>
              <w:rPr>
                <w:color w:val="auto"/>
                <w:spacing w:val="-20"/>
                <w:w w:val="90"/>
                <w:sz w:val="24"/>
              </w:rPr>
              <w:t>FHC0806</w:t>
            </w:r>
          </w:p>
        </w:tc>
        <w:tc>
          <w:tcPr>
            <w:tcW w:w="380" w:type="pct"/>
          </w:tcPr>
          <w:p>
            <w:pPr>
              <w:pStyle w:val="71"/>
              <w:spacing w:line="240" w:lineRule="exact"/>
              <w:jc w:val="center"/>
              <w:rPr>
                <w:color w:val="auto"/>
                <w:spacing w:val="-20"/>
                <w:sz w:val="24"/>
              </w:rPr>
            </w:pPr>
            <w:r>
              <w:rPr>
                <w:color w:val="auto"/>
                <w:spacing w:val="-20"/>
                <w:w w:val="90"/>
                <w:sz w:val="24"/>
              </w:rPr>
              <w:t>HFM1021</w:t>
            </w:r>
          </w:p>
        </w:tc>
        <w:tc>
          <w:tcPr>
            <w:tcW w:w="378" w:type="pct"/>
          </w:tcPr>
          <w:p>
            <w:pPr>
              <w:pStyle w:val="71"/>
              <w:spacing w:line="240" w:lineRule="exact"/>
              <w:jc w:val="center"/>
              <w:rPr>
                <w:color w:val="auto"/>
                <w:spacing w:val="-20"/>
                <w:sz w:val="24"/>
              </w:rPr>
            </w:pPr>
            <w:r>
              <w:rPr>
                <w:color w:val="auto"/>
                <w:spacing w:val="-20"/>
                <w:w w:val="82"/>
                <w:sz w:val="24"/>
              </w:rPr>
              <w:t>/</w:t>
            </w:r>
          </w:p>
        </w:tc>
        <w:tc>
          <w:tcPr>
            <w:tcW w:w="330" w:type="pct"/>
          </w:tcPr>
          <w:p>
            <w:pPr>
              <w:pStyle w:val="71"/>
              <w:spacing w:line="240" w:lineRule="exact"/>
              <w:jc w:val="center"/>
              <w:rPr>
                <w:color w:val="auto"/>
                <w:spacing w:val="-20"/>
                <w:sz w:val="24"/>
              </w:rPr>
            </w:pPr>
            <w:r>
              <w:rPr>
                <w:color w:val="auto"/>
                <w:spacing w:val="-20"/>
                <w:w w:val="90"/>
                <w:sz w:val="24"/>
              </w:rPr>
              <w:t>FHC1806</w:t>
            </w:r>
          </w:p>
        </w:tc>
        <w:tc>
          <w:tcPr>
            <w:tcW w:w="359" w:type="pct"/>
            <w:gridSpan w:val="2"/>
          </w:tcPr>
          <w:p>
            <w:pPr>
              <w:pStyle w:val="71"/>
              <w:spacing w:line="240" w:lineRule="exact"/>
              <w:jc w:val="center"/>
              <w:rPr>
                <w:color w:val="auto"/>
                <w:spacing w:val="-20"/>
                <w:sz w:val="24"/>
              </w:rPr>
            </w:pPr>
            <w:r>
              <w:rPr>
                <w:color w:val="auto"/>
                <w:spacing w:val="-20"/>
                <w:w w:val="90"/>
                <w:sz w:val="24"/>
              </w:rPr>
              <w:t>HFM1021</w:t>
            </w:r>
          </w:p>
        </w:tc>
        <w:tc>
          <w:tcPr>
            <w:tcW w:w="417" w:type="pct"/>
          </w:tcPr>
          <w:p>
            <w:pPr>
              <w:pStyle w:val="71"/>
              <w:spacing w:line="240" w:lineRule="exact"/>
              <w:jc w:val="center"/>
              <w:rPr>
                <w:color w:val="auto"/>
                <w:spacing w:val="-20"/>
                <w:sz w:val="24"/>
              </w:rPr>
            </w:pPr>
            <w:r>
              <w:rPr>
                <w:color w:val="auto"/>
                <w:spacing w:val="-20"/>
                <w:w w:val="82"/>
                <w:sz w:val="24"/>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rPr>
        <w:tc>
          <w:tcPr>
            <w:tcW w:w="516" w:type="pct"/>
          </w:tcPr>
          <w:p>
            <w:pPr>
              <w:pStyle w:val="71"/>
              <w:spacing w:line="240" w:lineRule="exact"/>
              <w:jc w:val="center"/>
              <w:rPr>
                <w:color w:val="auto"/>
                <w:spacing w:val="-20"/>
                <w:sz w:val="24"/>
              </w:rPr>
            </w:pPr>
            <w:r>
              <w:rPr>
                <w:color w:val="auto"/>
                <w:spacing w:val="-20"/>
                <w:w w:val="90"/>
                <w:sz w:val="24"/>
              </w:rPr>
              <w:t>材料尺寸</w:t>
            </w:r>
          </w:p>
          <w:p>
            <w:pPr>
              <w:pStyle w:val="71"/>
              <w:spacing w:line="240" w:lineRule="exact"/>
              <w:jc w:val="center"/>
              <w:rPr>
                <w:color w:val="auto"/>
                <w:spacing w:val="-20"/>
                <w:sz w:val="24"/>
              </w:rPr>
            </w:pPr>
            <w:r>
              <w:rPr>
                <w:color w:val="auto"/>
                <w:spacing w:val="-20"/>
                <w:w w:val="90"/>
                <w:sz w:val="24"/>
              </w:rPr>
              <w:t>（mm)</w:t>
            </w:r>
          </w:p>
        </w:tc>
        <w:tc>
          <w:tcPr>
            <w:tcW w:w="374" w:type="pct"/>
          </w:tcPr>
          <w:p>
            <w:pPr>
              <w:pStyle w:val="71"/>
              <w:spacing w:line="240" w:lineRule="exact"/>
              <w:jc w:val="center"/>
              <w:rPr>
                <w:color w:val="auto"/>
                <w:spacing w:val="-20"/>
                <w:sz w:val="24"/>
              </w:rPr>
            </w:pPr>
            <w:r>
              <w:rPr>
                <w:color w:val="auto"/>
                <w:spacing w:val="-20"/>
                <w:w w:val="90"/>
                <w:sz w:val="24"/>
              </w:rPr>
              <w:t>1500*900*18</w:t>
            </w:r>
          </w:p>
        </w:tc>
        <w:tc>
          <w:tcPr>
            <w:tcW w:w="370" w:type="pct"/>
          </w:tcPr>
          <w:p>
            <w:pPr>
              <w:pStyle w:val="71"/>
              <w:spacing w:line="240" w:lineRule="exact"/>
              <w:jc w:val="center"/>
              <w:rPr>
                <w:color w:val="auto"/>
                <w:spacing w:val="-20"/>
                <w:sz w:val="24"/>
              </w:rPr>
            </w:pPr>
            <w:r>
              <w:rPr>
                <w:color w:val="auto"/>
                <w:spacing w:val="-20"/>
                <w:w w:val="90"/>
                <w:sz w:val="24"/>
              </w:rPr>
              <w:t>1000*2100</w:t>
            </w:r>
          </w:p>
        </w:tc>
        <w:tc>
          <w:tcPr>
            <w:tcW w:w="379" w:type="pct"/>
            <w:gridSpan w:val="2"/>
          </w:tcPr>
          <w:p>
            <w:pPr>
              <w:pStyle w:val="71"/>
              <w:spacing w:line="240" w:lineRule="exact"/>
              <w:jc w:val="center"/>
              <w:rPr>
                <w:color w:val="auto"/>
                <w:spacing w:val="-20"/>
                <w:sz w:val="24"/>
              </w:rPr>
            </w:pPr>
            <w:r>
              <w:rPr>
                <w:color w:val="auto"/>
                <w:spacing w:val="-20"/>
                <w:w w:val="80"/>
                <w:sz w:val="24"/>
              </w:rPr>
              <w:t>1700*2300</w:t>
            </w:r>
          </w:p>
        </w:tc>
        <w:tc>
          <w:tcPr>
            <w:tcW w:w="373" w:type="pct"/>
          </w:tcPr>
          <w:p>
            <w:pPr>
              <w:pStyle w:val="71"/>
              <w:spacing w:line="240" w:lineRule="exact"/>
              <w:jc w:val="center"/>
              <w:rPr>
                <w:color w:val="auto"/>
                <w:spacing w:val="-20"/>
                <w:sz w:val="24"/>
              </w:rPr>
            </w:pPr>
            <w:r>
              <w:rPr>
                <w:color w:val="auto"/>
                <w:spacing w:val="-20"/>
                <w:w w:val="90"/>
                <w:sz w:val="24"/>
              </w:rPr>
              <w:t>1500*900*18</w:t>
            </w:r>
          </w:p>
        </w:tc>
        <w:tc>
          <w:tcPr>
            <w:tcW w:w="373" w:type="pct"/>
            <w:gridSpan w:val="2"/>
          </w:tcPr>
          <w:p>
            <w:pPr>
              <w:pStyle w:val="71"/>
              <w:spacing w:line="240" w:lineRule="exact"/>
              <w:jc w:val="center"/>
              <w:rPr>
                <w:color w:val="auto"/>
                <w:spacing w:val="-20"/>
                <w:sz w:val="24"/>
              </w:rPr>
            </w:pPr>
            <w:r>
              <w:rPr>
                <w:color w:val="auto"/>
                <w:spacing w:val="-20"/>
                <w:w w:val="80"/>
                <w:sz w:val="24"/>
              </w:rPr>
              <w:t>1000*2100</w:t>
            </w:r>
          </w:p>
        </w:tc>
        <w:tc>
          <w:tcPr>
            <w:tcW w:w="376" w:type="pct"/>
            <w:gridSpan w:val="3"/>
          </w:tcPr>
          <w:p>
            <w:pPr>
              <w:pStyle w:val="71"/>
              <w:spacing w:line="240" w:lineRule="exact"/>
              <w:jc w:val="center"/>
              <w:rPr>
                <w:color w:val="auto"/>
                <w:spacing w:val="-20"/>
                <w:sz w:val="24"/>
              </w:rPr>
            </w:pPr>
            <w:r>
              <w:rPr>
                <w:color w:val="auto"/>
                <w:spacing w:val="-20"/>
                <w:w w:val="80"/>
                <w:sz w:val="24"/>
              </w:rPr>
              <w:t>1600*2300</w:t>
            </w:r>
          </w:p>
        </w:tc>
        <w:tc>
          <w:tcPr>
            <w:tcW w:w="375" w:type="pct"/>
            <w:gridSpan w:val="2"/>
          </w:tcPr>
          <w:p>
            <w:pPr>
              <w:pStyle w:val="71"/>
              <w:spacing w:line="240" w:lineRule="exact"/>
              <w:jc w:val="center"/>
              <w:rPr>
                <w:color w:val="auto"/>
                <w:spacing w:val="-20"/>
                <w:sz w:val="24"/>
              </w:rPr>
            </w:pPr>
            <w:r>
              <w:rPr>
                <w:color w:val="auto"/>
                <w:spacing w:val="-20"/>
                <w:w w:val="90"/>
                <w:sz w:val="24"/>
              </w:rPr>
              <w:t>800*600*13</w:t>
            </w:r>
          </w:p>
        </w:tc>
        <w:tc>
          <w:tcPr>
            <w:tcW w:w="380" w:type="pct"/>
          </w:tcPr>
          <w:p>
            <w:pPr>
              <w:pStyle w:val="71"/>
              <w:spacing w:line="240" w:lineRule="exact"/>
              <w:jc w:val="center"/>
              <w:rPr>
                <w:color w:val="auto"/>
                <w:spacing w:val="-20"/>
                <w:sz w:val="24"/>
              </w:rPr>
            </w:pPr>
            <w:r>
              <w:rPr>
                <w:color w:val="auto"/>
                <w:spacing w:val="-20"/>
                <w:w w:val="80"/>
                <w:sz w:val="24"/>
              </w:rPr>
              <w:t>1000*2100</w:t>
            </w:r>
          </w:p>
        </w:tc>
        <w:tc>
          <w:tcPr>
            <w:tcW w:w="378" w:type="pct"/>
          </w:tcPr>
          <w:p>
            <w:pPr>
              <w:pStyle w:val="71"/>
              <w:spacing w:line="240" w:lineRule="exact"/>
              <w:jc w:val="center"/>
              <w:rPr>
                <w:color w:val="auto"/>
                <w:spacing w:val="-20"/>
                <w:sz w:val="24"/>
              </w:rPr>
            </w:pPr>
            <w:r>
              <w:rPr>
                <w:color w:val="auto"/>
                <w:spacing w:val="-20"/>
                <w:w w:val="82"/>
                <w:sz w:val="24"/>
              </w:rPr>
              <w:t>/</w:t>
            </w:r>
          </w:p>
        </w:tc>
        <w:tc>
          <w:tcPr>
            <w:tcW w:w="330" w:type="pct"/>
          </w:tcPr>
          <w:p>
            <w:pPr>
              <w:pStyle w:val="71"/>
              <w:spacing w:line="240" w:lineRule="exact"/>
              <w:jc w:val="center"/>
              <w:rPr>
                <w:color w:val="auto"/>
                <w:spacing w:val="-20"/>
                <w:sz w:val="24"/>
              </w:rPr>
            </w:pPr>
            <w:r>
              <w:rPr>
                <w:color w:val="auto"/>
                <w:spacing w:val="-20"/>
                <w:w w:val="90"/>
                <w:sz w:val="24"/>
              </w:rPr>
              <w:t>800*600*15</w:t>
            </w:r>
          </w:p>
        </w:tc>
        <w:tc>
          <w:tcPr>
            <w:tcW w:w="359" w:type="pct"/>
            <w:gridSpan w:val="2"/>
          </w:tcPr>
          <w:p>
            <w:pPr>
              <w:pStyle w:val="71"/>
              <w:spacing w:line="240" w:lineRule="exact"/>
              <w:jc w:val="center"/>
              <w:rPr>
                <w:color w:val="auto"/>
                <w:spacing w:val="-20"/>
                <w:sz w:val="24"/>
              </w:rPr>
            </w:pPr>
            <w:r>
              <w:rPr>
                <w:color w:val="auto"/>
                <w:spacing w:val="-20"/>
                <w:w w:val="90"/>
                <w:sz w:val="24"/>
              </w:rPr>
              <w:t>1000*2100</w:t>
            </w:r>
          </w:p>
        </w:tc>
        <w:tc>
          <w:tcPr>
            <w:tcW w:w="417" w:type="pct"/>
          </w:tcPr>
          <w:p>
            <w:pPr>
              <w:pStyle w:val="71"/>
              <w:spacing w:line="240" w:lineRule="exact"/>
              <w:jc w:val="center"/>
              <w:rPr>
                <w:color w:val="auto"/>
                <w:spacing w:val="-20"/>
                <w:sz w:val="24"/>
              </w:rPr>
            </w:pPr>
            <w:r>
              <w:rPr>
                <w:color w:val="auto"/>
                <w:spacing w:val="-20"/>
                <w:w w:val="82"/>
                <w:sz w:val="24"/>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516" w:type="pct"/>
          </w:tcPr>
          <w:p>
            <w:pPr>
              <w:pStyle w:val="71"/>
              <w:spacing w:line="240" w:lineRule="exact"/>
              <w:jc w:val="center"/>
              <w:rPr>
                <w:color w:val="auto"/>
                <w:spacing w:val="-20"/>
                <w:sz w:val="24"/>
              </w:rPr>
            </w:pPr>
            <w:r>
              <w:rPr>
                <w:color w:val="auto"/>
                <w:spacing w:val="-20"/>
                <w:w w:val="90"/>
                <w:sz w:val="24"/>
              </w:rPr>
              <w:t>墙体留洞尺寸</w:t>
            </w:r>
          </w:p>
          <w:p>
            <w:pPr>
              <w:pStyle w:val="71"/>
              <w:spacing w:line="240" w:lineRule="exact"/>
              <w:jc w:val="center"/>
              <w:rPr>
                <w:color w:val="auto"/>
                <w:spacing w:val="-20"/>
                <w:sz w:val="24"/>
              </w:rPr>
            </w:pPr>
            <w:r>
              <w:rPr>
                <w:color w:val="auto"/>
                <w:spacing w:val="-20"/>
                <w:w w:val="90"/>
                <w:sz w:val="24"/>
              </w:rPr>
              <w:t>（mm)</w:t>
            </w:r>
          </w:p>
        </w:tc>
        <w:tc>
          <w:tcPr>
            <w:tcW w:w="374" w:type="pct"/>
          </w:tcPr>
          <w:p>
            <w:pPr>
              <w:pStyle w:val="71"/>
              <w:spacing w:line="240" w:lineRule="exact"/>
              <w:jc w:val="center"/>
              <w:rPr>
                <w:color w:val="auto"/>
                <w:spacing w:val="-20"/>
                <w:sz w:val="24"/>
              </w:rPr>
            </w:pPr>
            <w:r>
              <w:rPr>
                <w:color w:val="auto"/>
                <w:spacing w:val="-20"/>
                <w:w w:val="90"/>
                <w:sz w:val="24"/>
              </w:rPr>
              <w:t>1520*920</w:t>
            </w:r>
          </w:p>
        </w:tc>
        <w:tc>
          <w:tcPr>
            <w:tcW w:w="370" w:type="pct"/>
          </w:tcPr>
          <w:p>
            <w:pPr>
              <w:pStyle w:val="71"/>
              <w:spacing w:line="240" w:lineRule="exact"/>
              <w:jc w:val="center"/>
              <w:rPr>
                <w:color w:val="auto"/>
                <w:spacing w:val="-20"/>
                <w:sz w:val="24"/>
              </w:rPr>
            </w:pPr>
            <w:r>
              <w:rPr>
                <w:color w:val="auto"/>
                <w:spacing w:val="-20"/>
                <w:w w:val="90"/>
                <w:sz w:val="24"/>
              </w:rPr>
              <w:t>1020*2120</w:t>
            </w:r>
          </w:p>
        </w:tc>
        <w:tc>
          <w:tcPr>
            <w:tcW w:w="379" w:type="pct"/>
            <w:gridSpan w:val="2"/>
          </w:tcPr>
          <w:p>
            <w:pPr>
              <w:pStyle w:val="71"/>
              <w:spacing w:line="240" w:lineRule="exact"/>
              <w:jc w:val="center"/>
              <w:rPr>
                <w:color w:val="auto"/>
                <w:spacing w:val="-20"/>
                <w:sz w:val="24"/>
              </w:rPr>
            </w:pPr>
            <w:r>
              <w:rPr>
                <w:color w:val="auto"/>
                <w:spacing w:val="-20"/>
                <w:w w:val="80"/>
                <w:sz w:val="24"/>
              </w:rPr>
              <w:t>1400*2100</w:t>
            </w:r>
          </w:p>
        </w:tc>
        <w:tc>
          <w:tcPr>
            <w:tcW w:w="373" w:type="pct"/>
          </w:tcPr>
          <w:p>
            <w:pPr>
              <w:pStyle w:val="71"/>
              <w:spacing w:line="240" w:lineRule="exact"/>
              <w:jc w:val="center"/>
              <w:rPr>
                <w:color w:val="auto"/>
                <w:spacing w:val="-20"/>
                <w:sz w:val="24"/>
              </w:rPr>
            </w:pPr>
            <w:r>
              <w:rPr>
                <w:color w:val="auto"/>
                <w:spacing w:val="-20"/>
                <w:w w:val="90"/>
                <w:sz w:val="24"/>
              </w:rPr>
              <w:t>1520*920</w:t>
            </w:r>
          </w:p>
        </w:tc>
        <w:tc>
          <w:tcPr>
            <w:tcW w:w="373" w:type="pct"/>
            <w:gridSpan w:val="2"/>
          </w:tcPr>
          <w:p>
            <w:pPr>
              <w:pStyle w:val="71"/>
              <w:spacing w:line="240" w:lineRule="exact"/>
              <w:jc w:val="center"/>
              <w:rPr>
                <w:color w:val="auto"/>
                <w:spacing w:val="-20"/>
                <w:sz w:val="24"/>
              </w:rPr>
            </w:pPr>
            <w:r>
              <w:rPr>
                <w:color w:val="auto"/>
                <w:spacing w:val="-20"/>
                <w:w w:val="80"/>
                <w:sz w:val="24"/>
              </w:rPr>
              <w:t>1020*2120</w:t>
            </w:r>
          </w:p>
        </w:tc>
        <w:tc>
          <w:tcPr>
            <w:tcW w:w="376" w:type="pct"/>
            <w:gridSpan w:val="3"/>
          </w:tcPr>
          <w:p>
            <w:pPr>
              <w:pStyle w:val="71"/>
              <w:spacing w:line="240" w:lineRule="exact"/>
              <w:jc w:val="center"/>
              <w:rPr>
                <w:color w:val="auto"/>
                <w:spacing w:val="-20"/>
                <w:sz w:val="24"/>
              </w:rPr>
            </w:pPr>
            <w:r>
              <w:rPr>
                <w:color w:val="auto"/>
                <w:spacing w:val="-20"/>
                <w:w w:val="80"/>
                <w:sz w:val="24"/>
              </w:rPr>
              <w:t>1300*2100</w:t>
            </w:r>
          </w:p>
        </w:tc>
        <w:tc>
          <w:tcPr>
            <w:tcW w:w="375" w:type="pct"/>
            <w:gridSpan w:val="2"/>
          </w:tcPr>
          <w:p>
            <w:pPr>
              <w:pStyle w:val="71"/>
              <w:spacing w:line="240" w:lineRule="exact"/>
              <w:jc w:val="center"/>
              <w:rPr>
                <w:color w:val="auto"/>
                <w:spacing w:val="-20"/>
                <w:sz w:val="24"/>
              </w:rPr>
            </w:pPr>
            <w:r>
              <w:rPr>
                <w:color w:val="auto"/>
                <w:spacing w:val="-20"/>
                <w:w w:val="90"/>
                <w:sz w:val="24"/>
              </w:rPr>
              <w:t>820*620</w:t>
            </w:r>
          </w:p>
        </w:tc>
        <w:tc>
          <w:tcPr>
            <w:tcW w:w="380" w:type="pct"/>
          </w:tcPr>
          <w:p>
            <w:pPr>
              <w:pStyle w:val="71"/>
              <w:spacing w:line="240" w:lineRule="exact"/>
              <w:jc w:val="center"/>
              <w:rPr>
                <w:color w:val="auto"/>
                <w:spacing w:val="-20"/>
                <w:sz w:val="24"/>
              </w:rPr>
            </w:pPr>
            <w:r>
              <w:rPr>
                <w:color w:val="auto"/>
                <w:spacing w:val="-20"/>
                <w:w w:val="80"/>
                <w:sz w:val="24"/>
              </w:rPr>
              <w:t>1020*2120</w:t>
            </w:r>
          </w:p>
        </w:tc>
        <w:tc>
          <w:tcPr>
            <w:tcW w:w="378" w:type="pct"/>
          </w:tcPr>
          <w:p>
            <w:pPr>
              <w:pStyle w:val="71"/>
              <w:spacing w:line="240" w:lineRule="exact"/>
              <w:jc w:val="center"/>
              <w:rPr>
                <w:color w:val="auto"/>
                <w:spacing w:val="-20"/>
                <w:sz w:val="24"/>
              </w:rPr>
            </w:pPr>
            <w:r>
              <w:rPr>
                <w:color w:val="auto"/>
                <w:spacing w:val="-20"/>
                <w:w w:val="82"/>
                <w:sz w:val="24"/>
              </w:rPr>
              <w:t>/</w:t>
            </w:r>
          </w:p>
        </w:tc>
        <w:tc>
          <w:tcPr>
            <w:tcW w:w="330" w:type="pct"/>
          </w:tcPr>
          <w:p>
            <w:pPr>
              <w:pStyle w:val="71"/>
              <w:spacing w:line="240" w:lineRule="exact"/>
              <w:jc w:val="center"/>
              <w:rPr>
                <w:color w:val="auto"/>
                <w:spacing w:val="-20"/>
                <w:sz w:val="24"/>
              </w:rPr>
            </w:pPr>
            <w:r>
              <w:rPr>
                <w:color w:val="auto"/>
                <w:spacing w:val="-20"/>
                <w:w w:val="90"/>
                <w:sz w:val="24"/>
              </w:rPr>
              <w:t>820*620</w:t>
            </w:r>
          </w:p>
        </w:tc>
        <w:tc>
          <w:tcPr>
            <w:tcW w:w="359" w:type="pct"/>
            <w:gridSpan w:val="2"/>
          </w:tcPr>
          <w:p>
            <w:pPr>
              <w:pStyle w:val="71"/>
              <w:spacing w:line="240" w:lineRule="exact"/>
              <w:jc w:val="center"/>
              <w:rPr>
                <w:color w:val="auto"/>
                <w:spacing w:val="-20"/>
                <w:sz w:val="24"/>
              </w:rPr>
            </w:pPr>
            <w:r>
              <w:rPr>
                <w:color w:val="auto"/>
                <w:spacing w:val="-20"/>
                <w:w w:val="90"/>
                <w:sz w:val="24"/>
              </w:rPr>
              <w:t>1020*2120</w:t>
            </w:r>
          </w:p>
        </w:tc>
        <w:tc>
          <w:tcPr>
            <w:tcW w:w="417" w:type="pct"/>
          </w:tcPr>
          <w:p>
            <w:pPr>
              <w:pStyle w:val="71"/>
              <w:spacing w:line="240" w:lineRule="exact"/>
              <w:jc w:val="center"/>
              <w:rPr>
                <w:color w:val="auto"/>
                <w:spacing w:val="-20"/>
                <w:sz w:val="24"/>
              </w:rPr>
            </w:pPr>
            <w:r>
              <w:rPr>
                <w:color w:val="auto"/>
                <w:spacing w:val="-20"/>
                <w:w w:val="82"/>
                <w:sz w:val="24"/>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rPr>
        <w:tc>
          <w:tcPr>
            <w:tcW w:w="516" w:type="pct"/>
          </w:tcPr>
          <w:p>
            <w:pPr>
              <w:pStyle w:val="71"/>
              <w:spacing w:line="240" w:lineRule="exact"/>
              <w:jc w:val="center"/>
              <w:rPr>
                <w:color w:val="auto"/>
                <w:spacing w:val="-20"/>
                <w:sz w:val="24"/>
              </w:rPr>
            </w:pPr>
            <w:r>
              <w:rPr>
                <w:color w:val="auto"/>
                <w:spacing w:val="-20"/>
                <w:w w:val="80"/>
                <w:sz w:val="24"/>
              </w:rPr>
              <w:t>防护当量</w:t>
            </w:r>
          </w:p>
          <w:p>
            <w:pPr>
              <w:pStyle w:val="71"/>
              <w:spacing w:line="240" w:lineRule="exact"/>
              <w:jc w:val="center"/>
              <w:rPr>
                <w:color w:val="auto"/>
                <w:spacing w:val="-20"/>
                <w:sz w:val="24"/>
              </w:rPr>
            </w:pPr>
            <w:r>
              <w:rPr>
                <w:color w:val="auto"/>
                <w:spacing w:val="-20"/>
                <w:w w:val="85"/>
                <w:sz w:val="24"/>
              </w:rPr>
              <w:t>（mm pb)</w:t>
            </w:r>
          </w:p>
        </w:tc>
        <w:tc>
          <w:tcPr>
            <w:tcW w:w="374" w:type="pct"/>
          </w:tcPr>
          <w:p>
            <w:pPr>
              <w:pStyle w:val="71"/>
              <w:spacing w:line="240" w:lineRule="exact"/>
              <w:jc w:val="center"/>
              <w:rPr>
                <w:color w:val="auto"/>
                <w:spacing w:val="-20"/>
                <w:sz w:val="24"/>
              </w:rPr>
            </w:pPr>
            <w:r>
              <w:rPr>
                <w:color w:val="auto"/>
                <w:spacing w:val="-20"/>
                <w:w w:val="90"/>
                <w:sz w:val="24"/>
              </w:rPr>
              <w:t>3.5</w:t>
            </w:r>
          </w:p>
        </w:tc>
        <w:tc>
          <w:tcPr>
            <w:tcW w:w="370" w:type="pct"/>
          </w:tcPr>
          <w:p>
            <w:pPr>
              <w:pStyle w:val="71"/>
              <w:spacing w:line="240" w:lineRule="exact"/>
              <w:jc w:val="center"/>
              <w:rPr>
                <w:color w:val="auto"/>
                <w:spacing w:val="-20"/>
                <w:sz w:val="24"/>
              </w:rPr>
            </w:pPr>
            <w:r>
              <w:rPr>
                <w:color w:val="auto"/>
                <w:spacing w:val="-20"/>
                <w:w w:val="90"/>
                <w:sz w:val="24"/>
              </w:rPr>
              <w:t>3.5</w:t>
            </w:r>
          </w:p>
        </w:tc>
        <w:tc>
          <w:tcPr>
            <w:tcW w:w="379" w:type="pct"/>
            <w:gridSpan w:val="2"/>
          </w:tcPr>
          <w:p>
            <w:pPr>
              <w:pStyle w:val="71"/>
              <w:spacing w:line="240" w:lineRule="exact"/>
              <w:jc w:val="center"/>
              <w:rPr>
                <w:color w:val="auto"/>
                <w:spacing w:val="-20"/>
                <w:sz w:val="24"/>
              </w:rPr>
            </w:pPr>
            <w:r>
              <w:rPr>
                <w:color w:val="auto"/>
                <w:spacing w:val="-20"/>
                <w:w w:val="90"/>
                <w:sz w:val="24"/>
              </w:rPr>
              <w:t>3.5</w:t>
            </w:r>
          </w:p>
        </w:tc>
        <w:tc>
          <w:tcPr>
            <w:tcW w:w="373" w:type="pct"/>
          </w:tcPr>
          <w:p>
            <w:pPr>
              <w:pStyle w:val="71"/>
              <w:spacing w:line="240" w:lineRule="exact"/>
              <w:jc w:val="center"/>
              <w:rPr>
                <w:color w:val="auto"/>
                <w:spacing w:val="-20"/>
                <w:sz w:val="24"/>
              </w:rPr>
            </w:pPr>
            <w:r>
              <w:rPr>
                <w:color w:val="auto"/>
                <w:spacing w:val="-20"/>
                <w:w w:val="90"/>
                <w:sz w:val="24"/>
              </w:rPr>
              <w:t>3.5</w:t>
            </w:r>
          </w:p>
        </w:tc>
        <w:tc>
          <w:tcPr>
            <w:tcW w:w="373" w:type="pct"/>
            <w:gridSpan w:val="2"/>
          </w:tcPr>
          <w:p>
            <w:pPr>
              <w:pStyle w:val="71"/>
              <w:spacing w:line="240" w:lineRule="exact"/>
              <w:jc w:val="center"/>
              <w:rPr>
                <w:color w:val="auto"/>
                <w:spacing w:val="-20"/>
                <w:sz w:val="24"/>
              </w:rPr>
            </w:pPr>
            <w:r>
              <w:rPr>
                <w:color w:val="auto"/>
                <w:spacing w:val="-20"/>
                <w:w w:val="90"/>
                <w:sz w:val="24"/>
              </w:rPr>
              <w:t>3.5</w:t>
            </w:r>
          </w:p>
        </w:tc>
        <w:tc>
          <w:tcPr>
            <w:tcW w:w="376" w:type="pct"/>
            <w:gridSpan w:val="3"/>
          </w:tcPr>
          <w:p>
            <w:pPr>
              <w:pStyle w:val="71"/>
              <w:spacing w:line="240" w:lineRule="exact"/>
              <w:jc w:val="center"/>
              <w:rPr>
                <w:color w:val="auto"/>
                <w:spacing w:val="-20"/>
                <w:sz w:val="24"/>
              </w:rPr>
            </w:pPr>
            <w:r>
              <w:rPr>
                <w:color w:val="auto"/>
                <w:spacing w:val="-20"/>
                <w:w w:val="90"/>
                <w:sz w:val="24"/>
              </w:rPr>
              <w:t>3.5</w:t>
            </w:r>
          </w:p>
        </w:tc>
        <w:tc>
          <w:tcPr>
            <w:tcW w:w="375" w:type="pct"/>
            <w:gridSpan w:val="2"/>
          </w:tcPr>
          <w:p>
            <w:pPr>
              <w:pStyle w:val="71"/>
              <w:spacing w:line="240" w:lineRule="exact"/>
              <w:jc w:val="center"/>
              <w:rPr>
                <w:color w:val="auto"/>
                <w:spacing w:val="-20"/>
                <w:sz w:val="24"/>
              </w:rPr>
            </w:pPr>
            <w:r>
              <w:rPr>
                <w:color w:val="auto"/>
                <w:spacing w:val="-20"/>
                <w:w w:val="90"/>
                <w:sz w:val="24"/>
              </w:rPr>
              <w:t>2.5</w:t>
            </w:r>
          </w:p>
        </w:tc>
        <w:tc>
          <w:tcPr>
            <w:tcW w:w="380" w:type="pct"/>
          </w:tcPr>
          <w:p>
            <w:pPr>
              <w:pStyle w:val="71"/>
              <w:spacing w:line="240" w:lineRule="exact"/>
              <w:jc w:val="center"/>
              <w:rPr>
                <w:color w:val="auto"/>
                <w:spacing w:val="-20"/>
                <w:sz w:val="24"/>
              </w:rPr>
            </w:pPr>
            <w:r>
              <w:rPr>
                <w:color w:val="auto"/>
                <w:spacing w:val="-20"/>
                <w:w w:val="90"/>
                <w:sz w:val="24"/>
              </w:rPr>
              <w:t>2.5</w:t>
            </w:r>
          </w:p>
        </w:tc>
        <w:tc>
          <w:tcPr>
            <w:tcW w:w="378" w:type="pct"/>
          </w:tcPr>
          <w:p>
            <w:pPr>
              <w:pStyle w:val="71"/>
              <w:spacing w:line="240" w:lineRule="exact"/>
              <w:jc w:val="center"/>
              <w:rPr>
                <w:color w:val="auto"/>
                <w:spacing w:val="-20"/>
                <w:sz w:val="24"/>
              </w:rPr>
            </w:pPr>
            <w:r>
              <w:rPr>
                <w:color w:val="auto"/>
                <w:spacing w:val="-20"/>
                <w:w w:val="82"/>
                <w:sz w:val="24"/>
              </w:rPr>
              <w:t>/</w:t>
            </w:r>
          </w:p>
        </w:tc>
        <w:tc>
          <w:tcPr>
            <w:tcW w:w="330" w:type="pct"/>
          </w:tcPr>
          <w:p>
            <w:pPr>
              <w:pStyle w:val="71"/>
              <w:spacing w:line="240" w:lineRule="exact"/>
              <w:jc w:val="center"/>
              <w:rPr>
                <w:color w:val="auto"/>
                <w:spacing w:val="-20"/>
                <w:sz w:val="24"/>
              </w:rPr>
            </w:pPr>
            <w:r>
              <w:rPr>
                <w:color w:val="auto"/>
                <w:spacing w:val="-20"/>
                <w:w w:val="90"/>
                <w:sz w:val="24"/>
              </w:rPr>
              <w:t>3.0</w:t>
            </w:r>
          </w:p>
        </w:tc>
        <w:tc>
          <w:tcPr>
            <w:tcW w:w="359" w:type="pct"/>
            <w:gridSpan w:val="2"/>
          </w:tcPr>
          <w:p>
            <w:pPr>
              <w:pStyle w:val="71"/>
              <w:spacing w:line="240" w:lineRule="exact"/>
              <w:jc w:val="center"/>
              <w:rPr>
                <w:color w:val="auto"/>
                <w:spacing w:val="-20"/>
                <w:sz w:val="24"/>
              </w:rPr>
            </w:pPr>
            <w:r>
              <w:rPr>
                <w:color w:val="auto"/>
                <w:spacing w:val="-20"/>
                <w:w w:val="90"/>
                <w:sz w:val="24"/>
              </w:rPr>
              <w:t>3.0</w:t>
            </w:r>
          </w:p>
        </w:tc>
        <w:tc>
          <w:tcPr>
            <w:tcW w:w="417" w:type="pct"/>
          </w:tcPr>
          <w:p>
            <w:pPr>
              <w:pStyle w:val="71"/>
              <w:spacing w:line="240" w:lineRule="exact"/>
              <w:jc w:val="center"/>
              <w:rPr>
                <w:color w:val="auto"/>
                <w:spacing w:val="-20"/>
                <w:sz w:val="24"/>
              </w:rPr>
            </w:pPr>
            <w:r>
              <w:rPr>
                <w:color w:val="auto"/>
                <w:spacing w:val="-20"/>
                <w:w w:val="82"/>
                <w:sz w:val="24"/>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 w:hRule="atLeast"/>
        </w:trPr>
        <w:tc>
          <w:tcPr>
            <w:tcW w:w="516" w:type="pct"/>
          </w:tcPr>
          <w:p>
            <w:pPr>
              <w:pStyle w:val="71"/>
              <w:spacing w:line="240" w:lineRule="exact"/>
              <w:jc w:val="center"/>
              <w:rPr>
                <w:color w:val="auto"/>
                <w:spacing w:val="-20"/>
                <w:sz w:val="24"/>
              </w:rPr>
            </w:pPr>
            <w:r>
              <w:rPr>
                <w:color w:val="auto"/>
                <w:spacing w:val="-20"/>
                <w:w w:val="90"/>
                <w:sz w:val="24"/>
              </w:rPr>
              <w:t>单位</w:t>
            </w:r>
          </w:p>
        </w:tc>
        <w:tc>
          <w:tcPr>
            <w:tcW w:w="374" w:type="pct"/>
          </w:tcPr>
          <w:p>
            <w:pPr>
              <w:pStyle w:val="71"/>
              <w:spacing w:line="240" w:lineRule="exact"/>
              <w:jc w:val="center"/>
              <w:rPr>
                <w:color w:val="auto"/>
                <w:spacing w:val="-20"/>
                <w:sz w:val="24"/>
              </w:rPr>
            </w:pPr>
            <w:r>
              <w:rPr>
                <w:color w:val="auto"/>
                <w:spacing w:val="-20"/>
                <w:w w:val="82"/>
                <w:sz w:val="24"/>
              </w:rPr>
              <w:t>套</w:t>
            </w:r>
          </w:p>
        </w:tc>
        <w:tc>
          <w:tcPr>
            <w:tcW w:w="370" w:type="pct"/>
          </w:tcPr>
          <w:p>
            <w:pPr>
              <w:pStyle w:val="71"/>
              <w:spacing w:line="240" w:lineRule="exact"/>
              <w:jc w:val="center"/>
              <w:rPr>
                <w:color w:val="auto"/>
                <w:spacing w:val="-20"/>
                <w:sz w:val="24"/>
              </w:rPr>
            </w:pPr>
            <w:r>
              <w:rPr>
                <w:color w:val="auto"/>
                <w:spacing w:val="-20"/>
                <w:w w:val="82"/>
                <w:sz w:val="24"/>
              </w:rPr>
              <w:t>樘</w:t>
            </w:r>
          </w:p>
        </w:tc>
        <w:tc>
          <w:tcPr>
            <w:tcW w:w="379" w:type="pct"/>
            <w:gridSpan w:val="2"/>
          </w:tcPr>
          <w:p>
            <w:pPr>
              <w:pStyle w:val="71"/>
              <w:spacing w:line="240" w:lineRule="exact"/>
              <w:jc w:val="center"/>
              <w:rPr>
                <w:color w:val="auto"/>
                <w:spacing w:val="-20"/>
                <w:sz w:val="24"/>
              </w:rPr>
            </w:pPr>
            <w:r>
              <w:rPr>
                <w:color w:val="auto"/>
                <w:spacing w:val="-20"/>
                <w:w w:val="82"/>
                <w:sz w:val="24"/>
              </w:rPr>
              <w:t>樘</w:t>
            </w:r>
          </w:p>
        </w:tc>
        <w:tc>
          <w:tcPr>
            <w:tcW w:w="373" w:type="pct"/>
          </w:tcPr>
          <w:p>
            <w:pPr>
              <w:pStyle w:val="71"/>
              <w:spacing w:line="240" w:lineRule="exact"/>
              <w:jc w:val="center"/>
              <w:rPr>
                <w:color w:val="auto"/>
                <w:spacing w:val="-20"/>
                <w:sz w:val="24"/>
              </w:rPr>
            </w:pPr>
            <w:r>
              <w:rPr>
                <w:color w:val="auto"/>
                <w:spacing w:val="-20"/>
                <w:w w:val="82"/>
                <w:sz w:val="24"/>
              </w:rPr>
              <w:t>套</w:t>
            </w:r>
          </w:p>
        </w:tc>
        <w:tc>
          <w:tcPr>
            <w:tcW w:w="373" w:type="pct"/>
            <w:gridSpan w:val="2"/>
          </w:tcPr>
          <w:p>
            <w:pPr>
              <w:pStyle w:val="71"/>
              <w:spacing w:line="240" w:lineRule="exact"/>
              <w:jc w:val="center"/>
              <w:rPr>
                <w:color w:val="auto"/>
                <w:spacing w:val="-20"/>
                <w:sz w:val="24"/>
              </w:rPr>
            </w:pPr>
            <w:r>
              <w:rPr>
                <w:color w:val="auto"/>
                <w:spacing w:val="-20"/>
                <w:w w:val="82"/>
                <w:sz w:val="24"/>
              </w:rPr>
              <w:t>樘</w:t>
            </w:r>
          </w:p>
        </w:tc>
        <w:tc>
          <w:tcPr>
            <w:tcW w:w="376" w:type="pct"/>
            <w:gridSpan w:val="3"/>
          </w:tcPr>
          <w:p>
            <w:pPr>
              <w:pStyle w:val="71"/>
              <w:spacing w:line="240" w:lineRule="exact"/>
              <w:jc w:val="center"/>
              <w:rPr>
                <w:color w:val="auto"/>
                <w:spacing w:val="-20"/>
                <w:sz w:val="24"/>
              </w:rPr>
            </w:pPr>
            <w:r>
              <w:rPr>
                <w:color w:val="auto"/>
                <w:spacing w:val="-20"/>
                <w:w w:val="82"/>
                <w:sz w:val="24"/>
              </w:rPr>
              <w:t>樘</w:t>
            </w:r>
          </w:p>
        </w:tc>
        <w:tc>
          <w:tcPr>
            <w:tcW w:w="375" w:type="pct"/>
            <w:gridSpan w:val="2"/>
          </w:tcPr>
          <w:p>
            <w:pPr>
              <w:pStyle w:val="71"/>
              <w:spacing w:line="240" w:lineRule="exact"/>
              <w:jc w:val="center"/>
              <w:rPr>
                <w:color w:val="auto"/>
                <w:spacing w:val="-20"/>
                <w:sz w:val="24"/>
              </w:rPr>
            </w:pPr>
            <w:r>
              <w:rPr>
                <w:color w:val="auto"/>
                <w:spacing w:val="-20"/>
                <w:w w:val="82"/>
                <w:sz w:val="24"/>
              </w:rPr>
              <w:t>套</w:t>
            </w:r>
          </w:p>
        </w:tc>
        <w:tc>
          <w:tcPr>
            <w:tcW w:w="380" w:type="pct"/>
          </w:tcPr>
          <w:p>
            <w:pPr>
              <w:pStyle w:val="71"/>
              <w:spacing w:line="240" w:lineRule="exact"/>
              <w:jc w:val="center"/>
              <w:rPr>
                <w:color w:val="auto"/>
                <w:spacing w:val="-20"/>
                <w:sz w:val="24"/>
              </w:rPr>
            </w:pPr>
            <w:r>
              <w:rPr>
                <w:color w:val="auto"/>
                <w:spacing w:val="-20"/>
                <w:w w:val="82"/>
                <w:sz w:val="24"/>
              </w:rPr>
              <w:t>樘</w:t>
            </w:r>
          </w:p>
        </w:tc>
        <w:tc>
          <w:tcPr>
            <w:tcW w:w="378" w:type="pct"/>
          </w:tcPr>
          <w:p>
            <w:pPr>
              <w:pStyle w:val="71"/>
              <w:spacing w:line="240" w:lineRule="exact"/>
              <w:jc w:val="center"/>
              <w:rPr>
                <w:color w:val="auto"/>
                <w:spacing w:val="-20"/>
                <w:sz w:val="24"/>
              </w:rPr>
            </w:pPr>
            <w:r>
              <w:rPr>
                <w:color w:val="auto"/>
                <w:spacing w:val="-20"/>
                <w:w w:val="82"/>
                <w:sz w:val="24"/>
              </w:rPr>
              <w:t>樘</w:t>
            </w:r>
          </w:p>
        </w:tc>
        <w:tc>
          <w:tcPr>
            <w:tcW w:w="330" w:type="pct"/>
          </w:tcPr>
          <w:p>
            <w:pPr>
              <w:pStyle w:val="71"/>
              <w:spacing w:line="240" w:lineRule="exact"/>
              <w:jc w:val="center"/>
              <w:rPr>
                <w:color w:val="auto"/>
                <w:spacing w:val="-20"/>
                <w:sz w:val="24"/>
              </w:rPr>
            </w:pPr>
            <w:r>
              <w:rPr>
                <w:color w:val="auto"/>
                <w:spacing w:val="-20"/>
                <w:w w:val="82"/>
                <w:sz w:val="24"/>
              </w:rPr>
              <w:t>套</w:t>
            </w:r>
          </w:p>
        </w:tc>
        <w:tc>
          <w:tcPr>
            <w:tcW w:w="359" w:type="pct"/>
            <w:gridSpan w:val="2"/>
          </w:tcPr>
          <w:p>
            <w:pPr>
              <w:pStyle w:val="71"/>
              <w:spacing w:line="240" w:lineRule="exact"/>
              <w:jc w:val="center"/>
              <w:rPr>
                <w:color w:val="auto"/>
                <w:spacing w:val="-20"/>
                <w:sz w:val="24"/>
              </w:rPr>
            </w:pPr>
            <w:r>
              <w:rPr>
                <w:color w:val="auto"/>
                <w:spacing w:val="-20"/>
                <w:w w:val="82"/>
                <w:sz w:val="24"/>
              </w:rPr>
              <w:t>樘</w:t>
            </w:r>
          </w:p>
        </w:tc>
        <w:tc>
          <w:tcPr>
            <w:tcW w:w="417" w:type="pct"/>
          </w:tcPr>
          <w:p>
            <w:pPr>
              <w:pStyle w:val="71"/>
              <w:spacing w:line="240" w:lineRule="exact"/>
              <w:jc w:val="center"/>
              <w:rPr>
                <w:color w:val="auto"/>
                <w:spacing w:val="-20"/>
                <w:sz w:val="24"/>
              </w:rPr>
            </w:pPr>
            <w:r>
              <w:rPr>
                <w:color w:val="auto"/>
                <w:spacing w:val="-20"/>
                <w:w w:val="82"/>
                <w:sz w:val="24"/>
              </w:rPr>
              <w:t>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数量</w:t>
            </w:r>
          </w:p>
        </w:tc>
        <w:tc>
          <w:tcPr>
            <w:tcW w:w="374" w:type="pct"/>
          </w:tcPr>
          <w:p>
            <w:pPr>
              <w:pStyle w:val="71"/>
              <w:spacing w:line="240" w:lineRule="exact"/>
              <w:jc w:val="center"/>
              <w:rPr>
                <w:color w:val="auto"/>
                <w:spacing w:val="-20"/>
                <w:sz w:val="24"/>
              </w:rPr>
            </w:pPr>
            <w:r>
              <w:rPr>
                <w:color w:val="auto"/>
                <w:spacing w:val="-20"/>
                <w:w w:val="82"/>
                <w:sz w:val="24"/>
              </w:rPr>
              <w:t>1</w:t>
            </w:r>
          </w:p>
        </w:tc>
        <w:tc>
          <w:tcPr>
            <w:tcW w:w="370" w:type="pct"/>
          </w:tcPr>
          <w:p>
            <w:pPr>
              <w:pStyle w:val="71"/>
              <w:spacing w:line="240" w:lineRule="exact"/>
              <w:jc w:val="center"/>
              <w:rPr>
                <w:color w:val="auto"/>
                <w:spacing w:val="-20"/>
                <w:sz w:val="24"/>
              </w:rPr>
            </w:pPr>
            <w:r>
              <w:rPr>
                <w:color w:val="auto"/>
                <w:spacing w:val="-20"/>
                <w:w w:val="82"/>
                <w:sz w:val="24"/>
              </w:rPr>
              <w:t>1</w:t>
            </w:r>
          </w:p>
        </w:tc>
        <w:tc>
          <w:tcPr>
            <w:tcW w:w="379" w:type="pct"/>
            <w:gridSpan w:val="2"/>
          </w:tcPr>
          <w:p>
            <w:pPr>
              <w:pStyle w:val="71"/>
              <w:spacing w:line="240" w:lineRule="exact"/>
              <w:jc w:val="center"/>
              <w:rPr>
                <w:color w:val="auto"/>
                <w:spacing w:val="-20"/>
                <w:sz w:val="24"/>
              </w:rPr>
            </w:pPr>
            <w:r>
              <w:rPr>
                <w:color w:val="auto"/>
                <w:spacing w:val="-20"/>
                <w:w w:val="82"/>
                <w:sz w:val="24"/>
              </w:rPr>
              <w:t>1</w:t>
            </w:r>
          </w:p>
        </w:tc>
        <w:tc>
          <w:tcPr>
            <w:tcW w:w="373" w:type="pct"/>
          </w:tcPr>
          <w:p>
            <w:pPr>
              <w:pStyle w:val="71"/>
              <w:spacing w:line="240" w:lineRule="exact"/>
              <w:jc w:val="center"/>
              <w:rPr>
                <w:color w:val="auto"/>
                <w:spacing w:val="-20"/>
                <w:sz w:val="24"/>
              </w:rPr>
            </w:pPr>
            <w:r>
              <w:rPr>
                <w:color w:val="auto"/>
                <w:spacing w:val="-20"/>
                <w:w w:val="82"/>
                <w:sz w:val="24"/>
              </w:rPr>
              <w:t>1</w:t>
            </w:r>
          </w:p>
        </w:tc>
        <w:tc>
          <w:tcPr>
            <w:tcW w:w="373" w:type="pct"/>
            <w:gridSpan w:val="2"/>
          </w:tcPr>
          <w:p>
            <w:pPr>
              <w:pStyle w:val="71"/>
              <w:spacing w:line="240" w:lineRule="exact"/>
              <w:jc w:val="center"/>
              <w:rPr>
                <w:color w:val="auto"/>
                <w:spacing w:val="-20"/>
                <w:sz w:val="24"/>
              </w:rPr>
            </w:pPr>
            <w:r>
              <w:rPr>
                <w:color w:val="auto"/>
                <w:spacing w:val="-20"/>
                <w:w w:val="82"/>
                <w:sz w:val="24"/>
              </w:rPr>
              <w:t>1</w:t>
            </w:r>
          </w:p>
        </w:tc>
        <w:tc>
          <w:tcPr>
            <w:tcW w:w="376" w:type="pct"/>
            <w:gridSpan w:val="3"/>
          </w:tcPr>
          <w:p>
            <w:pPr>
              <w:pStyle w:val="71"/>
              <w:spacing w:line="240" w:lineRule="exact"/>
              <w:jc w:val="center"/>
              <w:rPr>
                <w:color w:val="auto"/>
                <w:spacing w:val="-20"/>
                <w:sz w:val="24"/>
              </w:rPr>
            </w:pPr>
            <w:r>
              <w:rPr>
                <w:color w:val="auto"/>
                <w:spacing w:val="-20"/>
                <w:w w:val="82"/>
                <w:sz w:val="24"/>
              </w:rPr>
              <w:t>1</w:t>
            </w:r>
          </w:p>
        </w:tc>
        <w:tc>
          <w:tcPr>
            <w:tcW w:w="375" w:type="pct"/>
            <w:gridSpan w:val="2"/>
          </w:tcPr>
          <w:p>
            <w:pPr>
              <w:pStyle w:val="71"/>
              <w:spacing w:line="240" w:lineRule="exact"/>
              <w:jc w:val="center"/>
              <w:rPr>
                <w:color w:val="auto"/>
                <w:spacing w:val="-20"/>
                <w:sz w:val="24"/>
              </w:rPr>
            </w:pPr>
            <w:r>
              <w:rPr>
                <w:color w:val="auto"/>
                <w:spacing w:val="-20"/>
                <w:w w:val="82"/>
                <w:sz w:val="24"/>
              </w:rPr>
              <w:t>1</w:t>
            </w:r>
          </w:p>
        </w:tc>
        <w:tc>
          <w:tcPr>
            <w:tcW w:w="380" w:type="pct"/>
          </w:tcPr>
          <w:p>
            <w:pPr>
              <w:pStyle w:val="71"/>
              <w:spacing w:line="240" w:lineRule="exact"/>
              <w:jc w:val="center"/>
              <w:rPr>
                <w:color w:val="auto"/>
                <w:spacing w:val="-20"/>
                <w:sz w:val="24"/>
              </w:rPr>
            </w:pPr>
            <w:r>
              <w:rPr>
                <w:color w:val="auto"/>
                <w:spacing w:val="-20"/>
                <w:w w:val="82"/>
                <w:sz w:val="24"/>
              </w:rPr>
              <w:t>2</w:t>
            </w:r>
          </w:p>
        </w:tc>
        <w:tc>
          <w:tcPr>
            <w:tcW w:w="378" w:type="pct"/>
          </w:tcPr>
          <w:p>
            <w:pPr>
              <w:pStyle w:val="71"/>
              <w:spacing w:line="240" w:lineRule="exact"/>
              <w:jc w:val="center"/>
              <w:rPr>
                <w:color w:val="auto"/>
                <w:spacing w:val="-20"/>
                <w:sz w:val="24"/>
              </w:rPr>
            </w:pPr>
            <w:r>
              <w:rPr>
                <w:color w:val="auto"/>
                <w:spacing w:val="-20"/>
                <w:w w:val="82"/>
                <w:sz w:val="24"/>
              </w:rPr>
              <w:t>0</w:t>
            </w:r>
          </w:p>
        </w:tc>
        <w:tc>
          <w:tcPr>
            <w:tcW w:w="330" w:type="pct"/>
          </w:tcPr>
          <w:p>
            <w:pPr>
              <w:pStyle w:val="71"/>
              <w:spacing w:line="240" w:lineRule="exact"/>
              <w:jc w:val="center"/>
              <w:rPr>
                <w:color w:val="auto"/>
                <w:spacing w:val="-20"/>
                <w:sz w:val="24"/>
              </w:rPr>
            </w:pPr>
            <w:r>
              <w:rPr>
                <w:color w:val="auto"/>
                <w:spacing w:val="-20"/>
                <w:w w:val="82"/>
                <w:sz w:val="24"/>
              </w:rPr>
              <w:t>1</w:t>
            </w:r>
          </w:p>
        </w:tc>
        <w:tc>
          <w:tcPr>
            <w:tcW w:w="359" w:type="pct"/>
            <w:gridSpan w:val="2"/>
          </w:tcPr>
          <w:p>
            <w:pPr>
              <w:pStyle w:val="71"/>
              <w:spacing w:line="240" w:lineRule="exact"/>
              <w:jc w:val="center"/>
              <w:rPr>
                <w:color w:val="auto"/>
                <w:spacing w:val="-20"/>
                <w:sz w:val="24"/>
              </w:rPr>
            </w:pPr>
            <w:r>
              <w:rPr>
                <w:color w:val="auto"/>
                <w:spacing w:val="-20"/>
                <w:w w:val="82"/>
                <w:sz w:val="24"/>
              </w:rPr>
              <w:t>2</w:t>
            </w:r>
          </w:p>
        </w:tc>
        <w:tc>
          <w:tcPr>
            <w:tcW w:w="417" w:type="pct"/>
          </w:tcPr>
          <w:p>
            <w:pPr>
              <w:pStyle w:val="71"/>
              <w:spacing w:line="240" w:lineRule="exact"/>
              <w:jc w:val="center"/>
              <w:rPr>
                <w:color w:val="auto"/>
                <w:spacing w:val="-20"/>
                <w:sz w:val="24"/>
              </w:rPr>
            </w:pPr>
            <w:r>
              <w:rPr>
                <w:color w:val="auto"/>
                <w:spacing w:val="-20"/>
                <w:w w:val="82"/>
                <w:sz w:val="24"/>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516" w:type="pct"/>
          </w:tcPr>
          <w:p>
            <w:pPr>
              <w:pStyle w:val="71"/>
              <w:spacing w:line="240" w:lineRule="exact"/>
              <w:jc w:val="center"/>
              <w:rPr>
                <w:color w:val="auto"/>
                <w:spacing w:val="-20"/>
                <w:sz w:val="24"/>
              </w:rPr>
            </w:pPr>
            <w:r>
              <w:rPr>
                <w:color w:val="auto"/>
                <w:spacing w:val="-20"/>
                <w:w w:val="90"/>
                <w:sz w:val="24"/>
              </w:rPr>
              <w:t>专用防护套</w:t>
            </w:r>
          </w:p>
        </w:tc>
        <w:tc>
          <w:tcPr>
            <w:tcW w:w="374" w:type="pct"/>
          </w:tcPr>
          <w:p>
            <w:pPr>
              <w:pStyle w:val="71"/>
              <w:spacing w:line="240" w:lineRule="exact"/>
              <w:jc w:val="center"/>
              <w:rPr>
                <w:color w:val="auto"/>
                <w:spacing w:val="-20"/>
                <w:sz w:val="24"/>
              </w:rPr>
            </w:pPr>
            <w:r>
              <w:rPr>
                <w:color w:val="auto"/>
                <w:spacing w:val="-20"/>
                <w:w w:val="90"/>
                <w:sz w:val="24"/>
              </w:rPr>
              <w:t>304不锈钢</w:t>
            </w:r>
          </w:p>
        </w:tc>
        <w:tc>
          <w:tcPr>
            <w:tcW w:w="370" w:type="pct"/>
          </w:tcPr>
          <w:p>
            <w:pPr>
              <w:pStyle w:val="71"/>
              <w:spacing w:line="240" w:lineRule="exact"/>
              <w:jc w:val="center"/>
              <w:rPr>
                <w:color w:val="auto"/>
                <w:spacing w:val="-20"/>
                <w:sz w:val="24"/>
              </w:rPr>
            </w:pPr>
            <w:r>
              <w:rPr>
                <w:color w:val="auto"/>
                <w:spacing w:val="-20"/>
                <w:w w:val="90"/>
                <w:sz w:val="24"/>
              </w:rPr>
              <w:t>304不锈钢</w:t>
            </w:r>
          </w:p>
        </w:tc>
        <w:tc>
          <w:tcPr>
            <w:tcW w:w="379" w:type="pct"/>
            <w:gridSpan w:val="2"/>
          </w:tcPr>
          <w:p>
            <w:pPr>
              <w:pStyle w:val="71"/>
              <w:spacing w:line="240" w:lineRule="exact"/>
              <w:jc w:val="center"/>
              <w:rPr>
                <w:color w:val="auto"/>
                <w:spacing w:val="-20"/>
                <w:sz w:val="24"/>
              </w:rPr>
            </w:pPr>
            <w:r>
              <w:rPr>
                <w:color w:val="auto"/>
                <w:spacing w:val="-20"/>
                <w:w w:val="90"/>
                <w:sz w:val="24"/>
              </w:rPr>
              <w:t>304不锈钢</w:t>
            </w:r>
          </w:p>
        </w:tc>
        <w:tc>
          <w:tcPr>
            <w:tcW w:w="373" w:type="pct"/>
          </w:tcPr>
          <w:p>
            <w:pPr>
              <w:pStyle w:val="71"/>
              <w:spacing w:line="240" w:lineRule="exact"/>
              <w:jc w:val="center"/>
              <w:rPr>
                <w:color w:val="auto"/>
                <w:spacing w:val="-20"/>
                <w:sz w:val="24"/>
              </w:rPr>
            </w:pPr>
            <w:r>
              <w:rPr>
                <w:color w:val="auto"/>
                <w:spacing w:val="-20"/>
                <w:w w:val="90"/>
                <w:sz w:val="24"/>
              </w:rPr>
              <w:t>304不锈钢</w:t>
            </w:r>
          </w:p>
        </w:tc>
        <w:tc>
          <w:tcPr>
            <w:tcW w:w="373" w:type="pct"/>
            <w:gridSpan w:val="2"/>
          </w:tcPr>
          <w:p>
            <w:pPr>
              <w:pStyle w:val="71"/>
              <w:spacing w:line="240" w:lineRule="exact"/>
              <w:jc w:val="center"/>
              <w:rPr>
                <w:color w:val="auto"/>
                <w:spacing w:val="-20"/>
                <w:sz w:val="24"/>
              </w:rPr>
            </w:pPr>
            <w:r>
              <w:rPr>
                <w:color w:val="auto"/>
                <w:spacing w:val="-20"/>
                <w:w w:val="90"/>
                <w:sz w:val="24"/>
              </w:rPr>
              <w:t>304不锈钢</w:t>
            </w:r>
          </w:p>
        </w:tc>
        <w:tc>
          <w:tcPr>
            <w:tcW w:w="376" w:type="pct"/>
            <w:gridSpan w:val="3"/>
          </w:tcPr>
          <w:p>
            <w:pPr>
              <w:pStyle w:val="71"/>
              <w:spacing w:line="240" w:lineRule="exact"/>
              <w:jc w:val="center"/>
              <w:rPr>
                <w:color w:val="auto"/>
                <w:spacing w:val="-20"/>
                <w:sz w:val="24"/>
              </w:rPr>
            </w:pPr>
            <w:r>
              <w:rPr>
                <w:color w:val="auto"/>
                <w:spacing w:val="-20"/>
                <w:w w:val="90"/>
                <w:sz w:val="24"/>
              </w:rPr>
              <w:t>304不锈钢</w:t>
            </w:r>
          </w:p>
        </w:tc>
        <w:tc>
          <w:tcPr>
            <w:tcW w:w="375" w:type="pct"/>
            <w:gridSpan w:val="2"/>
          </w:tcPr>
          <w:p>
            <w:pPr>
              <w:pStyle w:val="71"/>
              <w:spacing w:line="240" w:lineRule="exact"/>
              <w:jc w:val="center"/>
              <w:rPr>
                <w:color w:val="auto"/>
                <w:spacing w:val="-20"/>
                <w:sz w:val="24"/>
              </w:rPr>
            </w:pPr>
            <w:r>
              <w:rPr>
                <w:color w:val="auto"/>
                <w:spacing w:val="-20"/>
                <w:w w:val="90"/>
                <w:sz w:val="24"/>
              </w:rPr>
              <w:t>304不锈钢</w:t>
            </w:r>
          </w:p>
        </w:tc>
        <w:tc>
          <w:tcPr>
            <w:tcW w:w="380" w:type="pct"/>
          </w:tcPr>
          <w:p>
            <w:pPr>
              <w:pStyle w:val="71"/>
              <w:spacing w:line="240" w:lineRule="exact"/>
              <w:jc w:val="center"/>
              <w:rPr>
                <w:color w:val="auto"/>
                <w:spacing w:val="-20"/>
                <w:sz w:val="24"/>
              </w:rPr>
            </w:pPr>
            <w:r>
              <w:rPr>
                <w:color w:val="auto"/>
                <w:spacing w:val="-20"/>
                <w:w w:val="90"/>
                <w:sz w:val="24"/>
              </w:rPr>
              <w:t>304不锈钢</w:t>
            </w:r>
          </w:p>
        </w:tc>
        <w:tc>
          <w:tcPr>
            <w:tcW w:w="378" w:type="pct"/>
          </w:tcPr>
          <w:p>
            <w:pPr>
              <w:pStyle w:val="71"/>
              <w:spacing w:line="240" w:lineRule="exact"/>
              <w:jc w:val="center"/>
              <w:rPr>
                <w:color w:val="auto"/>
                <w:spacing w:val="-20"/>
                <w:sz w:val="24"/>
              </w:rPr>
            </w:pPr>
            <w:r>
              <w:rPr>
                <w:color w:val="auto"/>
                <w:spacing w:val="-20"/>
                <w:w w:val="90"/>
                <w:sz w:val="24"/>
              </w:rPr>
              <w:t>304不锈钢</w:t>
            </w:r>
          </w:p>
        </w:tc>
        <w:tc>
          <w:tcPr>
            <w:tcW w:w="330" w:type="pct"/>
          </w:tcPr>
          <w:p>
            <w:pPr>
              <w:pStyle w:val="71"/>
              <w:spacing w:line="240" w:lineRule="exact"/>
              <w:jc w:val="center"/>
              <w:rPr>
                <w:color w:val="auto"/>
                <w:spacing w:val="-20"/>
                <w:sz w:val="24"/>
              </w:rPr>
            </w:pPr>
            <w:r>
              <w:rPr>
                <w:color w:val="auto"/>
                <w:spacing w:val="-20"/>
                <w:w w:val="90"/>
                <w:sz w:val="24"/>
              </w:rPr>
              <w:t>304不锈钢</w:t>
            </w:r>
          </w:p>
        </w:tc>
        <w:tc>
          <w:tcPr>
            <w:tcW w:w="359" w:type="pct"/>
            <w:gridSpan w:val="2"/>
          </w:tcPr>
          <w:p>
            <w:pPr>
              <w:pStyle w:val="71"/>
              <w:spacing w:line="240" w:lineRule="exact"/>
              <w:jc w:val="center"/>
              <w:rPr>
                <w:color w:val="auto"/>
                <w:spacing w:val="-20"/>
                <w:sz w:val="24"/>
              </w:rPr>
            </w:pPr>
            <w:r>
              <w:rPr>
                <w:color w:val="auto"/>
                <w:spacing w:val="-20"/>
                <w:w w:val="90"/>
                <w:sz w:val="24"/>
              </w:rPr>
              <w:t>304不锈钢</w:t>
            </w:r>
          </w:p>
        </w:tc>
        <w:tc>
          <w:tcPr>
            <w:tcW w:w="417" w:type="pct"/>
          </w:tcPr>
          <w:p>
            <w:pPr>
              <w:pStyle w:val="71"/>
              <w:spacing w:line="240" w:lineRule="exact"/>
              <w:jc w:val="center"/>
              <w:rPr>
                <w:color w:val="auto"/>
                <w:spacing w:val="-20"/>
                <w:sz w:val="24"/>
              </w:rPr>
            </w:pPr>
            <w:r>
              <w:rPr>
                <w:color w:val="auto"/>
                <w:spacing w:val="-20"/>
                <w:w w:val="90"/>
                <w:sz w:val="24"/>
              </w:rPr>
              <w:t>304不锈钢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5000" w:type="pct"/>
            <w:gridSpan w:val="19"/>
            <w:tcBorders>
              <w:top w:val="single" w:color="000000" w:sz="8" w:space="0"/>
            </w:tcBorders>
          </w:tcPr>
          <w:p>
            <w:pPr>
              <w:pStyle w:val="71"/>
              <w:spacing w:line="240" w:lineRule="exact"/>
              <w:jc w:val="center"/>
              <w:rPr>
                <w:color w:val="auto"/>
                <w:spacing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机房名称</w:t>
            </w:r>
          </w:p>
        </w:tc>
        <w:tc>
          <w:tcPr>
            <w:tcW w:w="1123" w:type="pct"/>
            <w:gridSpan w:val="4"/>
          </w:tcPr>
          <w:p>
            <w:pPr>
              <w:pStyle w:val="71"/>
              <w:spacing w:line="240" w:lineRule="exact"/>
              <w:jc w:val="center"/>
              <w:rPr>
                <w:color w:val="auto"/>
                <w:spacing w:val="-20"/>
                <w:sz w:val="24"/>
              </w:rPr>
            </w:pPr>
            <w:r>
              <w:rPr>
                <w:color w:val="auto"/>
                <w:spacing w:val="-20"/>
                <w:w w:val="90"/>
                <w:sz w:val="24"/>
              </w:rPr>
              <w:t>骨密度机房（二楼</w:t>
            </w:r>
            <w:r>
              <w:rPr>
                <w:rFonts w:hint="eastAsia"/>
                <w:color w:val="auto"/>
                <w:spacing w:val="-20"/>
                <w:w w:val="90"/>
                <w:sz w:val="24"/>
              </w:rPr>
              <w:t>功能科</w:t>
            </w:r>
            <w:r>
              <w:rPr>
                <w:color w:val="auto"/>
                <w:spacing w:val="-20"/>
                <w:w w:val="90"/>
                <w:sz w:val="24"/>
              </w:rPr>
              <w:t>）</w:t>
            </w:r>
          </w:p>
        </w:tc>
        <w:tc>
          <w:tcPr>
            <w:tcW w:w="1122" w:type="pct"/>
            <w:gridSpan w:val="6"/>
          </w:tcPr>
          <w:p>
            <w:pPr>
              <w:pStyle w:val="71"/>
              <w:spacing w:line="240" w:lineRule="exact"/>
              <w:jc w:val="center"/>
              <w:rPr>
                <w:color w:val="auto"/>
                <w:spacing w:val="-20"/>
                <w:sz w:val="24"/>
              </w:rPr>
            </w:pPr>
            <w:r>
              <w:rPr>
                <w:color w:val="auto"/>
                <w:spacing w:val="-20"/>
                <w:w w:val="90"/>
                <w:sz w:val="24"/>
              </w:rPr>
              <w:t>牙片机房（四楼口腔科）</w:t>
            </w:r>
          </w:p>
        </w:tc>
        <w:tc>
          <w:tcPr>
            <w:tcW w:w="1133" w:type="pct"/>
            <w:gridSpan w:val="4"/>
          </w:tcPr>
          <w:p>
            <w:pPr>
              <w:pStyle w:val="71"/>
              <w:spacing w:line="240" w:lineRule="exact"/>
              <w:jc w:val="center"/>
              <w:rPr>
                <w:color w:val="auto"/>
                <w:spacing w:val="-20"/>
                <w:sz w:val="24"/>
              </w:rPr>
            </w:pPr>
            <w:r>
              <w:rPr>
                <w:color w:val="auto"/>
                <w:spacing w:val="-20"/>
                <w:w w:val="90"/>
                <w:sz w:val="24"/>
              </w:rPr>
              <w:t>CT机房（急诊一楼）</w:t>
            </w:r>
          </w:p>
        </w:tc>
        <w:tc>
          <w:tcPr>
            <w:tcW w:w="1106" w:type="pct"/>
            <w:gridSpan w:val="4"/>
          </w:tcPr>
          <w:p>
            <w:pPr>
              <w:pStyle w:val="71"/>
              <w:spacing w:line="240" w:lineRule="exact"/>
              <w:jc w:val="center"/>
              <w:rPr>
                <w:color w:val="auto"/>
                <w:spacing w:val="-20"/>
                <w:sz w:val="24"/>
              </w:rPr>
            </w:pPr>
            <w:r>
              <w:rPr>
                <w:color w:val="auto"/>
                <w:spacing w:val="-20"/>
                <w:w w:val="90"/>
                <w:sz w:val="24"/>
              </w:rPr>
              <w:t>DR机房（急诊一楼）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 w:hRule="atLeast"/>
        </w:trPr>
        <w:tc>
          <w:tcPr>
            <w:tcW w:w="516" w:type="pct"/>
          </w:tcPr>
          <w:p>
            <w:pPr>
              <w:pStyle w:val="71"/>
              <w:spacing w:line="240" w:lineRule="exact"/>
              <w:jc w:val="center"/>
              <w:rPr>
                <w:color w:val="auto"/>
                <w:spacing w:val="-20"/>
                <w:sz w:val="24"/>
              </w:rPr>
            </w:pPr>
            <w:r>
              <w:rPr>
                <w:color w:val="auto"/>
                <w:spacing w:val="-20"/>
                <w:w w:val="90"/>
                <w:sz w:val="24"/>
              </w:rPr>
              <w:t>门窗名称</w:t>
            </w:r>
          </w:p>
        </w:tc>
        <w:tc>
          <w:tcPr>
            <w:tcW w:w="374" w:type="pct"/>
          </w:tcPr>
          <w:p>
            <w:pPr>
              <w:pStyle w:val="71"/>
              <w:spacing w:line="240" w:lineRule="exact"/>
              <w:jc w:val="center"/>
              <w:rPr>
                <w:color w:val="auto"/>
                <w:spacing w:val="-20"/>
                <w:sz w:val="24"/>
              </w:rPr>
            </w:pPr>
            <w:r>
              <w:rPr>
                <w:color w:val="auto"/>
                <w:spacing w:val="-20"/>
                <w:w w:val="90"/>
                <w:sz w:val="24"/>
              </w:rPr>
              <w:t>防护观察窗</w:t>
            </w:r>
          </w:p>
        </w:tc>
        <w:tc>
          <w:tcPr>
            <w:tcW w:w="373" w:type="pct"/>
            <w:gridSpan w:val="2"/>
          </w:tcPr>
          <w:p>
            <w:pPr>
              <w:pStyle w:val="71"/>
              <w:spacing w:line="240" w:lineRule="exact"/>
              <w:jc w:val="center"/>
              <w:rPr>
                <w:color w:val="auto"/>
                <w:spacing w:val="-20"/>
                <w:sz w:val="24"/>
              </w:rPr>
            </w:pPr>
            <w:r>
              <w:rPr>
                <w:color w:val="auto"/>
                <w:spacing w:val="-20"/>
                <w:w w:val="90"/>
                <w:sz w:val="24"/>
              </w:rPr>
              <w:t>单开防护门</w:t>
            </w:r>
          </w:p>
        </w:tc>
        <w:tc>
          <w:tcPr>
            <w:tcW w:w="376" w:type="pct"/>
          </w:tcPr>
          <w:p>
            <w:pPr>
              <w:pStyle w:val="71"/>
              <w:spacing w:line="240" w:lineRule="exact"/>
              <w:jc w:val="center"/>
              <w:rPr>
                <w:color w:val="auto"/>
                <w:spacing w:val="-20"/>
                <w:sz w:val="24"/>
              </w:rPr>
            </w:pPr>
            <w:r>
              <w:rPr>
                <w:color w:val="auto"/>
                <w:spacing w:val="-20"/>
                <w:w w:val="90"/>
                <w:sz w:val="24"/>
              </w:rPr>
              <w:t>双开防护门</w:t>
            </w:r>
          </w:p>
        </w:tc>
        <w:tc>
          <w:tcPr>
            <w:tcW w:w="376" w:type="pct"/>
            <w:gridSpan w:val="2"/>
          </w:tcPr>
          <w:p>
            <w:pPr>
              <w:pStyle w:val="71"/>
              <w:spacing w:line="240" w:lineRule="exact"/>
              <w:jc w:val="center"/>
              <w:rPr>
                <w:color w:val="auto"/>
                <w:spacing w:val="-20"/>
                <w:sz w:val="24"/>
              </w:rPr>
            </w:pPr>
            <w:r>
              <w:rPr>
                <w:color w:val="auto"/>
                <w:spacing w:val="-20"/>
                <w:w w:val="90"/>
                <w:sz w:val="24"/>
              </w:rPr>
              <w:t>防护观察窗</w:t>
            </w:r>
          </w:p>
        </w:tc>
        <w:tc>
          <w:tcPr>
            <w:tcW w:w="373" w:type="pct"/>
            <w:gridSpan w:val="2"/>
          </w:tcPr>
          <w:p>
            <w:pPr>
              <w:pStyle w:val="71"/>
              <w:spacing w:line="240" w:lineRule="exact"/>
              <w:jc w:val="center"/>
              <w:rPr>
                <w:color w:val="auto"/>
                <w:spacing w:val="-20"/>
                <w:sz w:val="24"/>
              </w:rPr>
            </w:pPr>
            <w:r>
              <w:rPr>
                <w:color w:val="auto"/>
                <w:spacing w:val="-20"/>
                <w:w w:val="90"/>
                <w:sz w:val="24"/>
              </w:rPr>
              <w:t>单开防护门</w:t>
            </w:r>
          </w:p>
        </w:tc>
        <w:tc>
          <w:tcPr>
            <w:tcW w:w="373" w:type="pct"/>
            <w:gridSpan w:val="2"/>
          </w:tcPr>
          <w:p>
            <w:pPr>
              <w:pStyle w:val="71"/>
              <w:spacing w:line="240" w:lineRule="exact"/>
              <w:jc w:val="center"/>
              <w:rPr>
                <w:color w:val="auto"/>
                <w:spacing w:val="-20"/>
                <w:sz w:val="24"/>
              </w:rPr>
            </w:pPr>
            <w:r>
              <w:rPr>
                <w:color w:val="auto"/>
                <w:spacing w:val="-20"/>
                <w:w w:val="90"/>
                <w:sz w:val="24"/>
              </w:rPr>
              <w:t>电动防护门</w:t>
            </w:r>
          </w:p>
        </w:tc>
        <w:tc>
          <w:tcPr>
            <w:tcW w:w="375" w:type="pct"/>
            <w:gridSpan w:val="2"/>
          </w:tcPr>
          <w:p>
            <w:pPr>
              <w:pStyle w:val="71"/>
              <w:spacing w:line="240" w:lineRule="exact"/>
              <w:jc w:val="center"/>
              <w:rPr>
                <w:color w:val="auto"/>
                <w:spacing w:val="-20"/>
                <w:sz w:val="24"/>
              </w:rPr>
            </w:pPr>
            <w:r>
              <w:rPr>
                <w:color w:val="auto"/>
                <w:spacing w:val="-20"/>
                <w:w w:val="90"/>
                <w:sz w:val="24"/>
              </w:rPr>
              <w:t>防护观察窗</w:t>
            </w:r>
          </w:p>
        </w:tc>
        <w:tc>
          <w:tcPr>
            <w:tcW w:w="380" w:type="pct"/>
          </w:tcPr>
          <w:p>
            <w:pPr>
              <w:pStyle w:val="71"/>
              <w:spacing w:line="240" w:lineRule="exact"/>
              <w:jc w:val="center"/>
              <w:rPr>
                <w:color w:val="auto"/>
                <w:spacing w:val="-20"/>
                <w:sz w:val="24"/>
              </w:rPr>
            </w:pPr>
            <w:r>
              <w:rPr>
                <w:color w:val="auto"/>
                <w:spacing w:val="-20"/>
                <w:w w:val="90"/>
                <w:sz w:val="24"/>
              </w:rPr>
              <w:t>单开防护门</w:t>
            </w:r>
          </w:p>
        </w:tc>
        <w:tc>
          <w:tcPr>
            <w:tcW w:w="378" w:type="pct"/>
          </w:tcPr>
          <w:p>
            <w:pPr>
              <w:pStyle w:val="71"/>
              <w:spacing w:line="240" w:lineRule="exact"/>
              <w:jc w:val="center"/>
              <w:rPr>
                <w:color w:val="auto"/>
                <w:spacing w:val="-20"/>
                <w:sz w:val="24"/>
              </w:rPr>
            </w:pPr>
            <w:r>
              <w:rPr>
                <w:color w:val="auto"/>
                <w:spacing w:val="-20"/>
                <w:w w:val="90"/>
                <w:sz w:val="24"/>
              </w:rPr>
              <w:t>电动防护门</w:t>
            </w:r>
          </w:p>
        </w:tc>
        <w:tc>
          <w:tcPr>
            <w:tcW w:w="330" w:type="pct"/>
          </w:tcPr>
          <w:p>
            <w:pPr>
              <w:pStyle w:val="71"/>
              <w:spacing w:line="240" w:lineRule="exact"/>
              <w:jc w:val="center"/>
              <w:rPr>
                <w:color w:val="auto"/>
                <w:spacing w:val="-20"/>
                <w:sz w:val="24"/>
              </w:rPr>
            </w:pPr>
            <w:r>
              <w:rPr>
                <w:color w:val="auto"/>
                <w:spacing w:val="-20"/>
                <w:w w:val="80"/>
                <w:sz w:val="24"/>
              </w:rPr>
              <w:t>防护观察窗</w:t>
            </w:r>
          </w:p>
        </w:tc>
        <w:tc>
          <w:tcPr>
            <w:tcW w:w="359" w:type="pct"/>
            <w:gridSpan w:val="2"/>
          </w:tcPr>
          <w:p>
            <w:pPr>
              <w:pStyle w:val="71"/>
              <w:spacing w:line="240" w:lineRule="exact"/>
              <w:jc w:val="center"/>
              <w:rPr>
                <w:color w:val="auto"/>
                <w:spacing w:val="-20"/>
                <w:sz w:val="24"/>
              </w:rPr>
            </w:pPr>
            <w:r>
              <w:rPr>
                <w:color w:val="auto"/>
                <w:spacing w:val="-20"/>
                <w:w w:val="80"/>
                <w:sz w:val="24"/>
              </w:rPr>
              <w:t>单开防护门</w:t>
            </w:r>
          </w:p>
        </w:tc>
        <w:tc>
          <w:tcPr>
            <w:tcW w:w="417" w:type="pct"/>
          </w:tcPr>
          <w:p>
            <w:pPr>
              <w:pStyle w:val="71"/>
              <w:spacing w:line="240" w:lineRule="exact"/>
              <w:jc w:val="center"/>
              <w:rPr>
                <w:color w:val="auto"/>
                <w:spacing w:val="-20"/>
                <w:sz w:val="24"/>
              </w:rPr>
            </w:pPr>
            <w:r>
              <w:rPr>
                <w:color w:val="auto"/>
                <w:spacing w:val="-20"/>
                <w:w w:val="80"/>
                <w:sz w:val="24"/>
              </w:rPr>
              <w:t>电动防护门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门窗型号</w:t>
            </w:r>
          </w:p>
        </w:tc>
        <w:tc>
          <w:tcPr>
            <w:tcW w:w="374" w:type="pct"/>
          </w:tcPr>
          <w:p>
            <w:pPr>
              <w:pStyle w:val="71"/>
              <w:spacing w:line="240" w:lineRule="exact"/>
              <w:jc w:val="center"/>
              <w:rPr>
                <w:color w:val="auto"/>
                <w:spacing w:val="-20"/>
                <w:sz w:val="24"/>
              </w:rPr>
            </w:pPr>
            <w:r>
              <w:rPr>
                <w:color w:val="auto"/>
                <w:spacing w:val="-20"/>
                <w:w w:val="90"/>
                <w:sz w:val="24"/>
              </w:rPr>
              <w:t>FHC0806</w:t>
            </w:r>
          </w:p>
        </w:tc>
        <w:tc>
          <w:tcPr>
            <w:tcW w:w="373" w:type="pct"/>
            <w:gridSpan w:val="2"/>
          </w:tcPr>
          <w:p>
            <w:pPr>
              <w:pStyle w:val="71"/>
              <w:spacing w:line="240" w:lineRule="exact"/>
              <w:jc w:val="center"/>
              <w:rPr>
                <w:color w:val="auto"/>
                <w:spacing w:val="-20"/>
                <w:sz w:val="24"/>
              </w:rPr>
            </w:pPr>
            <w:r>
              <w:rPr>
                <w:color w:val="auto"/>
                <w:spacing w:val="-20"/>
                <w:w w:val="90"/>
                <w:sz w:val="24"/>
              </w:rPr>
              <w:t>HFM1021</w:t>
            </w:r>
          </w:p>
        </w:tc>
        <w:tc>
          <w:tcPr>
            <w:tcW w:w="376" w:type="pct"/>
          </w:tcPr>
          <w:p>
            <w:pPr>
              <w:pStyle w:val="71"/>
              <w:spacing w:line="240" w:lineRule="exact"/>
              <w:jc w:val="center"/>
              <w:rPr>
                <w:color w:val="auto"/>
                <w:spacing w:val="-20"/>
                <w:sz w:val="24"/>
              </w:rPr>
            </w:pPr>
            <w:r>
              <w:rPr>
                <w:color w:val="auto"/>
                <w:spacing w:val="-20"/>
                <w:w w:val="90"/>
                <w:sz w:val="24"/>
              </w:rPr>
              <w:t>FHM1221</w:t>
            </w:r>
          </w:p>
        </w:tc>
        <w:tc>
          <w:tcPr>
            <w:tcW w:w="376" w:type="pct"/>
            <w:gridSpan w:val="2"/>
          </w:tcPr>
          <w:p>
            <w:pPr>
              <w:pStyle w:val="71"/>
              <w:spacing w:line="240" w:lineRule="exact"/>
              <w:jc w:val="center"/>
              <w:rPr>
                <w:color w:val="auto"/>
                <w:spacing w:val="-20"/>
                <w:sz w:val="24"/>
              </w:rPr>
            </w:pPr>
            <w:r>
              <w:rPr>
                <w:color w:val="auto"/>
                <w:spacing w:val="-20"/>
                <w:w w:val="90"/>
                <w:sz w:val="24"/>
              </w:rPr>
              <w:t>FHC0403</w:t>
            </w:r>
          </w:p>
        </w:tc>
        <w:tc>
          <w:tcPr>
            <w:tcW w:w="373" w:type="pct"/>
            <w:gridSpan w:val="2"/>
          </w:tcPr>
          <w:p>
            <w:pPr>
              <w:pStyle w:val="71"/>
              <w:spacing w:line="240" w:lineRule="exact"/>
              <w:jc w:val="center"/>
              <w:rPr>
                <w:color w:val="auto"/>
                <w:spacing w:val="-20"/>
                <w:sz w:val="24"/>
              </w:rPr>
            </w:pPr>
            <w:r>
              <w:rPr>
                <w:color w:val="auto"/>
                <w:spacing w:val="-20"/>
                <w:w w:val="90"/>
                <w:sz w:val="24"/>
              </w:rPr>
              <w:t>HFM1021</w:t>
            </w:r>
          </w:p>
        </w:tc>
        <w:tc>
          <w:tcPr>
            <w:tcW w:w="373" w:type="pct"/>
            <w:gridSpan w:val="2"/>
          </w:tcPr>
          <w:p>
            <w:pPr>
              <w:pStyle w:val="71"/>
              <w:spacing w:line="240" w:lineRule="exact"/>
              <w:jc w:val="center"/>
              <w:rPr>
                <w:color w:val="auto"/>
                <w:spacing w:val="-20"/>
                <w:sz w:val="24"/>
              </w:rPr>
            </w:pPr>
            <w:r>
              <w:rPr>
                <w:color w:val="auto"/>
                <w:spacing w:val="-20"/>
                <w:w w:val="82"/>
                <w:sz w:val="24"/>
              </w:rPr>
              <w:t>/</w:t>
            </w:r>
          </w:p>
        </w:tc>
        <w:tc>
          <w:tcPr>
            <w:tcW w:w="375" w:type="pct"/>
            <w:gridSpan w:val="2"/>
          </w:tcPr>
          <w:p>
            <w:pPr>
              <w:pStyle w:val="71"/>
              <w:spacing w:line="240" w:lineRule="exact"/>
              <w:jc w:val="center"/>
              <w:rPr>
                <w:color w:val="auto"/>
                <w:spacing w:val="-20"/>
                <w:sz w:val="24"/>
              </w:rPr>
            </w:pPr>
            <w:r>
              <w:rPr>
                <w:color w:val="auto"/>
                <w:spacing w:val="-20"/>
                <w:w w:val="90"/>
                <w:sz w:val="24"/>
              </w:rPr>
              <w:t>FHC1208</w:t>
            </w:r>
          </w:p>
        </w:tc>
        <w:tc>
          <w:tcPr>
            <w:tcW w:w="380" w:type="pct"/>
          </w:tcPr>
          <w:p>
            <w:pPr>
              <w:pStyle w:val="71"/>
              <w:spacing w:line="240" w:lineRule="exact"/>
              <w:jc w:val="center"/>
              <w:rPr>
                <w:color w:val="auto"/>
                <w:spacing w:val="-20"/>
                <w:sz w:val="24"/>
              </w:rPr>
            </w:pPr>
            <w:r>
              <w:rPr>
                <w:color w:val="auto"/>
                <w:spacing w:val="-20"/>
                <w:w w:val="90"/>
                <w:sz w:val="24"/>
              </w:rPr>
              <w:t>HFM1021</w:t>
            </w:r>
          </w:p>
        </w:tc>
        <w:tc>
          <w:tcPr>
            <w:tcW w:w="378" w:type="pct"/>
          </w:tcPr>
          <w:p>
            <w:pPr>
              <w:pStyle w:val="71"/>
              <w:spacing w:line="240" w:lineRule="exact"/>
              <w:jc w:val="center"/>
              <w:rPr>
                <w:color w:val="auto"/>
                <w:spacing w:val="-20"/>
                <w:sz w:val="24"/>
              </w:rPr>
            </w:pPr>
            <w:r>
              <w:rPr>
                <w:color w:val="auto"/>
                <w:spacing w:val="-20"/>
                <w:w w:val="90"/>
                <w:sz w:val="24"/>
              </w:rPr>
              <w:t>FHM1723</w:t>
            </w:r>
          </w:p>
        </w:tc>
        <w:tc>
          <w:tcPr>
            <w:tcW w:w="330" w:type="pct"/>
          </w:tcPr>
          <w:p>
            <w:pPr>
              <w:pStyle w:val="71"/>
              <w:spacing w:line="240" w:lineRule="exact"/>
              <w:jc w:val="center"/>
              <w:rPr>
                <w:color w:val="auto"/>
                <w:spacing w:val="-20"/>
                <w:sz w:val="24"/>
              </w:rPr>
            </w:pPr>
            <w:r>
              <w:rPr>
                <w:color w:val="auto"/>
                <w:spacing w:val="-20"/>
                <w:w w:val="90"/>
                <w:sz w:val="24"/>
              </w:rPr>
              <w:t>FHC1208</w:t>
            </w:r>
          </w:p>
        </w:tc>
        <w:tc>
          <w:tcPr>
            <w:tcW w:w="359" w:type="pct"/>
            <w:gridSpan w:val="2"/>
          </w:tcPr>
          <w:p>
            <w:pPr>
              <w:pStyle w:val="71"/>
              <w:spacing w:line="240" w:lineRule="exact"/>
              <w:jc w:val="center"/>
              <w:rPr>
                <w:color w:val="auto"/>
                <w:spacing w:val="-20"/>
                <w:sz w:val="24"/>
              </w:rPr>
            </w:pPr>
            <w:r>
              <w:rPr>
                <w:color w:val="auto"/>
                <w:spacing w:val="-20"/>
                <w:w w:val="90"/>
                <w:sz w:val="24"/>
              </w:rPr>
              <w:t>HFM1021</w:t>
            </w:r>
          </w:p>
        </w:tc>
        <w:tc>
          <w:tcPr>
            <w:tcW w:w="417" w:type="pct"/>
          </w:tcPr>
          <w:p>
            <w:pPr>
              <w:pStyle w:val="71"/>
              <w:spacing w:line="240" w:lineRule="exact"/>
              <w:jc w:val="center"/>
              <w:rPr>
                <w:color w:val="auto"/>
                <w:spacing w:val="-20"/>
                <w:sz w:val="24"/>
              </w:rPr>
            </w:pPr>
            <w:r>
              <w:rPr>
                <w:color w:val="auto"/>
                <w:spacing w:val="-20"/>
                <w:w w:val="80"/>
                <w:sz w:val="24"/>
              </w:rPr>
              <w:t>FHM1723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rPr>
        <w:tc>
          <w:tcPr>
            <w:tcW w:w="516" w:type="pct"/>
          </w:tcPr>
          <w:p>
            <w:pPr>
              <w:pStyle w:val="71"/>
              <w:spacing w:line="240" w:lineRule="exact"/>
              <w:jc w:val="center"/>
              <w:rPr>
                <w:color w:val="auto"/>
                <w:spacing w:val="-20"/>
                <w:sz w:val="24"/>
              </w:rPr>
            </w:pPr>
            <w:r>
              <w:rPr>
                <w:color w:val="auto"/>
                <w:spacing w:val="-20"/>
                <w:w w:val="90"/>
                <w:sz w:val="24"/>
              </w:rPr>
              <w:t>材料尺寸</w:t>
            </w:r>
          </w:p>
          <w:p>
            <w:pPr>
              <w:pStyle w:val="71"/>
              <w:spacing w:line="240" w:lineRule="exact"/>
              <w:jc w:val="center"/>
              <w:rPr>
                <w:color w:val="auto"/>
                <w:spacing w:val="-20"/>
                <w:sz w:val="24"/>
              </w:rPr>
            </w:pPr>
            <w:r>
              <w:rPr>
                <w:color w:val="auto"/>
                <w:spacing w:val="-20"/>
                <w:w w:val="90"/>
                <w:sz w:val="24"/>
              </w:rPr>
              <w:t>（mm)</w:t>
            </w:r>
          </w:p>
        </w:tc>
        <w:tc>
          <w:tcPr>
            <w:tcW w:w="374" w:type="pct"/>
          </w:tcPr>
          <w:p>
            <w:pPr>
              <w:pStyle w:val="71"/>
              <w:spacing w:line="240" w:lineRule="exact"/>
              <w:jc w:val="center"/>
              <w:rPr>
                <w:color w:val="auto"/>
                <w:spacing w:val="-20"/>
                <w:sz w:val="24"/>
              </w:rPr>
            </w:pPr>
            <w:r>
              <w:rPr>
                <w:color w:val="auto"/>
                <w:spacing w:val="-20"/>
                <w:w w:val="90"/>
                <w:sz w:val="24"/>
              </w:rPr>
              <w:t>800*600*10</w:t>
            </w:r>
          </w:p>
        </w:tc>
        <w:tc>
          <w:tcPr>
            <w:tcW w:w="373" w:type="pct"/>
            <w:gridSpan w:val="2"/>
          </w:tcPr>
          <w:p>
            <w:pPr>
              <w:pStyle w:val="71"/>
              <w:spacing w:line="240" w:lineRule="exact"/>
              <w:jc w:val="center"/>
              <w:rPr>
                <w:color w:val="auto"/>
                <w:spacing w:val="-20"/>
                <w:sz w:val="24"/>
              </w:rPr>
            </w:pPr>
            <w:r>
              <w:rPr>
                <w:color w:val="auto"/>
                <w:spacing w:val="-20"/>
                <w:w w:val="90"/>
                <w:sz w:val="24"/>
              </w:rPr>
              <w:t>1000*2100</w:t>
            </w:r>
          </w:p>
        </w:tc>
        <w:tc>
          <w:tcPr>
            <w:tcW w:w="376" w:type="pct"/>
          </w:tcPr>
          <w:p>
            <w:pPr>
              <w:pStyle w:val="71"/>
              <w:spacing w:line="240" w:lineRule="exact"/>
              <w:jc w:val="center"/>
              <w:rPr>
                <w:color w:val="auto"/>
                <w:spacing w:val="-20"/>
                <w:sz w:val="24"/>
              </w:rPr>
            </w:pPr>
            <w:r>
              <w:rPr>
                <w:color w:val="auto"/>
                <w:spacing w:val="-20"/>
                <w:w w:val="90"/>
                <w:sz w:val="24"/>
              </w:rPr>
              <w:t>1200*2100</w:t>
            </w:r>
          </w:p>
        </w:tc>
        <w:tc>
          <w:tcPr>
            <w:tcW w:w="376" w:type="pct"/>
            <w:gridSpan w:val="2"/>
          </w:tcPr>
          <w:p>
            <w:pPr>
              <w:pStyle w:val="71"/>
              <w:spacing w:line="240" w:lineRule="exact"/>
              <w:jc w:val="center"/>
              <w:rPr>
                <w:color w:val="auto"/>
                <w:spacing w:val="-20"/>
                <w:sz w:val="24"/>
              </w:rPr>
            </w:pPr>
            <w:r>
              <w:rPr>
                <w:color w:val="auto"/>
                <w:spacing w:val="-20"/>
                <w:w w:val="90"/>
                <w:sz w:val="24"/>
              </w:rPr>
              <w:t>400*300*13</w:t>
            </w:r>
          </w:p>
        </w:tc>
        <w:tc>
          <w:tcPr>
            <w:tcW w:w="373" w:type="pct"/>
            <w:gridSpan w:val="2"/>
          </w:tcPr>
          <w:p>
            <w:pPr>
              <w:pStyle w:val="71"/>
              <w:spacing w:line="240" w:lineRule="exact"/>
              <w:jc w:val="center"/>
              <w:rPr>
                <w:color w:val="auto"/>
                <w:spacing w:val="-20"/>
                <w:sz w:val="24"/>
              </w:rPr>
            </w:pPr>
            <w:r>
              <w:rPr>
                <w:color w:val="auto"/>
                <w:spacing w:val="-20"/>
                <w:w w:val="80"/>
                <w:sz w:val="24"/>
              </w:rPr>
              <w:t>1000*2100</w:t>
            </w:r>
          </w:p>
        </w:tc>
        <w:tc>
          <w:tcPr>
            <w:tcW w:w="373" w:type="pct"/>
            <w:gridSpan w:val="2"/>
          </w:tcPr>
          <w:p>
            <w:pPr>
              <w:pStyle w:val="71"/>
              <w:spacing w:line="240" w:lineRule="exact"/>
              <w:jc w:val="center"/>
              <w:rPr>
                <w:color w:val="auto"/>
                <w:spacing w:val="-20"/>
                <w:sz w:val="24"/>
              </w:rPr>
            </w:pPr>
            <w:r>
              <w:rPr>
                <w:color w:val="auto"/>
                <w:spacing w:val="-20"/>
                <w:w w:val="82"/>
                <w:sz w:val="24"/>
              </w:rPr>
              <w:t>/</w:t>
            </w:r>
          </w:p>
        </w:tc>
        <w:tc>
          <w:tcPr>
            <w:tcW w:w="375" w:type="pct"/>
            <w:gridSpan w:val="2"/>
          </w:tcPr>
          <w:p>
            <w:pPr>
              <w:pStyle w:val="71"/>
              <w:spacing w:line="240" w:lineRule="exact"/>
              <w:jc w:val="center"/>
              <w:rPr>
                <w:color w:val="auto"/>
                <w:spacing w:val="-20"/>
                <w:sz w:val="24"/>
              </w:rPr>
            </w:pPr>
            <w:r>
              <w:rPr>
                <w:color w:val="auto"/>
                <w:spacing w:val="-20"/>
                <w:w w:val="90"/>
                <w:sz w:val="24"/>
              </w:rPr>
              <w:t>1200*800*20</w:t>
            </w:r>
          </w:p>
        </w:tc>
        <w:tc>
          <w:tcPr>
            <w:tcW w:w="380" w:type="pct"/>
          </w:tcPr>
          <w:p>
            <w:pPr>
              <w:pStyle w:val="71"/>
              <w:spacing w:line="240" w:lineRule="exact"/>
              <w:jc w:val="center"/>
              <w:rPr>
                <w:color w:val="auto"/>
                <w:spacing w:val="-20"/>
                <w:sz w:val="24"/>
              </w:rPr>
            </w:pPr>
            <w:r>
              <w:rPr>
                <w:color w:val="auto"/>
                <w:spacing w:val="-20"/>
                <w:w w:val="90"/>
                <w:sz w:val="24"/>
              </w:rPr>
              <w:t>1000*2100</w:t>
            </w:r>
          </w:p>
        </w:tc>
        <w:tc>
          <w:tcPr>
            <w:tcW w:w="378" w:type="pct"/>
          </w:tcPr>
          <w:p>
            <w:pPr>
              <w:pStyle w:val="71"/>
              <w:spacing w:line="240" w:lineRule="exact"/>
              <w:jc w:val="center"/>
              <w:rPr>
                <w:color w:val="auto"/>
                <w:spacing w:val="-20"/>
                <w:sz w:val="24"/>
              </w:rPr>
            </w:pPr>
            <w:r>
              <w:rPr>
                <w:color w:val="auto"/>
                <w:spacing w:val="-20"/>
                <w:w w:val="90"/>
                <w:sz w:val="24"/>
              </w:rPr>
              <w:t>1700*2300</w:t>
            </w:r>
          </w:p>
        </w:tc>
        <w:tc>
          <w:tcPr>
            <w:tcW w:w="330" w:type="pct"/>
          </w:tcPr>
          <w:p>
            <w:pPr>
              <w:pStyle w:val="71"/>
              <w:spacing w:line="240" w:lineRule="exact"/>
              <w:jc w:val="center"/>
              <w:rPr>
                <w:color w:val="auto"/>
                <w:spacing w:val="-20"/>
                <w:sz w:val="24"/>
              </w:rPr>
            </w:pPr>
            <w:r>
              <w:rPr>
                <w:color w:val="auto"/>
                <w:spacing w:val="-20"/>
                <w:w w:val="90"/>
                <w:sz w:val="24"/>
              </w:rPr>
              <w:t>1200*800*18</w:t>
            </w:r>
          </w:p>
        </w:tc>
        <w:tc>
          <w:tcPr>
            <w:tcW w:w="359" w:type="pct"/>
            <w:gridSpan w:val="2"/>
          </w:tcPr>
          <w:p>
            <w:pPr>
              <w:pStyle w:val="71"/>
              <w:spacing w:line="240" w:lineRule="exact"/>
              <w:jc w:val="center"/>
              <w:rPr>
                <w:color w:val="auto"/>
                <w:spacing w:val="-20"/>
                <w:sz w:val="24"/>
              </w:rPr>
            </w:pPr>
            <w:r>
              <w:rPr>
                <w:color w:val="auto"/>
                <w:spacing w:val="-20"/>
                <w:w w:val="80"/>
                <w:sz w:val="24"/>
              </w:rPr>
              <w:t>1000*2100</w:t>
            </w:r>
          </w:p>
        </w:tc>
        <w:tc>
          <w:tcPr>
            <w:tcW w:w="417" w:type="pct"/>
          </w:tcPr>
          <w:p>
            <w:pPr>
              <w:pStyle w:val="71"/>
              <w:spacing w:line="240" w:lineRule="exact"/>
              <w:jc w:val="center"/>
              <w:rPr>
                <w:color w:val="auto"/>
                <w:spacing w:val="-20"/>
                <w:sz w:val="24"/>
              </w:rPr>
            </w:pPr>
            <w:r>
              <w:rPr>
                <w:color w:val="auto"/>
                <w:spacing w:val="-20"/>
                <w:w w:val="80"/>
                <w:sz w:val="24"/>
              </w:rPr>
              <w:t>1700*2300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516" w:type="pct"/>
          </w:tcPr>
          <w:p>
            <w:pPr>
              <w:pStyle w:val="71"/>
              <w:spacing w:line="240" w:lineRule="exact"/>
              <w:jc w:val="center"/>
              <w:rPr>
                <w:color w:val="auto"/>
                <w:spacing w:val="-20"/>
                <w:sz w:val="24"/>
              </w:rPr>
            </w:pPr>
            <w:r>
              <w:rPr>
                <w:color w:val="auto"/>
                <w:spacing w:val="-20"/>
                <w:w w:val="90"/>
                <w:sz w:val="24"/>
              </w:rPr>
              <w:t>墙体留洞尺寸</w:t>
            </w:r>
          </w:p>
          <w:p>
            <w:pPr>
              <w:pStyle w:val="71"/>
              <w:spacing w:line="240" w:lineRule="exact"/>
              <w:jc w:val="center"/>
              <w:rPr>
                <w:color w:val="auto"/>
                <w:spacing w:val="-20"/>
                <w:sz w:val="24"/>
              </w:rPr>
            </w:pPr>
            <w:r>
              <w:rPr>
                <w:color w:val="auto"/>
                <w:spacing w:val="-20"/>
                <w:w w:val="90"/>
                <w:sz w:val="24"/>
              </w:rPr>
              <w:t>（mm)</w:t>
            </w:r>
          </w:p>
        </w:tc>
        <w:tc>
          <w:tcPr>
            <w:tcW w:w="374" w:type="pct"/>
          </w:tcPr>
          <w:p>
            <w:pPr>
              <w:pStyle w:val="71"/>
              <w:spacing w:line="240" w:lineRule="exact"/>
              <w:jc w:val="center"/>
              <w:rPr>
                <w:color w:val="auto"/>
                <w:spacing w:val="-20"/>
                <w:sz w:val="24"/>
              </w:rPr>
            </w:pPr>
            <w:r>
              <w:rPr>
                <w:color w:val="auto"/>
                <w:spacing w:val="-20"/>
                <w:w w:val="90"/>
                <w:sz w:val="24"/>
              </w:rPr>
              <w:t>820*620</w:t>
            </w:r>
          </w:p>
        </w:tc>
        <w:tc>
          <w:tcPr>
            <w:tcW w:w="373" w:type="pct"/>
            <w:gridSpan w:val="2"/>
          </w:tcPr>
          <w:p>
            <w:pPr>
              <w:pStyle w:val="71"/>
              <w:spacing w:line="240" w:lineRule="exact"/>
              <w:jc w:val="center"/>
              <w:rPr>
                <w:color w:val="auto"/>
                <w:spacing w:val="-20"/>
                <w:sz w:val="24"/>
              </w:rPr>
            </w:pPr>
            <w:r>
              <w:rPr>
                <w:color w:val="auto"/>
                <w:spacing w:val="-20"/>
                <w:w w:val="90"/>
                <w:sz w:val="24"/>
              </w:rPr>
              <w:t>1020*2120</w:t>
            </w:r>
          </w:p>
        </w:tc>
        <w:tc>
          <w:tcPr>
            <w:tcW w:w="376" w:type="pct"/>
          </w:tcPr>
          <w:p>
            <w:pPr>
              <w:pStyle w:val="71"/>
              <w:spacing w:line="240" w:lineRule="exact"/>
              <w:jc w:val="center"/>
              <w:rPr>
                <w:color w:val="auto"/>
                <w:spacing w:val="-20"/>
                <w:sz w:val="24"/>
              </w:rPr>
            </w:pPr>
            <w:r>
              <w:rPr>
                <w:color w:val="auto"/>
                <w:spacing w:val="-20"/>
                <w:w w:val="90"/>
                <w:sz w:val="24"/>
              </w:rPr>
              <w:t>1220*2120</w:t>
            </w:r>
          </w:p>
        </w:tc>
        <w:tc>
          <w:tcPr>
            <w:tcW w:w="376" w:type="pct"/>
            <w:gridSpan w:val="2"/>
          </w:tcPr>
          <w:p>
            <w:pPr>
              <w:pStyle w:val="71"/>
              <w:spacing w:line="240" w:lineRule="exact"/>
              <w:jc w:val="center"/>
              <w:rPr>
                <w:color w:val="auto"/>
                <w:spacing w:val="-20"/>
                <w:sz w:val="24"/>
              </w:rPr>
            </w:pPr>
            <w:r>
              <w:rPr>
                <w:color w:val="auto"/>
                <w:spacing w:val="-20"/>
                <w:w w:val="90"/>
                <w:sz w:val="24"/>
              </w:rPr>
              <w:t>镶嵌在门上</w:t>
            </w:r>
          </w:p>
        </w:tc>
        <w:tc>
          <w:tcPr>
            <w:tcW w:w="373" w:type="pct"/>
            <w:gridSpan w:val="2"/>
          </w:tcPr>
          <w:p>
            <w:pPr>
              <w:pStyle w:val="71"/>
              <w:spacing w:line="240" w:lineRule="exact"/>
              <w:jc w:val="center"/>
              <w:rPr>
                <w:color w:val="auto"/>
                <w:spacing w:val="-20"/>
                <w:sz w:val="24"/>
              </w:rPr>
            </w:pPr>
            <w:r>
              <w:rPr>
                <w:color w:val="auto"/>
                <w:spacing w:val="-20"/>
                <w:w w:val="80"/>
                <w:sz w:val="24"/>
              </w:rPr>
              <w:t>1020*2120</w:t>
            </w:r>
          </w:p>
        </w:tc>
        <w:tc>
          <w:tcPr>
            <w:tcW w:w="373" w:type="pct"/>
            <w:gridSpan w:val="2"/>
          </w:tcPr>
          <w:p>
            <w:pPr>
              <w:pStyle w:val="71"/>
              <w:spacing w:line="240" w:lineRule="exact"/>
              <w:jc w:val="center"/>
              <w:rPr>
                <w:color w:val="auto"/>
                <w:spacing w:val="-20"/>
                <w:sz w:val="24"/>
              </w:rPr>
            </w:pPr>
            <w:r>
              <w:rPr>
                <w:color w:val="auto"/>
                <w:spacing w:val="-20"/>
                <w:w w:val="82"/>
                <w:sz w:val="24"/>
              </w:rPr>
              <w:t>/</w:t>
            </w:r>
          </w:p>
        </w:tc>
        <w:tc>
          <w:tcPr>
            <w:tcW w:w="375" w:type="pct"/>
            <w:gridSpan w:val="2"/>
          </w:tcPr>
          <w:p>
            <w:pPr>
              <w:pStyle w:val="71"/>
              <w:spacing w:line="240" w:lineRule="exact"/>
              <w:jc w:val="center"/>
              <w:rPr>
                <w:color w:val="auto"/>
                <w:spacing w:val="-20"/>
                <w:sz w:val="24"/>
              </w:rPr>
            </w:pPr>
            <w:r>
              <w:rPr>
                <w:color w:val="auto"/>
                <w:spacing w:val="-20"/>
                <w:w w:val="90"/>
                <w:sz w:val="24"/>
              </w:rPr>
              <w:t>1220*820</w:t>
            </w:r>
          </w:p>
        </w:tc>
        <w:tc>
          <w:tcPr>
            <w:tcW w:w="380" w:type="pct"/>
          </w:tcPr>
          <w:p>
            <w:pPr>
              <w:pStyle w:val="71"/>
              <w:spacing w:line="240" w:lineRule="exact"/>
              <w:jc w:val="center"/>
              <w:rPr>
                <w:color w:val="auto"/>
                <w:spacing w:val="-20"/>
                <w:sz w:val="24"/>
              </w:rPr>
            </w:pPr>
            <w:r>
              <w:rPr>
                <w:color w:val="auto"/>
                <w:spacing w:val="-20"/>
                <w:w w:val="90"/>
                <w:sz w:val="24"/>
              </w:rPr>
              <w:t>1020*2120</w:t>
            </w:r>
          </w:p>
        </w:tc>
        <w:tc>
          <w:tcPr>
            <w:tcW w:w="378" w:type="pct"/>
          </w:tcPr>
          <w:p>
            <w:pPr>
              <w:pStyle w:val="71"/>
              <w:spacing w:line="240" w:lineRule="exact"/>
              <w:jc w:val="center"/>
              <w:rPr>
                <w:color w:val="auto"/>
                <w:spacing w:val="-20"/>
                <w:sz w:val="24"/>
              </w:rPr>
            </w:pPr>
            <w:r>
              <w:rPr>
                <w:color w:val="auto"/>
                <w:spacing w:val="-20"/>
                <w:w w:val="90"/>
                <w:sz w:val="24"/>
              </w:rPr>
              <w:t>1400*2100</w:t>
            </w:r>
          </w:p>
        </w:tc>
        <w:tc>
          <w:tcPr>
            <w:tcW w:w="330" w:type="pct"/>
          </w:tcPr>
          <w:p>
            <w:pPr>
              <w:pStyle w:val="71"/>
              <w:spacing w:line="240" w:lineRule="exact"/>
              <w:jc w:val="center"/>
              <w:rPr>
                <w:color w:val="auto"/>
                <w:spacing w:val="-20"/>
                <w:sz w:val="24"/>
              </w:rPr>
            </w:pPr>
            <w:r>
              <w:rPr>
                <w:color w:val="auto"/>
                <w:spacing w:val="-20"/>
                <w:w w:val="90"/>
                <w:sz w:val="24"/>
              </w:rPr>
              <w:t>1220*820</w:t>
            </w:r>
          </w:p>
        </w:tc>
        <w:tc>
          <w:tcPr>
            <w:tcW w:w="359" w:type="pct"/>
            <w:gridSpan w:val="2"/>
          </w:tcPr>
          <w:p>
            <w:pPr>
              <w:pStyle w:val="71"/>
              <w:spacing w:line="240" w:lineRule="exact"/>
              <w:jc w:val="center"/>
              <w:rPr>
                <w:color w:val="auto"/>
                <w:spacing w:val="-20"/>
                <w:sz w:val="24"/>
              </w:rPr>
            </w:pPr>
            <w:r>
              <w:rPr>
                <w:color w:val="auto"/>
                <w:spacing w:val="-20"/>
                <w:w w:val="80"/>
                <w:sz w:val="24"/>
              </w:rPr>
              <w:t>1020*2120</w:t>
            </w:r>
          </w:p>
        </w:tc>
        <w:tc>
          <w:tcPr>
            <w:tcW w:w="417" w:type="pct"/>
          </w:tcPr>
          <w:p>
            <w:pPr>
              <w:pStyle w:val="71"/>
              <w:spacing w:line="240" w:lineRule="exact"/>
              <w:jc w:val="center"/>
              <w:rPr>
                <w:color w:val="auto"/>
                <w:spacing w:val="-20"/>
                <w:sz w:val="24"/>
              </w:rPr>
            </w:pPr>
            <w:r>
              <w:rPr>
                <w:color w:val="auto"/>
                <w:spacing w:val="-20"/>
                <w:w w:val="80"/>
                <w:sz w:val="24"/>
              </w:rPr>
              <w:t>1400*2100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rPr>
        <w:tc>
          <w:tcPr>
            <w:tcW w:w="516" w:type="pct"/>
          </w:tcPr>
          <w:p>
            <w:pPr>
              <w:pStyle w:val="71"/>
              <w:spacing w:line="240" w:lineRule="exact"/>
              <w:jc w:val="center"/>
              <w:rPr>
                <w:color w:val="auto"/>
                <w:spacing w:val="-20"/>
                <w:sz w:val="24"/>
              </w:rPr>
            </w:pPr>
            <w:r>
              <w:rPr>
                <w:color w:val="auto"/>
                <w:spacing w:val="-20"/>
                <w:w w:val="80"/>
                <w:sz w:val="24"/>
              </w:rPr>
              <w:t>防护当量</w:t>
            </w:r>
          </w:p>
          <w:p>
            <w:pPr>
              <w:pStyle w:val="71"/>
              <w:spacing w:line="240" w:lineRule="exact"/>
              <w:jc w:val="center"/>
              <w:rPr>
                <w:color w:val="auto"/>
                <w:spacing w:val="-20"/>
                <w:sz w:val="24"/>
              </w:rPr>
            </w:pPr>
            <w:r>
              <w:rPr>
                <w:color w:val="auto"/>
                <w:spacing w:val="-20"/>
                <w:w w:val="85"/>
                <w:sz w:val="24"/>
              </w:rPr>
              <w:t>（mm pb)</w:t>
            </w:r>
          </w:p>
        </w:tc>
        <w:tc>
          <w:tcPr>
            <w:tcW w:w="374" w:type="pct"/>
          </w:tcPr>
          <w:p>
            <w:pPr>
              <w:pStyle w:val="71"/>
              <w:spacing w:line="240" w:lineRule="exact"/>
              <w:jc w:val="center"/>
              <w:rPr>
                <w:color w:val="auto"/>
                <w:spacing w:val="-20"/>
                <w:sz w:val="24"/>
              </w:rPr>
            </w:pPr>
            <w:r>
              <w:rPr>
                <w:color w:val="auto"/>
                <w:spacing w:val="-20"/>
                <w:w w:val="90"/>
                <w:sz w:val="24"/>
              </w:rPr>
              <w:t>2.0</w:t>
            </w:r>
          </w:p>
        </w:tc>
        <w:tc>
          <w:tcPr>
            <w:tcW w:w="373" w:type="pct"/>
            <w:gridSpan w:val="2"/>
          </w:tcPr>
          <w:p>
            <w:pPr>
              <w:pStyle w:val="71"/>
              <w:spacing w:line="240" w:lineRule="exact"/>
              <w:jc w:val="center"/>
              <w:rPr>
                <w:color w:val="auto"/>
                <w:spacing w:val="-20"/>
                <w:sz w:val="24"/>
              </w:rPr>
            </w:pPr>
            <w:r>
              <w:rPr>
                <w:color w:val="auto"/>
                <w:spacing w:val="-20"/>
                <w:w w:val="90"/>
                <w:sz w:val="24"/>
              </w:rPr>
              <w:t>2.0</w:t>
            </w:r>
          </w:p>
        </w:tc>
        <w:tc>
          <w:tcPr>
            <w:tcW w:w="376" w:type="pct"/>
          </w:tcPr>
          <w:p>
            <w:pPr>
              <w:pStyle w:val="71"/>
              <w:spacing w:line="240" w:lineRule="exact"/>
              <w:jc w:val="center"/>
              <w:rPr>
                <w:color w:val="auto"/>
                <w:spacing w:val="-20"/>
                <w:sz w:val="24"/>
              </w:rPr>
            </w:pPr>
            <w:r>
              <w:rPr>
                <w:color w:val="auto"/>
                <w:spacing w:val="-20"/>
                <w:w w:val="90"/>
                <w:sz w:val="24"/>
              </w:rPr>
              <w:t>2.0</w:t>
            </w:r>
          </w:p>
        </w:tc>
        <w:tc>
          <w:tcPr>
            <w:tcW w:w="376" w:type="pct"/>
            <w:gridSpan w:val="2"/>
          </w:tcPr>
          <w:p>
            <w:pPr>
              <w:pStyle w:val="71"/>
              <w:spacing w:line="240" w:lineRule="exact"/>
              <w:jc w:val="center"/>
              <w:rPr>
                <w:color w:val="auto"/>
                <w:spacing w:val="-20"/>
                <w:sz w:val="24"/>
              </w:rPr>
            </w:pPr>
            <w:r>
              <w:rPr>
                <w:color w:val="auto"/>
                <w:spacing w:val="-20"/>
                <w:w w:val="90"/>
                <w:sz w:val="24"/>
              </w:rPr>
              <w:t>2.5</w:t>
            </w:r>
          </w:p>
        </w:tc>
        <w:tc>
          <w:tcPr>
            <w:tcW w:w="373" w:type="pct"/>
            <w:gridSpan w:val="2"/>
          </w:tcPr>
          <w:p>
            <w:pPr>
              <w:pStyle w:val="71"/>
              <w:spacing w:line="240" w:lineRule="exact"/>
              <w:jc w:val="center"/>
              <w:rPr>
                <w:color w:val="auto"/>
                <w:spacing w:val="-20"/>
                <w:sz w:val="24"/>
              </w:rPr>
            </w:pPr>
            <w:r>
              <w:rPr>
                <w:color w:val="auto"/>
                <w:spacing w:val="-20"/>
                <w:w w:val="90"/>
                <w:sz w:val="24"/>
              </w:rPr>
              <w:t>2.5</w:t>
            </w:r>
          </w:p>
        </w:tc>
        <w:tc>
          <w:tcPr>
            <w:tcW w:w="373" w:type="pct"/>
            <w:gridSpan w:val="2"/>
          </w:tcPr>
          <w:p>
            <w:pPr>
              <w:pStyle w:val="71"/>
              <w:spacing w:line="240" w:lineRule="exact"/>
              <w:jc w:val="center"/>
              <w:rPr>
                <w:color w:val="auto"/>
                <w:spacing w:val="-20"/>
                <w:sz w:val="24"/>
              </w:rPr>
            </w:pPr>
            <w:r>
              <w:rPr>
                <w:color w:val="auto"/>
                <w:spacing w:val="-20"/>
                <w:w w:val="82"/>
                <w:sz w:val="24"/>
              </w:rPr>
              <w:t>/</w:t>
            </w:r>
          </w:p>
        </w:tc>
        <w:tc>
          <w:tcPr>
            <w:tcW w:w="375" w:type="pct"/>
            <w:gridSpan w:val="2"/>
          </w:tcPr>
          <w:p>
            <w:pPr>
              <w:pStyle w:val="71"/>
              <w:spacing w:line="240" w:lineRule="exact"/>
              <w:jc w:val="center"/>
              <w:rPr>
                <w:color w:val="auto"/>
                <w:spacing w:val="-20"/>
                <w:sz w:val="24"/>
              </w:rPr>
            </w:pPr>
            <w:r>
              <w:rPr>
                <w:color w:val="auto"/>
                <w:spacing w:val="-20"/>
                <w:w w:val="90"/>
                <w:sz w:val="24"/>
              </w:rPr>
              <w:t>4.0</w:t>
            </w:r>
          </w:p>
        </w:tc>
        <w:tc>
          <w:tcPr>
            <w:tcW w:w="380" w:type="pct"/>
          </w:tcPr>
          <w:p>
            <w:pPr>
              <w:pStyle w:val="71"/>
              <w:spacing w:line="240" w:lineRule="exact"/>
              <w:jc w:val="center"/>
              <w:rPr>
                <w:color w:val="auto"/>
                <w:spacing w:val="-20"/>
                <w:sz w:val="24"/>
              </w:rPr>
            </w:pPr>
            <w:r>
              <w:rPr>
                <w:color w:val="auto"/>
                <w:spacing w:val="-20"/>
                <w:w w:val="90"/>
                <w:sz w:val="24"/>
              </w:rPr>
              <w:t>4.0</w:t>
            </w:r>
          </w:p>
        </w:tc>
        <w:tc>
          <w:tcPr>
            <w:tcW w:w="378" w:type="pct"/>
          </w:tcPr>
          <w:p>
            <w:pPr>
              <w:pStyle w:val="71"/>
              <w:spacing w:line="240" w:lineRule="exact"/>
              <w:jc w:val="center"/>
              <w:rPr>
                <w:color w:val="auto"/>
                <w:spacing w:val="-20"/>
                <w:sz w:val="24"/>
              </w:rPr>
            </w:pPr>
            <w:r>
              <w:rPr>
                <w:color w:val="auto"/>
                <w:spacing w:val="-20"/>
                <w:w w:val="90"/>
                <w:sz w:val="24"/>
              </w:rPr>
              <w:t>4.0</w:t>
            </w:r>
          </w:p>
        </w:tc>
        <w:tc>
          <w:tcPr>
            <w:tcW w:w="330" w:type="pct"/>
          </w:tcPr>
          <w:p>
            <w:pPr>
              <w:pStyle w:val="71"/>
              <w:spacing w:line="240" w:lineRule="exact"/>
              <w:jc w:val="center"/>
              <w:rPr>
                <w:color w:val="auto"/>
                <w:spacing w:val="-20"/>
                <w:sz w:val="24"/>
              </w:rPr>
            </w:pPr>
            <w:r>
              <w:rPr>
                <w:color w:val="auto"/>
                <w:spacing w:val="-20"/>
                <w:w w:val="90"/>
                <w:sz w:val="24"/>
              </w:rPr>
              <w:t>3.5</w:t>
            </w:r>
          </w:p>
        </w:tc>
        <w:tc>
          <w:tcPr>
            <w:tcW w:w="359" w:type="pct"/>
            <w:gridSpan w:val="2"/>
          </w:tcPr>
          <w:p>
            <w:pPr>
              <w:pStyle w:val="71"/>
              <w:spacing w:line="240" w:lineRule="exact"/>
              <w:jc w:val="center"/>
              <w:rPr>
                <w:color w:val="auto"/>
                <w:spacing w:val="-20"/>
                <w:sz w:val="24"/>
              </w:rPr>
            </w:pPr>
            <w:r>
              <w:rPr>
                <w:color w:val="auto"/>
                <w:spacing w:val="-20"/>
                <w:w w:val="90"/>
                <w:sz w:val="24"/>
              </w:rPr>
              <w:t>3.5</w:t>
            </w:r>
          </w:p>
        </w:tc>
        <w:tc>
          <w:tcPr>
            <w:tcW w:w="417" w:type="pct"/>
          </w:tcPr>
          <w:p>
            <w:pPr>
              <w:pStyle w:val="71"/>
              <w:spacing w:line="240" w:lineRule="exact"/>
              <w:jc w:val="center"/>
              <w:rPr>
                <w:color w:val="auto"/>
                <w:spacing w:val="-20"/>
                <w:sz w:val="24"/>
              </w:rPr>
            </w:pPr>
            <w:r>
              <w:rPr>
                <w:color w:val="auto"/>
                <w:spacing w:val="-20"/>
                <w:w w:val="90"/>
                <w:sz w:val="24"/>
              </w:rPr>
              <w:t>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单位</w:t>
            </w:r>
          </w:p>
        </w:tc>
        <w:tc>
          <w:tcPr>
            <w:tcW w:w="374" w:type="pct"/>
          </w:tcPr>
          <w:p>
            <w:pPr>
              <w:pStyle w:val="71"/>
              <w:spacing w:line="240" w:lineRule="exact"/>
              <w:jc w:val="center"/>
              <w:rPr>
                <w:color w:val="auto"/>
                <w:spacing w:val="-20"/>
                <w:sz w:val="24"/>
              </w:rPr>
            </w:pPr>
            <w:r>
              <w:rPr>
                <w:color w:val="auto"/>
                <w:spacing w:val="-20"/>
                <w:w w:val="82"/>
                <w:sz w:val="24"/>
              </w:rPr>
              <w:t>套</w:t>
            </w:r>
          </w:p>
        </w:tc>
        <w:tc>
          <w:tcPr>
            <w:tcW w:w="373" w:type="pct"/>
            <w:gridSpan w:val="2"/>
          </w:tcPr>
          <w:p>
            <w:pPr>
              <w:pStyle w:val="71"/>
              <w:spacing w:line="240" w:lineRule="exact"/>
              <w:jc w:val="center"/>
              <w:rPr>
                <w:color w:val="auto"/>
                <w:spacing w:val="-20"/>
                <w:sz w:val="24"/>
              </w:rPr>
            </w:pPr>
            <w:r>
              <w:rPr>
                <w:color w:val="auto"/>
                <w:spacing w:val="-20"/>
                <w:w w:val="82"/>
                <w:sz w:val="24"/>
              </w:rPr>
              <w:t>樘</w:t>
            </w:r>
          </w:p>
        </w:tc>
        <w:tc>
          <w:tcPr>
            <w:tcW w:w="376" w:type="pct"/>
          </w:tcPr>
          <w:p>
            <w:pPr>
              <w:pStyle w:val="71"/>
              <w:spacing w:line="240" w:lineRule="exact"/>
              <w:jc w:val="center"/>
              <w:rPr>
                <w:color w:val="auto"/>
                <w:spacing w:val="-20"/>
                <w:sz w:val="24"/>
              </w:rPr>
            </w:pPr>
            <w:r>
              <w:rPr>
                <w:color w:val="auto"/>
                <w:spacing w:val="-20"/>
                <w:w w:val="82"/>
                <w:sz w:val="24"/>
              </w:rPr>
              <w:t>樘</w:t>
            </w:r>
          </w:p>
        </w:tc>
        <w:tc>
          <w:tcPr>
            <w:tcW w:w="376" w:type="pct"/>
            <w:gridSpan w:val="2"/>
          </w:tcPr>
          <w:p>
            <w:pPr>
              <w:pStyle w:val="71"/>
              <w:spacing w:line="240" w:lineRule="exact"/>
              <w:jc w:val="center"/>
              <w:rPr>
                <w:color w:val="auto"/>
                <w:spacing w:val="-20"/>
                <w:sz w:val="24"/>
              </w:rPr>
            </w:pPr>
            <w:r>
              <w:rPr>
                <w:color w:val="auto"/>
                <w:spacing w:val="-20"/>
                <w:w w:val="82"/>
                <w:sz w:val="24"/>
              </w:rPr>
              <w:t>套</w:t>
            </w:r>
          </w:p>
        </w:tc>
        <w:tc>
          <w:tcPr>
            <w:tcW w:w="373" w:type="pct"/>
            <w:gridSpan w:val="2"/>
          </w:tcPr>
          <w:p>
            <w:pPr>
              <w:pStyle w:val="71"/>
              <w:spacing w:line="240" w:lineRule="exact"/>
              <w:jc w:val="center"/>
              <w:rPr>
                <w:color w:val="auto"/>
                <w:spacing w:val="-20"/>
                <w:sz w:val="24"/>
              </w:rPr>
            </w:pPr>
            <w:r>
              <w:rPr>
                <w:color w:val="auto"/>
                <w:spacing w:val="-20"/>
                <w:w w:val="82"/>
                <w:sz w:val="24"/>
              </w:rPr>
              <w:t>樘</w:t>
            </w:r>
          </w:p>
        </w:tc>
        <w:tc>
          <w:tcPr>
            <w:tcW w:w="373" w:type="pct"/>
            <w:gridSpan w:val="2"/>
          </w:tcPr>
          <w:p>
            <w:pPr>
              <w:pStyle w:val="71"/>
              <w:spacing w:line="240" w:lineRule="exact"/>
              <w:jc w:val="center"/>
              <w:rPr>
                <w:color w:val="auto"/>
                <w:spacing w:val="-20"/>
                <w:sz w:val="24"/>
              </w:rPr>
            </w:pPr>
            <w:r>
              <w:rPr>
                <w:color w:val="auto"/>
                <w:spacing w:val="-20"/>
                <w:w w:val="82"/>
                <w:sz w:val="24"/>
              </w:rPr>
              <w:t>樘</w:t>
            </w:r>
          </w:p>
        </w:tc>
        <w:tc>
          <w:tcPr>
            <w:tcW w:w="375" w:type="pct"/>
            <w:gridSpan w:val="2"/>
          </w:tcPr>
          <w:p>
            <w:pPr>
              <w:pStyle w:val="71"/>
              <w:spacing w:line="240" w:lineRule="exact"/>
              <w:jc w:val="center"/>
              <w:rPr>
                <w:color w:val="auto"/>
                <w:spacing w:val="-20"/>
                <w:sz w:val="24"/>
              </w:rPr>
            </w:pPr>
            <w:r>
              <w:rPr>
                <w:color w:val="auto"/>
                <w:spacing w:val="-20"/>
                <w:w w:val="82"/>
                <w:sz w:val="24"/>
              </w:rPr>
              <w:t>套</w:t>
            </w:r>
          </w:p>
        </w:tc>
        <w:tc>
          <w:tcPr>
            <w:tcW w:w="380" w:type="pct"/>
          </w:tcPr>
          <w:p>
            <w:pPr>
              <w:pStyle w:val="71"/>
              <w:spacing w:line="240" w:lineRule="exact"/>
              <w:jc w:val="center"/>
              <w:rPr>
                <w:color w:val="auto"/>
                <w:spacing w:val="-20"/>
                <w:sz w:val="24"/>
              </w:rPr>
            </w:pPr>
            <w:r>
              <w:rPr>
                <w:color w:val="auto"/>
                <w:spacing w:val="-20"/>
                <w:w w:val="82"/>
                <w:sz w:val="24"/>
              </w:rPr>
              <w:t>樘</w:t>
            </w:r>
          </w:p>
        </w:tc>
        <w:tc>
          <w:tcPr>
            <w:tcW w:w="378" w:type="pct"/>
          </w:tcPr>
          <w:p>
            <w:pPr>
              <w:pStyle w:val="71"/>
              <w:spacing w:line="240" w:lineRule="exact"/>
              <w:jc w:val="center"/>
              <w:rPr>
                <w:color w:val="auto"/>
                <w:spacing w:val="-20"/>
                <w:sz w:val="24"/>
              </w:rPr>
            </w:pPr>
            <w:r>
              <w:rPr>
                <w:color w:val="auto"/>
                <w:spacing w:val="-20"/>
                <w:w w:val="82"/>
                <w:sz w:val="24"/>
              </w:rPr>
              <w:t>樘</w:t>
            </w:r>
          </w:p>
        </w:tc>
        <w:tc>
          <w:tcPr>
            <w:tcW w:w="330" w:type="pct"/>
          </w:tcPr>
          <w:p>
            <w:pPr>
              <w:pStyle w:val="71"/>
              <w:spacing w:line="240" w:lineRule="exact"/>
              <w:jc w:val="center"/>
              <w:rPr>
                <w:color w:val="auto"/>
                <w:spacing w:val="-20"/>
                <w:sz w:val="24"/>
              </w:rPr>
            </w:pPr>
            <w:r>
              <w:rPr>
                <w:color w:val="auto"/>
                <w:spacing w:val="-20"/>
                <w:w w:val="82"/>
                <w:sz w:val="24"/>
              </w:rPr>
              <w:t>套</w:t>
            </w:r>
          </w:p>
        </w:tc>
        <w:tc>
          <w:tcPr>
            <w:tcW w:w="359" w:type="pct"/>
            <w:gridSpan w:val="2"/>
          </w:tcPr>
          <w:p>
            <w:pPr>
              <w:pStyle w:val="71"/>
              <w:spacing w:line="240" w:lineRule="exact"/>
              <w:jc w:val="center"/>
              <w:rPr>
                <w:color w:val="auto"/>
                <w:spacing w:val="-20"/>
                <w:sz w:val="24"/>
              </w:rPr>
            </w:pPr>
            <w:r>
              <w:rPr>
                <w:color w:val="auto"/>
                <w:spacing w:val="-20"/>
                <w:w w:val="82"/>
                <w:sz w:val="24"/>
              </w:rPr>
              <w:t>樘</w:t>
            </w:r>
          </w:p>
        </w:tc>
        <w:tc>
          <w:tcPr>
            <w:tcW w:w="417" w:type="pct"/>
          </w:tcPr>
          <w:p>
            <w:pPr>
              <w:pStyle w:val="71"/>
              <w:spacing w:line="240" w:lineRule="exact"/>
              <w:jc w:val="center"/>
              <w:rPr>
                <w:color w:val="auto"/>
                <w:spacing w:val="-20"/>
                <w:sz w:val="24"/>
              </w:rPr>
            </w:pPr>
            <w:r>
              <w:rPr>
                <w:color w:val="auto"/>
                <w:spacing w:val="-20"/>
                <w:w w:val="82"/>
                <w:sz w:val="24"/>
              </w:rPr>
              <w:t>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 w:hRule="atLeast"/>
        </w:trPr>
        <w:tc>
          <w:tcPr>
            <w:tcW w:w="516" w:type="pct"/>
          </w:tcPr>
          <w:p>
            <w:pPr>
              <w:pStyle w:val="71"/>
              <w:spacing w:line="240" w:lineRule="exact"/>
              <w:jc w:val="center"/>
              <w:rPr>
                <w:color w:val="auto"/>
                <w:spacing w:val="-20"/>
                <w:sz w:val="24"/>
              </w:rPr>
            </w:pPr>
            <w:r>
              <w:rPr>
                <w:color w:val="auto"/>
                <w:spacing w:val="-20"/>
                <w:w w:val="90"/>
                <w:sz w:val="24"/>
              </w:rPr>
              <w:t>数量</w:t>
            </w:r>
          </w:p>
        </w:tc>
        <w:tc>
          <w:tcPr>
            <w:tcW w:w="374" w:type="pct"/>
          </w:tcPr>
          <w:p>
            <w:pPr>
              <w:pStyle w:val="71"/>
              <w:spacing w:line="240" w:lineRule="exact"/>
              <w:jc w:val="center"/>
              <w:rPr>
                <w:color w:val="auto"/>
                <w:spacing w:val="-20"/>
                <w:sz w:val="24"/>
              </w:rPr>
            </w:pPr>
            <w:r>
              <w:rPr>
                <w:color w:val="auto"/>
                <w:spacing w:val="-20"/>
                <w:w w:val="82"/>
                <w:sz w:val="24"/>
              </w:rPr>
              <w:t>1</w:t>
            </w:r>
          </w:p>
        </w:tc>
        <w:tc>
          <w:tcPr>
            <w:tcW w:w="373" w:type="pct"/>
            <w:gridSpan w:val="2"/>
          </w:tcPr>
          <w:p>
            <w:pPr>
              <w:pStyle w:val="71"/>
              <w:spacing w:line="240" w:lineRule="exact"/>
              <w:jc w:val="center"/>
              <w:rPr>
                <w:color w:val="auto"/>
                <w:spacing w:val="-20"/>
                <w:sz w:val="24"/>
              </w:rPr>
            </w:pPr>
            <w:r>
              <w:rPr>
                <w:color w:val="auto"/>
                <w:spacing w:val="-20"/>
                <w:w w:val="82"/>
                <w:sz w:val="24"/>
              </w:rPr>
              <w:t>1</w:t>
            </w:r>
          </w:p>
        </w:tc>
        <w:tc>
          <w:tcPr>
            <w:tcW w:w="376" w:type="pct"/>
          </w:tcPr>
          <w:p>
            <w:pPr>
              <w:pStyle w:val="71"/>
              <w:spacing w:line="240" w:lineRule="exact"/>
              <w:jc w:val="center"/>
              <w:rPr>
                <w:color w:val="auto"/>
                <w:spacing w:val="-20"/>
                <w:sz w:val="24"/>
              </w:rPr>
            </w:pPr>
            <w:r>
              <w:rPr>
                <w:color w:val="auto"/>
                <w:spacing w:val="-20"/>
                <w:w w:val="82"/>
                <w:sz w:val="24"/>
              </w:rPr>
              <w:t>1</w:t>
            </w:r>
          </w:p>
        </w:tc>
        <w:tc>
          <w:tcPr>
            <w:tcW w:w="376" w:type="pct"/>
            <w:gridSpan w:val="2"/>
          </w:tcPr>
          <w:p>
            <w:pPr>
              <w:pStyle w:val="71"/>
              <w:spacing w:line="240" w:lineRule="exact"/>
              <w:jc w:val="center"/>
              <w:rPr>
                <w:color w:val="auto"/>
                <w:spacing w:val="-20"/>
                <w:sz w:val="24"/>
              </w:rPr>
            </w:pPr>
            <w:r>
              <w:rPr>
                <w:color w:val="auto"/>
                <w:spacing w:val="-20"/>
                <w:w w:val="82"/>
                <w:sz w:val="24"/>
              </w:rPr>
              <w:t>1</w:t>
            </w:r>
          </w:p>
        </w:tc>
        <w:tc>
          <w:tcPr>
            <w:tcW w:w="373" w:type="pct"/>
            <w:gridSpan w:val="2"/>
          </w:tcPr>
          <w:p>
            <w:pPr>
              <w:pStyle w:val="71"/>
              <w:spacing w:line="240" w:lineRule="exact"/>
              <w:jc w:val="center"/>
              <w:rPr>
                <w:color w:val="auto"/>
                <w:spacing w:val="-20"/>
                <w:sz w:val="24"/>
              </w:rPr>
            </w:pPr>
            <w:r>
              <w:rPr>
                <w:color w:val="auto"/>
                <w:spacing w:val="-20"/>
                <w:w w:val="82"/>
                <w:sz w:val="24"/>
              </w:rPr>
              <w:t>1</w:t>
            </w:r>
          </w:p>
        </w:tc>
        <w:tc>
          <w:tcPr>
            <w:tcW w:w="373" w:type="pct"/>
            <w:gridSpan w:val="2"/>
          </w:tcPr>
          <w:p>
            <w:pPr>
              <w:pStyle w:val="71"/>
              <w:spacing w:line="240" w:lineRule="exact"/>
              <w:jc w:val="center"/>
              <w:rPr>
                <w:color w:val="auto"/>
                <w:spacing w:val="-20"/>
                <w:sz w:val="24"/>
              </w:rPr>
            </w:pPr>
            <w:r>
              <w:rPr>
                <w:color w:val="auto"/>
                <w:spacing w:val="-20"/>
                <w:w w:val="82"/>
                <w:sz w:val="24"/>
              </w:rPr>
              <w:t>0</w:t>
            </w:r>
          </w:p>
        </w:tc>
        <w:tc>
          <w:tcPr>
            <w:tcW w:w="375" w:type="pct"/>
            <w:gridSpan w:val="2"/>
          </w:tcPr>
          <w:p>
            <w:pPr>
              <w:pStyle w:val="71"/>
              <w:spacing w:line="240" w:lineRule="exact"/>
              <w:jc w:val="center"/>
              <w:rPr>
                <w:color w:val="auto"/>
                <w:spacing w:val="-20"/>
                <w:sz w:val="24"/>
              </w:rPr>
            </w:pPr>
            <w:r>
              <w:rPr>
                <w:color w:val="auto"/>
                <w:spacing w:val="-20"/>
                <w:w w:val="82"/>
                <w:sz w:val="24"/>
              </w:rPr>
              <w:t>1</w:t>
            </w:r>
          </w:p>
        </w:tc>
        <w:tc>
          <w:tcPr>
            <w:tcW w:w="380" w:type="pct"/>
          </w:tcPr>
          <w:p>
            <w:pPr>
              <w:pStyle w:val="71"/>
              <w:spacing w:line="240" w:lineRule="exact"/>
              <w:jc w:val="center"/>
              <w:rPr>
                <w:color w:val="auto"/>
                <w:spacing w:val="-20"/>
                <w:sz w:val="24"/>
              </w:rPr>
            </w:pPr>
            <w:r>
              <w:rPr>
                <w:color w:val="auto"/>
                <w:spacing w:val="-20"/>
                <w:w w:val="82"/>
                <w:sz w:val="24"/>
              </w:rPr>
              <w:t>1</w:t>
            </w:r>
          </w:p>
        </w:tc>
        <w:tc>
          <w:tcPr>
            <w:tcW w:w="378" w:type="pct"/>
          </w:tcPr>
          <w:p>
            <w:pPr>
              <w:pStyle w:val="71"/>
              <w:spacing w:line="240" w:lineRule="exact"/>
              <w:jc w:val="center"/>
              <w:rPr>
                <w:color w:val="auto"/>
                <w:spacing w:val="-20"/>
                <w:sz w:val="24"/>
              </w:rPr>
            </w:pPr>
            <w:r>
              <w:rPr>
                <w:color w:val="auto"/>
                <w:spacing w:val="-20"/>
                <w:w w:val="82"/>
                <w:sz w:val="24"/>
              </w:rPr>
              <w:t>1</w:t>
            </w:r>
          </w:p>
        </w:tc>
        <w:tc>
          <w:tcPr>
            <w:tcW w:w="330" w:type="pct"/>
          </w:tcPr>
          <w:p>
            <w:pPr>
              <w:pStyle w:val="71"/>
              <w:spacing w:line="240" w:lineRule="exact"/>
              <w:jc w:val="center"/>
              <w:rPr>
                <w:color w:val="auto"/>
                <w:spacing w:val="-20"/>
                <w:sz w:val="24"/>
              </w:rPr>
            </w:pPr>
            <w:r>
              <w:rPr>
                <w:color w:val="auto"/>
                <w:spacing w:val="-20"/>
                <w:w w:val="82"/>
                <w:sz w:val="24"/>
              </w:rPr>
              <w:t>1</w:t>
            </w:r>
          </w:p>
        </w:tc>
        <w:tc>
          <w:tcPr>
            <w:tcW w:w="359" w:type="pct"/>
            <w:gridSpan w:val="2"/>
          </w:tcPr>
          <w:p>
            <w:pPr>
              <w:pStyle w:val="71"/>
              <w:spacing w:line="240" w:lineRule="exact"/>
              <w:jc w:val="center"/>
              <w:rPr>
                <w:color w:val="auto"/>
                <w:spacing w:val="-20"/>
                <w:sz w:val="24"/>
              </w:rPr>
            </w:pPr>
            <w:r>
              <w:rPr>
                <w:color w:val="auto"/>
                <w:spacing w:val="-20"/>
                <w:w w:val="82"/>
                <w:sz w:val="24"/>
              </w:rPr>
              <w:t>1</w:t>
            </w:r>
          </w:p>
        </w:tc>
        <w:tc>
          <w:tcPr>
            <w:tcW w:w="417" w:type="pct"/>
          </w:tcPr>
          <w:p>
            <w:pPr>
              <w:pStyle w:val="71"/>
              <w:spacing w:line="240" w:lineRule="exact"/>
              <w:jc w:val="center"/>
              <w:rPr>
                <w:color w:val="auto"/>
                <w:spacing w:val="-20"/>
                <w:sz w:val="24"/>
              </w:rPr>
            </w:pPr>
            <w:r>
              <w:rPr>
                <w:color w:val="auto"/>
                <w:spacing w:val="-20"/>
                <w:w w:val="82"/>
                <w:sz w:val="24"/>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 w:hRule="atLeast"/>
        </w:trPr>
        <w:tc>
          <w:tcPr>
            <w:tcW w:w="516" w:type="pct"/>
          </w:tcPr>
          <w:p>
            <w:pPr>
              <w:pStyle w:val="71"/>
              <w:spacing w:line="240" w:lineRule="exact"/>
              <w:jc w:val="center"/>
              <w:rPr>
                <w:color w:val="auto"/>
                <w:spacing w:val="-20"/>
                <w:sz w:val="24"/>
              </w:rPr>
            </w:pPr>
            <w:r>
              <w:rPr>
                <w:color w:val="auto"/>
                <w:spacing w:val="-20"/>
                <w:w w:val="90"/>
                <w:sz w:val="24"/>
              </w:rPr>
              <w:t>专用防护套</w:t>
            </w:r>
          </w:p>
        </w:tc>
        <w:tc>
          <w:tcPr>
            <w:tcW w:w="374" w:type="pct"/>
          </w:tcPr>
          <w:p>
            <w:pPr>
              <w:pStyle w:val="71"/>
              <w:spacing w:line="240" w:lineRule="exact"/>
              <w:jc w:val="center"/>
              <w:rPr>
                <w:color w:val="auto"/>
                <w:spacing w:val="-20"/>
                <w:sz w:val="24"/>
              </w:rPr>
            </w:pPr>
            <w:r>
              <w:rPr>
                <w:color w:val="auto"/>
                <w:spacing w:val="-20"/>
                <w:w w:val="90"/>
                <w:sz w:val="24"/>
              </w:rPr>
              <w:t>304不锈钢</w:t>
            </w:r>
          </w:p>
        </w:tc>
        <w:tc>
          <w:tcPr>
            <w:tcW w:w="373" w:type="pct"/>
            <w:gridSpan w:val="2"/>
          </w:tcPr>
          <w:p>
            <w:pPr>
              <w:pStyle w:val="71"/>
              <w:spacing w:line="240" w:lineRule="exact"/>
              <w:jc w:val="center"/>
              <w:rPr>
                <w:color w:val="auto"/>
                <w:spacing w:val="-20"/>
                <w:sz w:val="24"/>
              </w:rPr>
            </w:pPr>
            <w:r>
              <w:rPr>
                <w:color w:val="auto"/>
                <w:spacing w:val="-20"/>
                <w:w w:val="90"/>
                <w:sz w:val="24"/>
              </w:rPr>
              <w:t>304不锈钢</w:t>
            </w:r>
          </w:p>
        </w:tc>
        <w:tc>
          <w:tcPr>
            <w:tcW w:w="376" w:type="pct"/>
          </w:tcPr>
          <w:p>
            <w:pPr>
              <w:pStyle w:val="71"/>
              <w:spacing w:line="240" w:lineRule="exact"/>
              <w:jc w:val="center"/>
              <w:rPr>
                <w:color w:val="auto"/>
                <w:spacing w:val="-20"/>
                <w:sz w:val="24"/>
              </w:rPr>
            </w:pPr>
            <w:r>
              <w:rPr>
                <w:color w:val="auto"/>
                <w:spacing w:val="-20"/>
                <w:w w:val="90"/>
                <w:sz w:val="24"/>
              </w:rPr>
              <w:t>304不锈钢</w:t>
            </w:r>
          </w:p>
        </w:tc>
        <w:tc>
          <w:tcPr>
            <w:tcW w:w="376" w:type="pct"/>
            <w:gridSpan w:val="2"/>
          </w:tcPr>
          <w:p>
            <w:pPr>
              <w:pStyle w:val="71"/>
              <w:spacing w:line="240" w:lineRule="exact"/>
              <w:jc w:val="center"/>
              <w:rPr>
                <w:color w:val="auto"/>
                <w:spacing w:val="-20"/>
                <w:sz w:val="24"/>
              </w:rPr>
            </w:pPr>
            <w:r>
              <w:rPr>
                <w:color w:val="auto"/>
                <w:spacing w:val="-20"/>
                <w:w w:val="90"/>
                <w:sz w:val="24"/>
              </w:rPr>
              <w:t>304不锈钢</w:t>
            </w:r>
          </w:p>
        </w:tc>
        <w:tc>
          <w:tcPr>
            <w:tcW w:w="373" w:type="pct"/>
            <w:gridSpan w:val="2"/>
          </w:tcPr>
          <w:p>
            <w:pPr>
              <w:pStyle w:val="71"/>
              <w:spacing w:line="240" w:lineRule="exact"/>
              <w:jc w:val="center"/>
              <w:rPr>
                <w:color w:val="auto"/>
                <w:spacing w:val="-20"/>
                <w:sz w:val="24"/>
              </w:rPr>
            </w:pPr>
            <w:r>
              <w:rPr>
                <w:color w:val="auto"/>
                <w:spacing w:val="-20"/>
                <w:w w:val="90"/>
                <w:sz w:val="24"/>
              </w:rPr>
              <w:t>304不锈钢</w:t>
            </w:r>
          </w:p>
        </w:tc>
        <w:tc>
          <w:tcPr>
            <w:tcW w:w="373" w:type="pct"/>
            <w:gridSpan w:val="2"/>
          </w:tcPr>
          <w:p>
            <w:pPr>
              <w:pStyle w:val="71"/>
              <w:spacing w:line="240" w:lineRule="exact"/>
              <w:jc w:val="center"/>
              <w:rPr>
                <w:color w:val="auto"/>
                <w:spacing w:val="-20"/>
                <w:sz w:val="24"/>
              </w:rPr>
            </w:pPr>
            <w:r>
              <w:rPr>
                <w:color w:val="auto"/>
                <w:spacing w:val="-20"/>
                <w:w w:val="90"/>
                <w:sz w:val="24"/>
              </w:rPr>
              <w:t>304不锈钢</w:t>
            </w:r>
          </w:p>
        </w:tc>
        <w:tc>
          <w:tcPr>
            <w:tcW w:w="375" w:type="pct"/>
            <w:gridSpan w:val="2"/>
          </w:tcPr>
          <w:p>
            <w:pPr>
              <w:pStyle w:val="71"/>
              <w:spacing w:line="240" w:lineRule="exact"/>
              <w:jc w:val="center"/>
              <w:rPr>
                <w:color w:val="auto"/>
                <w:spacing w:val="-20"/>
                <w:sz w:val="24"/>
              </w:rPr>
            </w:pPr>
            <w:r>
              <w:rPr>
                <w:color w:val="auto"/>
                <w:spacing w:val="-20"/>
                <w:w w:val="90"/>
                <w:sz w:val="24"/>
              </w:rPr>
              <w:t>304不锈钢</w:t>
            </w:r>
          </w:p>
        </w:tc>
        <w:tc>
          <w:tcPr>
            <w:tcW w:w="380" w:type="pct"/>
          </w:tcPr>
          <w:p>
            <w:pPr>
              <w:pStyle w:val="71"/>
              <w:spacing w:line="240" w:lineRule="exact"/>
              <w:jc w:val="center"/>
              <w:rPr>
                <w:color w:val="auto"/>
                <w:spacing w:val="-20"/>
                <w:sz w:val="24"/>
              </w:rPr>
            </w:pPr>
            <w:r>
              <w:rPr>
                <w:color w:val="auto"/>
                <w:spacing w:val="-20"/>
                <w:w w:val="90"/>
                <w:sz w:val="24"/>
              </w:rPr>
              <w:t>304不锈钢</w:t>
            </w:r>
          </w:p>
        </w:tc>
        <w:tc>
          <w:tcPr>
            <w:tcW w:w="378" w:type="pct"/>
          </w:tcPr>
          <w:p>
            <w:pPr>
              <w:pStyle w:val="71"/>
              <w:spacing w:line="240" w:lineRule="exact"/>
              <w:jc w:val="center"/>
              <w:rPr>
                <w:color w:val="auto"/>
                <w:spacing w:val="-20"/>
                <w:sz w:val="24"/>
              </w:rPr>
            </w:pPr>
            <w:r>
              <w:rPr>
                <w:color w:val="auto"/>
                <w:spacing w:val="-20"/>
                <w:w w:val="90"/>
                <w:sz w:val="24"/>
              </w:rPr>
              <w:t>304不锈钢</w:t>
            </w:r>
          </w:p>
        </w:tc>
        <w:tc>
          <w:tcPr>
            <w:tcW w:w="330" w:type="pct"/>
          </w:tcPr>
          <w:p>
            <w:pPr>
              <w:pStyle w:val="71"/>
              <w:spacing w:line="240" w:lineRule="exact"/>
              <w:jc w:val="center"/>
              <w:rPr>
                <w:color w:val="auto"/>
                <w:spacing w:val="-20"/>
                <w:sz w:val="24"/>
              </w:rPr>
            </w:pPr>
            <w:r>
              <w:rPr>
                <w:color w:val="auto"/>
                <w:spacing w:val="-20"/>
                <w:w w:val="90"/>
                <w:sz w:val="24"/>
              </w:rPr>
              <w:t>304不锈钢</w:t>
            </w:r>
          </w:p>
        </w:tc>
        <w:tc>
          <w:tcPr>
            <w:tcW w:w="359" w:type="pct"/>
            <w:gridSpan w:val="2"/>
          </w:tcPr>
          <w:p>
            <w:pPr>
              <w:pStyle w:val="71"/>
              <w:spacing w:line="240" w:lineRule="exact"/>
              <w:jc w:val="center"/>
              <w:rPr>
                <w:color w:val="auto"/>
                <w:spacing w:val="-20"/>
                <w:sz w:val="24"/>
              </w:rPr>
            </w:pPr>
            <w:r>
              <w:rPr>
                <w:color w:val="auto"/>
                <w:spacing w:val="-20"/>
                <w:w w:val="90"/>
                <w:sz w:val="24"/>
              </w:rPr>
              <w:t>304不锈钢</w:t>
            </w:r>
          </w:p>
        </w:tc>
        <w:tc>
          <w:tcPr>
            <w:tcW w:w="417" w:type="pct"/>
          </w:tcPr>
          <w:p>
            <w:pPr>
              <w:pStyle w:val="71"/>
              <w:spacing w:line="240" w:lineRule="exact"/>
              <w:jc w:val="center"/>
              <w:rPr>
                <w:color w:val="auto"/>
                <w:spacing w:val="-20"/>
                <w:sz w:val="24"/>
              </w:rPr>
            </w:pPr>
            <w:r>
              <w:rPr>
                <w:color w:val="auto"/>
                <w:spacing w:val="-20"/>
                <w:w w:val="90"/>
                <w:sz w:val="24"/>
              </w:rPr>
              <w:t>304不锈钢</w:t>
            </w:r>
          </w:p>
        </w:tc>
      </w:tr>
    </w:tbl>
    <w:p>
      <w:pPr>
        <w:pStyle w:val="13"/>
        <w:spacing w:before="6"/>
        <w:rPr>
          <w:color w:val="auto"/>
          <w:sz w:val="17"/>
        </w:rPr>
      </w:pPr>
    </w:p>
    <w:p>
      <w:pPr>
        <w:rPr>
          <w:color w:val="auto"/>
        </w:rPr>
      </w:pPr>
    </w:p>
    <w:p>
      <w:pPr>
        <w:pStyle w:val="13"/>
        <w:spacing w:line="951" w:lineRule="exact"/>
        <w:ind w:left="3516" w:right="3355"/>
        <w:jc w:val="center"/>
        <w:rPr>
          <w:rFonts w:ascii="宋体" w:hAnsi="宋体"/>
          <w:color w:val="auto"/>
          <w:sz w:val="30"/>
          <w:szCs w:val="30"/>
        </w:rPr>
      </w:pPr>
      <w:r>
        <w:rPr>
          <w:rFonts w:ascii="宋体" w:hAnsi="宋体" w:cs="宋体"/>
          <w:color w:val="auto"/>
          <w:szCs w:val="21"/>
        </w:rPr>
        <w:br w:type="page"/>
      </w:r>
      <w:r>
        <w:rPr>
          <w:rFonts w:ascii="宋体" w:hAnsi="宋体"/>
          <w:color w:val="auto"/>
          <w:w w:val="90"/>
          <w:sz w:val="30"/>
          <w:szCs w:val="30"/>
        </w:rPr>
        <w:t>放射防护</w:t>
      </w:r>
      <w:r>
        <w:rPr>
          <w:rFonts w:hint="eastAsia" w:ascii="宋体" w:hAnsi="宋体"/>
          <w:color w:val="auto"/>
          <w:w w:val="90"/>
          <w:sz w:val="30"/>
          <w:szCs w:val="30"/>
        </w:rPr>
        <w:t>-</w:t>
      </w:r>
      <w:r>
        <w:rPr>
          <w:rFonts w:ascii="宋体" w:hAnsi="宋体"/>
          <w:color w:val="auto"/>
          <w:w w:val="90"/>
          <w:sz w:val="30"/>
          <w:szCs w:val="30"/>
        </w:rPr>
        <w:t>四周防护材料表</w:t>
      </w:r>
    </w:p>
    <w:p>
      <w:pPr>
        <w:pStyle w:val="13"/>
        <w:spacing w:before="12"/>
        <w:rPr>
          <w:color w:val="auto"/>
          <w:sz w:val="14"/>
        </w:rPr>
      </w:pPr>
    </w:p>
    <w:tbl>
      <w:tblPr>
        <w:tblStyle w:val="37"/>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850"/>
        <w:gridCol w:w="2409"/>
        <w:gridCol w:w="2552"/>
        <w:gridCol w:w="2552"/>
        <w:gridCol w:w="2267"/>
        <w:gridCol w:w="23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411" w:lineRule="exact"/>
              <w:ind w:left="443"/>
              <w:rPr>
                <w:rFonts w:ascii="宋体" w:hAnsi="宋体"/>
                <w:color w:val="auto"/>
                <w:spacing w:val="-20"/>
                <w:szCs w:val="21"/>
              </w:rPr>
            </w:pPr>
            <w:r>
              <w:rPr>
                <w:rFonts w:ascii="宋体" w:hAnsi="宋体"/>
                <w:color w:val="auto"/>
                <w:spacing w:val="-20"/>
                <w:w w:val="80"/>
                <w:szCs w:val="21"/>
              </w:rPr>
              <w:t>机房名称</w:t>
            </w:r>
          </w:p>
        </w:tc>
        <w:tc>
          <w:tcPr>
            <w:tcW w:w="862" w:type="pct"/>
          </w:tcPr>
          <w:p>
            <w:pPr>
              <w:pStyle w:val="71"/>
              <w:spacing w:line="380" w:lineRule="exact"/>
              <w:ind w:left="283"/>
              <w:rPr>
                <w:rFonts w:ascii="宋体" w:hAnsi="宋体"/>
                <w:color w:val="auto"/>
                <w:spacing w:val="-20"/>
                <w:szCs w:val="21"/>
              </w:rPr>
            </w:pPr>
            <w:r>
              <w:rPr>
                <w:rFonts w:ascii="宋体" w:hAnsi="宋体"/>
                <w:color w:val="auto"/>
                <w:spacing w:val="-20"/>
                <w:w w:val="70"/>
                <w:szCs w:val="21"/>
              </w:rPr>
              <w:t>模拟定位CT机房（地下一层）</w:t>
            </w:r>
          </w:p>
        </w:tc>
        <w:tc>
          <w:tcPr>
            <w:tcW w:w="913" w:type="pct"/>
          </w:tcPr>
          <w:p>
            <w:pPr>
              <w:pStyle w:val="71"/>
              <w:spacing w:line="380" w:lineRule="exact"/>
              <w:ind w:left="607"/>
              <w:rPr>
                <w:rFonts w:ascii="宋体" w:hAnsi="宋体"/>
                <w:color w:val="auto"/>
                <w:spacing w:val="-20"/>
                <w:szCs w:val="21"/>
              </w:rPr>
            </w:pPr>
            <w:r>
              <w:rPr>
                <w:rFonts w:ascii="宋体" w:hAnsi="宋体"/>
                <w:color w:val="auto"/>
                <w:spacing w:val="-20"/>
                <w:w w:val="70"/>
                <w:szCs w:val="21"/>
              </w:rPr>
              <w:t>CT机房1（一层影像中心）</w:t>
            </w:r>
          </w:p>
        </w:tc>
        <w:tc>
          <w:tcPr>
            <w:tcW w:w="913" w:type="pct"/>
          </w:tcPr>
          <w:p>
            <w:pPr>
              <w:pStyle w:val="71"/>
              <w:spacing w:line="380" w:lineRule="exact"/>
              <w:ind w:left="605"/>
              <w:rPr>
                <w:rFonts w:ascii="宋体" w:hAnsi="宋体"/>
                <w:color w:val="auto"/>
                <w:spacing w:val="-20"/>
                <w:szCs w:val="21"/>
              </w:rPr>
            </w:pPr>
            <w:r>
              <w:rPr>
                <w:rFonts w:ascii="宋体" w:hAnsi="宋体"/>
                <w:color w:val="auto"/>
                <w:spacing w:val="-20"/>
                <w:w w:val="70"/>
                <w:szCs w:val="21"/>
              </w:rPr>
              <w:t>CT机房2（一层影像中心）</w:t>
            </w:r>
          </w:p>
        </w:tc>
        <w:tc>
          <w:tcPr>
            <w:tcW w:w="811" w:type="pct"/>
          </w:tcPr>
          <w:p>
            <w:pPr>
              <w:pStyle w:val="71"/>
              <w:spacing w:line="380" w:lineRule="exact"/>
              <w:ind w:left="499"/>
              <w:rPr>
                <w:rFonts w:ascii="宋体" w:hAnsi="宋体"/>
                <w:color w:val="auto"/>
                <w:spacing w:val="-20"/>
                <w:szCs w:val="21"/>
              </w:rPr>
            </w:pPr>
            <w:r>
              <w:rPr>
                <w:rFonts w:ascii="宋体" w:hAnsi="宋体"/>
                <w:color w:val="auto"/>
                <w:spacing w:val="-20"/>
                <w:w w:val="75"/>
                <w:szCs w:val="21"/>
              </w:rPr>
              <w:t>CT机房3（一层影像中心）</w:t>
            </w:r>
          </w:p>
        </w:tc>
        <w:tc>
          <w:tcPr>
            <w:tcW w:w="839" w:type="pct"/>
          </w:tcPr>
          <w:p>
            <w:pPr>
              <w:pStyle w:val="71"/>
              <w:spacing w:line="380" w:lineRule="exact"/>
              <w:ind w:left="499"/>
              <w:rPr>
                <w:rFonts w:ascii="宋体" w:hAnsi="宋体"/>
                <w:color w:val="auto"/>
                <w:spacing w:val="-20"/>
                <w:szCs w:val="21"/>
              </w:rPr>
            </w:pPr>
            <w:r>
              <w:rPr>
                <w:rFonts w:ascii="宋体" w:hAnsi="宋体"/>
                <w:color w:val="auto"/>
                <w:spacing w:val="-20"/>
                <w:w w:val="75"/>
                <w:szCs w:val="21"/>
              </w:rPr>
              <w:t>DR机房1（一层影像中心）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6" w:lineRule="exact"/>
              <w:ind w:left="484"/>
              <w:rPr>
                <w:rFonts w:ascii="宋体" w:hAnsi="宋体"/>
                <w:color w:val="auto"/>
                <w:spacing w:val="-20"/>
                <w:szCs w:val="21"/>
              </w:rPr>
            </w:pPr>
            <w:r>
              <w:rPr>
                <w:rFonts w:ascii="宋体" w:hAnsi="宋体"/>
                <w:color w:val="auto"/>
                <w:spacing w:val="-20"/>
                <w:w w:val="80"/>
                <w:szCs w:val="21"/>
              </w:rPr>
              <w:t>墙体材料</w:t>
            </w:r>
          </w:p>
        </w:tc>
        <w:tc>
          <w:tcPr>
            <w:tcW w:w="862" w:type="pct"/>
          </w:tcPr>
          <w:p>
            <w:pPr>
              <w:pStyle w:val="71"/>
              <w:spacing w:line="411" w:lineRule="exact"/>
              <w:ind w:left="832"/>
              <w:rPr>
                <w:rFonts w:ascii="宋体" w:hAnsi="宋体"/>
                <w:color w:val="auto"/>
                <w:spacing w:val="-20"/>
                <w:szCs w:val="21"/>
              </w:rPr>
            </w:pPr>
            <w:r>
              <w:rPr>
                <w:rFonts w:ascii="宋体" w:hAnsi="宋体"/>
                <w:color w:val="auto"/>
                <w:spacing w:val="-20"/>
                <w:w w:val="80"/>
                <w:szCs w:val="21"/>
              </w:rPr>
              <w:t>240mm实心砖墙</w:t>
            </w:r>
          </w:p>
        </w:tc>
        <w:tc>
          <w:tcPr>
            <w:tcW w:w="913" w:type="pct"/>
          </w:tcPr>
          <w:p>
            <w:pPr>
              <w:pStyle w:val="71"/>
              <w:spacing w:line="408" w:lineRule="exact"/>
              <w:ind w:left="851"/>
              <w:rPr>
                <w:rFonts w:ascii="宋体" w:hAnsi="宋体"/>
                <w:color w:val="auto"/>
                <w:spacing w:val="-20"/>
                <w:szCs w:val="21"/>
              </w:rPr>
            </w:pPr>
            <w:r>
              <w:rPr>
                <w:rFonts w:ascii="宋体" w:hAnsi="宋体"/>
                <w:color w:val="auto"/>
                <w:spacing w:val="-20"/>
                <w:w w:val="80"/>
                <w:szCs w:val="21"/>
              </w:rPr>
              <w:t>200mm轻质砖墙</w:t>
            </w:r>
          </w:p>
        </w:tc>
        <w:tc>
          <w:tcPr>
            <w:tcW w:w="913" w:type="pct"/>
          </w:tcPr>
          <w:p>
            <w:pPr>
              <w:pStyle w:val="71"/>
              <w:spacing w:line="411" w:lineRule="exact"/>
              <w:ind w:left="811"/>
              <w:rPr>
                <w:rFonts w:ascii="宋体" w:hAnsi="宋体"/>
                <w:color w:val="auto"/>
                <w:spacing w:val="-20"/>
                <w:szCs w:val="21"/>
              </w:rPr>
            </w:pPr>
            <w:r>
              <w:rPr>
                <w:rFonts w:ascii="宋体" w:hAnsi="宋体"/>
                <w:color w:val="auto"/>
                <w:spacing w:val="-20"/>
                <w:w w:val="80"/>
                <w:szCs w:val="21"/>
              </w:rPr>
              <w:t>200mm轻质砖墙</w:t>
            </w:r>
          </w:p>
        </w:tc>
        <w:tc>
          <w:tcPr>
            <w:tcW w:w="811" w:type="pct"/>
          </w:tcPr>
          <w:p>
            <w:pPr>
              <w:pStyle w:val="71"/>
              <w:spacing w:line="411" w:lineRule="exact"/>
              <w:ind w:left="873"/>
              <w:rPr>
                <w:rFonts w:ascii="宋体" w:hAnsi="宋体"/>
                <w:color w:val="auto"/>
                <w:spacing w:val="-20"/>
                <w:szCs w:val="21"/>
              </w:rPr>
            </w:pPr>
            <w:r>
              <w:rPr>
                <w:rFonts w:ascii="宋体" w:hAnsi="宋体"/>
                <w:color w:val="auto"/>
                <w:spacing w:val="-20"/>
                <w:w w:val="80"/>
                <w:szCs w:val="21"/>
              </w:rPr>
              <w:t>200mm轻质砖墙</w:t>
            </w:r>
          </w:p>
        </w:tc>
        <w:tc>
          <w:tcPr>
            <w:tcW w:w="839" w:type="pct"/>
          </w:tcPr>
          <w:p>
            <w:pPr>
              <w:pStyle w:val="71"/>
              <w:spacing w:line="398" w:lineRule="exact"/>
              <w:ind w:left="844"/>
              <w:rPr>
                <w:rFonts w:ascii="宋体" w:hAnsi="宋体"/>
                <w:color w:val="auto"/>
                <w:spacing w:val="-20"/>
                <w:szCs w:val="21"/>
              </w:rPr>
            </w:pPr>
            <w:r>
              <w:rPr>
                <w:rFonts w:ascii="宋体" w:hAnsi="宋体"/>
                <w:color w:val="auto"/>
                <w:spacing w:val="-20"/>
                <w:w w:val="80"/>
                <w:szCs w:val="21"/>
              </w:rPr>
              <w:t>200mm轻质砖墙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411" w:lineRule="exact"/>
              <w:ind w:left="572" w:right="637"/>
              <w:jc w:val="center"/>
              <w:rPr>
                <w:rFonts w:ascii="宋体" w:hAnsi="宋体"/>
                <w:color w:val="auto"/>
                <w:spacing w:val="-20"/>
                <w:szCs w:val="21"/>
              </w:rPr>
            </w:pPr>
            <w:r>
              <w:rPr>
                <w:rFonts w:ascii="宋体" w:hAnsi="宋体"/>
                <w:color w:val="auto"/>
                <w:spacing w:val="-20"/>
                <w:w w:val="80"/>
                <w:szCs w:val="21"/>
              </w:rPr>
              <w:t>东墙</w:t>
            </w:r>
          </w:p>
        </w:tc>
        <w:tc>
          <w:tcPr>
            <w:tcW w:w="862" w:type="pct"/>
          </w:tcPr>
          <w:p>
            <w:pPr>
              <w:pStyle w:val="71"/>
              <w:spacing w:line="394" w:lineRule="exact"/>
              <w:ind w:left="813"/>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1"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913" w:type="pct"/>
          </w:tcPr>
          <w:p>
            <w:pPr>
              <w:pStyle w:val="71"/>
              <w:spacing w:line="392" w:lineRule="exact"/>
              <w:ind w:left="388"/>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a:picLocks noChangeAspect="1" noChangeArrowheads="1"/>
                          </pic:cNvPicPr>
                        </pic:nvPicPr>
                        <pic:blipFill>
                          <a:blip r:embed="rId12"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防辐射涂料+3mmpb铅板</w:t>
            </w:r>
          </w:p>
        </w:tc>
        <w:tc>
          <w:tcPr>
            <w:tcW w:w="913" w:type="pct"/>
          </w:tcPr>
          <w:p>
            <w:pPr>
              <w:pStyle w:val="71"/>
              <w:spacing w:before="1"/>
              <w:ind w:left="367"/>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pic:cNvPicPr>
                            <a:picLocks noChangeAspect="1" noChangeArrowheads="1"/>
                          </pic:cNvPicPr>
                        </pic:nvPicPr>
                        <pic:blipFill>
                          <a:blip r:embed="rId13"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防辐射涂料+3mmpb铅板</w:t>
            </w:r>
          </w:p>
        </w:tc>
        <w:tc>
          <w:tcPr>
            <w:tcW w:w="811" w:type="pct"/>
          </w:tcPr>
          <w:p>
            <w:pPr>
              <w:pStyle w:val="71"/>
              <w:spacing w:line="384" w:lineRule="exact"/>
              <w:ind w:right="185"/>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a:picLocks noChangeAspect="1" noChangeArrowheads="1"/>
                          </pic:cNvPicPr>
                        </pic:nvPicPr>
                        <pic:blipFill>
                          <a:blip r:embed="rId14"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防辐射涂料+3mmpb铅板</w:t>
            </w:r>
          </w:p>
        </w:tc>
        <w:tc>
          <w:tcPr>
            <w:tcW w:w="839" w:type="pct"/>
          </w:tcPr>
          <w:p>
            <w:pPr>
              <w:pStyle w:val="71"/>
              <w:spacing w:line="380" w:lineRule="exact"/>
              <w:ind w:right="127"/>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png"/>
                          <pic:cNvPicPr>
                            <a:picLocks noChangeAspect="1" noChangeArrowheads="1"/>
                          </pic:cNvPicPr>
                        </pic:nvPicPr>
                        <pic:blipFill>
                          <a:blip r:embed="rId15"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防辐射涂料+2.5mmpb铅板</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jc w:val="center"/>
        </w:trPr>
        <w:tc>
          <w:tcPr>
            <w:tcW w:w="662" w:type="pct"/>
          </w:tcPr>
          <w:p>
            <w:pPr>
              <w:pStyle w:val="71"/>
              <w:spacing w:before="23" w:line="391" w:lineRule="exact"/>
              <w:ind w:left="558" w:right="637"/>
              <w:jc w:val="center"/>
              <w:rPr>
                <w:rFonts w:ascii="宋体" w:hAnsi="宋体"/>
                <w:color w:val="auto"/>
                <w:spacing w:val="-20"/>
                <w:szCs w:val="21"/>
              </w:rPr>
            </w:pPr>
            <w:r>
              <w:rPr>
                <w:rFonts w:ascii="宋体" w:hAnsi="宋体"/>
                <w:color w:val="auto"/>
                <w:spacing w:val="-20"/>
                <w:w w:val="80"/>
                <w:szCs w:val="21"/>
              </w:rPr>
              <w:t>南墙</w:t>
            </w:r>
          </w:p>
        </w:tc>
        <w:tc>
          <w:tcPr>
            <w:tcW w:w="862" w:type="pct"/>
          </w:tcPr>
          <w:p>
            <w:pPr>
              <w:pStyle w:val="71"/>
              <w:spacing w:before="1"/>
              <w:ind w:left="815"/>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6"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a:picLocks noChangeAspect="1" noChangeArrowheads="1"/>
                          </pic:cNvPicPr>
                        </pic:nvPicPr>
                        <pic:blipFill>
                          <a:blip r:embed="rId16"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913" w:type="pct"/>
          </w:tcPr>
          <w:p>
            <w:pPr>
              <w:pStyle w:val="71"/>
              <w:spacing w:line="389" w:lineRule="exact"/>
              <w:ind w:left="395"/>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png"/>
                          <pic:cNvPicPr>
                            <a:picLocks noChangeAspect="1" noChangeArrowheads="1"/>
                          </pic:cNvPicPr>
                        </pic:nvPicPr>
                        <pic:blipFill>
                          <a:blip r:embed="rId17"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防辐射涂料+3mmpb铅板</w:t>
            </w:r>
          </w:p>
        </w:tc>
        <w:tc>
          <w:tcPr>
            <w:tcW w:w="913" w:type="pct"/>
          </w:tcPr>
          <w:p>
            <w:pPr>
              <w:pStyle w:val="71"/>
              <w:spacing w:before="1"/>
              <w:ind w:left="372"/>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8"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png"/>
                          <pic:cNvPicPr>
                            <a:picLocks noChangeAspect="1" noChangeArrowheads="1"/>
                          </pic:cNvPicPr>
                        </pic:nvPicPr>
                        <pic:blipFill>
                          <a:blip r:embed="rId18"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防辐射涂料+3mmpb铅板</w:t>
            </w:r>
          </w:p>
        </w:tc>
        <w:tc>
          <w:tcPr>
            <w:tcW w:w="811" w:type="pct"/>
          </w:tcPr>
          <w:p>
            <w:pPr>
              <w:pStyle w:val="71"/>
              <w:spacing w:line="382" w:lineRule="exact"/>
              <w:ind w:right="180"/>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png"/>
                          <pic:cNvPicPr>
                            <a:picLocks noChangeAspect="1" noChangeArrowheads="1"/>
                          </pic:cNvPicPr>
                        </pic:nvPicPr>
                        <pic:blipFill>
                          <a:blip r:embed="rId19"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防辐射涂料+3mmpb铅板</w:t>
            </w:r>
          </w:p>
        </w:tc>
        <w:tc>
          <w:tcPr>
            <w:tcW w:w="839" w:type="pct"/>
          </w:tcPr>
          <w:p>
            <w:pPr>
              <w:pStyle w:val="71"/>
              <w:spacing w:line="380" w:lineRule="exact"/>
              <w:ind w:right="124"/>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10"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png"/>
                          <pic:cNvPicPr>
                            <a:picLocks noChangeAspect="1" noChangeArrowheads="1"/>
                          </pic:cNvPicPr>
                        </pic:nvPicPr>
                        <pic:blipFill>
                          <a:blip r:embed="rId20"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防辐射涂料+2.5mmpb铅板</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6" w:lineRule="exact"/>
              <w:ind w:left="568" w:right="637"/>
              <w:jc w:val="center"/>
              <w:rPr>
                <w:rFonts w:ascii="宋体" w:hAnsi="宋体"/>
                <w:color w:val="auto"/>
                <w:spacing w:val="-20"/>
                <w:szCs w:val="21"/>
              </w:rPr>
            </w:pPr>
            <w:r>
              <w:rPr>
                <w:rFonts w:ascii="宋体" w:hAnsi="宋体"/>
                <w:color w:val="auto"/>
                <w:spacing w:val="-20"/>
                <w:w w:val="80"/>
                <w:szCs w:val="21"/>
              </w:rPr>
              <w:t>西墙</w:t>
            </w:r>
          </w:p>
        </w:tc>
        <w:tc>
          <w:tcPr>
            <w:tcW w:w="862" w:type="pct"/>
          </w:tcPr>
          <w:p>
            <w:pPr>
              <w:pStyle w:val="71"/>
              <w:spacing w:before="37" w:line="374" w:lineRule="exact"/>
              <w:ind w:left="815"/>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1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png"/>
                          <pic:cNvPicPr>
                            <a:picLocks noChangeAspect="1" noChangeArrowheads="1"/>
                          </pic:cNvPicPr>
                        </pic:nvPicPr>
                        <pic:blipFill>
                          <a:blip r:embed="rId21"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913" w:type="pct"/>
          </w:tcPr>
          <w:p>
            <w:pPr>
              <w:pStyle w:val="71"/>
              <w:spacing w:before="18" w:line="393" w:lineRule="exact"/>
              <w:ind w:left="383"/>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12"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png"/>
                          <pic:cNvPicPr>
                            <a:picLocks noChangeAspect="1" noChangeArrowheads="1"/>
                          </pic:cNvPicPr>
                        </pic:nvPicPr>
                        <pic:blipFill>
                          <a:blip r:embed="rId22"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防辐射涂料+3mmpb铅板</w:t>
            </w:r>
          </w:p>
        </w:tc>
        <w:tc>
          <w:tcPr>
            <w:tcW w:w="913" w:type="pct"/>
          </w:tcPr>
          <w:p>
            <w:pPr>
              <w:pStyle w:val="71"/>
              <w:spacing w:before="25" w:line="386" w:lineRule="exact"/>
              <w:ind w:left="360"/>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1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png"/>
                          <pic:cNvPicPr>
                            <a:picLocks noChangeAspect="1" noChangeArrowheads="1"/>
                          </pic:cNvPicPr>
                        </pic:nvPicPr>
                        <pic:blipFill>
                          <a:blip r:embed="rId23"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防辐射涂料+3mmpb铅板</w:t>
            </w:r>
          </w:p>
        </w:tc>
        <w:tc>
          <w:tcPr>
            <w:tcW w:w="811" w:type="pct"/>
          </w:tcPr>
          <w:p>
            <w:pPr>
              <w:pStyle w:val="71"/>
              <w:spacing w:before="11"/>
              <w:ind w:right="192"/>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14"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png"/>
                          <pic:cNvPicPr>
                            <a:picLocks noChangeAspect="1" noChangeArrowheads="1"/>
                          </pic:cNvPicPr>
                        </pic:nvPicPr>
                        <pic:blipFill>
                          <a:blip r:embed="rId24"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防辐射涂料+3mmpb铅板</w:t>
            </w:r>
          </w:p>
        </w:tc>
        <w:tc>
          <w:tcPr>
            <w:tcW w:w="839" w:type="pct"/>
          </w:tcPr>
          <w:p>
            <w:pPr>
              <w:pStyle w:val="71"/>
              <w:spacing w:before="6"/>
              <w:ind w:right="136"/>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1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png"/>
                          <pic:cNvPicPr>
                            <a:picLocks noChangeAspect="1" noChangeArrowheads="1"/>
                          </pic:cNvPicPr>
                        </pic:nvPicPr>
                        <pic:blipFill>
                          <a:blip r:embed="rId25"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防辐射涂料+2.5mmpb铅板</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4" w:lineRule="exact"/>
              <w:ind w:left="568" w:right="637"/>
              <w:jc w:val="center"/>
              <w:rPr>
                <w:rFonts w:ascii="宋体" w:hAnsi="宋体"/>
                <w:color w:val="auto"/>
                <w:spacing w:val="-20"/>
                <w:szCs w:val="21"/>
              </w:rPr>
            </w:pPr>
            <w:r>
              <w:rPr>
                <w:rFonts w:ascii="宋体" w:hAnsi="宋体"/>
                <w:color w:val="auto"/>
                <w:spacing w:val="-20"/>
                <w:w w:val="80"/>
                <w:szCs w:val="21"/>
              </w:rPr>
              <w:t>北墙</w:t>
            </w:r>
          </w:p>
        </w:tc>
        <w:tc>
          <w:tcPr>
            <w:tcW w:w="862" w:type="pct"/>
          </w:tcPr>
          <w:p>
            <w:pPr>
              <w:pStyle w:val="71"/>
              <w:spacing w:before="28" w:line="383" w:lineRule="exact"/>
              <w:ind w:left="825"/>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16"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png"/>
                          <pic:cNvPicPr>
                            <a:picLocks noChangeAspect="1" noChangeArrowheads="1"/>
                          </pic:cNvPicPr>
                        </pic:nvPicPr>
                        <pic:blipFill>
                          <a:blip r:embed="rId26"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913" w:type="pct"/>
          </w:tcPr>
          <w:p>
            <w:pPr>
              <w:pStyle w:val="71"/>
              <w:spacing w:before="25" w:line="386" w:lineRule="exact"/>
              <w:ind w:left="383"/>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1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png"/>
                          <pic:cNvPicPr>
                            <a:picLocks noChangeAspect="1" noChangeArrowheads="1"/>
                          </pic:cNvPicPr>
                        </pic:nvPicPr>
                        <pic:blipFill>
                          <a:blip r:embed="rId27"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防辐射涂料+3mmpb铅板</w:t>
            </w:r>
          </w:p>
        </w:tc>
        <w:tc>
          <w:tcPr>
            <w:tcW w:w="913" w:type="pct"/>
          </w:tcPr>
          <w:p>
            <w:pPr>
              <w:pStyle w:val="71"/>
              <w:spacing w:before="33" w:line="379" w:lineRule="exact"/>
              <w:ind w:left="360"/>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18"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png"/>
                          <pic:cNvPicPr>
                            <a:picLocks noChangeAspect="1" noChangeArrowheads="1"/>
                          </pic:cNvPicPr>
                        </pic:nvPicPr>
                        <pic:blipFill>
                          <a:blip r:embed="rId28"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防辐射涂料+3mmpb铅板</w:t>
            </w:r>
          </w:p>
        </w:tc>
        <w:tc>
          <w:tcPr>
            <w:tcW w:w="811" w:type="pct"/>
          </w:tcPr>
          <w:p>
            <w:pPr>
              <w:pStyle w:val="71"/>
              <w:spacing w:before="18" w:line="393" w:lineRule="exact"/>
              <w:ind w:right="192"/>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1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png"/>
                          <pic:cNvPicPr>
                            <a:picLocks noChangeAspect="1" noChangeArrowheads="1"/>
                          </pic:cNvPicPr>
                        </pic:nvPicPr>
                        <pic:blipFill>
                          <a:blip r:embed="rId29"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防辐射涂料+3mmpb铅板</w:t>
            </w:r>
          </w:p>
        </w:tc>
        <w:tc>
          <w:tcPr>
            <w:tcW w:w="839" w:type="pct"/>
          </w:tcPr>
          <w:p>
            <w:pPr>
              <w:pStyle w:val="71"/>
              <w:spacing w:before="13"/>
              <w:ind w:right="136"/>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20"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png"/>
                          <pic:cNvPicPr>
                            <a:picLocks noChangeAspect="1" noChangeArrowheads="1"/>
                          </pic:cNvPicPr>
                        </pic:nvPicPr>
                        <pic:blipFill>
                          <a:blip r:embed="rId30"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防辐射涂料+2.5mmpb铅板</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6" w:lineRule="exact"/>
              <w:ind w:right="-15"/>
              <w:jc w:val="right"/>
              <w:rPr>
                <w:rFonts w:ascii="宋体" w:hAnsi="宋体"/>
                <w:color w:val="auto"/>
                <w:spacing w:val="-20"/>
                <w:szCs w:val="21"/>
              </w:rPr>
            </w:pPr>
            <w:r>
              <w:rPr>
                <w:rFonts w:ascii="宋体" w:hAnsi="宋体"/>
                <w:color w:val="auto"/>
                <w:spacing w:val="-20"/>
                <w:w w:val="65"/>
                <w:szCs w:val="21"/>
              </w:rPr>
              <w:t>顶棚（上层地面）</w:t>
            </w:r>
          </w:p>
        </w:tc>
        <w:tc>
          <w:tcPr>
            <w:tcW w:w="862" w:type="pct"/>
          </w:tcPr>
          <w:p>
            <w:pPr>
              <w:pStyle w:val="71"/>
              <w:spacing w:before="28" w:line="383" w:lineRule="exact"/>
              <w:ind w:right="51"/>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21"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png"/>
                          <pic:cNvPicPr>
                            <a:picLocks noChangeAspect="1" noChangeArrowheads="1"/>
                          </pic:cNvPicPr>
                        </pic:nvPicPr>
                        <pic:blipFill>
                          <a:blip r:embed="rId31"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防辐射钡板（顶部施工）</w:t>
            </w:r>
          </w:p>
        </w:tc>
        <w:tc>
          <w:tcPr>
            <w:tcW w:w="913" w:type="pct"/>
          </w:tcPr>
          <w:p>
            <w:pPr>
              <w:pStyle w:val="71"/>
              <w:spacing w:before="6"/>
              <w:ind w:firstLine="85" w:firstLineChars="50"/>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22"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png"/>
                          <pic:cNvPicPr>
                            <a:picLocks noChangeAspect="1" noChangeArrowheads="1"/>
                          </pic:cNvPicPr>
                        </pic:nvPicPr>
                        <pic:blipFill>
                          <a:blip r:embed="rId32"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c>
          <w:tcPr>
            <w:tcW w:w="913" w:type="pct"/>
          </w:tcPr>
          <w:p>
            <w:pPr>
              <w:pStyle w:val="71"/>
              <w:spacing w:before="18" w:line="393" w:lineRule="exac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2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png"/>
                          <pic:cNvPicPr>
                            <a:picLocks noChangeAspect="1" noChangeArrowheads="1"/>
                          </pic:cNvPicPr>
                        </pic:nvPicPr>
                        <pic:blipFill>
                          <a:blip r:embed="rId33"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c>
          <w:tcPr>
            <w:tcW w:w="811" w:type="pct"/>
          </w:tcPr>
          <w:p>
            <w:pPr>
              <w:pStyle w:val="71"/>
              <w:spacing w:before="18" w:line="393" w:lineRule="exac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24"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png"/>
                          <pic:cNvPicPr>
                            <a:picLocks noChangeAspect="1" noChangeArrowheads="1"/>
                          </pic:cNvPicPr>
                        </pic:nvPicPr>
                        <pic:blipFill>
                          <a:blip r:embed="rId34"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c>
          <w:tcPr>
            <w:tcW w:w="839" w:type="pct"/>
          </w:tcPr>
          <w:p>
            <w:pPr>
              <w:pStyle w:val="71"/>
              <w:spacing w:line="394" w:lineRule="exac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25"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png"/>
                          <pic:cNvPicPr>
                            <a:picLocks noChangeAspect="1" noChangeArrowheads="1"/>
                          </pic:cNvPicPr>
                        </pic:nvPicPr>
                        <pic:blipFill>
                          <a:blip r:embed="rId35"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jc w:val="center"/>
        </w:trPr>
        <w:tc>
          <w:tcPr>
            <w:tcW w:w="662" w:type="pct"/>
          </w:tcPr>
          <w:p>
            <w:pPr>
              <w:pStyle w:val="71"/>
              <w:spacing w:line="394" w:lineRule="exact"/>
              <w:ind w:left="572" w:right="632"/>
              <w:jc w:val="center"/>
              <w:rPr>
                <w:rFonts w:ascii="宋体" w:hAnsi="宋体"/>
                <w:color w:val="auto"/>
                <w:spacing w:val="-20"/>
                <w:szCs w:val="21"/>
              </w:rPr>
            </w:pPr>
            <w:r>
              <w:rPr>
                <w:rFonts w:ascii="宋体" w:hAnsi="宋体"/>
                <w:color w:val="auto"/>
                <w:spacing w:val="-20"/>
                <w:w w:val="80"/>
                <w:szCs w:val="21"/>
              </w:rPr>
              <w:t>地面</w:t>
            </w:r>
          </w:p>
        </w:tc>
        <w:tc>
          <w:tcPr>
            <w:tcW w:w="862" w:type="pct"/>
          </w:tcPr>
          <w:p>
            <w:pPr>
              <w:pStyle w:val="71"/>
              <w:spacing w:line="389" w:lineRule="exact"/>
              <w:ind w:right="427"/>
              <w:jc w:val="center"/>
              <w:rPr>
                <w:rFonts w:ascii="宋体" w:hAnsi="宋体"/>
                <w:color w:val="auto"/>
                <w:spacing w:val="-20"/>
                <w:szCs w:val="21"/>
              </w:rPr>
            </w:pPr>
            <w:r>
              <w:rPr>
                <w:rFonts w:ascii="宋体" w:hAnsi="宋体"/>
                <w:color w:val="auto"/>
                <w:spacing w:val="-20"/>
                <w:w w:val="70"/>
                <w:szCs w:val="21"/>
              </w:rPr>
              <w:t>/</w:t>
            </w:r>
          </w:p>
        </w:tc>
        <w:tc>
          <w:tcPr>
            <w:tcW w:w="913" w:type="pct"/>
          </w:tcPr>
          <w:p>
            <w:pPr>
              <w:pStyle w:val="71"/>
              <w:spacing w:before="25" w:line="388" w:lineRule="exact"/>
              <w:ind w:left="871"/>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26"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png"/>
                          <pic:cNvPicPr>
                            <a:picLocks noChangeAspect="1" noChangeArrowheads="1"/>
                          </pic:cNvPicPr>
                        </pic:nvPicPr>
                        <pic:blipFill>
                          <a:blip r:embed="rId36"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913" w:type="pct"/>
          </w:tcPr>
          <w:p>
            <w:pPr>
              <w:pStyle w:val="71"/>
              <w:spacing w:before="35" w:line="379" w:lineRule="exact"/>
              <w:ind w:left="830"/>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2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png"/>
                          <pic:cNvPicPr>
                            <a:picLocks noChangeAspect="1" noChangeArrowheads="1"/>
                          </pic:cNvPicPr>
                        </pic:nvPicPr>
                        <pic:blipFill>
                          <a:blip r:embed="rId37"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811" w:type="pct"/>
          </w:tcPr>
          <w:p>
            <w:pPr>
              <w:pStyle w:val="71"/>
              <w:spacing w:before="35" w:line="379" w:lineRule="exact"/>
              <w:ind w:left="892"/>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28"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png"/>
                          <pic:cNvPicPr>
                            <a:picLocks noChangeAspect="1" noChangeArrowheads="1"/>
                          </pic:cNvPicPr>
                        </pic:nvPicPr>
                        <pic:blipFill>
                          <a:blip r:embed="rId38"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839" w:type="pct"/>
          </w:tcPr>
          <w:p>
            <w:pPr>
              <w:pStyle w:val="71"/>
              <w:spacing w:before="16"/>
              <w:ind w:left="861"/>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29"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png"/>
                          <pic:cNvPicPr>
                            <a:picLocks noChangeAspect="1" noChangeArrowheads="1"/>
                          </pic:cNvPicPr>
                        </pic:nvPicPr>
                        <pic:blipFill>
                          <a:blip r:embed="rId39"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 w:hRule="atLeast"/>
          <w:jc w:val="center"/>
        </w:trPr>
        <w:tc>
          <w:tcPr>
            <w:tcW w:w="5000" w:type="pct"/>
            <w:gridSpan w:val="6"/>
            <w:tcBorders>
              <w:right w:val="nil"/>
            </w:tcBorders>
          </w:tcPr>
          <w:p>
            <w:pPr>
              <w:pStyle w:val="71"/>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before="2" w:line="409" w:lineRule="exact"/>
              <w:ind w:left="443"/>
              <w:rPr>
                <w:rFonts w:ascii="宋体" w:hAnsi="宋体"/>
                <w:color w:val="auto"/>
                <w:spacing w:val="-20"/>
                <w:szCs w:val="21"/>
              </w:rPr>
            </w:pPr>
            <w:r>
              <w:rPr>
                <w:rFonts w:ascii="宋体" w:hAnsi="宋体"/>
                <w:color w:val="auto"/>
                <w:spacing w:val="-20"/>
                <w:w w:val="80"/>
                <w:szCs w:val="21"/>
              </w:rPr>
              <w:t>机房名称</w:t>
            </w:r>
          </w:p>
        </w:tc>
        <w:tc>
          <w:tcPr>
            <w:tcW w:w="862" w:type="pct"/>
          </w:tcPr>
          <w:p>
            <w:pPr>
              <w:pStyle w:val="71"/>
              <w:spacing w:line="382" w:lineRule="exact"/>
              <w:ind w:left="499"/>
              <w:rPr>
                <w:rFonts w:ascii="宋体" w:hAnsi="宋体"/>
                <w:color w:val="auto"/>
                <w:spacing w:val="-20"/>
                <w:szCs w:val="21"/>
              </w:rPr>
            </w:pPr>
            <w:r>
              <w:rPr>
                <w:rFonts w:ascii="宋体" w:hAnsi="宋体"/>
                <w:color w:val="auto"/>
                <w:spacing w:val="-20"/>
                <w:w w:val="75"/>
                <w:szCs w:val="21"/>
              </w:rPr>
              <w:t>DR机房2（一层影像中心）</w:t>
            </w:r>
          </w:p>
        </w:tc>
        <w:tc>
          <w:tcPr>
            <w:tcW w:w="913" w:type="pct"/>
          </w:tcPr>
          <w:p>
            <w:pPr>
              <w:pStyle w:val="71"/>
              <w:spacing w:line="396" w:lineRule="exact"/>
              <w:ind w:left="456"/>
              <w:rPr>
                <w:rFonts w:ascii="宋体" w:hAnsi="宋体"/>
                <w:color w:val="auto"/>
                <w:spacing w:val="-20"/>
                <w:szCs w:val="21"/>
              </w:rPr>
            </w:pPr>
            <w:r>
              <w:rPr>
                <w:rFonts w:ascii="宋体" w:hAnsi="宋体"/>
                <w:color w:val="auto"/>
                <w:spacing w:val="-20"/>
                <w:w w:val="75"/>
                <w:szCs w:val="21"/>
              </w:rPr>
              <w:t>DR机房3（一层影像中心）</w:t>
            </w:r>
          </w:p>
        </w:tc>
        <w:tc>
          <w:tcPr>
            <w:tcW w:w="913" w:type="pct"/>
          </w:tcPr>
          <w:p>
            <w:pPr>
              <w:pStyle w:val="71"/>
              <w:spacing w:before="18" w:line="393" w:lineRule="exact"/>
              <w:ind w:left="542"/>
              <w:rPr>
                <w:rFonts w:ascii="宋体" w:hAnsi="宋体"/>
                <w:color w:val="auto"/>
                <w:spacing w:val="-20"/>
                <w:szCs w:val="21"/>
              </w:rPr>
            </w:pPr>
            <w:r>
              <w:rPr>
                <w:rFonts w:ascii="宋体" w:hAnsi="宋体"/>
                <w:color w:val="auto"/>
                <w:spacing w:val="-20"/>
                <w:w w:val="70"/>
                <w:szCs w:val="21"/>
              </w:rPr>
              <w:t>DR机房4（一层影像中心）</w:t>
            </w:r>
          </w:p>
        </w:tc>
        <w:tc>
          <w:tcPr>
            <w:tcW w:w="811" w:type="pct"/>
          </w:tcPr>
          <w:p>
            <w:pPr>
              <w:pStyle w:val="71"/>
              <w:spacing w:before="35" w:line="376" w:lineRule="exact"/>
              <w:ind w:right="134"/>
              <w:jc w:val="right"/>
              <w:rPr>
                <w:rFonts w:ascii="宋体" w:hAnsi="宋体"/>
                <w:color w:val="auto"/>
                <w:spacing w:val="-20"/>
                <w:szCs w:val="21"/>
              </w:rPr>
            </w:pPr>
            <w:r>
              <w:rPr>
                <w:rFonts w:ascii="宋体" w:hAnsi="宋体"/>
                <w:color w:val="auto"/>
                <w:spacing w:val="-20"/>
                <w:w w:val="65"/>
                <w:szCs w:val="21"/>
              </w:rPr>
              <w:t>胃肠机房（一层影像中心）</w:t>
            </w:r>
          </w:p>
        </w:tc>
        <w:tc>
          <w:tcPr>
            <w:tcW w:w="839" w:type="pct"/>
          </w:tcPr>
          <w:p>
            <w:pPr>
              <w:pStyle w:val="71"/>
              <w:spacing w:line="382" w:lineRule="exact"/>
              <w:ind w:right="185"/>
              <w:jc w:val="right"/>
              <w:rPr>
                <w:rFonts w:ascii="宋体" w:hAnsi="宋体"/>
                <w:color w:val="auto"/>
                <w:spacing w:val="-20"/>
                <w:szCs w:val="21"/>
              </w:rPr>
            </w:pPr>
            <w:r>
              <w:rPr>
                <w:rFonts w:ascii="宋体" w:hAnsi="宋体"/>
                <w:color w:val="auto"/>
                <w:spacing w:val="-20"/>
                <w:w w:val="65"/>
                <w:szCs w:val="21"/>
              </w:rPr>
              <w:t>预留机房（一层影像中心）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jc w:val="center"/>
        </w:trPr>
        <w:tc>
          <w:tcPr>
            <w:tcW w:w="662" w:type="pct"/>
          </w:tcPr>
          <w:p>
            <w:pPr>
              <w:pStyle w:val="71"/>
              <w:spacing w:line="398" w:lineRule="exact"/>
              <w:ind w:left="467"/>
              <w:rPr>
                <w:rFonts w:ascii="宋体" w:hAnsi="宋体"/>
                <w:color w:val="auto"/>
                <w:spacing w:val="-20"/>
                <w:szCs w:val="21"/>
              </w:rPr>
            </w:pPr>
            <w:r>
              <w:rPr>
                <w:rFonts w:ascii="宋体" w:hAnsi="宋体"/>
                <w:color w:val="auto"/>
                <w:spacing w:val="-20"/>
                <w:w w:val="80"/>
                <w:szCs w:val="21"/>
              </w:rPr>
              <w:t>防护材料</w:t>
            </w:r>
          </w:p>
        </w:tc>
        <w:tc>
          <w:tcPr>
            <w:tcW w:w="862" w:type="pct"/>
          </w:tcPr>
          <w:p>
            <w:pPr>
              <w:pStyle w:val="71"/>
              <w:spacing w:line="401" w:lineRule="exact"/>
              <w:ind w:left="772"/>
              <w:rPr>
                <w:rFonts w:ascii="宋体" w:hAnsi="宋体"/>
                <w:color w:val="auto"/>
                <w:spacing w:val="-20"/>
                <w:szCs w:val="21"/>
              </w:rPr>
            </w:pPr>
            <w:r>
              <w:rPr>
                <w:rFonts w:ascii="宋体" w:hAnsi="宋体"/>
                <w:color w:val="auto"/>
                <w:spacing w:val="-20"/>
                <w:w w:val="80"/>
                <w:szCs w:val="21"/>
              </w:rPr>
              <w:t>200mm轻质砖墙</w:t>
            </w:r>
          </w:p>
        </w:tc>
        <w:tc>
          <w:tcPr>
            <w:tcW w:w="913" w:type="pct"/>
          </w:tcPr>
          <w:p>
            <w:pPr>
              <w:pStyle w:val="71"/>
              <w:spacing w:line="391" w:lineRule="exact"/>
              <w:ind w:left="811"/>
              <w:rPr>
                <w:rFonts w:ascii="宋体" w:hAnsi="宋体"/>
                <w:color w:val="auto"/>
                <w:spacing w:val="-20"/>
                <w:szCs w:val="21"/>
              </w:rPr>
            </w:pPr>
            <w:r>
              <w:rPr>
                <w:rFonts w:ascii="宋体" w:hAnsi="宋体"/>
                <w:color w:val="auto"/>
                <w:spacing w:val="-20"/>
                <w:w w:val="80"/>
                <w:szCs w:val="21"/>
              </w:rPr>
              <w:t>200mm轻质砖墙</w:t>
            </w:r>
          </w:p>
        </w:tc>
        <w:tc>
          <w:tcPr>
            <w:tcW w:w="913" w:type="pct"/>
          </w:tcPr>
          <w:p>
            <w:pPr>
              <w:pStyle w:val="71"/>
              <w:spacing w:line="414" w:lineRule="exact"/>
              <w:ind w:left="866"/>
              <w:rPr>
                <w:rFonts w:ascii="宋体" w:hAnsi="宋体"/>
                <w:color w:val="auto"/>
                <w:spacing w:val="-20"/>
                <w:szCs w:val="21"/>
              </w:rPr>
            </w:pPr>
            <w:r>
              <w:rPr>
                <w:rFonts w:ascii="宋体" w:hAnsi="宋体"/>
                <w:color w:val="auto"/>
                <w:spacing w:val="-20"/>
                <w:w w:val="80"/>
                <w:szCs w:val="21"/>
              </w:rPr>
              <w:t>200mm轻质砖墙</w:t>
            </w:r>
          </w:p>
        </w:tc>
        <w:tc>
          <w:tcPr>
            <w:tcW w:w="811" w:type="pct"/>
          </w:tcPr>
          <w:p>
            <w:pPr>
              <w:pStyle w:val="71"/>
              <w:spacing w:line="414" w:lineRule="exact"/>
              <w:ind w:left="875"/>
              <w:rPr>
                <w:rFonts w:ascii="宋体" w:hAnsi="宋体"/>
                <w:color w:val="auto"/>
                <w:spacing w:val="-20"/>
                <w:szCs w:val="21"/>
              </w:rPr>
            </w:pPr>
            <w:r>
              <w:rPr>
                <w:rFonts w:ascii="宋体" w:hAnsi="宋体"/>
                <w:color w:val="auto"/>
                <w:spacing w:val="-20"/>
                <w:w w:val="80"/>
                <w:szCs w:val="21"/>
              </w:rPr>
              <w:t>200mm轻质砖墙</w:t>
            </w:r>
          </w:p>
        </w:tc>
        <w:tc>
          <w:tcPr>
            <w:tcW w:w="839" w:type="pct"/>
          </w:tcPr>
          <w:p>
            <w:pPr>
              <w:pStyle w:val="71"/>
              <w:spacing w:line="401" w:lineRule="exact"/>
              <w:ind w:left="844"/>
              <w:rPr>
                <w:rFonts w:ascii="宋体" w:hAnsi="宋体"/>
                <w:color w:val="auto"/>
                <w:spacing w:val="-20"/>
                <w:szCs w:val="21"/>
              </w:rPr>
            </w:pPr>
            <w:r>
              <w:rPr>
                <w:rFonts w:ascii="宋体" w:hAnsi="宋体"/>
                <w:color w:val="auto"/>
                <w:spacing w:val="-20"/>
                <w:w w:val="80"/>
                <w:szCs w:val="21"/>
              </w:rPr>
              <w:t>200mm轻质砖墙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411" w:lineRule="exact"/>
              <w:ind w:left="572" w:right="637"/>
              <w:jc w:val="center"/>
              <w:rPr>
                <w:rFonts w:ascii="宋体" w:hAnsi="宋体"/>
                <w:color w:val="auto"/>
                <w:spacing w:val="-20"/>
                <w:szCs w:val="21"/>
              </w:rPr>
            </w:pPr>
            <w:r>
              <w:rPr>
                <w:rFonts w:ascii="宋体" w:hAnsi="宋体"/>
                <w:color w:val="auto"/>
                <w:spacing w:val="-20"/>
                <w:w w:val="80"/>
                <w:szCs w:val="21"/>
              </w:rPr>
              <w:t>东墙</w:t>
            </w:r>
          </w:p>
        </w:tc>
        <w:tc>
          <w:tcPr>
            <w:tcW w:w="862" w:type="pct"/>
          </w:tcPr>
          <w:p>
            <w:pPr>
              <w:pStyle w:val="71"/>
              <w:spacing w:line="370" w:lineRule="exact"/>
              <w:ind w:left="172"/>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30"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png"/>
                          <pic:cNvPicPr>
                            <a:picLocks noChangeAspect="1" noChangeArrowheads="1"/>
                          </pic:cNvPicPr>
                        </pic:nvPicPr>
                        <pic:blipFill>
                          <a:blip r:embed="rId40"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防辐射涂料+2.5mmpb铅板</w:t>
            </w:r>
          </w:p>
        </w:tc>
        <w:tc>
          <w:tcPr>
            <w:tcW w:w="913" w:type="pct"/>
          </w:tcPr>
          <w:p>
            <w:pPr>
              <w:pStyle w:val="71"/>
              <w:spacing w:before="6"/>
              <w:ind w:left="239"/>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3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png"/>
                          <pic:cNvPicPr>
                            <a:picLocks noChangeAspect="1" noChangeArrowheads="1"/>
                          </pic:cNvPicPr>
                        </pic:nvPicPr>
                        <pic:blipFill>
                          <a:blip r:embed="rId41"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防辐射涂料+2.5mmpb铅板</w:t>
            </w:r>
          </w:p>
        </w:tc>
        <w:tc>
          <w:tcPr>
            <w:tcW w:w="913" w:type="pct"/>
          </w:tcPr>
          <w:p>
            <w:pPr>
              <w:pStyle w:val="71"/>
              <w:spacing w:before="13"/>
              <w:ind w:left="223"/>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32"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png"/>
                          <pic:cNvPicPr>
                            <a:picLocks noChangeAspect="1" noChangeArrowheads="1"/>
                          </pic:cNvPicPr>
                        </pic:nvPicPr>
                        <pic:blipFill>
                          <a:blip r:embed="rId42"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防辐射涂料+2.5mmpb铅板</w:t>
            </w:r>
          </w:p>
        </w:tc>
        <w:tc>
          <w:tcPr>
            <w:tcW w:w="811" w:type="pct"/>
          </w:tcPr>
          <w:p>
            <w:pPr>
              <w:pStyle w:val="71"/>
              <w:spacing w:line="368" w:lineRule="exact"/>
              <w:ind w:right="118"/>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3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png"/>
                          <pic:cNvPicPr>
                            <a:picLocks noChangeAspect="1" noChangeArrowheads="1"/>
                          </pic:cNvPicPr>
                        </pic:nvPicPr>
                        <pic:blipFill>
                          <a:blip r:embed="rId43"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防辐射涂料+2.5mmpb铅板</w:t>
            </w:r>
          </w:p>
        </w:tc>
        <w:tc>
          <w:tcPr>
            <w:tcW w:w="839" w:type="pct"/>
          </w:tcPr>
          <w:p>
            <w:pPr>
              <w:pStyle w:val="71"/>
              <w:spacing w:line="356" w:lineRule="exact"/>
              <w:ind w:right="113"/>
              <w:jc w:val="right"/>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34"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png"/>
                          <pic:cNvPicPr>
                            <a:picLocks noChangeAspect="1" noChangeArrowheads="1"/>
                          </pic:cNvPicPr>
                        </pic:nvPicPr>
                        <pic:blipFill>
                          <a:blip r:embed="rId44"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防辐射涂料+2.5mmpb铅板</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before="23" w:line="388" w:lineRule="exact"/>
              <w:ind w:left="558" w:right="637"/>
              <w:jc w:val="center"/>
              <w:rPr>
                <w:rFonts w:ascii="宋体" w:hAnsi="宋体"/>
                <w:color w:val="auto"/>
                <w:spacing w:val="-20"/>
                <w:szCs w:val="21"/>
              </w:rPr>
            </w:pPr>
            <w:r>
              <w:rPr>
                <w:rFonts w:ascii="宋体" w:hAnsi="宋体"/>
                <w:color w:val="auto"/>
                <w:spacing w:val="-20"/>
                <w:w w:val="80"/>
                <w:szCs w:val="21"/>
              </w:rPr>
              <w:t>南墙</w:t>
            </w:r>
          </w:p>
        </w:tc>
        <w:tc>
          <w:tcPr>
            <w:tcW w:w="862" w:type="pct"/>
          </w:tcPr>
          <w:p>
            <w:pPr>
              <w:pStyle w:val="71"/>
              <w:spacing w:line="370" w:lineRule="exact"/>
              <w:ind w:left="177"/>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35"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png"/>
                          <pic:cNvPicPr>
                            <a:picLocks noChangeAspect="1" noChangeArrowheads="1"/>
                          </pic:cNvPicPr>
                        </pic:nvPicPr>
                        <pic:blipFill>
                          <a:blip r:embed="rId45"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防辐射涂料+2.5mmpb铅板</w:t>
            </w:r>
          </w:p>
        </w:tc>
        <w:tc>
          <w:tcPr>
            <w:tcW w:w="913" w:type="pct"/>
          </w:tcPr>
          <w:p>
            <w:pPr>
              <w:pStyle w:val="71"/>
              <w:spacing w:before="6"/>
              <w:ind w:left="244"/>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36"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png"/>
                          <pic:cNvPicPr>
                            <a:picLocks noChangeAspect="1" noChangeArrowheads="1"/>
                          </pic:cNvPicPr>
                        </pic:nvPicPr>
                        <pic:blipFill>
                          <a:blip r:embed="rId46"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防辐射涂料+2.5mmpb铅板</w:t>
            </w:r>
          </w:p>
        </w:tc>
        <w:tc>
          <w:tcPr>
            <w:tcW w:w="913" w:type="pct"/>
          </w:tcPr>
          <w:p>
            <w:pPr>
              <w:pStyle w:val="71"/>
              <w:spacing w:before="13"/>
              <w:ind w:left="228"/>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3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png"/>
                          <pic:cNvPicPr>
                            <a:picLocks noChangeAspect="1" noChangeArrowheads="1"/>
                          </pic:cNvPicPr>
                        </pic:nvPicPr>
                        <pic:blipFill>
                          <a:blip r:embed="rId47"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防辐射涂料+2.5mmpb铅板</w:t>
            </w:r>
          </w:p>
        </w:tc>
        <w:tc>
          <w:tcPr>
            <w:tcW w:w="811" w:type="pct"/>
          </w:tcPr>
          <w:p>
            <w:pPr>
              <w:pStyle w:val="71"/>
              <w:spacing w:line="368" w:lineRule="exact"/>
              <w:ind w:right="113"/>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38"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png"/>
                          <pic:cNvPicPr>
                            <a:picLocks noChangeAspect="1" noChangeArrowheads="1"/>
                          </pic:cNvPicPr>
                        </pic:nvPicPr>
                        <pic:blipFill>
                          <a:blip r:embed="rId48"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防辐射涂料+2.5mmpb铅板</w:t>
            </w:r>
          </w:p>
        </w:tc>
        <w:tc>
          <w:tcPr>
            <w:tcW w:w="839" w:type="pct"/>
          </w:tcPr>
          <w:p>
            <w:pPr>
              <w:pStyle w:val="71"/>
              <w:spacing w:line="356" w:lineRule="exact"/>
              <w:ind w:right="108"/>
              <w:jc w:val="right"/>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39"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png"/>
                          <pic:cNvPicPr>
                            <a:picLocks noChangeAspect="1" noChangeArrowheads="1"/>
                          </pic:cNvPicPr>
                        </pic:nvPicPr>
                        <pic:blipFill>
                          <a:blip r:embed="rId49"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防辐射涂料+2.5mmpb铅板</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before="1"/>
              <w:ind w:left="568" w:right="637"/>
              <w:jc w:val="center"/>
              <w:rPr>
                <w:rFonts w:ascii="宋体" w:hAnsi="宋体"/>
                <w:color w:val="auto"/>
                <w:spacing w:val="-20"/>
                <w:szCs w:val="21"/>
              </w:rPr>
            </w:pPr>
            <w:r>
              <w:rPr>
                <w:rFonts w:ascii="宋体" w:hAnsi="宋体"/>
                <w:color w:val="auto"/>
                <w:spacing w:val="-20"/>
                <w:w w:val="80"/>
                <w:szCs w:val="21"/>
              </w:rPr>
              <w:t>西墙</w:t>
            </w:r>
          </w:p>
        </w:tc>
        <w:tc>
          <w:tcPr>
            <w:tcW w:w="862" w:type="pct"/>
          </w:tcPr>
          <w:p>
            <w:pPr>
              <w:pStyle w:val="71"/>
              <w:spacing w:before="1"/>
              <w:ind w:left="167"/>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40"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png"/>
                          <pic:cNvPicPr>
                            <a:picLocks noChangeAspect="1" noChangeArrowheads="1"/>
                          </pic:cNvPicPr>
                        </pic:nvPicPr>
                        <pic:blipFill>
                          <a:blip r:embed="rId50"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防辐射涂料+2.5mmpb铅板</w:t>
            </w:r>
          </w:p>
        </w:tc>
        <w:tc>
          <w:tcPr>
            <w:tcW w:w="913" w:type="pct"/>
          </w:tcPr>
          <w:p>
            <w:pPr>
              <w:pStyle w:val="71"/>
              <w:spacing w:before="35" w:line="376" w:lineRule="exact"/>
              <w:ind w:left="232"/>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41"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png"/>
                          <pic:cNvPicPr>
                            <a:picLocks noChangeAspect="1" noChangeArrowheads="1"/>
                          </pic:cNvPicPr>
                        </pic:nvPicPr>
                        <pic:blipFill>
                          <a:blip r:embed="rId51"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防辐射涂料+2.5mmpb铅板</w:t>
            </w:r>
          </w:p>
        </w:tc>
        <w:tc>
          <w:tcPr>
            <w:tcW w:w="913" w:type="pct"/>
          </w:tcPr>
          <w:p>
            <w:pPr>
              <w:pStyle w:val="71"/>
              <w:spacing w:before="40" w:line="371" w:lineRule="exact"/>
              <w:ind w:left="218"/>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42"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png"/>
                          <pic:cNvPicPr>
                            <a:picLocks noChangeAspect="1" noChangeArrowheads="1"/>
                          </pic:cNvPicPr>
                        </pic:nvPicPr>
                        <pic:blipFill>
                          <a:blip r:embed="rId52"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防辐射涂料+2.5mmpb铅板</w:t>
            </w:r>
          </w:p>
        </w:tc>
        <w:tc>
          <w:tcPr>
            <w:tcW w:w="811" w:type="pct"/>
          </w:tcPr>
          <w:p>
            <w:pPr>
              <w:pStyle w:val="71"/>
              <w:spacing w:line="396" w:lineRule="exact"/>
              <w:ind w:right="123"/>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43"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png"/>
                          <pic:cNvPicPr>
                            <a:picLocks noChangeAspect="1" noChangeArrowheads="1"/>
                          </pic:cNvPicPr>
                        </pic:nvPicPr>
                        <pic:blipFill>
                          <a:blip r:embed="rId53"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防辐射涂料+2.5mmpb铅板</w:t>
            </w:r>
          </w:p>
        </w:tc>
        <w:tc>
          <w:tcPr>
            <w:tcW w:w="839" w:type="pct"/>
          </w:tcPr>
          <w:p>
            <w:pPr>
              <w:pStyle w:val="71"/>
              <w:spacing w:line="382" w:lineRule="exact"/>
              <w:ind w:right="118"/>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44"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png"/>
                          <pic:cNvPicPr>
                            <a:picLocks noChangeAspect="1" noChangeArrowheads="1"/>
                          </pic:cNvPicPr>
                        </pic:nvPicPr>
                        <pic:blipFill>
                          <a:blip r:embed="rId54"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防辐射涂料+2.5mmpb铅板</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jc w:val="center"/>
        </w:trPr>
        <w:tc>
          <w:tcPr>
            <w:tcW w:w="662" w:type="pct"/>
          </w:tcPr>
          <w:p>
            <w:pPr>
              <w:pStyle w:val="71"/>
              <w:spacing w:line="396" w:lineRule="exact"/>
              <w:ind w:left="568" w:right="637"/>
              <w:jc w:val="center"/>
              <w:rPr>
                <w:rFonts w:ascii="宋体" w:hAnsi="宋体"/>
                <w:color w:val="auto"/>
                <w:spacing w:val="-20"/>
                <w:szCs w:val="21"/>
              </w:rPr>
            </w:pPr>
            <w:r>
              <w:rPr>
                <w:rFonts w:ascii="宋体" w:hAnsi="宋体"/>
                <w:color w:val="auto"/>
                <w:spacing w:val="-20"/>
                <w:w w:val="80"/>
                <w:szCs w:val="21"/>
              </w:rPr>
              <w:t>北墙</w:t>
            </w:r>
          </w:p>
        </w:tc>
        <w:tc>
          <w:tcPr>
            <w:tcW w:w="862" w:type="pct"/>
          </w:tcPr>
          <w:p>
            <w:pPr>
              <w:pStyle w:val="71"/>
              <w:spacing w:before="9"/>
              <w:ind w:left="167"/>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45"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png"/>
                          <pic:cNvPicPr>
                            <a:picLocks noChangeAspect="1" noChangeArrowheads="1"/>
                          </pic:cNvPicPr>
                        </pic:nvPicPr>
                        <pic:blipFill>
                          <a:blip r:embed="rId55"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防辐射涂料+2.5mmpb铅板</w:t>
            </w:r>
          </w:p>
        </w:tc>
        <w:tc>
          <w:tcPr>
            <w:tcW w:w="913" w:type="pct"/>
          </w:tcPr>
          <w:p>
            <w:pPr>
              <w:pStyle w:val="71"/>
              <w:spacing w:before="42" w:line="371" w:lineRule="exact"/>
              <w:ind w:left="232"/>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46"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png"/>
                          <pic:cNvPicPr>
                            <a:picLocks noChangeAspect="1" noChangeArrowheads="1"/>
                          </pic:cNvPicPr>
                        </pic:nvPicPr>
                        <pic:blipFill>
                          <a:blip r:embed="rId56"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防辐射涂料+2.5mmpb铅板</w:t>
            </w:r>
          </w:p>
        </w:tc>
        <w:tc>
          <w:tcPr>
            <w:tcW w:w="913" w:type="pct"/>
          </w:tcPr>
          <w:p>
            <w:pPr>
              <w:pStyle w:val="71"/>
              <w:spacing w:before="47" w:line="367" w:lineRule="exact"/>
              <w:ind w:left="218"/>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47"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png"/>
                          <pic:cNvPicPr>
                            <a:picLocks noChangeAspect="1" noChangeArrowheads="1"/>
                          </pic:cNvPicPr>
                        </pic:nvPicPr>
                        <pic:blipFill>
                          <a:blip r:embed="rId57"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防辐射涂料+2.5mmpb铅板</w:t>
            </w:r>
          </w:p>
        </w:tc>
        <w:tc>
          <w:tcPr>
            <w:tcW w:w="811" w:type="pct"/>
          </w:tcPr>
          <w:p>
            <w:pPr>
              <w:pStyle w:val="71"/>
              <w:spacing w:before="4"/>
              <w:ind w:right="123"/>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48"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png"/>
                          <pic:cNvPicPr>
                            <a:picLocks noChangeAspect="1" noChangeArrowheads="1"/>
                          </pic:cNvPicPr>
                        </pic:nvPicPr>
                        <pic:blipFill>
                          <a:blip r:embed="rId58"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防辐射涂料+2.5mmpb铅板</w:t>
            </w:r>
          </w:p>
        </w:tc>
        <w:tc>
          <w:tcPr>
            <w:tcW w:w="839" w:type="pct"/>
          </w:tcPr>
          <w:p>
            <w:pPr>
              <w:pStyle w:val="71"/>
              <w:spacing w:line="389" w:lineRule="exact"/>
              <w:ind w:right="118"/>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49"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png"/>
                          <pic:cNvPicPr>
                            <a:picLocks noChangeAspect="1" noChangeArrowheads="1"/>
                          </pic:cNvPicPr>
                        </pic:nvPicPr>
                        <pic:blipFill>
                          <a:blip r:embed="rId59"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防辐射涂料+2.5mmpb铅板</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6" w:lineRule="exact"/>
              <w:ind w:right="217"/>
              <w:jc w:val="center"/>
              <w:rPr>
                <w:rFonts w:ascii="宋体" w:hAnsi="宋体"/>
                <w:color w:val="auto"/>
                <w:spacing w:val="-20"/>
                <w:szCs w:val="21"/>
              </w:rPr>
            </w:pPr>
            <w:r>
              <w:rPr>
                <w:rFonts w:ascii="宋体" w:hAnsi="宋体"/>
                <w:color w:val="auto"/>
                <w:spacing w:val="-20"/>
                <w:w w:val="65"/>
                <w:szCs w:val="21"/>
              </w:rPr>
              <w:t>顶棚（上层地面）</w:t>
            </w:r>
          </w:p>
        </w:tc>
        <w:tc>
          <w:tcPr>
            <w:tcW w:w="862" w:type="pct"/>
          </w:tcPr>
          <w:p>
            <w:pPr>
              <w:pStyle w:val="71"/>
              <w:spacing w:line="394" w:lineRule="exact"/>
              <w:jc w:val="center"/>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50"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png"/>
                          <pic:cNvPicPr>
                            <a:picLocks noChangeAspect="1" noChangeArrowheads="1"/>
                          </pic:cNvPicPr>
                        </pic:nvPicPr>
                        <pic:blipFill>
                          <a:blip r:embed="rId60"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c>
          <w:tcPr>
            <w:tcW w:w="913" w:type="pct"/>
          </w:tcPr>
          <w:p>
            <w:pPr>
              <w:pStyle w:val="71"/>
              <w:spacing w:line="384" w:lineRule="exact"/>
              <w:jc w:val="center"/>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51"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png"/>
                          <pic:cNvPicPr>
                            <a:picLocks noChangeAspect="1" noChangeArrowheads="1"/>
                          </pic:cNvPicPr>
                        </pic:nvPicPr>
                        <pic:blipFill>
                          <a:blip r:embed="rId61"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c>
          <w:tcPr>
            <w:tcW w:w="913" w:type="pct"/>
          </w:tcPr>
          <w:p>
            <w:pPr>
              <w:pStyle w:val="71"/>
              <w:spacing w:before="28" w:line="383" w:lineRule="exact"/>
              <w:jc w:val="center"/>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52"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png"/>
                          <pic:cNvPicPr>
                            <a:picLocks noChangeAspect="1" noChangeArrowheads="1"/>
                          </pic:cNvPicPr>
                        </pic:nvPicPr>
                        <pic:blipFill>
                          <a:blip r:embed="rId62"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c>
          <w:tcPr>
            <w:tcW w:w="811" w:type="pct"/>
          </w:tcPr>
          <w:p>
            <w:pPr>
              <w:pStyle w:val="71"/>
              <w:spacing w:before="42" w:line="369" w:lineRule="exact"/>
              <w:jc w:val="center"/>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53"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png"/>
                          <pic:cNvPicPr>
                            <a:picLocks noChangeAspect="1" noChangeArrowheads="1"/>
                          </pic:cNvPicPr>
                        </pic:nvPicPr>
                        <pic:blipFill>
                          <a:blip r:embed="rId63"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c>
          <w:tcPr>
            <w:tcW w:w="839" w:type="pct"/>
          </w:tcPr>
          <w:p>
            <w:pPr>
              <w:pStyle w:val="71"/>
              <w:spacing w:line="394" w:lineRule="exact"/>
              <w:jc w:val="center"/>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54"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png"/>
                          <pic:cNvPicPr>
                            <a:picLocks noChangeAspect="1" noChangeArrowheads="1"/>
                          </pic:cNvPicPr>
                        </pic:nvPicPr>
                        <pic:blipFill>
                          <a:blip r:embed="rId64"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2" w:lineRule="exact"/>
              <w:ind w:left="572" w:right="632"/>
              <w:jc w:val="center"/>
              <w:rPr>
                <w:rFonts w:ascii="宋体" w:hAnsi="宋体"/>
                <w:color w:val="auto"/>
                <w:spacing w:val="-20"/>
                <w:szCs w:val="21"/>
              </w:rPr>
            </w:pPr>
            <w:r>
              <w:rPr>
                <w:rFonts w:ascii="宋体" w:hAnsi="宋体"/>
                <w:color w:val="auto"/>
                <w:spacing w:val="-20"/>
                <w:w w:val="80"/>
                <w:szCs w:val="21"/>
              </w:rPr>
              <w:t>地面</w:t>
            </w:r>
          </w:p>
        </w:tc>
        <w:tc>
          <w:tcPr>
            <w:tcW w:w="862" w:type="pct"/>
          </w:tcPr>
          <w:p>
            <w:pPr>
              <w:pStyle w:val="71"/>
              <w:spacing w:before="16" w:line="395" w:lineRule="exact"/>
              <w:jc w:val="center"/>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55"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png"/>
                          <pic:cNvPicPr>
                            <a:picLocks noChangeAspect="1" noChangeArrowheads="1"/>
                          </pic:cNvPicPr>
                        </pic:nvPicPr>
                        <pic:blipFill>
                          <a:blip r:embed="rId65"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913" w:type="pct"/>
            <w:vAlign w:val="center"/>
          </w:tcPr>
          <w:p>
            <w:pPr>
              <w:pStyle w:val="71"/>
              <w:spacing w:before="6"/>
              <w:jc w:val="center"/>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56"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png"/>
                          <pic:cNvPicPr>
                            <a:picLocks noChangeAspect="1" noChangeArrowheads="1"/>
                          </pic:cNvPicPr>
                        </pic:nvPicPr>
                        <pic:blipFill>
                          <a:blip r:embed="rId66"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913" w:type="pct"/>
          </w:tcPr>
          <w:p>
            <w:pPr>
              <w:pStyle w:val="71"/>
              <w:spacing w:before="45" w:line="367" w:lineRule="exact"/>
              <w:jc w:val="center"/>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57"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png"/>
                          <pic:cNvPicPr>
                            <a:picLocks noChangeAspect="1" noChangeArrowheads="1"/>
                          </pic:cNvPicPr>
                        </pic:nvPicPr>
                        <pic:blipFill>
                          <a:blip r:embed="rId67"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811" w:type="pct"/>
          </w:tcPr>
          <w:p>
            <w:pPr>
              <w:pStyle w:val="71"/>
              <w:spacing w:before="61" w:line="350" w:lineRule="exact"/>
              <w:jc w:val="center"/>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58"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png"/>
                          <pic:cNvPicPr>
                            <a:picLocks noChangeAspect="1" noChangeArrowheads="1"/>
                          </pic:cNvPicPr>
                        </pic:nvPicPr>
                        <pic:blipFill>
                          <a:blip r:embed="rId68"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839" w:type="pct"/>
          </w:tcPr>
          <w:p>
            <w:pPr>
              <w:pStyle w:val="71"/>
              <w:spacing w:before="16" w:line="395" w:lineRule="exact"/>
              <w:jc w:val="center"/>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59"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png"/>
                          <pic:cNvPicPr>
                            <a:picLocks noChangeAspect="1" noChangeArrowheads="1"/>
                          </pic:cNvPicPr>
                        </pic:nvPicPr>
                        <pic:blipFill>
                          <a:blip r:embed="rId69"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 w:hRule="atLeast"/>
          <w:jc w:val="center"/>
        </w:trPr>
        <w:tc>
          <w:tcPr>
            <w:tcW w:w="5000" w:type="pct"/>
            <w:gridSpan w:val="6"/>
            <w:tcBorders>
              <w:bottom w:val="nil"/>
              <w:right w:val="nil"/>
            </w:tcBorders>
          </w:tcPr>
          <w:p>
            <w:pPr>
              <w:pStyle w:val="71"/>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before="2" w:line="409" w:lineRule="exact"/>
              <w:ind w:left="443"/>
              <w:rPr>
                <w:rFonts w:ascii="宋体" w:hAnsi="宋体"/>
                <w:color w:val="auto"/>
                <w:spacing w:val="-20"/>
                <w:szCs w:val="21"/>
              </w:rPr>
            </w:pPr>
            <w:r>
              <w:rPr>
                <w:rFonts w:ascii="宋体" w:hAnsi="宋体"/>
                <w:color w:val="auto"/>
                <w:spacing w:val="-20"/>
                <w:w w:val="80"/>
                <w:szCs w:val="21"/>
              </w:rPr>
              <w:t>机房名称</w:t>
            </w:r>
          </w:p>
        </w:tc>
        <w:tc>
          <w:tcPr>
            <w:tcW w:w="862" w:type="pct"/>
          </w:tcPr>
          <w:p>
            <w:pPr>
              <w:pStyle w:val="71"/>
              <w:spacing w:line="387" w:lineRule="exact"/>
              <w:ind w:left="530"/>
              <w:rPr>
                <w:rFonts w:ascii="宋体" w:hAnsi="宋体"/>
                <w:color w:val="auto"/>
                <w:spacing w:val="-20"/>
                <w:szCs w:val="21"/>
              </w:rPr>
            </w:pPr>
            <w:r>
              <w:rPr>
                <w:rFonts w:ascii="宋体" w:hAnsi="宋体"/>
                <w:color w:val="auto"/>
                <w:spacing w:val="-20"/>
                <w:w w:val="70"/>
                <w:szCs w:val="21"/>
              </w:rPr>
              <w:t>乳腺机房（一层影像中心）</w:t>
            </w:r>
          </w:p>
        </w:tc>
        <w:tc>
          <w:tcPr>
            <w:tcW w:w="913" w:type="pct"/>
          </w:tcPr>
          <w:p>
            <w:pPr>
              <w:pStyle w:val="71"/>
              <w:spacing w:before="4"/>
              <w:ind w:left="487"/>
              <w:rPr>
                <w:rFonts w:ascii="宋体" w:hAnsi="宋体"/>
                <w:color w:val="auto"/>
                <w:spacing w:val="-20"/>
                <w:szCs w:val="21"/>
              </w:rPr>
            </w:pPr>
            <w:r>
              <w:rPr>
                <w:rFonts w:ascii="宋体" w:hAnsi="宋体"/>
                <w:color w:val="auto"/>
                <w:spacing w:val="-20"/>
                <w:w w:val="70"/>
                <w:szCs w:val="21"/>
              </w:rPr>
              <w:t>CBCT机房（一层影像中心）</w:t>
            </w:r>
          </w:p>
        </w:tc>
        <w:tc>
          <w:tcPr>
            <w:tcW w:w="913" w:type="pct"/>
          </w:tcPr>
          <w:p>
            <w:pPr>
              <w:pStyle w:val="71"/>
              <w:spacing w:before="23" w:line="388" w:lineRule="exact"/>
              <w:ind w:left="408"/>
              <w:rPr>
                <w:rFonts w:ascii="宋体" w:hAnsi="宋体"/>
                <w:color w:val="auto"/>
                <w:spacing w:val="-20"/>
                <w:szCs w:val="21"/>
              </w:rPr>
            </w:pPr>
            <w:r>
              <w:rPr>
                <w:rFonts w:ascii="宋体" w:hAnsi="宋体"/>
                <w:color w:val="auto"/>
                <w:spacing w:val="-20"/>
                <w:w w:val="70"/>
                <w:szCs w:val="21"/>
              </w:rPr>
              <w:t>骨密度机房（二层</w:t>
            </w:r>
            <w:r>
              <w:rPr>
                <w:rFonts w:hint="eastAsia" w:ascii="宋体" w:hAnsi="宋体"/>
                <w:color w:val="auto"/>
                <w:spacing w:val="-20"/>
                <w:w w:val="70"/>
                <w:szCs w:val="21"/>
              </w:rPr>
              <w:t>功能科</w:t>
            </w:r>
            <w:r>
              <w:rPr>
                <w:rFonts w:ascii="宋体" w:hAnsi="宋体"/>
                <w:color w:val="auto"/>
                <w:spacing w:val="-20"/>
                <w:w w:val="70"/>
                <w:szCs w:val="21"/>
              </w:rPr>
              <w:t>）</w:t>
            </w:r>
          </w:p>
        </w:tc>
        <w:tc>
          <w:tcPr>
            <w:tcW w:w="811" w:type="pct"/>
          </w:tcPr>
          <w:p>
            <w:pPr>
              <w:pStyle w:val="71"/>
              <w:spacing w:before="40" w:line="371" w:lineRule="exact"/>
              <w:ind w:left="583"/>
              <w:rPr>
                <w:rFonts w:ascii="宋体" w:hAnsi="宋体"/>
                <w:color w:val="auto"/>
                <w:spacing w:val="-20"/>
                <w:szCs w:val="21"/>
              </w:rPr>
            </w:pPr>
            <w:r>
              <w:rPr>
                <w:rFonts w:ascii="宋体" w:hAnsi="宋体"/>
                <w:color w:val="auto"/>
                <w:spacing w:val="-20"/>
                <w:w w:val="75"/>
                <w:szCs w:val="21"/>
              </w:rPr>
              <w:t>牙片机房（四层口腔科）</w:t>
            </w:r>
          </w:p>
        </w:tc>
        <w:tc>
          <w:tcPr>
            <w:tcW w:w="839" w:type="pct"/>
            <w:vMerge w:val="restart"/>
            <w:tcBorders>
              <w:top w:val="nil"/>
              <w:bottom w:val="nil"/>
              <w:right w:val="nil"/>
            </w:tcBorders>
          </w:tcPr>
          <w:p>
            <w:pPr>
              <w:pStyle w:val="71"/>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6" w:lineRule="exact"/>
              <w:ind w:left="467"/>
              <w:rPr>
                <w:rFonts w:ascii="宋体" w:hAnsi="宋体"/>
                <w:color w:val="auto"/>
                <w:spacing w:val="-20"/>
                <w:szCs w:val="21"/>
              </w:rPr>
            </w:pPr>
            <w:r>
              <w:rPr>
                <w:rFonts w:ascii="宋体" w:hAnsi="宋体"/>
                <w:color w:val="auto"/>
                <w:spacing w:val="-20"/>
                <w:w w:val="80"/>
                <w:szCs w:val="21"/>
              </w:rPr>
              <w:t>防护材料</w:t>
            </w:r>
          </w:p>
        </w:tc>
        <w:tc>
          <w:tcPr>
            <w:tcW w:w="862" w:type="pct"/>
          </w:tcPr>
          <w:p>
            <w:pPr>
              <w:pStyle w:val="71"/>
              <w:spacing w:line="411" w:lineRule="exact"/>
              <w:ind w:left="726"/>
              <w:rPr>
                <w:rFonts w:ascii="宋体" w:hAnsi="宋体"/>
                <w:color w:val="auto"/>
                <w:spacing w:val="-20"/>
                <w:szCs w:val="21"/>
              </w:rPr>
            </w:pPr>
            <w:r>
              <w:rPr>
                <w:rFonts w:ascii="宋体" w:hAnsi="宋体"/>
                <w:color w:val="auto"/>
                <w:spacing w:val="-20"/>
                <w:w w:val="80"/>
                <w:szCs w:val="21"/>
              </w:rPr>
              <w:t>200mm轻质砖墙</w:t>
            </w:r>
          </w:p>
        </w:tc>
        <w:tc>
          <w:tcPr>
            <w:tcW w:w="913" w:type="pct"/>
          </w:tcPr>
          <w:p>
            <w:pPr>
              <w:pStyle w:val="71"/>
              <w:spacing w:line="411" w:lineRule="exact"/>
              <w:ind w:left="734"/>
              <w:rPr>
                <w:rFonts w:ascii="宋体" w:hAnsi="宋体"/>
                <w:color w:val="auto"/>
                <w:spacing w:val="-20"/>
                <w:szCs w:val="21"/>
              </w:rPr>
            </w:pPr>
            <w:r>
              <w:rPr>
                <w:rFonts w:ascii="宋体" w:hAnsi="宋体"/>
                <w:color w:val="auto"/>
                <w:spacing w:val="-20"/>
                <w:w w:val="80"/>
                <w:szCs w:val="21"/>
              </w:rPr>
              <w:t>200mm轻质砖墙</w:t>
            </w:r>
          </w:p>
        </w:tc>
        <w:tc>
          <w:tcPr>
            <w:tcW w:w="913" w:type="pct"/>
          </w:tcPr>
          <w:p>
            <w:pPr>
              <w:pStyle w:val="71"/>
              <w:spacing w:line="411" w:lineRule="exact"/>
              <w:ind w:left="760"/>
              <w:rPr>
                <w:rFonts w:ascii="宋体" w:hAnsi="宋体"/>
                <w:color w:val="auto"/>
                <w:spacing w:val="-20"/>
                <w:szCs w:val="21"/>
              </w:rPr>
            </w:pPr>
            <w:r>
              <w:rPr>
                <w:rFonts w:ascii="宋体" w:hAnsi="宋体"/>
                <w:color w:val="auto"/>
                <w:spacing w:val="-20"/>
                <w:w w:val="80"/>
                <w:szCs w:val="21"/>
              </w:rPr>
              <w:t>200mm轻质砖墙</w:t>
            </w:r>
          </w:p>
        </w:tc>
        <w:tc>
          <w:tcPr>
            <w:tcW w:w="811" w:type="pct"/>
          </w:tcPr>
          <w:p>
            <w:pPr>
              <w:pStyle w:val="71"/>
              <w:spacing w:before="9" w:line="402" w:lineRule="exact"/>
              <w:ind w:left="770"/>
              <w:rPr>
                <w:rFonts w:ascii="宋体" w:hAnsi="宋体"/>
                <w:color w:val="auto"/>
                <w:spacing w:val="-20"/>
                <w:szCs w:val="21"/>
              </w:rPr>
            </w:pPr>
            <w:r>
              <w:rPr>
                <w:rFonts w:ascii="宋体" w:hAnsi="宋体"/>
                <w:color w:val="auto"/>
                <w:spacing w:val="-20"/>
                <w:w w:val="80"/>
                <w:szCs w:val="21"/>
              </w:rPr>
              <w:t>200mm轻质砖墙</w:t>
            </w:r>
          </w:p>
        </w:tc>
        <w:tc>
          <w:tcPr>
            <w:tcW w:w="839" w:type="pct"/>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jc w:val="center"/>
        </w:trPr>
        <w:tc>
          <w:tcPr>
            <w:tcW w:w="662" w:type="pct"/>
          </w:tcPr>
          <w:p>
            <w:pPr>
              <w:pStyle w:val="71"/>
              <w:spacing w:line="414" w:lineRule="exact"/>
              <w:ind w:left="572" w:right="637"/>
              <w:jc w:val="center"/>
              <w:rPr>
                <w:rFonts w:ascii="宋体" w:hAnsi="宋体"/>
                <w:color w:val="auto"/>
                <w:spacing w:val="-20"/>
                <w:szCs w:val="21"/>
              </w:rPr>
            </w:pPr>
            <w:r>
              <w:rPr>
                <w:rFonts w:ascii="宋体" w:hAnsi="宋体"/>
                <w:color w:val="auto"/>
                <w:spacing w:val="-20"/>
                <w:w w:val="80"/>
                <w:szCs w:val="21"/>
              </w:rPr>
              <w:t>东墙</w:t>
            </w:r>
          </w:p>
        </w:tc>
        <w:tc>
          <w:tcPr>
            <w:tcW w:w="862" w:type="pct"/>
          </w:tcPr>
          <w:p>
            <w:pPr>
              <w:pStyle w:val="71"/>
              <w:spacing w:line="360" w:lineRule="exact"/>
              <w:ind w:left="254"/>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60"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png"/>
                          <pic:cNvPicPr>
                            <a:picLocks noChangeAspect="1" noChangeArrowheads="1"/>
                          </pic:cNvPicPr>
                        </pic:nvPicPr>
                        <pic:blipFill>
                          <a:blip r:embed="rId70"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75"/>
                <w:szCs w:val="21"/>
              </w:rPr>
              <w:t>防辐射涂料+1mmpb铅板</w:t>
            </w:r>
          </w:p>
        </w:tc>
        <w:tc>
          <w:tcPr>
            <w:tcW w:w="913" w:type="pct"/>
          </w:tcPr>
          <w:p>
            <w:pPr>
              <w:pStyle w:val="71"/>
              <w:spacing w:line="375" w:lineRule="exact"/>
              <w:ind w:left="376"/>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61"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png"/>
                          <pic:cNvPicPr>
                            <a:picLocks noChangeAspect="1" noChangeArrowheads="1"/>
                          </pic:cNvPicPr>
                        </pic:nvPicPr>
                        <pic:blipFill>
                          <a:blip r:embed="rId71"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防辐射涂料+2mmpb铅板</w:t>
            </w:r>
          </w:p>
        </w:tc>
        <w:tc>
          <w:tcPr>
            <w:tcW w:w="913" w:type="pct"/>
          </w:tcPr>
          <w:p>
            <w:pPr>
              <w:pStyle w:val="71"/>
              <w:spacing w:line="360" w:lineRule="exact"/>
              <w:ind w:left="355"/>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62"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png"/>
                          <pic:cNvPicPr>
                            <a:picLocks noChangeAspect="1" noChangeArrowheads="1"/>
                          </pic:cNvPicPr>
                        </pic:nvPicPr>
                        <pic:blipFill>
                          <a:blip r:embed="rId72"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防辐射涂料+1mmpb铅板</w:t>
            </w:r>
          </w:p>
        </w:tc>
        <w:tc>
          <w:tcPr>
            <w:tcW w:w="811" w:type="pct"/>
          </w:tcPr>
          <w:p>
            <w:pPr>
              <w:pStyle w:val="71"/>
              <w:spacing w:before="13"/>
              <w:ind w:right="192"/>
              <w:jc w:val="right"/>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63"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png"/>
                          <pic:cNvPicPr>
                            <a:picLocks noChangeAspect="1" noChangeArrowheads="1"/>
                          </pic:cNvPicPr>
                        </pic:nvPicPr>
                        <pic:blipFill>
                          <a:blip r:embed="rId73"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防辐射涂料+1mmpb铅板</w:t>
            </w:r>
          </w:p>
        </w:tc>
        <w:tc>
          <w:tcPr>
            <w:tcW w:w="839" w:type="pct"/>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before="21" w:line="391" w:lineRule="exact"/>
              <w:ind w:left="558" w:right="637"/>
              <w:jc w:val="center"/>
              <w:rPr>
                <w:rFonts w:ascii="宋体" w:hAnsi="宋体"/>
                <w:color w:val="auto"/>
                <w:spacing w:val="-20"/>
                <w:szCs w:val="21"/>
              </w:rPr>
            </w:pPr>
            <w:r>
              <w:rPr>
                <w:rFonts w:ascii="宋体" w:hAnsi="宋体"/>
                <w:color w:val="auto"/>
                <w:spacing w:val="-20"/>
                <w:w w:val="80"/>
                <w:szCs w:val="21"/>
              </w:rPr>
              <w:t>南墙</w:t>
            </w:r>
          </w:p>
        </w:tc>
        <w:tc>
          <w:tcPr>
            <w:tcW w:w="862" w:type="pct"/>
          </w:tcPr>
          <w:p>
            <w:pPr>
              <w:pStyle w:val="71"/>
              <w:spacing w:line="358" w:lineRule="exact"/>
              <w:ind w:left="261"/>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64"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png"/>
                          <pic:cNvPicPr>
                            <a:picLocks noChangeAspect="1" noChangeArrowheads="1"/>
                          </pic:cNvPicPr>
                        </pic:nvPicPr>
                        <pic:blipFill>
                          <a:blip r:embed="rId74"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5"/>
                <w:szCs w:val="21"/>
              </w:rPr>
              <w:t>防辐射涂料+1mmpb铅板</w:t>
            </w:r>
          </w:p>
        </w:tc>
        <w:tc>
          <w:tcPr>
            <w:tcW w:w="913" w:type="pct"/>
          </w:tcPr>
          <w:p>
            <w:pPr>
              <w:pStyle w:val="71"/>
              <w:spacing w:line="372" w:lineRule="exact"/>
              <w:ind w:left="383"/>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65"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png"/>
                          <pic:cNvPicPr>
                            <a:picLocks noChangeAspect="1" noChangeArrowheads="1"/>
                          </pic:cNvPicPr>
                        </pic:nvPicPr>
                        <pic:blipFill>
                          <a:blip r:embed="rId75"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防辐射涂料+2mmpb铅板</w:t>
            </w:r>
          </w:p>
        </w:tc>
        <w:tc>
          <w:tcPr>
            <w:tcW w:w="913" w:type="pct"/>
          </w:tcPr>
          <w:p>
            <w:pPr>
              <w:pStyle w:val="71"/>
              <w:spacing w:line="358" w:lineRule="exact"/>
              <w:ind w:left="362"/>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66"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png"/>
                          <pic:cNvPicPr>
                            <a:picLocks noChangeAspect="1" noChangeArrowheads="1"/>
                          </pic:cNvPicPr>
                        </pic:nvPicPr>
                        <pic:blipFill>
                          <a:blip r:embed="rId76"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防辐射涂料+1mmpb铅板</w:t>
            </w:r>
          </w:p>
        </w:tc>
        <w:tc>
          <w:tcPr>
            <w:tcW w:w="811" w:type="pct"/>
          </w:tcPr>
          <w:p>
            <w:pPr>
              <w:pStyle w:val="71"/>
              <w:spacing w:before="11"/>
              <w:ind w:right="188"/>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67"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png"/>
                          <pic:cNvPicPr>
                            <a:picLocks noChangeAspect="1" noChangeArrowheads="1"/>
                          </pic:cNvPicPr>
                        </pic:nvPicPr>
                        <pic:blipFill>
                          <a:blip r:embed="rId77"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防辐射涂料+1mmpb铅板</w:t>
            </w:r>
          </w:p>
        </w:tc>
        <w:tc>
          <w:tcPr>
            <w:tcW w:w="839" w:type="pct"/>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6" w:lineRule="exact"/>
              <w:ind w:left="568" w:right="637"/>
              <w:jc w:val="center"/>
              <w:rPr>
                <w:rFonts w:ascii="宋体" w:hAnsi="宋体"/>
                <w:color w:val="auto"/>
                <w:spacing w:val="-20"/>
                <w:szCs w:val="21"/>
              </w:rPr>
            </w:pPr>
            <w:r>
              <w:rPr>
                <w:rFonts w:ascii="宋体" w:hAnsi="宋体"/>
                <w:color w:val="auto"/>
                <w:spacing w:val="-20"/>
                <w:w w:val="80"/>
                <w:szCs w:val="21"/>
              </w:rPr>
              <w:t>西墙</w:t>
            </w:r>
          </w:p>
        </w:tc>
        <w:tc>
          <w:tcPr>
            <w:tcW w:w="862" w:type="pct"/>
          </w:tcPr>
          <w:p>
            <w:pPr>
              <w:pStyle w:val="71"/>
              <w:spacing w:line="384" w:lineRule="exact"/>
              <w:ind w:left="249"/>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68" name="image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png"/>
                          <pic:cNvPicPr>
                            <a:picLocks noChangeAspect="1" noChangeArrowheads="1"/>
                          </pic:cNvPicPr>
                        </pic:nvPicPr>
                        <pic:blipFill>
                          <a:blip r:embed="rId78"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5"/>
                <w:szCs w:val="21"/>
              </w:rPr>
              <w:t>防辐射涂料+1mmpb铅板</w:t>
            </w:r>
          </w:p>
        </w:tc>
        <w:tc>
          <w:tcPr>
            <w:tcW w:w="913" w:type="pct"/>
          </w:tcPr>
          <w:p>
            <w:pPr>
              <w:pStyle w:val="71"/>
              <w:spacing w:before="1"/>
              <w:ind w:left="371"/>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69"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png"/>
                          <pic:cNvPicPr>
                            <a:picLocks noChangeAspect="1" noChangeArrowheads="1"/>
                          </pic:cNvPicPr>
                        </pic:nvPicPr>
                        <pic:blipFill>
                          <a:blip r:embed="rId79"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防辐射涂料+2mmpb铅板</w:t>
            </w:r>
          </w:p>
        </w:tc>
        <w:tc>
          <w:tcPr>
            <w:tcW w:w="913" w:type="pct"/>
          </w:tcPr>
          <w:p>
            <w:pPr>
              <w:pStyle w:val="71"/>
              <w:spacing w:line="384" w:lineRule="exact"/>
              <w:ind w:left="350"/>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70"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png"/>
                          <pic:cNvPicPr>
                            <a:picLocks noChangeAspect="1" noChangeArrowheads="1"/>
                          </pic:cNvPicPr>
                        </pic:nvPicPr>
                        <pic:blipFill>
                          <a:blip r:embed="rId80"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5"/>
                <w:szCs w:val="21"/>
              </w:rPr>
              <w:t>防辐射涂料+1mmpb铅板</w:t>
            </w:r>
          </w:p>
        </w:tc>
        <w:tc>
          <w:tcPr>
            <w:tcW w:w="811" w:type="pct"/>
          </w:tcPr>
          <w:p>
            <w:pPr>
              <w:pStyle w:val="71"/>
              <w:spacing w:before="40" w:line="371" w:lineRule="exact"/>
              <w:ind w:right="197"/>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71" name="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png"/>
                          <pic:cNvPicPr>
                            <a:picLocks noChangeAspect="1" noChangeArrowheads="1"/>
                          </pic:cNvPicPr>
                        </pic:nvPicPr>
                        <pic:blipFill>
                          <a:blip r:embed="rId81"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防辐射涂料+1mmpb铅板</w:t>
            </w:r>
          </w:p>
        </w:tc>
        <w:tc>
          <w:tcPr>
            <w:tcW w:w="839" w:type="pct"/>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4" w:lineRule="exact"/>
              <w:ind w:left="568" w:right="637"/>
              <w:jc w:val="center"/>
              <w:rPr>
                <w:rFonts w:ascii="宋体" w:hAnsi="宋体"/>
                <w:color w:val="auto"/>
                <w:spacing w:val="-20"/>
                <w:szCs w:val="21"/>
              </w:rPr>
            </w:pPr>
            <w:r>
              <w:rPr>
                <w:rFonts w:ascii="宋体" w:hAnsi="宋体"/>
                <w:color w:val="auto"/>
                <w:spacing w:val="-20"/>
                <w:w w:val="80"/>
                <w:szCs w:val="21"/>
              </w:rPr>
              <w:t>北墙</w:t>
            </w:r>
          </w:p>
        </w:tc>
        <w:tc>
          <w:tcPr>
            <w:tcW w:w="862" w:type="pct"/>
          </w:tcPr>
          <w:p>
            <w:pPr>
              <w:pStyle w:val="71"/>
              <w:spacing w:line="392" w:lineRule="exact"/>
              <w:ind w:left="249"/>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72" name="image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png"/>
                          <pic:cNvPicPr>
                            <a:picLocks noChangeAspect="1" noChangeArrowheads="1"/>
                          </pic:cNvPicPr>
                        </pic:nvPicPr>
                        <pic:blipFill>
                          <a:blip r:embed="rId82"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5"/>
                <w:szCs w:val="21"/>
              </w:rPr>
              <w:t>防辐射涂料+1mmpb铅板</w:t>
            </w:r>
          </w:p>
        </w:tc>
        <w:tc>
          <w:tcPr>
            <w:tcW w:w="913" w:type="pct"/>
          </w:tcPr>
          <w:p>
            <w:pPr>
              <w:pStyle w:val="71"/>
              <w:spacing w:before="9"/>
              <w:ind w:left="371"/>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73" name="imag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png"/>
                          <pic:cNvPicPr>
                            <a:picLocks noChangeAspect="1" noChangeArrowheads="1"/>
                          </pic:cNvPicPr>
                        </pic:nvPicPr>
                        <pic:blipFill>
                          <a:blip r:embed="rId83"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0"/>
                <w:szCs w:val="21"/>
              </w:rPr>
              <w:t>防辐射涂料+2mmpb铅板</w:t>
            </w:r>
          </w:p>
        </w:tc>
        <w:tc>
          <w:tcPr>
            <w:tcW w:w="913" w:type="pct"/>
          </w:tcPr>
          <w:p>
            <w:pPr>
              <w:pStyle w:val="71"/>
              <w:spacing w:line="392" w:lineRule="exact"/>
              <w:ind w:left="350"/>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74" name="image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png"/>
                          <pic:cNvPicPr>
                            <a:picLocks noChangeAspect="1" noChangeArrowheads="1"/>
                          </pic:cNvPicPr>
                        </pic:nvPicPr>
                        <pic:blipFill>
                          <a:blip r:embed="rId84"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75"/>
                <w:szCs w:val="21"/>
              </w:rPr>
              <w:t>防辐射涂料+1mmpb铅板</w:t>
            </w:r>
          </w:p>
        </w:tc>
        <w:tc>
          <w:tcPr>
            <w:tcW w:w="811" w:type="pct"/>
          </w:tcPr>
          <w:p>
            <w:pPr>
              <w:pStyle w:val="71"/>
              <w:spacing w:before="45" w:line="367" w:lineRule="exact"/>
              <w:ind w:right="197"/>
              <w:jc w:val="righ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75" name="image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png"/>
                          <pic:cNvPicPr>
                            <a:picLocks noChangeAspect="1" noChangeArrowheads="1"/>
                          </pic:cNvPicPr>
                        </pic:nvPicPr>
                        <pic:blipFill>
                          <a:blip r:embed="rId85"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65"/>
                <w:szCs w:val="21"/>
              </w:rPr>
              <w:t>防辐射涂料+1mmpb铅板</w:t>
            </w:r>
          </w:p>
        </w:tc>
        <w:tc>
          <w:tcPr>
            <w:tcW w:w="839" w:type="pct"/>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6" w:lineRule="exact"/>
              <w:ind w:right="-15"/>
              <w:jc w:val="right"/>
              <w:rPr>
                <w:rFonts w:ascii="宋体" w:hAnsi="宋体"/>
                <w:color w:val="auto"/>
                <w:spacing w:val="-20"/>
                <w:szCs w:val="21"/>
              </w:rPr>
            </w:pPr>
            <w:r>
              <w:rPr>
                <w:rFonts w:ascii="宋体" w:hAnsi="宋体"/>
                <w:color w:val="auto"/>
                <w:spacing w:val="-20"/>
                <w:w w:val="65"/>
                <w:szCs w:val="21"/>
              </w:rPr>
              <w:t>顶棚（上层地面）</w:t>
            </w:r>
          </w:p>
        </w:tc>
        <w:tc>
          <w:tcPr>
            <w:tcW w:w="862" w:type="pct"/>
          </w:tcPr>
          <w:p>
            <w:pPr>
              <w:pStyle w:val="71"/>
              <w:spacing w:line="392" w:lineRule="exact"/>
              <w:rPr>
                <w:rFonts w:ascii="宋体" w:hAnsi="宋体"/>
                <w:color w:val="auto"/>
                <w:spacing w:val="-20"/>
                <w:szCs w:val="21"/>
              </w:rPr>
            </w:pPr>
            <w:r>
              <w:rPr>
                <w:rFonts w:ascii="宋体" w:hAnsi="宋体"/>
                <w:color w:val="auto"/>
                <w:spacing w:val="-20"/>
                <w:position w:val="-3"/>
                <w:szCs w:val="21"/>
              </w:rPr>
              <w:drawing>
                <wp:inline distT="0" distB="0" distL="0" distR="0">
                  <wp:extent cx="318135" cy="167005"/>
                  <wp:effectExtent l="19050" t="0" r="5715" b="0"/>
                  <wp:docPr id="76" name="image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png"/>
                          <pic:cNvPicPr>
                            <a:picLocks noChangeAspect="1" noChangeArrowheads="1"/>
                          </pic:cNvPicPr>
                        </pic:nvPicPr>
                        <pic:blipFill>
                          <a:blip r:embed="rId86" cstate="print"/>
                          <a:srcRect/>
                          <a:stretch>
                            <a:fillRect/>
                          </a:stretch>
                        </pic:blipFill>
                        <pic:spPr>
                          <a:xfrm>
                            <a:off x="0" y="0"/>
                            <a:ext cx="31813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c>
          <w:tcPr>
            <w:tcW w:w="913" w:type="pct"/>
          </w:tcPr>
          <w:p>
            <w:pPr>
              <w:pStyle w:val="71"/>
              <w:spacing w:line="372" w:lineRule="exact"/>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77" name="image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png"/>
                          <pic:cNvPicPr>
                            <a:picLocks noChangeAspect="1" noChangeArrowheads="1"/>
                          </pic:cNvPicPr>
                        </pic:nvPicPr>
                        <pic:blipFill>
                          <a:blip r:embed="rId87"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c>
          <w:tcPr>
            <w:tcW w:w="913" w:type="pct"/>
          </w:tcPr>
          <w:p>
            <w:pPr>
              <w:pStyle w:val="71"/>
              <w:spacing w:before="6"/>
              <w:rPr>
                <w:rFonts w:ascii="宋体" w:hAnsi="宋体"/>
                <w:color w:val="auto"/>
                <w:spacing w:val="-20"/>
                <w:szCs w:val="21"/>
              </w:rPr>
            </w:pPr>
            <w:r>
              <w:rPr>
                <w:rFonts w:ascii="宋体" w:hAnsi="宋体"/>
                <w:color w:val="auto"/>
                <w:spacing w:val="-20"/>
                <w:position w:val="-3"/>
                <w:szCs w:val="21"/>
              </w:rPr>
              <w:drawing>
                <wp:inline distT="0" distB="0" distL="0" distR="0">
                  <wp:extent cx="318135" cy="167005"/>
                  <wp:effectExtent l="19050" t="0" r="5715" b="0"/>
                  <wp:docPr id="78" name="image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png"/>
                          <pic:cNvPicPr>
                            <a:picLocks noChangeAspect="1" noChangeArrowheads="1"/>
                          </pic:cNvPicPr>
                        </pic:nvPicPr>
                        <pic:blipFill>
                          <a:blip r:embed="rId88" cstate="print"/>
                          <a:srcRect/>
                          <a:stretch>
                            <a:fillRect/>
                          </a:stretch>
                        </pic:blipFill>
                        <pic:spPr>
                          <a:xfrm>
                            <a:off x="0" y="0"/>
                            <a:ext cx="31813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c>
          <w:tcPr>
            <w:tcW w:w="811" w:type="pct"/>
          </w:tcPr>
          <w:p>
            <w:pPr>
              <w:pStyle w:val="71"/>
              <w:spacing w:before="6"/>
              <w:rPr>
                <w:rFonts w:ascii="宋体" w:hAnsi="宋体"/>
                <w:color w:val="auto"/>
                <w:spacing w:val="-20"/>
                <w:szCs w:val="21"/>
              </w:rPr>
            </w:pPr>
            <w:r>
              <w:rPr>
                <w:rFonts w:ascii="宋体" w:hAnsi="宋体"/>
                <w:color w:val="auto"/>
                <w:spacing w:val="-20"/>
                <w:position w:val="-3"/>
                <w:szCs w:val="21"/>
              </w:rPr>
              <w:drawing>
                <wp:inline distT="0" distB="0" distL="0" distR="0">
                  <wp:extent cx="318135" cy="167005"/>
                  <wp:effectExtent l="19050" t="0" r="5715" b="0"/>
                  <wp:docPr id="79" name="image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png"/>
                          <pic:cNvPicPr>
                            <a:picLocks noChangeAspect="1" noChangeArrowheads="1"/>
                          </pic:cNvPicPr>
                        </pic:nvPicPr>
                        <pic:blipFill>
                          <a:blip r:embed="rId89" cstate="print"/>
                          <a:srcRect/>
                          <a:stretch>
                            <a:fillRect/>
                          </a:stretch>
                        </pic:blipFill>
                        <pic:spPr>
                          <a:xfrm>
                            <a:off x="0" y="0"/>
                            <a:ext cx="31813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r>
              <w:rPr>
                <w:rFonts w:ascii="宋体" w:hAnsi="宋体"/>
                <w:color w:val="auto"/>
                <w:spacing w:val="-20"/>
                <w:w w:val="65"/>
                <w:szCs w:val="21"/>
              </w:rPr>
              <w:t>（上层地面施工）</w:t>
            </w:r>
          </w:p>
        </w:tc>
        <w:tc>
          <w:tcPr>
            <w:tcW w:w="839" w:type="pct"/>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jc w:val="center"/>
        </w:trPr>
        <w:tc>
          <w:tcPr>
            <w:tcW w:w="662" w:type="pct"/>
          </w:tcPr>
          <w:p>
            <w:pPr>
              <w:pStyle w:val="71"/>
              <w:spacing w:line="394" w:lineRule="exact"/>
              <w:ind w:left="572" w:right="632"/>
              <w:jc w:val="center"/>
              <w:rPr>
                <w:rFonts w:ascii="宋体" w:hAnsi="宋体"/>
                <w:color w:val="auto"/>
                <w:spacing w:val="-20"/>
                <w:szCs w:val="21"/>
              </w:rPr>
            </w:pPr>
            <w:r>
              <w:rPr>
                <w:rFonts w:ascii="宋体" w:hAnsi="宋体"/>
                <w:color w:val="auto"/>
                <w:spacing w:val="-20"/>
                <w:w w:val="80"/>
                <w:szCs w:val="21"/>
              </w:rPr>
              <w:t>地面</w:t>
            </w:r>
          </w:p>
        </w:tc>
        <w:tc>
          <w:tcPr>
            <w:tcW w:w="862" w:type="pct"/>
          </w:tcPr>
          <w:p>
            <w:pPr>
              <w:pStyle w:val="71"/>
              <w:spacing w:before="13"/>
              <w:ind w:left="758"/>
              <w:rPr>
                <w:rFonts w:ascii="宋体" w:hAnsi="宋体"/>
                <w:color w:val="auto"/>
                <w:spacing w:val="-20"/>
                <w:szCs w:val="21"/>
              </w:rPr>
            </w:pPr>
            <w:r>
              <w:rPr>
                <w:rFonts w:ascii="宋体" w:hAnsi="宋体"/>
                <w:color w:val="auto"/>
                <w:spacing w:val="-20"/>
                <w:position w:val="-3"/>
                <w:szCs w:val="21"/>
              </w:rPr>
              <w:drawing>
                <wp:inline distT="0" distB="0" distL="0" distR="0">
                  <wp:extent cx="318135" cy="167005"/>
                  <wp:effectExtent l="19050" t="0" r="5715" b="0"/>
                  <wp:docPr id="80" name="image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png"/>
                          <pic:cNvPicPr>
                            <a:picLocks noChangeAspect="1" noChangeArrowheads="1"/>
                          </pic:cNvPicPr>
                        </pic:nvPicPr>
                        <pic:blipFill>
                          <a:blip r:embed="rId90" cstate="print"/>
                          <a:srcRect/>
                          <a:stretch>
                            <a:fillRect/>
                          </a:stretch>
                        </pic:blipFill>
                        <pic:spPr>
                          <a:xfrm>
                            <a:off x="0" y="0"/>
                            <a:ext cx="31813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913" w:type="pct"/>
          </w:tcPr>
          <w:p>
            <w:pPr>
              <w:pStyle w:val="71"/>
              <w:spacing w:line="392" w:lineRule="exact"/>
              <w:ind w:left="775"/>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81"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png"/>
                          <pic:cNvPicPr>
                            <a:picLocks noChangeAspect="1" noChangeArrowheads="1"/>
                          </pic:cNvPicPr>
                        </pic:nvPicPr>
                        <pic:blipFill>
                          <a:blip r:embed="rId91"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913" w:type="pct"/>
          </w:tcPr>
          <w:p>
            <w:pPr>
              <w:pStyle w:val="71"/>
              <w:spacing w:before="23" w:line="391" w:lineRule="exact"/>
              <w:ind w:left="813"/>
              <w:rPr>
                <w:rFonts w:ascii="宋体" w:hAnsi="宋体"/>
                <w:color w:val="auto"/>
                <w:spacing w:val="-20"/>
                <w:szCs w:val="21"/>
              </w:rPr>
            </w:pPr>
            <w:r>
              <w:rPr>
                <w:rFonts w:ascii="宋体" w:hAnsi="宋体"/>
                <w:color w:val="auto"/>
                <w:spacing w:val="-20"/>
                <w:position w:val="-3"/>
                <w:szCs w:val="21"/>
              </w:rPr>
              <w:drawing>
                <wp:inline distT="0" distB="0" distL="0" distR="0">
                  <wp:extent cx="318135" cy="167005"/>
                  <wp:effectExtent l="19050" t="0" r="5715" b="0"/>
                  <wp:docPr id="82" name="image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png"/>
                          <pic:cNvPicPr>
                            <a:picLocks noChangeAspect="1" noChangeArrowheads="1"/>
                          </pic:cNvPicPr>
                        </pic:nvPicPr>
                        <pic:blipFill>
                          <a:blip r:embed="rId92" cstate="print"/>
                          <a:srcRect/>
                          <a:stretch>
                            <a:fillRect/>
                          </a:stretch>
                        </pic:blipFill>
                        <pic:spPr>
                          <a:xfrm>
                            <a:off x="0" y="0"/>
                            <a:ext cx="31813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811" w:type="pct"/>
          </w:tcPr>
          <w:p>
            <w:pPr>
              <w:pStyle w:val="71"/>
              <w:spacing w:before="23" w:line="391" w:lineRule="exact"/>
              <w:ind w:left="794"/>
              <w:rPr>
                <w:rFonts w:ascii="宋体" w:hAnsi="宋体"/>
                <w:color w:val="auto"/>
                <w:spacing w:val="-20"/>
                <w:szCs w:val="21"/>
              </w:rPr>
            </w:pPr>
            <w:r>
              <w:rPr>
                <w:rFonts w:ascii="宋体" w:hAnsi="宋体"/>
                <w:color w:val="auto"/>
                <w:spacing w:val="-20"/>
                <w:position w:val="-3"/>
                <w:szCs w:val="21"/>
              </w:rPr>
              <w:drawing>
                <wp:inline distT="0" distB="0" distL="0" distR="0">
                  <wp:extent cx="318135" cy="167005"/>
                  <wp:effectExtent l="19050" t="0" r="5715" b="0"/>
                  <wp:docPr id="83" name="image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png"/>
                          <pic:cNvPicPr>
                            <a:picLocks noChangeAspect="1" noChangeArrowheads="1"/>
                          </pic:cNvPicPr>
                        </pic:nvPicPr>
                        <pic:blipFill>
                          <a:blip r:embed="rId93" cstate="print"/>
                          <a:srcRect/>
                          <a:stretch>
                            <a:fillRect/>
                          </a:stretch>
                        </pic:blipFill>
                        <pic:spPr>
                          <a:xfrm>
                            <a:off x="0" y="0"/>
                            <a:ext cx="31813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839" w:type="pct"/>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5" w:hRule="atLeast"/>
          <w:jc w:val="center"/>
        </w:trPr>
        <w:tc>
          <w:tcPr>
            <w:tcW w:w="5000" w:type="pct"/>
            <w:gridSpan w:val="6"/>
            <w:tcBorders>
              <w:top w:val="nil"/>
              <w:bottom w:val="nil"/>
              <w:right w:val="nil"/>
            </w:tcBorders>
          </w:tcPr>
          <w:p>
            <w:pPr>
              <w:pStyle w:val="71"/>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before="2" w:line="409" w:lineRule="exact"/>
              <w:ind w:left="443"/>
              <w:rPr>
                <w:rFonts w:ascii="宋体" w:hAnsi="宋体"/>
                <w:color w:val="auto"/>
                <w:spacing w:val="-20"/>
                <w:szCs w:val="21"/>
              </w:rPr>
            </w:pPr>
            <w:r>
              <w:rPr>
                <w:rFonts w:ascii="宋体" w:hAnsi="宋体"/>
                <w:color w:val="auto"/>
                <w:spacing w:val="-20"/>
                <w:w w:val="80"/>
                <w:szCs w:val="21"/>
              </w:rPr>
              <w:t>机房名称</w:t>
            </w:r>
          </w:p>
        </w:tc>
        <w:tc>
          <w:tcPr>
            <w:tcW w:w="862" w:type="pct"/>
          </w:tcPr>
          <w:p>
            <w:pPr>
              <w:pStyle w:val="71"/>
              <w:spacing w:line="394" w:lineRule="exact"/>
              <w:ind w:left="863"/>
              <w:rPr>
                <w:rFonts w:ascii="宋体" w:hAnsi="宋体"/>
                <w:color w:val="auto"/>
                <w:spacing w:val="-20"/>
                <w:szCs w:val="21"/>
              </w:rPr>
            </w:pPr>
            <w:r>
              <w:rPr>
                <w:rFonts w:ascii="宋体" w:hAnsi="宋体"/>
                <w:color w:val="auto"/>
                <w:spacing w:val="-20"/>
                <w:w w:val="80"/>
                <w:szCs w:val="21"/>
              </w:rPr>
              <w:t>CT机房（急诊一层）</w:t>
            </w:r>
          </w:p>
        </w:tc>
        <w:tc>
          <w:tcPr>
            <w:tcW w:w="913" w:type="pct"/>
          </w:tcPr>
          <w:p>
            <w:pPr>
              <w:pStyle w:val="71"/>
              <w:spacing w:before="4"/>
              <w:ind w:left="628"/>
              <w:rPr>
                <w:rFonts w:ascii="宋体" w:hAnsi="宋体"/>
                <w:color w:val="auto"/>
                <w:spacing w:val="-20"/>
                <w:szCs w:val="21"/>
              </w:rPr>
            </w:pPr>
            <w:r>
              <w:rPr>
                <w:rFonts w:ascii="宋体" w:hAnsi="宋体"/>
                <w:color w:val="auto"/>
                <w:spacing w:val="-20"/>
                <w:w w:val="80"/>
                <w:szCs w:val="21"/>
              </w:rPr>
              <w:t>DR机房（急诊一层）</w:t>
            </w:r>
          </w:p>
        </w:tc>
        <w:tc>
          <w:tcPr>
            <w:tcW w:w="2563" w:type="pct"/>
            <w:gridSpan w:val="3"/>
            <w:vMerge w:val="restart"/>
            <w:tcBorders>
              <w:top w:val="nil"/>
              <w:bottom w:val="nil"/>
              <w:right w:val="nil"/>
            </w:tcBorders>
          </w:tcPr>
          <w:p>
            <w:pPr>
              <w:pStyle w:val="71"/>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8" w:lineRule="exact"/>
              <w:ind w:left="467"/>
              <w:rPr>
                <w:rFonts w:ascii="宋体" w:hAnsi="宋体"/>
                <w:color w:val="auto"/>
                <w:spacing w:val="-20"/>
                <w:szCs w:val="21"/>
              </w:rPr>
            </w:pPr>
            <w:r>
              <w:rPr>
                <w:rFonts w:ascii="宋体" w:hAnsi="宋体"/>
                <w:color w:val="auto"/>
                <w:spacing w:val="-20"/>
                <w:w w:val="80"/>
                <w:szCs w:val="21"/>
              </w:rPr>
              <w:t>防护材料</w:t>
            </w:r>
          </w:p>
        </w:tc>
        <w:tc>
          <w:tcPr>
            <w:tcW w:w="862" w:type="pct"/>
          </w:tcPr>
          <w:p>
            <w:pPr>
              <w:pStyle w:val="71"/>
              <w:spacing w:line="411" w:lineRule="exact"/>
              <w:ind w:left="918"/>
              <w:rPr>
                <w:rFonts w:ascii="宋体" w:hAnsi="宋体"/>
                <w:color w:val="auto"/>
                <w:spacing w:val="-20"/>
                <w:szCs w:val="21"/>
              </w:rPr>
            </w:pPr>
            <w:r>
              <w:rPr>
                <w:rFonts w:ascii="宋体" w:hAnsi="宋体"/>
                <w:color w:val="auto"/>
                <w:spacing w:val="-20"/>
                <w:w w:val="80"/>
                <w:szCs w:val="21"/>
              </w:rPr>
              <w:t>240mm实心砖墙</w:t>
            </w:r>
          </w:p>
        </w:tc>
        <w:tc>
          <w:tcPr>
            <w:tcW w:w="913" w:type="pct"/>
          </w:tcPr>
          <w:p>
            <w:pPr>
              <w:pStyle w:val="71"/>
              <w:spacing w:line="411" w:lineRule="exact"/>
              <w:ind w:left="842"/>
              <w:rPr>
                <w:rFonts w:ascii="宋体" w:hAnsi="宋体"/>
                <w:color w:val="auto"/>
                <w:spacing w:val="-20"/>
                <w:szCs w:val="21"/>
              </w:rPr>
            </w:pPr>
            <w:r>
              <w:rPr>
                <w:rFonts w:ascii="宋体" w:hAnsi="宋体"/>
                <w:color w:val="auto"/>
                <w:spacing w:val="-20"/>
                <w:w w:val="80"/>
                <w:szCs w:val="21"/>
              </w:rPr>
              <w:t>240mm实心砖墙</w:t>
            </w:r>
          </w:p>
        </w:tc>
        <w:tc>
          <w:tcPr>
            <w:tcW w:w="2563" w:type="pct"/>
            <w:gridSpan w:val="3"/>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jc w:val="center"/>
        </w:trPr>
        <w:tc>
          <w:tcPr>
            <w:tcW w:w="662" w:type="pct"/>
          </w:tcPr>
          <w:p>
            <w:pPr>
              <w:pStyle w:val="71"/>
              <w:spacing w:line="414" w:lineRule="exact"/>
              <w:ind w:left="572" w:right="637"/>
              <w:jc w:val="center"/>
              <w:rPr>
                <w:rFonts w:ascii="宋体" w:hAnsi="宋体"/>
                <w:color w:val="auto"/>
                <w:spacing w:val="-20"/>
                <w:szCs w:val="21"/>
              </w:rPr>
            </w:pPr>
            <w:r>
              <w:rPr>
                <w:rFonts w:ascii="宋体" w:hAnsi="宋体"/>
                <w:color w:val="auto"/>
                <w:spacing w:val="-20"/>
                <w:w w:val="80"/>
                <w:szCs w:val="21"/>
              </w:rPr>
              <w:t>东墙</w:t>
            </w:r>
          </w:p>
        </w:tc>
        <w:tc>
          <w:tcPr>
            <w:tcW w:w="862" w:type="pct"/>
          </w:tcPr>
          <w:p>
            <w:pPr>
              <w:pStyle w:val="71"/>
              <w:spacing w:before="6"/>
              <w:ind w:left="902"/>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84" name="image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png"/>
                          <pic:cNvPicPr>
                            <a:picLocks noChangeAspect="1" noChangeArrowheads="1"/>
                          </pic:cNvPicPr>
                        </pic:nvPicPr>
                        <pic:blipFill>
                          <a:blip r:embed="rId94"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913" w:type="pct"/>
          </w:tcPr>
          <w:p>
            <w:pPr>
              <w:pStyle w:val="71"/>
              <w:spacing w:before="16"/>
              <w:ind w:left="823"/>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85"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png"/>
                          <pic:cNvPicPr>
                            <a:picLocks noChangeAspect="1" noChangeArrowheads="1"/>
                          </pic:cNvPicPr>
                        </pic:nvPicPr>
                        <pic:blipFill>
                          <a:blip r:embed="rId95"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2563" w:type="pct"/>
            <w:gridSpan w:val="3"/>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before="21" w:line="391" w:lineRule="exact"/>
              <w:ind w:left="558" w:right="637"/>
              <w:jc w:val="center"/>
              <w:rPr>
                <w:rFonts w:ascii="宋体" w:hAnsi="宋体"/>
                <w:color w:val="auto"/>
                <w:spacing w:val="-20"/>
                <w:szCs w:val="21"/>
              </w:rPr>
            </w:pPr>
            <w:r>
              <w:rPr>
                <w:rFonts w:ascii="宋体" w:hAnsi="宋体"/>
                <w:color w:val="auto"/>
                <w:spacing w:val="-20"/>
                <w:w w:val="80"/>
                <w:szCs w:val="21"/>
              </w:rPr>
              <w:t>南墙</w:t>
            </w:r>
          </w:p>
        </w:tc>
        <w:tc>
          <w:tcPr>
            <w:tcW w:w="862" w:type="pct"/>
          </w:tcPr>
          <w:p>
            <w:pPr>
              <w:pStyle w:val="71"/>
              <w:spacing w:before="11"/>
              <w:ind w:left="902"/>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86"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png"/>
                          <pic:cNvPicPr>
                            <a:picLocks noChangeAspect="1" noChangeArrowheads="1"/>
                          </pic:cNvPicPr>
                        </pic:nvPicPr>
                        <pic:blipFill>
                          <a:blip r:embed="rId96"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913" w:type="pct"/>
          </w:tcPr>
          <w:p>
            <w:pPr>
              <w:pStyle w:val="71"/>
              <w:spacing w:before="21" w:line="391" w:lineRule="exact"/>
              <w:ind w:left="825"/>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87"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png"/>
                          <pic:cNvPicPr>
                            <a:picLocks noChangeAspect="1" noChangeArrowheads="1"/>
                          </pic:cNvPicPr>
                        </pic:nvPicPr>
                        <pic:blipFill>
                          <a:blip r:embed="rId97"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2563" w:type="pct"/>
            <w:gridSpan w:val="3"/>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6" w:lineRule="exact"/>
              <w:ind w:left="568" w:right="637"/>
              <w:jc w:val="center"/>
              <w:rPr>
                <w:rFonts w:ascii="宋体" w:hAnsi="宋体"/>
                <w:color w:val="auto"/>
                <w:spacing w:val="-20"/>
                <w:szCs w:val="21"/>
              </w:rPr>
            </w:pPr>
            <w:r>
              <w:rPr>
                <w:rFonts w:ascii="宋体" w:hAnsi="宋体"/>
                <w:color w:val="auto"/>
                <w:spacing w:val="-20"/>
                <w:w w:val="80"/>
                <w:szCs w:val="21"/>
              </w:rPr>
              <w:t>西墙</w:t>
            </w:r>
          </w:p>
        </w:tc>
        <w:tc>
          <w:tcPr>
            <w:tcW w:w="862" w:type="pct"/>
          </w:tcPr>
          <w:p>
            <w:pPr>
              <w:pStyle w:val="71"/>
              <w:spacing w:before="49" w:line="362" w:lineRule="exact"/>
              <w:ind w:left="902"/>
              <w:rPr>
                <w:rFonts w:ascii="宋体" w:hAnsi="宋体"/>
                <w:color w:val="auto"/>
                <w:spacing w:val="-20"/>
                <w:szCs w:val="21"/>
              </w:rPr>
            </w:pPr>
            <w:r>
              <w:rPr>
                <w:rFonts w:ascii="宋体" w:hAnsi="宋体"/>
                <w:color w:val="auto"/>
                <w:spacing w:val="-20"/>
                <w:position w:val="-3"/>
                <w:szCs w:val="21"/>
              </w:rPr>
              <w:drawing>
                <wp:inline distT="0" distB="0" distL="0" distR="0">
                  <wp:extent cx="334010" cy="167005"/>
                  <wp:effectExtent l="19050" t="0" r="8890" b="0"/>
                  <wp:docPr id="88" name="image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png"/>
                          <pic:cNvPicPr>
                            <a:picLocks noChangeAspect="1" noChangeArrowheads="1"/>
                          </pic:cNvPicPr>
                        </pic:nvPicPr>
                        <pic:blipFill>
                          <a:blip r:embed="rId98" cstate="print"/>
                          <a:srcRect/>
                          <a:stretch>
                            <a:fillRect/>
                          </a:stretch>
                        </pic:blipFill>
                        <pic:spPr>
                          <a:xfrm>
                            <a:off x="0" y="0"/>
                            <a:ext cx="334010"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913" w:type="pct"/>
          </w:tcPr>
          <w:p>
            <w:pPr>
              <w:pStyle w:val="71"/>
              <w:spacing w:before="59" w:line="352" w:lineRule="exact"/>
              <w:ind w:left="825"/>
              <w:rPr>
                <w:rFonts w:ascii="宋体" w:hAnsi="宋体"/>
                <w:color w:val="auto"/>
                <w:spacing w:val="-20"/>
                <w:szCs w:val="21"/>
              </w:rPr>
            </w:pPr>
            <w:r>
              <w:rPr>
                <w:rFonts w:ascii="宋体" w:hAnsi="宋体"/>
                <w:color w:val="auto"/>
                <w:spacing w:val="-20"/>
                <w:position w:val="-3"/>
                <w:szCs w:val="21"/>
              </w:rPr>
              <w:drawing>
                <wp:inline distT="0" distB="0" distL="0" distR="0">
                  <wp:extent cx="325755" cy="167005"/>
                  <wp:effectExtent l="19050" t="0" r="0" b="0"/>
                  <wp:docPr id="89"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png"/>
                          <pic:cNvPicPr>
                            <a:picLocks noChangeAspect="1" noChangeArrowheads="1"/>
                          </pic:cNvPicPr>
                        </pic:nvPicPr>
                        <pic:blipFill>
                          <a:blip r:embed="rId99" cstate="print"/>
                          <a:srcRect/>
                          <a:stretch>
                            <a:fillRect/>
                          </a:stretch>
                        </pic:blipFill>
                        <pic:spPr>
                          <a:xfrm>
                            <a:off x="0" y="0"/>
                            <a:ext cx="325755" cy="167005"/>
                          </a:xfrm>
                          <a:prstGeom prst="rect">
                            <a:avLst/>
                          </a:prstGeom>
                          <a:noFill/>
                          <a:ln w="9525">
                            <a:noFill/>
                            <a:miter lim="800000"/>
                            <a:headEnd/>
                            <a:tailEnd/>
                          </a:ln>
                        </pic:spPr>
                      </pic:pic>
                    </a:graphicData>
                  </a:graphic>
                </wp:inline>
              </w:drawing>
            </w:r>
            <w:r>
              <w:rPr>
                <w:rFonts w:ascii="宋体" w:hAnsi="宋体"/>
                <w:color w:val="auto"/>
                <w:spacing w:val="-20"/>
                <w:w w:val="80"/>
                <w:szCs w:val="21"/>
              </w:rPr>
              <w:t>防辐射涂料</w:t>
            </w:r>
          </w:p>
        </w:tc>
        <w:tc>
          <w:tcPr>
            <w:tcW w:w="2563" w:type="pct"/>
            <w:gridSpan w:val="3"/>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6" w:lineRule="exact"/>
              <w:ind w:left="568" w:right="637"/>
              <w:jc w:val="center"/>
              <w:rPr>
                <w:rFonts w:ascii="宋体" w:hAnsi="宋体"/>
                <w:color w:val="auto"/>
                <w:spacing w:val="-20"/>
                <w:szCs w:val="21"/>
              </w:rPr>
            </w:pPr>
            <w:r>
              <w:rPr>
                <w:rFonts w:ascii="宋体" w:hAnsi="宋体"/>
                <w:color w:val="auto"/>
                <w:spacing w:val="-20"/>
                <w:w w:val="80"/>
                <w:szCs w:val="21"/>
              </w:rPr>
              <w:t>北墙</w:t>
            </w:r>
          </w:p>
        </w:tc>
        <w:tc>
          <w:tcPr>
            <w:tcW w:w="862" w:type="pct"/>
          </w:tcPr>
          <w:p>
            <w:pPr>
              <w:pStyle w:val="71"/>
              <w:spacing w:before="40" w:line="371" w:lineRule="exact"/>
              <w:ind w:left="1446"/>
              <w:rPr>
                <w:rFonts w:ascii="宋体" w:hAnsi="宋体"/>
                <w:color w:val="auto"/>
                <w:spacing w:val="-20"/>
                <w:szCs w:val="21"/>
              </w:rPr>
            </w:pPr>
            <w:r>
              <w:rPr>
                <w:rFonts w:ascii="宋体" w:hAnsi="宋体"/>
                <w:color w:val="auto"/>
                <w:spacing w:val="-20"/>
                <w:w w:val="80"/>
                <w:szCs w:val="21"/>
              </w:rPr>
              <w:t>防辐射涂料</w:t>
            </w:r>
          </w:p>
        </w:tc>
        <w:tc>
          <w:tcPr>
            <w:tcW w:w="913" w:type="pct"/>
          </w:tcPr>
          <w:p>
            <w:pPr>
              <w:pStyle w:val="71"/>
              <w:spacing w:before="47" w:line="364" w:lineRule="exact"/>
              <w:ind w:left="1363"/>
              <w:rPr>
                <w:rFonts w:ascii="宋体" w:hAnsi="宋体"/>
                <w:color w:val="auto"/>
                <w:spacing w:val="-20"/>
                <w:szCs w:val="21"/>
              </w:rPr>
            </w:pPr>
            <w:r>
              <w:rPr>
                <w:rFonts w:ascii="宋体" w:hAnsi="宋体"/>
                <w:color w:val="auto"/>
                <w:spacing w:val="-20"/>
                <w:w w:val="80"/>
                <w:szCs w:val="21"/>
              </w:rPr>
              <w:t>防辐射涂料</w:t>
            </w:r>
          </w:p>
        </w:tc>
        <w:tc>
          <w:tcPr>
            <w:tcW w:w="2563" w:type="pct"/>
            <w:gridSpan w:val="3"/>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jc w:val="center"/>
        </w:trPr>
        <w:tc>
          <w:tcPr>
            <w:tcW w:w="662" w:type="pct"/>
          </w:tcPr>
          <w:p>
            <w:pPr>
              <w:pStyle w:val="71"/>
              <w:spacing w:line="396" w:lineRule="exact"/>
              <w:ind w:right="-15"/>
              <w:jc w:val="right"/>
              <w:rPr>
                <w:rFonts w:ascii="宋体" w:hAnsi="宋体"/>
                <w:color w:val="auto"/>
                <w:spacing w:val="-20"/>
                <w:szCs w:val="21"/>
              </w:rPr>
            </w:pPr>
            <w:r>
              <w:rPr>
                <w:rFonts w:ascii="宋体" w:hAnsi="宋体"/>
                <w:color w:val="auto"/>
                <w:spacing w:val="-20"/>
                <w:w w:val="65"/>
                <w:szCs w:val="21"/>
              </w:rPr>
              <w:t>顶棚（上层地面）</w:t>
            </w:r>
          </w:p>
        </w:tc>
        <w:tc>
          <w:tcPr>
            <w:tcW w:w="862" w:type="pct"/>
          </w:tcPr>
          <w:p>
            <w:pPr>
              <w:pStyle w:val="71"/>
              <w:spacing w:before="37" w:line="376" w:lineRule="exact"/>
              <w:ind w:right="-44"/>
              <w:jc w:val="right"/>
              <w:rPr>
                <w:rFonts w:ascii="宋体" w:hAnsi="宋体"/>
                <w:color w:val="auto"/>
                <w:spacing w:val="-20"/>
                <w:szCs w:val="21"/>
              </w:rPr>
            </w:pPr>
            <w:r>
              <w:rPr>
                <w:rFonts w:ascii="宋体" w:hAnsi="宋体"/>
                <w:color w:val="auto"/>
                <w:spacing w:val="-20"/>
                <w:w w:val="65"/>
                <w:szCs w:val="21"/>
              </w:rPr>
              <w:t>防辐射钡板（顶部施工）</w:t>
            </w:r>
          </w:p>
        </w:tc>
        <w:tc>
          <w:tcPr>
            <w:tcW w:w="913" w:type="pct"/>
          </w:tcPr>
          <w:p>
            <w:pPr>
              <w:pStyle w:val="71"/>
              <w:spacing w:before="47" w:line="367" w:lineRule="exact"/>
              <w:ind w:left="861"/>
              <w:rPr>
                <w:rFonts w:ascii="宋体" w:hAnsi="宋体"/>
                <w:color w:val="auto"/>
                <w:spacing w:val="-20"/>
                <w:szCs w:val="21"/>
              </w:rPr>
            </w:pPr>
            <w:r>
              <w:rPr>
                <w:rFonts w:ascii="宋体" w:hAnsi="宋体"/>
                <w:color w:val="auto"/>
                <w:spacing w:val="-20"/>
                <w:w w:val="70"/>
                <w:szCs w:val="21"/>
              </w:rPr>
              <w:t>防辐射钡板（顶部施工）</w:t>
            </w:r>
          </w:p>
        </w:tc>
        <w:tc>
          <w:tcPr>
            <w:tcW w:w="2563" w:type="pct"/>
            <w:gridSpan w:val="3"/>
            <w:vMerge w:val="continue"/>
            <w:tcBorders>
              <w:top w:val="nil"/>
              <w:bottom w:val="nil"/>
              <w:right w:val="nil"/>
            </w:tcBorders>
          </w:tcPr>
          <w:p>
            <w:pPr>
              <w:rPr>
                <w:rFonts w:ascii="宋体" w:hAnsi="宋体"/>
                <w:color w:val="auto"/>
                <w:spacing w:val="-20"/>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jc w:val="center"/>
        </w:trPr>
        <w:tc>
          <w:tcPr>
            <w:tcW w:w="662" w:type="pct"/>
          </w:tcPr>
          <w:p>
            <w:pPr>
              <w:pStyle w:val="71"/>
              <w:spacing w:line="392" w:lineRule="exact"/>
              <w:ind w:left="572" w:right="632"/>
              <w:jc w:val="center"/>
              <w:rPr>
                <w:rFonts w:ascii="宋体" w:hAnsi="宋体"/>
                <w:color w:val="auto"/>
                <w:spacing w:val="-20"/>
                <w:szCs w:val="21"/>
              </w:rPr>
            </w:pPr>
            <w:r>
              <w:rPr>
                <w:rFonts w:ascii="宋体" w:hAnsi="宋体"/>
                <w:color w:val="auto"/>
                <w:spacing w:val="-20"/>
                <w:w w:val="80"/>
                <w:szCs w:val="21"/>
              </w:rPr>
              <w:t>地面</w:t>
            </w:r>
          </w:p>
        </w:tc>
        <w:tc>
          <w:tcPr>
            <w:tcW w:w="862" w:type="pct"/>
          </w:tcPr>
          <w:p>
            <w:pPr>
              <w:pStyle w:val="71"/>
              <w:spacing w:before="1"/>
              <w:ind w:left="1463"/>
              <w:rPr>
                <w:rFonts w:ascii="宋体" w:hAnsi="宋体"/>
                <w:color w:val="auto"/>
                <w:spacing w:val="-20"/>
                <w:szCs w:val="21"/>
              </w:rPr>
            </w:pPr>
            <w:r>
              <w:rPr>
                <w:rFonts w:ascii="宋体" w:hAnsi="宋体"/>
                <w:color w:val="auto"/>
                <w:spacing w:val="-20"/>
                <w:w w:val="80"/>
                <w:szCs w:val="21"/>
              </w:rPr>
              <w:t>防辐射涂料</w:t>
            </w:r>
          </w:p>
        </w:tc>
        <w:tc>
          <w:tcPr>
            <w:tcW w:w="913" w:type="pct"/>
          </w:tcPr>
          <w:p>
            <w:pPr>
              <w:pStyle w:val="71"/>
              <w:spacing w:before="11"/>
              <w:ind w:left="1382"/>
              <w:rPr>
                <w:rFonts w:ascii="宋体" w:hAnsi="宋体"/>
                <w:color w:val="auto"/>
                <w:spacing w:val="-20"/>
                <w:szCs w:val="21"/>
              </w:rPr>
            </w:pPr>
            <w:r>
              <w:rPr>
                <w:rFonts w:ascii="宋体" w:hAnsi="宋体"/>
                <w:color w:val="auto"/>
                <w:spacing w:val="-20"/>
                <w:w w:val="80"/>
                <w:szCs w:val="21"/>
              </w:rPr>
              <w:t>防辐射涂料</w:t>
            </w:r>
          </w:p>
        </w:tc>
        <w:tc>
          <w:tcPr>
            <w:tcW w:w="2563" w:type="pct"/>
            <w:gridSpan w:val="3"/>
            <w:vMerge w:val="continue"/>
            <w:tcBorders>
              <w:top w:val="nil"/>
              <w:bottom w:val="nil"/>
              <w:right w:val="nil"/>
            </w:tcBorders>
          </w:tcPr>
          <w:p>
            <w:pPr>
              <w:rPr>
                <w:rFonts w:ascii="宋体" w:hAnsi="宋体"/>
                <w:color w:val="auto"/>
                <w:spacing w:val="-20"/>
                <w:szCs w:val="21"/>
              </w:rPr>
            </w:pPr>
          </w:p>
        </w:tc>
      </w:tr>
    </w:tbl>
    <w:p>
      <w:pPr>
        <w:rPr>
          <w:rFonts w:ascii="宋体" w:hAnsi="宋体" w:cs="宋体"/>
          <w:color w:val="auto"/>
          <w:szCs w:val="21"/>
        </w:rPr>
        <w:sectPr>
          <w:pgSz w:w="16840" w:h="11907" w:orient="landscape"/>
          <w:pgMar w:top="1134" w:right="1440" w:bottom="1134" w:left="1440" w:header="680" w:footer="680" w:gutter="0"/>
          <w:cols w:space="720" w:num="1"/>
          <w:docGrid w:linePitch="286" w:charSpace="0"/>
        </w:sectPr>
      </w:pPr>
    </w:p>
    <w:p>
      <w:pPr>
        <w:pStyle w:val="2"/>
        <w:numPr>
          <w:ilvl w:val="0"/>
          <w:numId w:val="11"/>
        </w:numPr>
        <w:rPr>
          <w:rFonts w:hint="eastAsia" w:asciiTheme="minorEastAsia" w:hAnsiTheme="minorEastAsia" w:eastAsiaTheme="minorEastAsia" w:cstheme="minorEastAsia"/>
          <w:color w:val="auto"/>
        </w:rPr>
      </w:pPr>
      <w:bookmarkStart w:id="446" w:name="_Toc24820"/>
      <w:r>
        <w:rPr>
          <w:rFonts w:hint="eastAsia" w:asciiTheme="minorEastAsia" w:hAnsiTheme="minorEastAsia" w:eastAsiaTheme="minorEastAsia" w:cstheme="minorEastAsia"/>
          <w:color w:val="auto"/>
        </w:rPr>
        <w:t xml:space="preserve"> 投标文件格式</w:t>
      </w:r>
      <w:bookmarkEnd w:id="446"/>
    </w:p>
    <w:p>
      <w:pPr>
        <w:pStyle w:val="2"/>
        <w:numPr>
          <w:ilvl w:val="0"/>
          <w:numId w:val="0"/>
        </w:numPr>
        <w:ind w:firstLine="1193" w:firstLineChars="400"/>
        <w:jc w:val="both"/>
        <w:rPr>
          <w:rFonts w:hAnsi="宋体"/>
          <w:b/>
          <w:bCs/>
          <w:color w:val="auto"/>
          <w:spacing w:val="-11"/>
          <w:sz w:val="32"/>
          <w:szCs w:val="32"/>
          <w:u w:val="single"/>
        </w:rPr>
      </w:pPr>
      <w:r>
        <w:rPr>
          <w:rFonts w:hint="eastAsia" w:ascii="宋体" w:hAnsi="宋体"/>
          <w:b/>
          <w:bCs/>
          <w:color w:val="auto"/>
          <w:spacing w:val="-11"/>
          <w:sz w:val="32"/>
          <w:szCs w:val="32"/>
        </w:rPr>
        <w:t>项目名称：</w:t>
      </w:r>
      <w:r>
        <w:rPr>
          <w:rFonts w:hint="eastAsia" w:hAnsi="宋体"/>
          <w:b/>
          <w:bCs/>
          <w:color w:val="auto"/>
          <w:spacing w:val="-11"/>
          <w:sz w:val="30"/>
          <w:szCs w:val="30"/>
          <w:u w:val="single"/>
        </w:rPr>
        <w:t xml:space="preserve">                                                                                              </w:t>
      </w:r>
    </w:p>
    <w:p>
      <w:pPr>
        <w:adjustRightInd w:val="0"/>
        <w:snapToGrid w:val="0"/>
        <w:spacing w:line="800" w:lineRule="exact"/>
        <w:jc w:val="center"/>
        <w:rPr>
          <w:rFonts w:eastAsia="方正小标宋简体"/>
          <w:bCs/>
          <w:color w:val="auto"/>
          <w:sz w:val="72"/>
          <w:szCs w:val="72"/>
        </w:rPr>
      </w:pPr>
    </w:p>
    <w:p>
      <w:pPr>
        <w:adjustRightInd w:val="0"/>
        <w:snapToGrid w:val="0"/>
        <w:spacing w:line="800" w:lineRule="exact"/>
        <w:jc w:val="center"/>
        <w:rPr>
          <w:rFonts w:eastAsia="方正小标宋简体"/>
          <w:bCs/>
          <w:color w:val="auto"/>
          <w:sz w:val="72"/>
          <w:szCs w:val="72"/>
        </w:rPr>
      </w:pPr>
    </w:p>
    <w:p>
      <w:pPr>
        <w:spacing w:line="1400" w:lineRule="exact"/>
        <w:jc w:val="center"/>
        <w:rPr>
          <w:rFonts w:eastAsia="方正小标宋简体"/>
          <w:bCs/>
          <w:color w:val="auto"/>
          <w:sz w:val="52"/>
          <w:szCs w:val="52"/>
        </w:rPr>
      </w:pPr>
      <w:r>
        <w:rPr>
          <w:rFonts w:hint="eastAsia" w:eastAsia="方正小标宋简体"/>
          <w:bCs/>
          <w:color w:val="auto"/>
          <w:sz w:val="52"/>
          <w:szCs w:val="52"/>
        </w:rPr>
        <w:t>投</w:t>
      </w:r>
    </w:p>
    <w:p>
      <w:pPr>
        <w:spacing w:line="1400" w:lineRule="exact"/>
        <w:jc w:val="center"/>
        <w:rPr>
          <w:rFonts w:eastAsia="方正小标宋简体"/>
          <w:bCs/>
          <w:color w:val="auto"/>
          <w:sz w:val="52"/>
          <w:szCs w:val="52"/>
        </w:rPr>
      </w:pPr>
      <w:r>
        <w:rPr>
          <w:rFonts w:hint="eastAsia" w:eastAsia="方正小标宋简体"/>
          <w:bCs/>
          <w:color w:val="auto"/>
          <w:sz w:val="52"/>
          <w:szCs w:val="52"/>
        </w:rPr>
        <w:t>标</w:t>
      </w:r>
    </w:p>
    <w:p>
      <w:pPr>
        <w:spacing w:line="1400" w:lineRule="exact"/>
        <w:jc w:val="center"/>
        <w:rPr>
          <w:rFonts w:eastAsia="方正小标宋简体"/>
          <w:bCs/>
          <w:color w:val="auto"/>
          <w:sz w:val="52"/>
          <w:szCs w:val="52"/>
        </w:rPr>
      </w:pPr>
      <w:r>
        <w:rPr>
          <w:rFonts w:hint="eastAsia" w:eastAsia="方正小标宋简体"/>
          <w:bCs/>
          <w:color w:val="auto"/>
          <w:sz w:val="52"/>
          <w:szCs w:val="52"/>
        </w:rPr>
        <w:t>文</w:t>
      </w:r>
    </w:p>
    <w:p>
      <w:pPr>
        <w:spacing w:line="1400" w:lineRule="exact"/>
        <w:jc w:val="center"/>
        <w:rPr>
          <w:rFonts w:eastAsia="方正小标宋简体"/>
          <w:bCs/>
          <w:color w:val="auto"/>
          <w:sz w:val="72"/>
          <w:szCs w:val="72"/>
        </w:rPr>
      </w:pPr>
      <w:r>
        <w:rPr>
          <w:rFonts w:hint="eastAsia" w:eastAsia="方正小标宋简体"/>
          <w:bCs/>
          <w:color w:val="auto"/>
          <w:sz w:val="52"/>
          <w:szCs w:val="52"/>
        </w:rPr>
        <w:t>件</w:t>
      </w:r>
    </w:p>
    <w:p>
      <w:pPr>
        <w:adjustRightInd w:val="0"/>
        <w:snapToGrid w:val="0"/>
        <w:spacing w:line="800" w:lineRule="exact"/>
        <w:rPr>
          <w:rFonts w:ascii="宋体" w:hAnsi="宋体"/>
          <w:b/>
          <w:bCs/>
          <w:color w:val="auto"/>
          <w:sz w:val="30"/>
        </w:rPr>
      </w:pPr>
    </w:p>
    <w:p>
      <w:pPr>
        <w:adjustRightInd w:val="0"/>
        <w:snapToGrid w:val="0"/>
        <w:spacing w:line="800" w:lineRule="exact"/>
        <w:rPr>
          <w:rFonts w:ascii="宋体" w:hAnsi="宋体"/>
          <w:b/>
          <w:bCs/>
          <w:color w:val="auto"/>
          <w:sz w:val="30"/>
        </w:rPr>
      </w:pPr>
    </w:p>
    <w:p>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u w:val="single"/>
        </w:rPr>
        <w:t>资格审查资料</w:t>
      </w:r>
      <w:r>
        <w:rPr>
          <w:rFonts w:hint="eastAsia" w:ascii="宋体" w:hAnsi="宋体"/>
          <w:b/>
          <w:bCs/>
          <w:color w:val="auto"/>
          <w:sz w:val="28"/>
          <w:szCs w:val="28"/>
          <w:u w:val="single"/>
        </w:rPr>
        <w:t xml:space="preserve">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投标人：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 xml:space="preserve">（盖单位公章）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（签字或盖章）</w:t>
      </w:r>
    </w:p>
    <w:p>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日</w:t>
      </w:r>
      <w:r>
        <w:rPr>
          <w:rFonts w:hint="eastAsia" w:ascii="宋体" w:hAnsi="宋体"/>
          <w:b/>
          <w:bCs/>
          <w:color w:val="auto"/>
          <w:sz w:val="28"/>
          <w:szCs w:val="28"/>
        </w:rPr>
        <w:t xml:space="preserve">  </w:t>
      </w:r>
    </w:p>
    <w:p>
      <w:pPr>
        <w:spacing w:line="360" w:lineRule="exact"/>
        <w:ind w:firstLine="482" w:firstLineChars="200"/>
        <w:rPr>
          <w:rFonts w:ascii="宋体" w:hAnsi="宋体"/>
          <w:b/>
          <w:bCs/>
          <w:color w:val="auto"/>
          <w:sz w:val="24"/>
        </w:rPr>
      </w:pPr>
      <w:r>
        <w:rPr>
          <w:rFonts w:ascii="宋体" w:hAnsi="宋体"/>
          <w:b/>
          <w:bCs/>
          <w:color w:val="auto"/>
          <w:sz w:val="24"/>
        </w:rPr>
        <w:br w:type="page"/>
      </w:r>
      <w:r>
        <w:rPr>
          <w:rFonts w:ascii="宋体" w:hAnsi="宋体"/>
          <w:b/>
          <w:bCs/>
          <w:color w:val="auto"/>
          <w:sz w:val="24"/>
        </w:rPr>
        <w:t>资格审查资料：</w:t>
      </w:r>
    </w:p>
    <w:p>
      <w:pPr>
        <w:spacing w:line="360" w:lineRule="exact"/>
        <w:ind w:firstLine="482" w:firstLineChars="200"/>
        <w:rPr>
          <w:rFonts w:ascii="宋体" w:hAnsi="宋体"/>
          <w:b/>
          <w:bCs/>
          <w:color w:val="auto"/>
          <w:sz w:val="24"/>
        </w:rPr>
      </w:pPr>
    </w:p>
    <w:p>
      <w:pPr>
        <w:spacing w:line="400" w:lineRule="exact"/>
        <w:ind w:firstLine="420" w:firstLineChars="200"/>
        <w:rPr>
          <w:rFonts w:ascii="宋体" w:hAnsi="宋体" w:cstheme="minorEastAsia"/>
          <w:color w:val="auto"/>
          <w:szCs w:val="21"/>
        </w:rPr>
      </w:pPr>
      <w:r>
        <w:rPr>
          <w:rFonts w:hint="eastAsia" w:ascii="宋体" w:hAnsi="宋体" w:cstheme="minorEastAsia"/>
          <w:color w:val="auto"/>
          <w:szCs w:val="21"/>
        </w:rPr>
        <w:t>1.企业法人营业执照复印件；</w:t>
      </w:r>
    </w:p>
    <w:p>
      <w:pPr>
        <w:spacing w:line="400" w:lineRule="exact"/>
        <w:ind w:firstLine="420" w:firstLineChars="200"/>
        <w:rPr>
          <w:rFonts w:ascii="宋体" w:hAnsi="宋体" w:cstheme="minorEastAsia"/>
          <w:color w:val="auto"/>
          <w:szCs w:val="21"/>
        </w:rPr>
      </w:pPr>
      <w:r>
        <w:rPr>
          <w:rFonts w:hint="eastAsia" w:ascii="宋体" w:hAnsi="宋体" w:cstheme="minorEastAsia"/>
          <w:color w:val="auto"/>
          <w:szCs w:val="21"/>
        </w:rPr>
        <w:t>2.企业资质证书复印件；</w:t>
      </w:r>
    </w:p>
    <w:p>
      <w:pPr>
        <w:spacing w:line="400" w:lineRule="exact"/>
        <w:ind w:firstLine="420" w:firstLineChars="200"/>
        <w:rPr>
          <w:rFonts w:ascii="宋体" w:hAnsi="宋体" w:cstheme="minorEastAsia"/>
          <w:color w:val="auto"/>
          <w:szCs w:val="21"/>
        </w:rPr>
      </w:pPr>
      <w:r>
        <w:rPr>
          <w:rFonts w:hint="eastAsia" w:ascii="宋体" w:hAnsi="宋体" w:cstheme="minorEastAsia"/>
          <w:color w:val="auto"/>
          <w:szCs w:val="21"/>
        </w:rPr>
        <w:t>3.企业安全生产许可证复印件；</w:t>
      </w:r>
    </w:p>
    <w:p>
      <w:pPr>
        <w:pStyle w:val="54"/>
        <w:spacing w:line="400" w:lineRule="exact"/>
        <w:ind w:firstLine="420"/>
        <w:rPr>
          <w:rFonts w:ascii="宋体" w:hAnsi="宋体" w:cstheme="minorEastAsia"/>
          <w:color w:val="auto"/>
          <w:sz w:val="21"/>
          <w:szCs w:val="21"/>
          <w:lang w:val="en-US"/>
        </w:rPr>
      </w:pPr>
      <w:r>
        <w:rPr>
          <w:rFonts w:hint="eastAsia" w:ascii="宋体" w:hAnsi="宋体" w:cstheme="minorEastAsia"/>
          <w:color w:val="auto"/>
          <w:sz w:val="21"/>
          <w:szCs w:val="21"/>
          <w:lang w:val="en-US"/>
        </w:rPr>
        <w:t>4.</w:t>
      </w:r>
      <w:r>
        <w:rPr>
          <w:rFonts w:hint="eastAsia" w:ascii="宋体" w:hAnsi="宋体" w:cstheme="minorEastAsia"/>
          <w:color w:val="auto"/>
          <w:sz w:val="21"/>
          <w:szCs w:val="21"/>
          <w:u w:val="none"/>
          <w:lang w:val="en-US"/>
        </w:rPr>
        <w:t>浙江省外企业须提供浙江省住建厅核发的有效期内备案证明</w:t>
      </w:r>
      <w:r>
        <w:rPr>
          <w:rFonts w:hint="eastAsia" w:ascii="宋体" w:hAnsi="宋体" w:eastAsia="宋体" w:cs="宋体"/>
          <w:b w:val="0"/>
          <w:bCs w:val="0"/>
          <w:color w:val="auto"/>
          <w:sz w:val="21"/>
          <w:szCs w:val="21"/>
          <w:u w:val="none"/>
        </w:rPr>
        <w:t>或“浙江省建筑市场监管公共服务系统”上审核通过的备案信息网页截图</w:t>
      </w:r>
      <w:r>
        <w:rPr>
          <w:rFonts w:hint="eastAsia" w:ascii="宋体" w:hAnsi="宋体" w:cstheme="minorEastAsia"/>
          <w:color w:val="auto"/>
          <w:sz w:val="21"/>
          <w:szCs w:val="21"/>
          <w:u w:val="none"/>
          <w:lang w:val="en-US"/>
        </w:rPr>
        <w:t>（浙江省内企业不作要求）</w:t>
      </w:r>
      <w:r>
        <w:rPr>
          <w:rFonts w:hint="eastAsia" w:ascii="宋体" w:hAnsi="宋体" w:cstheme="minorEastAsia"/>
          <w:color w:val="auto"/>
          <w:sz w:val="21"/>
          <w:szCs w:val="21"/>
          <w:lang w:val="en-US"/>
        </w:rPr>
        <w:t>；</w:t>
      </w:r>
    </w:p>
    <w:p>
      <w:pPr>
        <w:pStyle w:val="54"/>
        <w:spacing w:line="400" w:lineRule="exact"/>
        <w:ind w:firstLine="420"/>
        <w:rPr>
          <w:rFonts w:ascii="宋体" w:hAnsi="宋体" w:cstheme="minorEastAsia"/>
          <w:color w:val="auto"/>
          <w:sz w:val="21"/>
          <w:szCs w:val="21"/>
          <w:lang w:val="en-US"/>
        </w:rPr>
      </w:pPr>
      <w:r>
        <w:rPr>
          <w:rFonts w:hint="eastAsia" w:ascii="宋体" w:hAnsi="宋体" w:cstheme="minorEastAsia"/>
          <w:color w:val="auto"/>
          <w:sz w:val="21"/>
          <w:szCs w:val="21"/>
          <w:lang w:val="en-US"/>
        </w:rPr>
        <w:t>5.项目负责人建造师注册证书、安全生产考核B证复印件；</w:t>
      </w:r>
    </w:p>
    <w:p>
      <w:pPr>
        <w:pStyle w:val="54"/>
        <w:spacing w:line="400" w:lineRule="exact"/>
        <w:ind w:firstLine="420"/>
        <w:rPr>
          <w:rFonts w:ascii="宋体" w:hAnsi="宋体" w:cstheme="minorEastAsia"/>
          <w:color w:val="auto"/>
          <w:sz w:val="21"/>
          <w:szCs w:val="21"/>
          <w:lang w:val="en-US"/>
        </w:rPr>
      </w:pPr>
      <w:r>
        <w:rPr>
          <w:rFonts w:hint="eastAsia" w:ascii="宋体" w:hAnsi="宋体" w:cstheme="minorEastAsia"/>
          <w:color w:val="auto"/>
          <w:sz w:val="21"/>
          <w:szCs w:val="21"/>
          <w:lang w:val="en-US"/>
        </w:rPr>
        <w:t>6.拟派项目负责人须为投标企业在职职工（在职职工不包括离、退休返聘人员），提供缴费期限包含</w:t>
      </w:r>
      <w:r>
        <w:rPr>
          <w:rFonts w:hint="eastAsia" w:ascii="宋体" w:hAnsi="宋体" w:cstheme="minorEastAsia"/>
          <w:color w:val="auto"/>
          <w:sz w:val="21"/>
          <w:szCs w:val="21"/>
          <w:lang w:val="en-US" w:eastAsia="zh-CN"/>
        </w:rPr>
        <w:t>2021年7月至2021年9月</w:t>
      </w:r>
      <w:r>
        <w:rPr>
          <w:rFonts w:hint="eastAsia" w:ascii="宋体" w:hAnsi="宋体" w:cstheme="minorEastAsia"/>
          <w:color w:val="auto"/>
          <w:sz w:val="21"/>
          <w:szCs w:val="21"/>
          <w:lang w:val="en-US"/>
        </w:rPr>
        <w:t>的投标人所属社保机构养老保险交纳清单或证明（缴费单位和投标人名称必须一致，并加盖社保缴费证明专用章），以投标人所属社保机构出具的盖有社保部门专用章（或电子专用章）的社保证明件为准 ；</w:t>
      </w:r>
    </w:p>
    <w:p>
      <w:pPr>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color w:val="auto"/>
          <w:szCs w:val="21"/>
        </w:rPr>
      </w:pPr>
      <w:r>
        <w:rPr>
          <w:rFonts w:hint="eastAsia" w:ascii="宋体" w:hAnsi="宋体" w:cstheme="minorEastAsia"/>
          <w:color w:val="auto"/>
          <w:szCs w:val="21"/>
        </w:rPr>
        <w:t>7.</w:t>
      </w:r>
      <w:r>
        <w:rPr>
          <w:rFonts w:hint="eastAsia" w:ascii="宋体" w:hAnsi="宋体"/>
          <w:b/>
          <w:color w:val="auto"/>
          <w:szCs w:val="21"/>
        </w:rPr>
        <w:t>承诺书</w:t>
      </w:r>
      <w:r>
        <w:rPr>
          <w:rFonts w:hint="eastAsia" w:ascii="宋体" w:hAnsi="宋体"/>
          <w:color w:val="auto"/>
          <w:szCs w:val="21"/>
        </w:rPr>
        <w:t>（1、承诺对资格审查资料所有提交的证明材料真实有效性负责，若发现其有伪造证书、业绩等行为的，同意招标人不接受其投标，其缴纳的投标保证金不予退还；2、承诺</w:t>
      </w:r>
      <w:r>
        <w:rPr>
          <w:rFonts w:hint="eastAsia" w:ascii="宋体" w:hAnsi="宋体" w:cs="宋体"/>
          <w:color w:val="auto"/>
          <w:szCs w:val="21"/>
        </w:rPr>
        <w:t>企业和项目负责人近 5年内无行贿犯罪记录。</w:t>
      </w:r>
      <w:r>
        <w:rPr>
          <w:rFonts w:hint="eastAsia" w:ascii="宋体" w:hAnsi="宋体"/>
          <w:color w:val="auto"/>
          <w:szCs w:val="21"/>
        </w:rPr>
        <w:t>），格式自拟，加盖投标人公章。</w:t>
      </w:r>
    </w:p>
    <w:p>
      <w:pPr>
        <w:pageBreakBefore w:val="0"/>
        <w:widowControl w:val="0"/>
        <w:kinsoku/>
        <w:wordWrap/>
        <w:overflowPunct/>
        <w:topLinePunct w:val="0"/>
        <w:autoSpaceDE/>
        <w:autoSpaceDN/>
        <w:bidi w:val="0"/>
        <w:adjustRightInd/>
        <w:snapToGrid/>
        <w:spacing w:line="400" w:lineRule="exact"/>
        <w:ind w:firstLine="422" w:firstLineChars="200"/>
        <w:textAlignment w:val="auto"/>
        <w:rPr>
          <w:rFonts w:ascii="宋体" w:hAnsi="宋体"/>
          <w:b/>
          <w:color w:val="auto"/>
          <w:szCs w:val="21"/>
        </w:rPr>
      </w:pPr>
      <w:r>
        <w:rPr>
          <w:rFonts w:hint="eastAsia" w:ascii="宋体" w:hAnsi="宋体"/>
          <w:b/>
          <w:color w:val="auto"/>
          <w:szCs w:val="21"/>
        </w:rPr>
        <w:t>注：</w:t>
      </w:r>
      <w:r>
        <w:rPr>
          <w:rFonts w:ascii="宋体" w:hAnsi="宋体"/>
          <w:b/>
          <w:color w:val="auto"/>
          <w:szCs w:val="21"/>
        </w:rPr>
        <w:t>不能提供上述任何一项或不符合审查要求的投标人为资格审查不合格。</w:t>
      </w:r>
    </w:p>
    <w:p>
      <w:pPr>
        <w:pStyle w:val="2"/>
        <w:keepNext/>
        <w:keepLines/>
        <w:pageBreakBefore w:val="0"/>
        <w:widowControl w:val="0"/>
        <w:kinsoku/>
        <w:wordWrap/>
        <w:overflowPunct/>
        <w:topLinePunct w:val="0"/>
        <w:autoSpaceDE/>
        <w:autoSpaceDN/>
        <w:bidi w:val="0"/>
        <w:adjustRightInd/>
        <w:snapToGrid/>
        <w:spacing w:line="400" w:lineRule="exact"/>
        <w:ind w:firstLine="422" w:firstLineChars="200"/>
        <w:jc w:val="left"/>
        <w:textAlignment w:val="auto"/>
        <w:rPr>
          <w:color w:val="auto"/>
        </w:rPr>
      </w:pPr>
      <w:r>
        <w:rPr>
          <w:rFonts w:hint="eastAsia" w:ascii="宋体" w:hAnsi="宋体" w:eastAsia="宋体" w:cstheme="minorEastAsia"/>
          <w:bCs w:val="0"/>
          <w:color w:val="auto"/>
          <w:kern w:val="0"/>
          <w:sz w:val="21"/>
          <w:szCs w:val="21"/>
          <w:u w:val="double"/>
        </w:rPr>
        <w:t>※备注：若拟派项目负责人为一级注册建造师且提供的注册证书为电子证书的，应符合《住房和城乡建设部办公厅关于全面实行一级建造师电子注册证书的通知》（建办市【2021】40号）文，否则视为无效证书，资格审查不予通过。</w:t>
      </w:r>
    </w:p>
    <w:p>
      <w:pPr>
        <w:spacing w:line="360" w:lineRule="exact"/>
        <w:ind w:firstLine="422" w:firstLineChars="200"/>
        <w:rPr>
          <w:rFonts w:ascii="宋体" w:hAnsi="宋体" w:cs="宋体"/>
          <w:b/>
          <w:color w:val="auto"/>
          <w:szCs w:val="21"/>
        </w:rPr>
      </w:pPr>
    </w:p>
    <w:p>
      <w:pPr>
        <w:adjustRightInd w:val="0"/>
        <w:snapToGrid w:val="0"/>
        <w:spacing w:line="800" w:lineRule="exact"/>
        <w:ind w:right="-420" w:rightChars="-200" w:firstLine="562" w:firstLineChars="200"/>
        <w:jc w:val="left"/>
        <w:rPr>
          <w:rFonts w:hAnsi="宋体"/>
          <w:b/>
          <w:bCs/>
          <w:color w:val="auto"/>
          <w:spacing w:val="-11"/>
          <w:sz w:val="32"/>
          <w:szCs w:val="32"/>
          <w:u w:val="single"/>
        </w:rPr>
      </w:pPr>
      <w:bookmarkStart w:id="447" w:name="_Toc365750381"/>
      <w:bookmarkStart w:id="448" w:name="_Toc396986703"/>
      <w:r>
        <w:rPr>
          <w:rFonts w:hint="eastAsia" w:ascii="宋体" w:hAnsi="宋体"/>
          <w:b/>
          <w:color w:val="auto"/>
          <w:sz w:val="28"/>
          <w:szCs w:val="28"/>
        </w:rPr>
        <w:br w:type="page"/>
      </w:r>
      <w:bookmarkEnd w:id="447"/>
      <w:bookmarkEnd w:id="448"/>
      <w:r>
        <w:rPr>
          <w:rFonts w:hint="eastAsia" w:ascii="宋体" w:hAnsi="宋体"/>
          <w:b/>
          <w:bCs/>
          <w:color w:val="auto"/>
          <w:spacing w:val="-11"/>
          <w:sz w:val="32"/>
          <w:szCs w:val="32"/>
        </w:rPr>
        <w:t>项目名称：</w:t>
      </w:r>
      <w:r>
        <w:rPr>
          <w:rFonts w:hint="eastAsia" w:hAnsi="宋体"/>
          <w:b/>
          <w:bCs/>
          <w:color w:val="auto"/>
          <w:spacing w:val="-11"/>
          <w:sz w:val="30"/>
          <w:szCs w:val="30"/>
          <w:u w:val="single"/>
        </w:rPr>
        <w:t xml:space="preserve">                                                                                              </w:t>
      </w:r>
    </w:p>
    <w:p>
      <w:pPr>
        <w:adjustRightInd w:val="0"/>
        <w:snapToGrid w:val="0"/>
        <w:spacing w:line="800" w:lineRule="exact"/>
        <w:jc w:val="center"/>
        <w:rPr>
          <w:rFonts w:eastAsia="方正小标宋简体"/>
          <w:bCs/>
          <w:color w:val="auto"/>
          <w:sz w:val="72"/>
          <w:szCs w:val="72"/>
        </w:rPr>
      </w:pPr>
    </w:p>
    <w:p>
      <w:pPr>
        <w:adjustRightInd w:val="0"/>
        <w:snapToGrid w:val="0"/>
        <w:spacing w:line="800" w:lineRule="exact"/>
        <w:jc w:val="center"/>
        <w:rPr>
          <w:rFonts w:eastAsia="方正小标宋简体"/>
          <w:bCs/>
          <w:color w:val="auto"/>
          <w:sz w:val="72"/>
          <w:szCs w:val="72"/>
        </w:rPr>
      </w:pPr>
    </w:p>
    <w:p>
      <w:pPr>
        <w:spacing w:line="1400" w:lineRule="exact"/>
        <w:jc w:val="center"/>
        <w:rPr>
          <w:rFonts w:eastAsia="方正小标宋简体"/>
          <w:bCs/>
          <w:color w:val="auto"/>
          <w:sz w:val="52"/>
          <w:szCs w:val="52"/>
        </w:rPr>
      </w:pPr>
      <w:r>
        <w:rPr>
          <w:rFonts w:hint="eastAsia" w:eastAsia="方正小标宋简体"/>
          <w:bCs/>
          <w:color w:val="auto"/>
          <w:sz w:val="52"/>
          <w:szCs w:val="52"/>
        </w:rPr>
        <w:t>投</w:t>
      </w:r>
    </w:p>
    <w:p>
      <w:pPr>
        <w:spacing w:line="1400" w:lineRule="exact"/>
        <w:jc w:val="center"/>
        <w:rPr>
          <w:rFonts w:eastAsia="方正小标宋简体"/>
          <w:bCs/>
          <w:color w:val="auto"/>
          <w:sz w:val="52"/>
          <w:szCs w:val="52"/>
        </w:rPr>
      </w:pPr>
      <w:r>
        <w:rPr>
          <w:rFonts w:hint="eastAsia" w:eastAsia="方正小标宋简体"/>
          <w:bCs/>
          <w:color w:val="auto"/>
          <w:sz w:val="52"/>
          <w:szCs w:val="52"/>
        </w:rPr>
        <w:t>标</w:t>
      </w:r>
    </w:p>
    <w:p>
      <w:pPr>
        <w:spacing w:line="1400" w:lineRule="exact"/>
        <w:jc w:val="center"/>
        <w:rPr>
          <w:rFonts w:eastAsia="方正小标宋简体"/>
          <w:bCs/>
          <w:color w:val="auto"/>
          <w:sz w:val="52"/>
          <w:szCs w:val="52"/>
        </w:rPr>
      </w:pPr>
      <w:r>
        <w:rPr>
          <w:rFonts w:hint="eastAsia" w:eastAsia="方正小标宋简体"/>
          <w:bCs/>
          <w:color w:val="auto"/>
          <w:sz w:val="52"/>
          <w:szCs w:val="52"/>
        </w:rPr>
        <w:t>文</w:t>
      </w:r>
    </w:p>
    <w:p>
      <w:pPr>
        <w:spacing w:line="1400" w:lineRule="exact"/>
        <w:jc w:val="center"/>
        <w:rPr>
          <w:rFonts w:eastAsia="方正小标宋简体"/>
          <w:bCs/>
          <w:color w:val="auto"/>
          <w:sz w:val="72"/>
          <w:szCs w:val="72"/>
        </w:rPr>
      </w:pPr>
      <w:r>
        <w:rPr>
          <w:rFonts w:hint="eastAsia" w:eastAsia="方正小标宋简体"/>
          <w:bCs/>
          <w:color w:val="auto"/>
          <w:sz w:val="52"/>
          <w:szCs w:val="52"/>
        </w:rPr>
        <w:t>件</w:t>
      </w:r>
    </w:p>
    <w:p>
      <w:pPr>
        <w:adjustRightInd w:val="0"/>
        <w:snapToGrid w:val="0"/>
        <w:spacing w:line="800" w:lineRule="exact"/>
        <w:rPr>
          <w:rFonts w:ascii="宋体" w:hAnsi="宋体"/>
          <w:b/>
          <w:bCs/>
          <w:color w:val="auto"/>
          <w:sz w:val="30"/>
        </w:rPr>
      </w:pPr>
    </w:p>
    <w:p>
      <w:pPr>
        <w:adjustRightInd w:val="0"/>
        <w:snapToGrid w:val="0"/>
        <w:spacing w:line="800" w:lineRule="exact"/>
        <w:rPr>
          <w:rFonts w:ascii="宋体" w:hAnsi="宋体"/>
          <w:b/>
          <w:bCs/>
          <w:color w:val="auto"/>
          <w:sz w:val="30"/>
        </w:rPr>
      </w:pPr>
    </w:p>
    <w:p>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技术标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投标人：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 xml:space="preserve">（盖单位公章）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（签字或盖章）</w:t>
      </w:r>
    </w:p>
    <w:p>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日</w:t>
      </w:r>
      <w:r>
        <w:rPr>
          <w:rFonts w:hint="eastAsia" w:ascii="宋体" w:hAnsi="宋体"/>
          <w:b/>
          <w:bCs/>
          <w:color w:val="auto"/>
          <w:sz w:val="28"/>
          <w:szCs w:val="28"/>
        </w:rPr>
        <w:t xml:space="preserve">  </w:t>
      </w:r>
    </w:p>
    <w:p>
      <w:pPr>
        <w:spacing w:before="120" w:beforeLines="50" w:after="120" w:afterLines="50"/>
        <w:jc w:val="center"/>
        <w:rPr>
          <w:color w:val="auto"/>
        </w:rPr>
      </w:pPr>
      <w:r>
        <w:rPr>
          <w:color w:val="auto"/>
        </w:rPr>
        <w:t xml:space="preserve"> </w:t>
      </w:r>
    </w:p>
    <w:p>
      <w:pPr>
        <w:rPr>
          <w:color w:val="auto"/>
        </w:rPr>
      </w:pPr>
    </w:p>
    <w:p>
      <w:pPr>
        <w:rPr>
          <w:color w:val="auto"/>
        </w:rPr>
      </w:pPr>
    </w:p>
    <w:p>
      <w:pPr>
        <w:pStyle w:val="2"/>
        <w:spacing w:before="120" w:after="120" w:line="400" w:lineRule="exact"/>
        <w:rPr>
          <w:rFonts w:asciiTheme="minorEastAsia" w:hAnsiTheme="minorEastAsia" w:eastAsiaTheme="minorEastAsia" w:cstheme="minorEastAsia"/>
          <w:b w:val="0"/>
          <w:bCs w:val="0"/>
          <w:color w:val="auto"/>
          <w:sz w:val="24"/>
          <w:szCs w:val="24"/>
        </w:rPr>
      </w:pPr>
      <w:bookmarkStart w:id="449" w:name="_Toc26987"/>
      <w:r>
        <w:rPr>
          <w:rFonts w:hint="eastAsia" w:asciiTheme="minorEastAsia" w:hAnsiTheme="minorEastAsia" w:eastAsiaTheme="minorEastAsia" w:cstheme="minorEastAsia"/>
          <w:b w:val="0"/>
          <w:bCs w:val="0"/>
          <w:color w:val="auto"/>
          <w:sz w:val="24"/>
          <w:szCs w:val="24"/>
        </w:rPr>
        <w:t>投标人提供的评审打分资料一览表</w:t>
      </w:r>
      <w:bookmarkEnd w:id="449"/>
    </w:p>
    <w:p>
      <w:pPr>
        <w:adjustRightInd w:val="0"/>
        <w:snapToGrid w:val="0"/>
        <w:rPr>
          <w:rFonts w:asciiTheme="minorEastAsia" w:hAnsiTheme="minorEastAsia" w:eastAsiaTheme="minorEastAsia" w:cstheme="minorEastAsia"/>
          <w:b/>
          <w:color w:val="auto"/>
          <w:sz w:val="24"/>
          <w:szCs w:val="24"/>
        </w:rPr>
      </w:pPr>
    </w:p>
    <w:tbl>
      <w:tblPr>
        <w:tblStyle w:val="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5327"/>
        <w:gridCol w:w="1476"/>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资料名称</w:t>
            </w:r>
          </w:p>
        </w:tc>
        <w:tc>
          <w:tcPr>
            <w:tcW w:w="749" w:type="pct"/>
            <w:vAlign w:val="center"/>
          </w:tcPr>
          <w:p>
            <w:pPr>
              <w:adjustRightInd w:val="0"/>
              <w:snapToGrid w:val="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共 页</w:t>
            </w:r>
          </w:p>
        </w:tc>
        <w:tc>
          <w:tcPr>
            <w:tcW w:w="917" w:type="pct"/>
            <w:vAlign w:val="center"/>
          </w:tcPr>
          <w:p>
            <w:pPr>
              <w:adjustRightInd w:val="0"/>
              <w:snapToGrid w:val="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bl>
    <w:p>
      <w:pPr>
        <w:adjustRightInd w:val="0"/>
        <w:snapToGrid w:val="0"/>
        <w:ind w:firstLine="280"/>
        <w:jc w:val="center"/>
        <w:rPr>
          <w:rFonts w:asciiTheme="minorEastAsia" w:hAnsiTheme="minorEastAsia" w:eastAsiaTheme="minorEastAsia" w:cstheme="minorEastAsia"/>
          <w:color w:val="auto"/>
          <w:sz w:val="24"/>
          <w:szCs w:val="24"/>
        </w:rPr>
      </w:pPr>
    </w:p>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（盖单位公章）</w:t>
      </w:r>
    </w:p>
    <w:p>
      <w:pPr>
        <w:adjustRightInd w:val="0"/>
        <w:snapToGrid w:val="0"/>
        <w:ind w:firstLine="281"/>
        <w:jc w:val="center"/>
        <w:rPr>
          <w:rFonts w:asciiTheme="minorEastAsia" w:hAnsiTheme="minorEastAsia" w:eastAsiaTheme="minorEastAsia" w:cstheme="minorEastAsia"/>
          <w:b/>
          <w:color w:val="auto"/>
          <w:sz w:val="24"/>
          <w:szCs w:val="24"/>
        </w:rPr>
      </w:pPr>
    </w:p>
    <w:p>
      <w:pPr>
        <w:adjustRightInd w:val="0"/>
        <w:snapToGrid w:val="0"/>
        <w:ind w:firstLine="281"/>
        <w:jc w:val="center"/>
        <w:rPr>
          <w:rFonts w:asciiTheme="minorEastAsia" w:hAnsiTheme="minorEastAsia" w:eastAsiaTheme="minorEastAsia" w:cstheme="minorEastAsia"/>
          <w:b/>
          <w:color w:val="auto"/>
          <w:sz w:val="24"/>
          <w:szCs w:val="24"/>
        </w:rPr>
      </w:pPr>
    </w:p>
    <w:p>
      <w:pPr>
        <w:adjustRightInd w:val="0"/>
        <w:snapToGrid w:val="0"/>
        <w:ind w:firstLine="281"/>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                          年   月   日</w:t>
      </w:r>
    </w:p>
    <w:p>
      <w:pPr>
        <w:adjustRightInd w:val="0"/>
        <w:snapToGrid w:val="0"/>
        <w:ind w:firstLine="281"/>
        <w:rPr>
          <w:rFonts w:asciiTheme="minorEastAsia" w:hAnsiTheme="minorEastAsia" w:eastAsiaTheme="minorEastAsia" w:cstheme="minorEastAsia"/>
          <w:b/>
          <w:color w:val="auto"/>
          <w:sz w:val="24"/>
          <w:szCs w:val="24"/>
        </w:rPr>
      </w:pPr>
    </w:p>
    <w:p>
      <w:pPr>
        <w:snapToGrid w:val="0"/>
        <w:spacing w:before="50" w:after="120" w:afterLines="50"/>
        <w:jc w:val="center"/>
        <w:rPr>
          <w:rFonts w:ascii="宋体" w:hAnsi="宋体" w:cs="宋体"/>
          <w:b/>
          <w:color w:val="auto"/>
          <w:spacing w:val="40"/>
          <w:sz w:val="36"/>
          <w:szCs w:val="36"/>
        </w:rPr>
      </w:pPr>
      <w:r>
        <w:rPr>
          <w:rFonts w:ascii="宋体" w:hAnsi="宋体"/>
          <w:b/>
          <w:color w:val="auto"/>
          <w:sz w:val="24"/>
          <w:szCs w:val="24"/>
        </w:rPr>
        <w:br w:type="page"/>
      </w:r>
      <w:r>
        <w:rPr>
          <w:rFonts w:hint="eastAsia" w:ascii="宋体" w:hAnsi="宋体" w:cs="宋体"/>
          <w:b/>
          <w:color w:val="auto"/>
          <w:spacing w:val="40"/>
          <w:sz w:val="28"/>
          <w:szCs w:val="28"/>
        </w:rPr>
        <w:t>技 术 响 应 表</w:t>
      </w:r>
    </w:p>
    <w:p>
      <w:pPr>
        <w:pStyle w:val="10"/>
        <w:snapToGrid w:val="0"/>
        <w:rPr>
          <w:rFonts w:ascii="宋体" w:hAnsi="宋体" w:eastAsia="宋体" w:cs="宋体"/>
          <w:color w:val="auto"/>
          <w:sz w:val="30"/>
          <w:szCs w:val="30"/>
        </w:rPr>
      </w:pPr>
    </w:p>
    <w:tbl>
      <w:tblPr>
        <w:tblStyle w:val="37"/>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63"/>
        <w:gridCol w:w="2125"/>
        <w:gridCol w:w="2866"/>
        <w:gridCol w:w="2403"/>
        <w:gridCol w:w="15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序号</w:t>
            </w:r>
          </w:p>
        </w:tc>
        <w:tc>
          <w:tcPr>
            <w:tcW w:w="1078"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货物名称</w:t>
            </w:r>
          </w:p>
        </w:tc>
        <w:tc>
          <w:tcPr>
            <w:tcW w:w="1454"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招标文件</w:t>
            </w:r>
          </w:p>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要求</w:t>
            </w: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投标文件</w:t>
            </w:r>
          </w:p>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响应</w:t>
            </w: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偏离</w:t>
            </w:r>
          </w:p>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r>
              <w:rPr>
                <w:rFonts w:hint="eastAsia" w:ascii="宋体" w:hAnsi="宋体" w:cs="宋体"/>
                <w:color w:val="auto"/>
                <w:spacing w:val="20"/>
                <w:sz w:val="24"/>
                <w:szCs w:val="24"/>
              </w:rPr>
              <w:t>…</w:t>
            </w: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r>
              <w:rPr>
                <w:rFonts w:hint="eastAsia" w:ascii="宋体" w:hAnsi="宋体" w:cs="宋体"/>
                <w:color w:val="auto"/>
                <w:spacing w:val="20"/>
                <w:sz w:val="24"/>
                <w:szCs w:val="24"/>
              </w:rPr>
              <w:t>…</w:t>
            </w: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r>
              <w:rPr>
                <w:rFonts w:hint="eastAsia" w:ascii="宋体" w:hAnsi="宋体" w:cs="宋体"/>
                <w:color w:val="auto"/>
                <w:spacing w:val="20"/>
                <w:sz w:val="24"/>
                <w:szCs w:val="24"/>
              </w:rPr>
              <w:t>…</w:t>
            </w: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bl>
    <w:p>
      <w:pPr>
        <w:snapToGrid w:val="0"/>
        <w:spacing w:before="50" w:after="50"/>
        <w:ind w:firstLine="500" w:firstLineChars="200"/>
        <w:rPr>
          <w:rFonts w:ascii="宋体" w:hAnsi="宋体" w:cs="宋体"/>
          <w:color w:val="auto"/>
          <w:spacing w:val="20"/>
          <w:szCs w:val="21"/>
        </w:rPr>
      </w:pPr>
      <w:r>
        <w:rPr>
          <w:rFonts w:hint="eastAsia" w:ascii="宋体" w:hAnsi="宋体" w:cs="宋体"/>
          <w:color w:val="auto"/>
          <w:spacing w:val="20"/>
          <w:szCs w:val="21"/>
        </w:rPr>
        <w:t>注：1、投标人应对照招标文件要求和投标文件响应情况在“偏离情况”栏注明“正偏离”、“负偏离”或“无偏离”。若正偏离的，需详细说明或提供证明材料。</w:t>
      </w:r>
    </w:p>
    <w:p>
      <w:pPr>
        <w:snapToGrid w:val="0"/>
        <w:spacing w:before="50" w:after="50"/>
        <w:ind w:firstLine="500" w:firstLineChars="200"/>
        <w:rPr>
          <w:rFonts w:ascii="宋体" w:hAnsi="宋体" w:cs="宋体"/>
          <w:color w:val="auto"/>
          <w:spacing w:val="20"/>
          <w:szCs w:val="21"/>
        </w:rPr>
      </w:pPr>
      <w:r>
        <w:rPr>
          <w:rFonts w:hint="eastAsia" w:ascii="宋体" w:hAnsi="宋体" w:cs="宋体"/>
          <w:color w:val="auto"/>
          <w:spacing w:val="20"/>
          <w:szCs w:val="21"/>
        </w:rPr>
        <w:t>2、“招标文件要求”一列按第六章技术标准和要求中的相应内容填写。</w:t>
      </w:r>
    </w:p>
    <w:p>
      <w:pPr>
        <w:pStyle w:val="12"/>
        <w:rPr>
          <w:rFonts w:ascii="宋体" w:hAnsi="宋体" w:eastAsia="宋体" w:cs="宋体"/>
          <w:b w:val="0"/>
          <w:bCs w:val="0"/>
          <w:color w:val="auto"/>
          <w:spacing w:val="20"/>
          <w:szCs w:val="24"/>
        </w:rPr>
      </w:pPr>
    </w:p>
    <w:p>
      <w:pPr>
        <w:snapToGrid w:val="0"/>
        <w:spacing w:before="50" w:after="50"/>
        <w:rPr>
          <w:rFonts w:ascii="宋体" w:hAnsi="宋体" w:cs="宋体"/>
          <w:bCs/>
          <w:color w:val="auto"/>
          <w:spacing w:val="20"/>
          <w:sz w:val="24"/>
          <w:szCs w:val="24"/>
        </w:rPr>
      </w:pPr>
    </w:p>
    <w:p>
      <w:pPr>
        <w:pStyle w:val="35"/>
        <w:spacing w:line="440" w:lineRule="exact"/>
        <w:ind w:firstLine="0" w:firstLineChars="0"/>
        <w:rPr>
          <w:rFonts w:ascii="宋体" w:hAnsi="宋体"/>
          <w:color w:val="auto"/>
          <w:sz w:val="24"/>
          <w:szCs w:val="24"/>
        </w:rPr>
      </w:pPr>
      <w:r>
        <w:rPr>
          <w:rFonts w:hint="eastAsia" w:ascii="宋体" w:hAnsi="宋体"/>
          <w:color w:val="auto"/>
          <w:sz w:val="24"/>
          <w:szCs w:val="24"/>
        </w:rPr>
        <w:t>投标人：</w:t>
      </w:r>
      <w:r>
        <w:rPr>
          <w:rFonts w:hint="eastAsia" w:ascii="宋体" w:hAnsi="宋体"/>
          <w:color w:val="auto"/>
          <w:sz w:val="24"/>
          <w:szCs w:val="24"/>
          <w:u w:val="single"/>
        </w:rPr>
        <w:t xml:space="preserve">                      </w:t>
      </w:r>
      <w:r>
        <w:rPr>
          <w:rFonts w:hint="eastAsia" w:ascii="宋体" w:hAnsi="宋体"/>
          <w:color w:val="auto"/>
          <w:sz w:val="24"/>
          <w:szCs w:val="24"/>
        </w:rPr>
        <w:t>（盖单位公章）</w:t>
      </w:r>
    </w:p>
    <w:p>
      <w:pPr>
        <w:spacing w:line="440" w:lineRule="exact"/>
        <w:rPr>
          <w:color w:val="auto"/>
          <w:sz w:val="24"/>
          <w:szCs w:val="24"/>
        </w:rPr>
      </w:pPr>
      <w:r>
        <w:rPr>
          <w:rFonts w:hint="eastAsia" w:ascii="宋体" w:hAnsi="宋体"/>
          <w:color w:val="auto"/>
          <w:sz w:val="24"/>
          <w:szCs w:val="24"/>
        </w:rPr>
        <w:t>法定代表人或其委托代理人：</w:t>
      </w:r>
      <w:r>
        <w:rPr>
          <w:rFonts w:hint="eastAsia" w:ascii="宋体" w:hAnsi="宋体"/>
          <w:color w:val="auto"/>
          <w:sz w:val="24"/>
          <w:szCs w:val="24"/>
          <w:u w:val="single"/>
        </w:rPr>
        <w:t xml:space="preserve">           </w:t>
      </w:r>
      <w:r>
        <w:rPr>
          <w:rFonts w:hint="eastAsia" w:ascii="宋体" w:hAnsi="宋体"/>
          <w:color w:val="auto"/>
          <w:sz w:val="24"/>
          <w:szCs w:val="24"/>
        </w:rPr>
        <w:t xml:space="preserve">（签字或盖章） </w:t>
      </w:r>
    </w:p>
    <w:p>
      <w:pPr>
        <w:spacing w:line="440" w:lineRule="exact"/>
        <w:rPr>
          <w:rFonts w:ascii="宋体" w:hAnsi="宋体"/>
          <w:color w:val="auto"/>
          <w:sz w:val="24"/>
          <w:szCs w:val="24"/>
        </w:rPr>
      </w:pPr>
      <w:r>
        <w:rPr>
          <w:rFonts w:hint="eastAsia" w:ascii="宋体" w:hAnsi="宋体"/>
          <w:color w:val="auto"/>
          <w:sz w:val="24"/>
          <w:szCs w:val="24"/>
        </w:rPr>
        <w:t>日期：    年    月    日</w:t>
      </w:r>
    </w:p>
    <w:p>
      <w:pPr>
        <w:snapToGrid w:val="0"/>
        <w:spacing w:before="50" w:after="50"/>
        <w:rPr>
          <w:rFonts w:ascii="宋体" w:hAnsi="宋体" w:cs="宋体"/>
          <w:bCs/>
          <w:color w:val="auto"/>
          <w:spacing w:val="20"/>
          <w:sz w:val="24"/>
          <w:szCs w:val="24"/>
        </w:rPr>
      </w:pPr>
    </w:p>
    <w:p>
      <w:pPr>
        <w:pStyle w:val="10"/>
        <w:snapToGrid w:val="0"/>
        <w:spacing w:before="100" w:after="100"/>
        <w:jc w:val="center"/>
        <w:rPr>
          <w:rFonts w:ascii="宋体" w:hAnsi="宋体" w:eastAsia="宋体" w:cs="宋体"/>
          <w:color w:val="auto"/>
          <w:sz w:val="28"/>
          <w:szCs w:val="28"/>
        </w:rPr>
      </w:pPr>
      <w:r>
        <w:rPr>
          <w:rFonts w:ascii="宋体" w:hAnsi="宋体" w:eastAsia="宋体" w:cs="宋体"/>
          <w:color w:val="auto"/>
          <w:sz w:val="28"/>
          <w:szCs w:val="28"/>
        </w:rPr>
        <w:br w:type="page"/>
      </w:r>
      <w:r>
        <w:rPr>
          <w:rFonts w:hint="eastAsia" w:ascii="宋体" w:hAnsi="宋体" w:eastAsia="宋体" w:cs="宋体"/>
          <w:color w:val="auto"/>
          <w:sz w:val="28"/>
          <w:szCs w:val="28"/>
        </w:rPr>
        <w:t>投标人提供的材料、辅助材料、专用工具及备品备件（易损件）一览表</w:t>
      </w:r>
    </w:p>
    <w:p>
      <w:pPr>
        <w:pStyle w:val="2"/>
        <w:jc w:val="both"/>
        <w:rPr>
          <w:color w:val="auto"/>
        </w:rPr>
      </w:pP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2655"/>
        <w:gridCol w:w="1017"/>
        <w:gridCol w:w="672"/>
        <w:gridCol w:w="808"/>
        <w:gridCol w:w="824"/>
        <w:gridCol w:w="1031"/>
        <w:gridCol w:w="970"/>
        <w:gridCol w:w="647"/>
        <w:gridCol w:w="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00" w:type="pct"/>
            <w:vMerge w:val="restart"/>
            <w:vAlign w:val="center"/>
          </w:tcPr>
          <w:p>
            <w:pPr>
              <w:jc w:val="center"/>
              <w:rPr>
                <w:rFonts w:ascii="宋体" w:hAnsi="宋体"/>
                <w:color w:val="auto"/>
                <w:szCs w:val="21"/>
              </w:rPr>
            </w:pPr>
            <w:r>
              <w:rPr>
                <w:rFonts w:hint="eastAsia" w:ascii="宋体" w:hAnsi="宋体"/>
                <w:color w:val="auto"/>
                <w:szCs w:val="21"/>
              </w:rPr>
              <w:t>序号</w:t>
            </w:r>
          </w:p>
        </w:tc>
        <w:tc>
          <w:tcPr>
            <w:tcW w:w="1347" w:type="pct"/>
            <w:vMerge w:val="restart"/>
            <w:vAlign w:val="center"/>
          </w:tcPr>
          <w:p>
            <w:pPr>
              <w:jc w:val="center"/>
              <w:rPr>
                <w:rFonts w:ascii="宋体" w:hAnsi="宋体"/>
                <w:color w:val="auto"/>
                <w:szCs w:val="21"/>
              </w:rPr>
            </w:pPr>
            <w:r>
              <w:rPr>
                <w:rFonts w:hint="eastAsia" w:ascii="宋体" w:hAnsi="宋体"/>
                <w:color w:val="auto"/>
                <w:szCs w:val="21"/>
              </w:rPr>
              <w:t>货物名称</w:t>
            </w:r>
          </w:p>
        </w:tc>
        <w:tc>
          <w:tcPr>
            <w:tcW w:w="516" w:type="pct"/>
            <w:vMerge w:val="restart"/>
            <w:vAlign w:val="center"/>
          </w:tcPr>
          <w:p>
            <w:pPr>
              <w:jc w:val="center"/>
              <w:rPr>
                <w:rFonts w:ascii="宋体" w:hAnsi="宋体"/>
                <w:color w:val="auto"/>
                <w:szCs w:val="21"/>
              </w:rPr>
            </w:pPr>
            <w:r>
              <w:rPr>
                <w:rFonts w:hint="eastAsia" w:ascii="宋体" w:hAnsi="宋体"/>
                <w:color w:val="auto"/>
                <w:szCs w:val="21"/>
              </w:rPr>
              <w:t>规格、型号</w:t>
            </w:r>
          </w:p>
        </w:tc>
        <w:tc>
          <w:tcPr>
            <w:tcW w:w="341" w:type="pct"/>
            <w:vMerge w:val="restart"/>
            <w:vAlign w:val="center"/>
          </w:tcPr>
          <w:p>
            <w:pPr>
              <w:jc w:val="center"/>
              <w:rPr>
                <w:rFonts w:ascii="宋体" w:hAnsi="宋体"/>
                <w:color w:val="auto"/>
                <w:szCs w:val="21"/>
              </w:rPr>
            </w:pPr>
            <w:r>
              <w:rPr>
                <w:rFonts w:hint="eastAsia" w:ascii="宋体" w:hAnsi="宋体"/>
                <w:color w:val="auto"/>
                <w:szCs w:val="21"/>
              </w:rPr>
              <w:t>产地</w:t>
            </w:r>
          </w:p>
        </w:tc>
        <w:tc>
          <w:tcPr>
            <w:tcW w:w="410" w:type="pct"/>
            <w:vMerge w:val="restart"/>
            <w:vAlign w:val="center"/>
          </w:tcPr>
          <w:p>
            <w:pPr>
              <w:jc w:val="center"/>
              <w:rPr>
                <w:rFonts w:ascii="宋体" w:hAnsi="宋体"/>
                <w:color w:val="auto"/>
                <w:szCs w:val="21"/>
              </w:rPr>
            </w:pPr>
            <w:r>
              <w:rPr>
                <w:rFonts w:hint="eastAsia" w:ascii="宋体" w:hAnsi="宋体"/>
                <w:color w:val="auto"/>
                <w:szCs w:val="21"/>
              </w:rPr>
              <w:t>单位</w:t>
            </w:r>
          </w:p>
        </w:tc>
        <w:tc>
          <w:tcPr>
            <w:tcW w:w="418" w:type="pct"/>
            <w:vMerge w:val="restart"/>
            <w:vAlign w:val="center"/>
          </w:tcPr>
          <w:p>
            <w:pPr>
              <w:jc w:val="center"/>
              <w:rPr>
                <w:rFonts w:ascii="宋体" w:hAnsi="宋体"/>
                <w:color w:val="auto"/>
                <w:szCs w:val="21"/>
              </w:rPr>
            </w:pPr>
            <w:r>
              <w:rPr>
                <w:rFonts w:hint="eastAsia" w:ascii="宋体" w:hAnsi="宋体"/>
                <w:color w:val="auto"/>
                <w:szCs w:val="21"/>
              </w:rPr>
              <w:t>数量</w:t>
            </w:r>
          </w:p>
        </w:tc>
        <w:tc>
          <w:tcPr>
            <w:tcW w:w="1015" w:type="pct"/>
            <w:gridSpan w:val="2"/>
            <w:vAlign w:val="center"/>
          </w:tcPr>
          <w:p>
            <w:pPr>
              <w:jc w:val="center"/>
              <w:rPr>
                <w:rFonts w:ascii="宋体" w:hAnsi="宋体"/>
                <w:color w:val="auto"/>
                <w:szCs w:val="21"/>
              </w:rPr>
            </w:pPr>
            <w:r>
              <w:rPr>
                <w:rFonts w:hint="eastAsia" w:ascii="宋体" w:hAnsi="宋体"/>
                <w:color w:val="auto"/>
                <w:szCs w:val="21"/>
              </w:rPr>
              <w:t>单价</w:t>
            </w:r>
          </w:p>
        </w:tc>
        <w:tc>
          <w:tcPr>
            <w:tcW w:w="328" w:type="pct"/>
            <w:vMerge w:val="restart"/>
            <w:vAlign w:val="center"/>
          </w:tcPr>
          <w:p>
            <w:pPr>
              <w:jc w:val="center"/>
              <w:rPr>
                <w:rFonts w:ascii="宋体" w:hAnsi="宋体"/>
                <w:color w:val="auto"/>
                <w:szCs w:val="21"/>
              </w:rPr>
            </w:pPr>
            <w:r>
              <w:rPr>
                <w:rFonts w:hint="eastAsia" w:ascii="宋体" w:hAnsi="宋体"/>
                <w:color w:val="auto"/>
                <w:szCs w:val="21"/>
              </w:rPr>
              <w:t>合价</w:t>
            </w:r>
          </w:p>
        </w:tc>
        <w:tc>
          <w:tcPr>
            <w:tcW w:w="324" w:type="pct"/>
            <w:vMerge w:val="restart"/>
            <w:vAlign w:val="center"/>
          </w:tcPr>
          <w:p>
            <w:pPr>
              <w:jc w:val="center"/>
              <w:rPr>
                <w:rFonts w:ascii="宋体" w:hAnsi="宋体"/>
                <w:color w:val="auto"/>
                <w:szCs w:val="21"/>
              </w:rPr>
            </w:pPr>
            <w:r>
              <w:rPr>
                <w:rFonts w:hint="eastAsia" w:ascii="宋体" w:hAnsi="宋体"/>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00" w:type="pct"/>
            <w:vMerge w:val="continue"/>
            <w:vAlign w:val="center"/>
          </w:tcPr>
          <w:p>
            <w:pPr>
              <w:jc w:val="center"/>
              <w:rPr>
                <w:rFonts w:ascii="宋体" w:hAnsi="宋体"/>
                <w:color w:val="auto"/>
                <w:szCs w:val="21"/>
              </w:rPr>
            </w:pPr>
          </w:p>
        </w:tc>
        <w:tc>
          <w:tcPr>
            <w:tcW w:w="1347" w:type="pct"/>
            <w:vMerge w:val="continue"/>
            <w:vAlign w:val="center"/>
          </w:tcPr>
          <w:p>
            <w:pPr>
              <w:jc w:val="center"/>
              <w:rPr>
                <w:rFonts w:ascii="宋体" w:hAnsi="宋体"/>
                <w:color w:val="auto"/>
                <w:szCs w:val="21"/>
              </w:rPr>
            </w:pPr>
          </w:p>
        </w:tc>
        <w:tc>
          <w:tcPr>
            <w:tcW w:w="516" w:type="pct"/>
            <w:vMerge w:val="continue"/>
            <w:vAlign w:val="center"/>
          </w:tcPr>
          <w:p>
            <w:pPr>
              <w:jc w:val="center"/>
              <w:rPr>
                <w:rFonts w:ascii="宋体" w:hAnsi="宋体"/>
                <w:color w:val="auto"/>
                <w:szCs w:val="21"/>
              </w:rPr>
            </w:pPr>
          </w:p>
        </w:tc>
        <w:tc>
          <w:tcPr>
            <w:tcW w:w="341" w:type="pct"/>
            <w:vMerge w:val="continue"/>
            <w:vAlign w:val="center"/>
          </w:tcPr>
          <w:p>
            <w:pPr>
              <w:jc w:val="center"/>
              <w:rPr>
                <w:rFonts w:ascii="宋体" w:hAnsi="宋体"/>
                <w:color w:val="auto"/>
                <w:szCs w:val="21"/>
              </w:rPr>
            </w:pPr>
          </w:p>
        </w:tc>
        <w:tc>
          <w:tcPr>
            <w:tcW w:w="410" w:type="pct"/>
            <w:vMerge w:val="continue"/>
            <w:vAlign w:val="center"/>
          </w:tcPr>
          <w:p>
            <w:pPr>
              <w:jc w:val="center"/>
              <w:rPr>
                <w:rFonts w:ascii="宋体" w:hAnsi="宋体"/>
                <w:color w:val="auto"/>
                <w:szCs w:val="21"/>
              </w:rPr>
            </w:pPr>
          </w:p>
        </w:tc>
        <w:tc>
          <w:tcPr>
            <w:tcW w:w="418" w:type="pct"/>
            <w:vMerge w:val="continue"/>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r>
              <w:rPr>
                <w:rFonts w:hint="eastAsia" w:ascii="宋体" w:hAnsi="宋体"/>
                <w:color w:val="auto"/>
                <w:szCs w:val="21"/>
              </w:rPr>
              <w:t>市场价</w:t>
            </w:r>
          </w:p>
        </w:tc>
        <w:tc>
          <w:tcPr>
            <w:tcW w:w="492" w:type="pct"/>
            <w:vAlign w:val="center"/>
          </w:tcPr>
          <w:p>
            <w:pPr>
              <w:jc w:val="center"/>
              <w:rPr>
                <w:rFonts w:ascii="宋体" w:hAnsi="宋体"/>
                <w:color w:val="auto"/>
                <w:szCs w:val="21"/>
              </w:rPr>
            </w:pPr>
            <w:r>
              <w:rPr>
                <w:rFonts w:hint="eastAsia" w:ascii="宋体" w:hAnsi="宋体"/>
                <w:color w:val="auto"/>
                <w:szCs w:val="21"/>
              </w:rPr>
              <w:t>优惠价</w:t>
            </w:r>
          </w:p>
        </w:tc>
        <w:tc>
          <w:tcPr>
            <w:tcW w:w="328" w:type="pct"/>
            <w:vMerge w:val="continue"/>
            <w:vAlign w:val="center"/>
          </w:tcPr>
          <w:p>
            <w:pPr>
              <w:jc w:val="center"/>
              <w:rPr>
                <w:rFonts w:ascii="宋体" w:hAnsi="宋体"/>
                <w:color w:val="auto"/>
                <w:szCs w:val="21"/>
              </w:rPr>
            </w:pPr>
          </w:p>
        </w:tc>
        <w:tc>
          <w:tcPr>
            <w:tcW w:w="324" w:type="pct"/>
            <w:vMerge w:val="continue"/>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olor w:val="auto"/>
                <w:szCs w:val="21"/>
              </w:rPr>
              <w:t>一、</w:t>
            </w:r>
            <w:r>
              <w:rPr>
                <w:rFonts w:hint="eastAsia" w:ascii="宋体" w:hAnsi="宋体" w:cs="宋体"/>
                <w:b/>
                <w:bCs/>
                <w:color w:val="auto"/>
                <w:szCs w:val="21"/>
              </w:rPr>
              <w:t>放射防护备品备件（易损件）清单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以下按清单内容填写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hint="eastAsia" w:ascii="宋体" w:hAnsi="宋体"/>
                <w:color w:val="auto"/>
                <w:szCs w:val="21"/>
              </w:rPr>
              <w:t>二、材料及辅助材料清单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以下内容由投标单位自行填写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stheme="minorEastAsia"/>
                <w:color w:val="auto"/>
                <w:szCs w:val="21"/>
              </w:rPr>
            </w:pPr>
            <w:r>
              <w:rPr>
                <w:rFonts w:ascii="宋体" w:hAnsi="宋体" w:cstheme="minorEastAsia"/>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hint="eastAsia" w:ascii="宋体" w:hAnsi="宋体"/>
                <w:color w:val="auto"/>
                <w:szCs w:val="21"/>
              </w:rPr>
              <w:t>三、专业工具清单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以下内容由投标单位自行填写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stheme="minorEastAsia"/>
                <w:color w:val="auto"/>
                <w:szCs w:val="21"/>
              </w:rPr>
            </w:pPr>
            <w:r>
              <w:rPr>
                <w:rFonts w:ascii="宋体" w:hAnsi="宋体" w:cstheme="minorEastAsia"/>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hint="eastAsia" w:ascii="宋体" w:hAnsi="宋体"/>
                <w:color w:val="auto"/>
                <w:szCs w:val="21"/>
              </w:rPr>
              <w:t>四、其他清单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以下内容由投标单位自行填写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stheme="minorEastAsia"/>
                <w:color w:val="auto"/>
                <w:szCs w:val="21"/>
              </w:rPr>
            </w:pPr>
            <w:r>
              <w:rPr>
                <w:rFonts w:ascii="宋体" w:hAnsi="宋体" w:cstheme="minorEastAsia"/>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00" w:type="pct"/>
            <w:vAlign w:val="center"/>
          </w:tcPr>
          <w:p>
            <w:pPr>
              <w:jc w:val="center"/>
              <w:rPr>
                <w:rFonts w:ascii="宋体" w:hAnsi="宋体"/>
                <w:color w:val="auto"/>
                <w:szCs w:val="21"/>
              </w:rPr>
            </w:pPr>
          </w:p>
        </w:tc>
        <w:tc>
          <w:tcPr>
            <w:tcW w:w="1347" w:type="pct"/>
            <w:vAlign w:val="center"/>
          </w:tcPr>
          <w:p>
            <w:pPr>
              <w:jc w:val="center"/>
              <w:rPr>
                <w:rFonts w:ascii="宋体" w:hAnsi="宋体"/>
                <w:color w:val="auto"/>
                <w:szCs w:val="21"/>
              </w:rPr>
            </w:pPr>
            <w:r>
              <w:rPr>
                <w:rFonts w:hint="eastAsia" w:ascii="宋体" w:hAnsi="宋体"/>
                <w:color w:val="auto"/>
                <w:szCs w:val="21"/>
              </w:rPr>
              <w:t>合  计</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1015" w:type="pct"/>
            <w:gridSpan w:val="2"/>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bl>
    <w:p>
      <w:pPr>
        <w:snapToGrid w:val="0"/>
        <w:spacing w:line="360" w:lineRule="auto"/>
        <w:rPr>
          <w:rFonts w:ascii="宋体" w:hAnsi="宋体" w:cs="宋体"/>
          <w:b/>
          <w:bCs/>
          <w:color w:val="auto"/>
          <w:sz w:val="24"/>
          <w:szCs w:val="24"/>
        </w:rPr>
      </w:pPr>
      <w:r>
        <w:rPr>
          <w:rFonts w:hint="eastAsia" w:ascii="宋体" w:hAnsi="宋体" w:cs="宋体"/>
          <w:bCs/>
          <w:color w:val="auto"/>
          <w:szCs w:val="21"/>
        </w:rPr>
        <w:t>注：1.承诺上述单价（优惠价）质保期满后5年内有效。该单价（优惠价）</w:t>
      </w:r>
      <w:r>
        <w:rPr>
          <w:rFonts w:hint="eastAsia" w:ascii="宋体" w:hAnsi="宋体"/>
          <w:color w:val="auto"/>
          <w:szCs w:val="21"/>
        </w:rPr>
        <w:t>作为招标人质保期后使用材料、辅助材料、专业工具及备品备件（易损件）的价格，为现场交货价。</w:t>
      </w:r>
    </w:p>
    <w:p>
      <w:pPr>
        <w:numPr>
          <w:ilvl w:val="0"/>
          <w:numId w:val="12"/>
        </w:numPr>
        <w:snapToGrid w:val="0"/>
        <w:spacing w:line="360" w:lineRule="auto"/>
        <w:ind w:firstLine="420" w:firstLineChars="200"/>
        <w:rPr>
          <w:rFonts w:ascii="宋体" w:hAnsi="宋体"/>
          <w:color w:val="auto"/>
          <w:szCs w:val="21"/>
        </w:rPr>
      </w:pPr>
      <w:r>
        <w:rPr>
          <w:rFonts w:hint="eastAsia" w:ascii="宋体" w:hAnsi="宋体"/>
          <w:color w:val="auto"/>
          <w:szCs w:val="21"/>
        </w:rPr>
        <w:t>其他清单是投标人认为需要填报的内容，未填写视为优惠报价。</w:t>
      </w:r>
    </w:p>
    <w:p>
      <w:pPr>
        <w:pStyle w:val="60"/>
        <w:snapToGrid w:val="0"/>
        <w:spacing w:line="360" w:lineRule="auto"/>
        <w:ind w:left="420" w:firstLine="0" w:firstLineChars="0"/>
        <w:rPr>
          <w:rFonts w:ascii="宋体" w:hAnsi="宋体"/>
          <w:color w:val="auto"/>
          <w:szCs w:val="21"/>
        </w:rPr>
      </w:pPr>
      <w:r>
        <w:rPr>
          <w:rFonts w:hint="eastAsia" w:ascii="宋体" w:hAnsi="宋体"/>
          <w:color w:val="auto"/>
          <w:szCs w:val="21"/>
        </w:rPr>
        <w:t>3.</w:t>
      </w:r>
      <w:r>
        <w:rPr>
          <w:rFonts w:hint="eastAsia" w:ascii="宋体" w:hAnsi="宋体" w:cstheme="minorEastAsia"/>
          <w:color w:val="auto"/>
          <w:szCs w:val="21"/>
        </w:rPr>
        <w:t xml:space="preserve"> 表格行数不够，投标人可自行扩展。</w:t>
      </w:r>
    </w:p>
    <w:p>
      <w:pPr>
        <w:pStyle w:val="2"/>
        <w:rPr>
          <w:color w:val="auto"/>
        </w:rPr>
      </w:pPr>
    </w:p>
    <w:p>
      <w:pPr>
        <w:snapToGrid w:val="0"/>
        <w:spacing w:before="120" w:beforeLines="50"/>
        <w:ind w:firstLine="420" w:firstLineChars="200"/>
        <w:rPr>
          <w:rFonts w:ascii="宋体" w:hAnsi="宋体"/>
          <w:color w:val="auto"/>
          <w:szCs w:val="21"/>
        </w:rPr>
      </w:pPr>
    </w:p>
    <w:p>
      <w:pPr>
        <w:pStyle w:val="13"/>
        <w:rPr>
          <w:color w:val="auto"/>
        </w:rPr>
      </w:pPr>
    </w:p>
    <w:p>
      <w:pPr>
        <w:pStyle w:val="35"/>
        <w:spacing w:line="360" w:lineRule="exact"/>
        <w:ind w:firstLine="0" w:firstLineChars="0"/>
        <w:rPr>
          <w:rFonts w:ascii="宋体" w:hAnsi="宋体"/>
          <w:color w:val="auto"/>
          <w:sz w:val="21"/>
          <w:szCs w:val="21"/>
        </w:rPr>
      </w:pPr>
    </w:p>
    <w:p>
      <w:pPr>
        <w:pStyle w:val="35"/>
        <w:spacing w:line="360" w:lineRule="exact"/>
        <w:ind w:firstLine="0" w:firstLineChars="0"/>
        <w:rPr>
          <w:rFonts w:ascii="宋体" w:hAnsi="宋体"/>
          <w:color w:val="auto"/>
          <w:sz w:val="21"/>
          <w:szCs w:val="21"/>
        </w:rPr>
      </w:pPr>
    </w:p>
    <w:p>
      <w:pPr>
        <w:pStyle w:val="35"/>
        <w:spacing w:line="360" w:lineRule="exact"/>
        <w:ind w:firstLine="0" w:firstLineChars="0"/>
        <w:rPr>
          <w:rFonts w:ascii="宋体" w:hAnsi="宋体"/>
          <w:color w:val="auto"/>
          <w:sz w:val="24"/>
          <w:szCs w:val="24"/>
        </w:rPr>
      </w:pPr>
      <w:r>
        <w:rPr>
          <w:rFonts w:hint="eastAsia" w:ascii="宋体" w:hAnsi="宋体"/>
          <w:color w:val="auto"/>
          <w:sz w:val="24"/>
          <w:szCs w:val="24"/>
        </w:rPr>
        <w:t>投标人：</w:t>
      </w:r>
      <w:r>
        <w:rPr>
          <w:rFonts w:hint="eastAsia" w:ascii="宋体" w:hAnsi="宋体"/>
          <w:color w:val="auto"/>
          <w:sz w:val="24"/>
          <w:szCs w:val="24"/>
          <w:u w:val="single"/>
        </w:rPr>
        <w:t xml:space="preserve">                     </w:t>
      </w:r>
      <w:r>
        <w:rPr>
          <w:rFonts w:hint="eastAsia" w:ascii="宋体" w:hAnsi="宋体"/>
          <w:color w:val="auto"/>
          <w:sz w:val="24"/>
          <w:szCs w:val="24"/>
        </w:rPr>
        <w:t>（盖单位公章）</w:t>
      </w:r>
    </w:p>
    <w:p>
      <w:pPr>
        <w:spacing w:line="360" w:lineRule="exact"/>
        <w:rPr>
          <w:color w:val="auto"/>
          <w:sz w:val="24"/>
          <w:szCs w:val="24"/>
        </w:rPr>
      </w:pPr>
      <w:r>
        <w:rPr>
          <w:rFonts w:hint="eastAsia" w:ascii="宋体" w:hAnsi="宋体"/>
          <w:color w:val="auto"/>
          <w:sz w:val="24"/>
          <w:szCs w:val="24"/>
        </w:rPr>
        <w:t>法定代表人或其委托代理人：</w:t>
      </w:r>
      <w:r>
        <w:rPr>
          <w:rFonts w:hint="eastAsia" w:ascii="宋体" w:hAnsi="宋体"/>
          <w:color w:val="auto"/>
          <w:sz w:val="24"/>
          <w:szCs w:val="24"/>
          <w:u w:val="single"/>
        </w:rPr>
        <w:t xml:space="preserve">     </w:t>
      </w:r>
      <w:r>
        <w:rPr>
          <w:rFonts w:hint="eastAsia" w:ascii="宋体" w:hAnsi="宋体"/>
          <w:color w:val="auto"/>
          <w:sz w:val="24"/>
          <w:szCs w:val="24"/>
        </w:rPr>
        <w:t xml:space="preserve">（签字或盖章） </w:t>
      </w:r>
    </w:p>
    <w:p>
      <w:pPr>
        <w:spacing w:line="360" w:lineRule="exact"/>
        <w:rPr>
          <w:rFonts w:ascii="宋体" w:hAnsi="宋体"/>
          <w:color w:val="auto"/>
          <w:szCs w:val="21"/>
        </w:rPr>
      </w:pPr>
      <w:r>
        <w:rPr>
          <w:rFonts w:hint="eastAsia" w:ascii="宋体" w:hAnsi="宋体"/>
          <w:color w:val="auto"/>
          <w:sz w:val="24"/>
          <w:szCs w:val="24"/>
        </w:rPr>
        <w:t>日期：    年    月    日</w:t>
      </w:r>
    </w:p>
    <w:p>
      <w:pPr>
        <w:jc w:val="center"/>
        <w:rPr>
          <w:rFonts w:ascii="宋体" w:hAnsi="宋体"/>
          <w:bCs/>
          <w:color w:val="auto"/>
          <w:sz w:val="28"/>
          <w:szCs w:val="28"/>
        </w:rPr>
      </w:pPr>
      <w:r>
        <w:rPr>
          <w:rFonts w:ascii="宋体" w:hAnsi="宋体"/>
          <w:b/>
          <w:color w:val="auto"/>
          <w:sz w:val="24"/>
          <w:szCs w:val="24"/>
        </w:rPr>
        <w:br w:type="page"/>
      </w:r>
      <w:r>
        <w:rPr>
          <w:rFonts w:hint="eastAsia" w:ascii="宋体" w:hAnsi="宋体"/>
          <w:bCs/>
          <w:color w:val="auto"/>
          <w:sz w:val="28"/>
          <w:szCs w:val="28"/>
        </w:rPr>
        <w:t>品牌偏离表</w:t>
      </w:r>
    </w:p>
    <w:p>
      <w:pPr>
        <w:pStyle w:val="13"/>
        <w:rPr>
          <w:rFonts w:ascii="宋体" w:hAnsi="宋体"/>
          <w:bCs/>
          <w:color w:val="auto"/>
          <w:sz w:val="28"/>
          <w:szCs w:val="28"/>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845"/>
        <w:gridCol w:w="3153"/>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vAlign w:val="center"/>
          </w:tcPr>
          <w:p>
            <w:pPr>
              <w:pStyle w:val="14"/>
              <w:jc w:val="center"/>
              <w:rPr>
                <w:color w:val="auto"/>
                <w:sz w:val="24"/>
                <w:szCs w:val="24"/>
              </w:rPr>
            </w:pPr>
            <w:r>
              <w:rPr>
                <w:rFonts w:hint="eastAsia"/>
                <w:color w:val="auto"/>
                <w:sz w:val="24"/>
                <w:szCs w:val="24"/>
              </w:rPr>
              <w:t>序号</w:t>
            </w:r>
          </w:p>
        </w:tc>
        <w:tc>
          <w:tcPr>
            <w:tcW w:w="1845" w:type="dxa"/>
            <w:vAlign w:val="center"/>
          </w:tcPr>
          <w:p>
            <w:pPr>
              <w:pStyle w:val="14"/>
              <w:jc w:val="center"/>
              <w:rPr>
                <w:color w:val="auto"/>
                <w:sz w:val="24"/>
                <w:szCs w:val="24"/>
              </w:rPr>
            </w:pPr>
            <w:r>
              <w:rPr>
                <w:rFonts w:hint="eastAsia"/>
                <w:color w:val="auto"/>
                <w:sz w:val="24"/>
                <w:szCs w:val="24"/>
              </w:rPr>
              <w:t>设备材料名称</w:t>
            </w:r>
          </w:p>
        </w:tc>
        <w:tc>
          <w:tcPr>
            <w:tcW w:w="3153" w:type="dxa"/>
            <w:vAlign w:val="center"/>
          </w:tcPr>
          <w:p>
            <w:pPr>
              <w:pStyle w:val="14"/>
              <w:jc w:val="center"/>
              <w:rPr>
                <w:color w:val="auto"/>
                <w:sz w:val="24"/>
                <w:szCs w:val="24"/>
              </w:rPr>
            </w:pPr>
            <w:r>
              <w:rPr>
                <w:rFonts w:hint="eastAsia"/>
                <w:color w:val="auto"/>
                <w:sz w:val="24"/>
                <w:szCs w:val="24"/>
              </w:rPr>
              <w:t>推荐品牌</w:t>
            </w:r>
          </w:p>
        </w:tc>
        <w:tc>
          <w:tcPr>
            <w:tcW w:w="1971" w:type="dxa"/>
            <w:vAlign w:val="center"/>
          </w:tcPr>
          <w:p>
            <w:pPr>
              <w:pStyle w:val="14"/>
              <w:jc w:val="center"/>
              <w:rPr>
                <w:color w:val="auto"/>
                <w:sz w:val="24"/>
                <w:szCs w:val="24"/>
              </w:rPr>
            </w:pPr>
            <w:r>
              <w:rPr>
                <w:rFonts w:hint="eastAsia"/>
                <w:color w:val="auto"/>
                <w:sz w:val="24"/>
                <w:szCs w:val="24"/>
              </w:rPr>
              <w:t>投标品牌</w:t>
            </w:r>
          </w:p>
        </w:tc>
        <w:tc>
          <w:tcPr>
            <w:tcW w:w="1971" w:type="dxa"/>
            <w:vAlign w:val="center"/>
          </w:tcPr>
          <w:p>
            <w:pPr>
              <w:pStyle w:val="14"/>
              <w:jc w:val="center"/>
              <w:rPr>
                <w:color w:val="auto"/>
                <w:sz w:val="24"/>
                <w:szCs w:val="24"/>
              </w:rPr>
            </w:pPr>
            <w:r>
              <w:rPr>
                <w:rFonts w:hint="eastAsia"/>
                <w:color w:val="auto"/>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rPr>
            </w:pPr>
          </w:p>
        </w:tc>
        <w:tc>
          <w:tcPr>
            <w:tcW w:w="1845" w:type="dxa"/>
          </w:tcPr>
          <w:p>
            <w:pPr>
              <w:pStyle w:val="14"/>
              <w:rPr>
                <w:color w:val="auto"/>
                <w:sz w:val="24"/>
                <w:szCs w:val="24"/>
              </w:rPr>
            </w:pPr>
          </w:p>
        </w:tc>
        <w:tc>
          <w:tcPr>
            <w:tcW w:w="3153" w:type="dxa"/>
          </w:tcPr>
          <w:p>
            <w:pPr>
              <w:pStyle w:val="14"/>
              <w:rPr>
                <w:color w:val="auto"/>
                <w:sz w:val="24"/>
                <w:szCs w:val="24"/>
              </w:rPr>
            </w:pPr>
          </w:p>
        </w:tc>
        <w:tc>
          <w:tcPr>
            <w:tcW w:w="1971" w:type="dxa"/>
          </w:tcPr>
          <w:p>
            <w:pPr>
              <w:pStyle w:val="14"/>
              <w:rPr>
                <w:color w:val="auto"/>
                <w:sz w:val="24"/>
                <w:szCs w:val="24"/>
              </w:rPr>
            </w:pPr>
          </w:p>
        </w:tc>
        <w:tc>
          <w:tcPr>
            <w:tcW w:w="1971" w:type="dxa"/>
          </w:tcPr>
          <w:p>
            <w:pPr>
              <w:pStyle w:val="14"/>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rPr>
            </w:pPr>
          </w:p>
        </w:tc>
        <w:tc>
          <w:tcPr>
            <w:tcW w:w="1845" w:type="dxa"/>
          </w:tcPr>
          <w:p>
            <w:pPr>
              <w:pStyle w:val="14"/>
              <w:rPr>
                <w:color w:val="auto"/>
                <w:sz w:val="24"/>
                <w:szCs w:val="24"/>
              </w:rPr>
            </w:pPr>
          </w:p>
        </w:tc>
        <w:tc>
          <w:tcPr>
            <w:tcW w:w="3153" w:type="dxa"/>
          </w:tcPr>
          <w:p>
            <w:pPr>
              <w:pStyle w:val="14"/>
              <w:rPr>
                <w:color w:val="auto"/>
                <w:sz w:val="24"/>
                <w:szCs w:val="24"/>
              </w:rPr>
            </w:pPr>
          </w:p>
        </w:tc>
        <w:tc>
          <w:tcPr>
            <w:tcW w:w="1971" w:type="dxa"/>
          </w:tcPr>
          <w:p>
            <w:pPr>
              <w:pStyle w:val="14"/>
              <w:rPr>
                <w:color w:val="auto"/>
                <w:sz w:val="24"/>
                <w:szCs w:val="24"/>
              </w:rPr>
            </w:pPr>
          </w:p>
        </w:tc>
        <w:tc>
          <w:tcPr>
            <w:tcW w:w="1971" w:type="dxa"/>
          </w:tcPr>
          <w:p>
            <w:pPr>
              <w:pStyle w:val="14"/>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rPr>
            </w:pPr>
          </w:p>
        </w:tc>
        <w:tc>
          <w:tcPr>
            <w:tcW w:w="1845" w:type="dxa"/>
          </w:tcPr>
          <w:p>
            <w:pPr>
              <w:pStyle w:val="14"/>
              <w:rPr>
                <w:color w:val="auto"/>
                <w:sz w:val="24"/>
                <w:szCs w:val="24"/>
              </w:rPr>
            </w:pPr>
          </w:p>
        </w:tc>
        <w:tc>
          <w:tcPr>
            <w:tcW w:w="3153" w:type="dxa"/>
          </w:tcPr>
          <w:p>
            <w:pPr>
              <w:pStyle w:val="14"/>
              <w:rPr>
                <w:color w:val="auto"/>
                <w:sz w:val="24"/>
                <w:szCs w:val="24"/>
              </w:rPr>
            </w:pPr>
          </w:p>
        </w:tc>
        <w:tc>
          <w:tcPr>
            <w:tcW w:w="1971" w:type="dxa"/>
          </w:tcPr>
          <w:p>
            <w:pPr>
              <w:pStyle w:val="14"/>
              <w:rPr>
                <w:color w:val="auto"/>
                <w:sz w:val="24"/>
                <w:szCs w:val="24"/>
              </w:rPr>
            </w:pPr>
          </w:p>
        </w:tc>
        <w:tc>
          <w:tcPr>
            <w:tcW w:w="1971" w:type="dxa"/>
          </w:tcPr>
          <w:p>
            <w:pPr>
              <w:pStyle w:val="14"/>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rPr>
            </w:pPr>
          </w:p>
        </w:tc>
        <w:tc>
          <w:tcPr>
            <w:tcW w:w="1845" w:type="dxa"/>
          </w:tcPr>
          <w:p>
            <w:pPr>
              <w:pStyle w:val="14"/>
              <w:rPr>
                <w:color w:val="auto"/>
                <w:sz w:val="24"/>
                <w:szCs w:val="24"/>
              </w:rPr>
            </w:pPr>
          </w:p>
        </w:tc>
        <w:tc>
          <w:tcPr>
            <w:tcW w:w="3153" w:type="dxa"/>
          </w:tcPr>
          <w:p>
            <w:pPr>
              <w:pStyle w:val="14"/>
              <w:rPr>
                <w:color w:val="auto"/>
                <w:sz w:val="24"/>
                <w:szCs w:val="24"/>
              </w:rPr>
            </w:pPr>
          </w:p>
        </w:tc>
        <w:tc>
          <w:tcPr>
            <w:tcW w:w="1971" w:type="dxa"/>
          </w:tcPr>
          <w:p>
            <w:pPr>
              <w:pStyle w:val="14"/>
              <w:rPr>
                <w:color w:val="auto"/>
                <w:sz w:val="24"/>
                <w:szCs w:val="24"/>
              </w:rPr>
            </w:pPr>
          </w:p>
        </w:tc>
        <w:tc>
          <w:tcPr>
            <w:tcW w:w="1971" w:type="dxa"/>
          </w:tcPr>
          <w:p>
            <w:pPr>
              <w:pStyle w:val="14"/>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rPr>
            </w:pPr>
          </w:p>
        </w:tc>
        <w:tc>
          <w:tcPr>
            <w:tcW w:w="1845" w:type="dxa"/>
          </w:tcPr>
          <w:p>
            <w:pPr>
              <w:pStyle w:val="14"/>
              <w:rPr>
                <w:color w:val="auto"/>
                <w:sz w:val="24"/>
                <w:szCs w:val="24"/>
              </w:rPr>
            </w:pPr>
          </w:p>
        </w:tc>
        <w:tc>
          <w:tcPr>
            <w:tcW w:w="3153" w:type="dxa"/>
          </w:tcPr>
          <w:p>
            <w:pPr>
              <w:pStyle w:val="14"/>
              <w:rPr>
                <w:color w:val="auto"/>
                <w:sz w:val="24"/>
                <w:szCs w:val="24"/>
              </w:rPr>
            </w:pPr>
          </w:p>
        </w:tc>
        <w:tc>
          <w:tcPr>
            <w:tcW w:w="1971" w:type="dxa"/>
          </w:tcPr>
          <w:p>
            <w:pPr>
              <w:pStyle w:val="14"/>
              <w:rPr>
                <w:color w:val="auto"/>
                <w:sz w:val="24"/>
                <w:szCs w:val="24"/>
              </w:rPr>
            </w:pPr>
          </w:p>
        </w:tc>
        <w:tc>
          <w:tcPr>
            <w:tcW w:w="1971" w:type="dxa"/>
          </w:tcPr>
          <w:p>
            <w:pPr>
              <w:pStyle w:val="14"/>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rPr>
            </w:pPr>
          </w:p>
        </w:tc>
        <w:tc>
          <w:tcPr>
            <w:tcW w:w="1845" w:type="dxa"/>
          </w:tcPr>
          <w:p>
            <w:pPr>
              <w:pStyle w:val="14"/>
              <w:rPr>
                <w:color w:val="auto"/>
                <w:sz w:val="24"/>
                <w:szCs w:val="24"/>
              </w:rPr>
            </w:pPr>
          </w:p>
        </w:tc>
        <w:tc>
          <w:tcPr>
            <w:tcW w:w="3153" w:type="dxa"/>
          </w:tcPr>
          <w:p>
            <w:pPr>
              <w:pStyle w:val="14"/>
              <w:rPr>
                <w:color w:val="auto"/>
                <w:sz w:val="24"/>
                <w:szCs w:val="24"/>
              </w:rPr>
            </w:pPr>
          </w:p>
        </w:tc>
        <w:tc>
          <w:tcPr>
            <w:tcW w:w="1971" w:type="dxa"/>
          </w:tcPr>
          <w:p>
            <w:pPr>
              <w:pStyle w:val="14"/>
              <w:rPr>
                <w:color w:val="auto"/>
                <w:sz w:val="24"/>
                <w:szCs w:val="24"/>
              </w:rPr>
            </w:pPr>
          </w:p>
        </w:tc>
        <w:tc>
          <w:tcPr>
            <w:tcW w:w="1971" w:type="dxa"/>
          </w:tcPr>
          <w:p>
            <w:pPr>
              <w:pStyle w:val="14"/>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4"/>
              <w:rPr>
                <w:color w:val="auto"/>
                <w:sz w:val="24"/>
                <w:szCs w:val="24"/>
              </w:rPr>
            </w:pPr>
          </w:p>
        </w:tc>
        <w:tc>
          <w:tcPr>
            <w:tcW w:w="1845" w:type="dxa"/>
          </w:tcPr>
          <w:p>
            <w:pPr>
              <w:pStyle w:val="14"/>
              <w:rPr>
                <w:color w:val="auto"/>
                <w:sz w:val="24"/>
                <w:szCs w:val="24"/>
              </w:rPr>
            </w:pPr>
          </w:p>
        </w:tc>
        <w:tc>
          <w:tcPr>
            <w:tcW w:w="3153" w:type="dxa"/>
          </w:tcPr>
          <w:p>
            <w:pPr>
              <w:pStyle w:val="14"/>
              <w:rPr>
                <w:color w:val="auto"/>
                <w:sz w:val="24"/>
                <w:szCs w:val="24"/>
              </w:rPr>
            </w:pPr>
          </w:p>
        </w:tc>
        <w:tc>
          <w:tcPr>
            <w:tcW w:w="1971" w:type="dxa"/>
          </w:tcPr>
          <w:p>
            <w:pPr>
              <w:pStyle w:val="14"/>
              <w:rPr>
                <w:color w:val="auto"/>
                <w:sz w:val="24"/>
                <w:szCs w:val="24"/>
              </w:rPr>
            </w:pPr>
          </w:p>
        </w:tc>
        <w:tc>
          <w:tcPr>
            <w:tcW w:w="1971" w:type="dxa"/>
          </w:tcPr>
          <w:p>
            <w:pPr>
              <w:pStyle w:val="14"/>
              <w:rPr>
                <w:color w:val="auto"/>
                <w:sz w:val="24"/>
                <w:szCs w:val="24"/>
              </w:rPr>
            </w:pPr>
          </w:p>
        </w:tc>
      </w:tr>
    </w:tbl>
    <w:p>
      <w:pPr>
        <w:spacing w:line="360" w:lineRule="exact"/>
        <w:ind w:firstLine="500" w:firstLineChars="200"/>
        <w:rPr>
          <w:rFonts w:ascii="宋体" w:hAnsi="宋体" w:cs="宋体"/>
          <w:color w:val="auto"/>
          <w:spacing w:val="20"/>
          <w:szCs w:val="21"/>
        </w:rPr>
      </w:pPr>
      <w:r>
        <w:rPr>
          <w:rFonts w:hint="eastAsia" w:ascii="宋体" w:hAnsi="宋体" w:cs="宋体"/>
          <w:color w:val="auto"/>
          <w:spacing w:val="20"/>
          <w:szCs w:val="21"/>
        </w:rPr>
        <w:t>注：1、投标人应对照招标文件要求和投标文件响应情况在“偏离情况”栏注明“正偏离”、“负偏离”或“无偏离”。若正偏离的，需详细说明或提供证明材料</w:t>
      </w:r>
      <w:r>
        <w:rPr>
          <w:rFonts w:hint="eastAsia" w:ascii="宋体" w:hAnsi="宋体" w:cs="宋体"/>
          <w:b/>
          <w:bCs/>
          <w:color w:val="auto"/>
          <w:spacing w:val="20"/>
          <w:szCs w:val="21"/>
        </w:rPr>
        <w:t>[</w:t>
      </w:r>
      <w:r>
        <w:rPr>
          <w:rFonts w:hint="eastAsia" w:ascii="宋体" w:hAnsi="宋体" w:cs="宋体"/>
          <w:b/>
          <w:bCs/>
          <w:color w:val="auto"/>
          <w:szCs w:val="21"/>
        </w:rPr>
        <w:t>投标人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r>
        <w:rPr>
          <w:rFonts w:hint="eastAsia"/>
          <w:b/>
          <w:bCs/>
          <w:color w:val="auto"/>
        </w:rPr>
        <w:t>。</w:t>
      </w:r>
    </w:p>
    <w:p>
      <w:pPr>
        <w:snapToGrid w:val="0"/>
        <w:spacing w:before="50" w:after="50"/>
        <w:ind w:firstLine="500" w:firstLineChars="200"/>
        <w:rPr>
          <w:rFonts w:ascii="宋体" w:hAnsi="宋体" w:cs="宋体"/>
          <w:color w:val="auto"/>
          <w:spacing w:val="20"/>
          <w:szCs w:val="21"/>
        </w:rPr>
      </w:pPr>
      <w:r>
        <w:rPr>
          <w:rFonts w:hint="eastAsia" w:ascii="宋体" w:hAnsi="宋体" w:cs="宋体"/>
          <w:color w:val="auto"/>
          <w:spacing w:val="20"/>
          <w:szCs w:val="21"/>
        </w:rPr>
        <w:t>2、“设备材料名称”和“推荐品牌”按第六章技术标准和要求中的相应内容填写。</w:t>
      </w:r>
    </w:p>
    <w:p>
      <w:pPr>
        <w:pStyle w:val="12"/>
        <w:rPr>
          <w:rFonts w:ascii="宋体" w:hAnsi="宋体" w:eastAsia="宋体" w:cs="宋体"/>
          <w:b w:val="0"/>
          <w:bCs w:val="0"/>
          <w:color w:val="auto"/>
          <w:spacing w:val="20"/>
          <w:szCs w:val="24"/>
        </w:rPr>
      </w:pPr>
    </w:p>
    <w:p>
      <w:pPr>
        <w:snapToGrid w:val="0"/>
        <w:spacing w:before="50" w:after="50"/>
        <w:rPr>
          <w:rFonts w:ascii="宋体" w:hAnsi="宋体" w:cs="宋体"/>
          <w:bCs/>
          <w:color w:val="auto"/>
          <w:spacing w:val="20"/>
          <w:sz w:val="24"/>
          <w:szCs w:val="24"/>
        </w:rPr>
      </w:pPr>
    </w:p>
    <w:p>
      <w:pPr>
        <w:pStyle w:val="35"/>
        <w:spacing w:line="440" w:lineRule="exact"/>
        <w:ind w:firstLine="0" w:firstLineChars="0"/>
        <w:rPr>
          <w:rFonts w:ascii="宋体" w:hAnsi="宋体"/>
          <w:color w:val="auto"/>
          <w:sz w:val="24"/>
          <w:szCs w:val="24"/>
        </w:rPr>
      </w:pPr>
      <w:r>
        <w:rPr>
          <w:rFonts w:hint="eastAsia" w:ascii="宋体" w:hAnsi="宋体"/>
          <w:color w:val="auto"/>
          <w:sz w:val="24"/>
          <w:szCs w:val="24"/>
        </w:rPr>
        <w:t>投标人：</w:t>
      </w:r>
      <w:r>
        <w:rPr>
          <w:rFonts w:hint="eastAsia" w:ascii="宋体" w:hAnsi="宋体"/>
          <w:color w:val="auto"/>
          <w:sz w:val="24"/>
          <w:szCs w:val="24"/>
          <w:u w:val="single"/>
        </w:rPr>
        <w:t xml:space="preserve">                      </w:t>
      </w:r>
      <w:r>
        <w:rPr>
          <w:rFonts w:hint="eastAsia" w:ascii="宋体" w:hAnsi="宋体"/>
          <w:color w:val="auto"/>
          <w:sz w:val="24"/>
          <w:szCs w:val="24"/>
        </w:rPr>
        <w:t>（盖单位公章）</w:t>
      </w:r>
    </w:p>
    <w:p>
      <w:pPr>
        <w:spacing w:line="440" w:lineRule="exact"/>
        <w:rPr>
          <w:color w:val="auto"/>
          <w:sz w:val="24"/>
          <w:szCs w:val="24"/>
        </w:rPr>
      </w:pPr>
      <w:r>
        <w:rPr>
          <w:rFonts w:hint="eastAsia" w:ascii="宋体" w:hAnsi="宋体"/>
          <w:color w:val="auto"/>
          <w:sz w:val="24"/>
          <w:szCs w:val="24"/>
        </w:rPr>
        <w:t>法定代表人或其委托代理人：</w:t>
      </w:r>
      <w:r>
        <w:rPr>
          <w:rFonts w:hint="eastAsia" w:ascii="宋体" w:hAnsi="宋体"/>
          <w:color w:val="auto"/>
          <w:sz w:val="24"/>
          <w:szCs w:val="24"/>
          <w:u w:val="single"/>
        </w:rPr>
        <w:t xml:space="preserve">           </w:t>
      </w:r>
      <w:r>
        <w:rPr>
          <w:rFonts w:hint="eastAsia" w:ascii="宋体" w:hAnsi="宋体"/>
          <w:color w:val="auto"/>
          <w:sz w:val="24"/>
          <w:szCs w:val="24"/>
        </w:rPr>
        <w:t xml:space="preserve">（签字或盖章） </w:t>
      </w:r>
    </w:p>
    <w:p>
      <w:pPr>
        <w:spacing w:line="440" w:lineRule="exact"/>
        <w:rPr>
          <w:rFonts w:ascii="宋体" w:hAnsi="宋体"/>
          <w:color w:val="auto"/>
          <w:sz w:val="24"/>
          <w:szCs w:val="24"/>
        </w:rPr>
      </w:pPr>
      <w:r>
        <w:rPr>
          <w:rFonts w:hint="eastAsia" w:ascii="宋体" w:hAnsi="宋体"/>
          <w:color w:val="auto"/>
          <w:sz w:val="24"/>
          <w:szCs w:val="24"/>
        </w:rPr>
        <w:t>日期：    年    月    日</w:t>
      </w:r>
    </w:p>
    <w:p>
      <w:pPr>
        <w:snapToGrid w:val="0"/>
        <w:spacing w:before="50" w:after="50"/>
        <w:rPr>
          <w:rFonts w:ascii="宋体" w:hAnsi="宋体" w:cs="宋体"/>
          <w:bCs/>
          <w:color w:val="auto"/>
          <w:spacing w:val="20"/>
          <w:sz w:val="24"/>
          <w:szCs w:val="24"/>
        </w:rPr>
      </w:pPr>
    </w:p>
    <w:p>
      <w:pPr>
        <w:pStyle w:val="14"/>
        <w:rPr>
          <w:color w:val="auto"/>
        </w:rPr>
        <w:sectPr>
          <w:footerReference r:id="rId8" w:type="default"/>
          <w:footerReference r:id="rId9" w:type="even"/>
          <w:pgSz w:w="11907" w:h="16840"/>
          <w:pgMar w:top="1440" w:right="1134" w:bottom="1440" w:left="1134" w:header="680" w:footer="680" w:gutter="0"/>
          <w:cols w:space="720" w:num="1"/>
          <w:docGrid w:linePitch="271" w:charSpace="0"/>
        </w:sectPr>
      </w:pPr>
    </w:p>
    <w:p>
      <w:pPr>
        <w:snapToGrid w:val="0"/>
        <w:spacing w:before="50" w:after="120" w:afterLines="50"/>
        <w:rPr>
          <w:rFonts w:ascii="宋体" w:hAnsi="宋体"/>
          <w:b/>
          <w:color w:val="auto"/>
          <w:sz w:val="24"/>
          <w:szCs w:val="24"/>
        </w:rPr>
      </w:pPr>
      <w:r>
        <w:rPr>
          <w:rFonts w:ascii="宋体" w:hAnsi="宋体"/>
          <w:b/>
          <w:color w:val="auto"/>
          <w:sz w:val="24"/>
          <w:szCs w:val="24"/>
        </w:rPr>
        <w:t>详细内容由投标单位根据投标人须知第</w:t>
      </w:r>
      <w:r>
        <w:rPr>
          <w:rFonts w:hint="eastAsia" w:ascii="宋体" w:hAnsi="宋体"/>
          <w:b/>
          <w:color w:val="auto"/>
          <w:sz w:val="24"/>
          <w:szCs w:val="24"/>
        </w:rPr>
        <w:t>3.1.2</w:t>
      </w:r>
      <w:r>
        <w:rPr>
          <w:rFonts w:ascii="宋体" w:hAnsi="宋体"/>
          <w:b/>
          <w:color w:val="auto"/>
          <w:sz w:val="24"/>
          <w:szCs w:val="24"/>
        </w:rPr>
        <w:t>技术标部分内容进行编制，格式自拟。</w:t>
      </w:r>
    </w:p>
    <w:p>
      <w:pPr>
        <w:rPr>
          <w:rFonts w:ascii="宋体" w:hAnsi="宋体"/>
          <w:b/>
          <w:color w:val="auto"/>
          <w:sz w:val="24"/>
          <w:szCs w:val="24"/>
        </w:rPr>
      </w:pPr>
    </w:p>
    <w:p>
      <w:pPr>
        <w:rPr>
          <w:color w:val="auto"/>
        </w:rPr>
      </w:pPr>
    </w:p>
    <w:p>
      <w:pPr>
        <w:rPr>
          <w:color w:val="auto"/>
        </w:rPr>
      </w:pPr>
    </w:p>
    <w:p>
      <w:pPr>
        <w:pStyle w:val="35"/>
        <w:ind w:firstLine="340"/>
        <w:rPr>
          <w:color w:val="auto"/>
        </w:rPr>
      </w:pPr>
    </w:p>
    <w:p>
      <w:pPr>
        <w:rPr>
          <w:color w:val="auto"/>
        </w:rPr>
      </w:pPr>
    </w:p>
    <w:p>
      <w:pPr>
        <w:pStyle w:val="35"/>
        <w:ind w:firstLine="340"/>
        <w:rPr>
          <w:color w:val="auto"/>
        </w:rPr>
      </w:pPr>
    </w:p>
    <w:p>
      <w:pPr>
        <w:rPr>
          <w:color w:val="auto"/>
        </w:rPr>
      </w:pPr>
    </w:p>
    <w:p>
      <w:pPr>
        <w:pStyle w:val="35"/>
        <w:ind w:firstLine="340"/>
        <w:rPr>
          <w:color w:val="auto"/>
        </w:rPr>
      </w:pPr>
    </w:p>
    <w:p>
      <w:pPr>
        <w:rPr>
          <w:color w:val="auto"/>
        </w:rPr>
      </w:pPr>
    </w:p>
    <w:p>
      <w:pPr>
        <w:rPr>
          <w:color w:val="auto"/>
        </w:rPr>
      </w:pPr>
    </w:p>
    <w:p>
      <w:pPr>
        <w:adjustRightInd w:val="0"/>
        <w:snapToGrid w:val="0"/>
        <w:spacing w:line="800" w:lineRule="exact"/>
        <w:ind w:right="-420" w:rightChars="-200" w:firstLine="562" w:firstLineChars="200"/>
        <w:jc w:val="left"/>
        <w:rPr>
          <w:rFonts w:hAnsi="宋体"/>
          <w:b/>
          <w:bCs/>
          <w:color w:val="auto"/>
          <w:spacing w:val="-11"/>
          <w:sz w:val="32"/>
          <w:szCs w:val="32"/>
          <w:u w:val="single"/>
        </w:rPr>
      </w:pPr>
      <w:bookmarkStart w:id="450" w:name="_Toc396986705"/>
      <w:r>
        <w:rPr>
          <w:rFonts w:hint="eastAsia" w:ascii="宋体" w:hAnsi="宋体"/>
          <w:b/>
          <w:color w:val="auto"/>
          <w:sz w:val="28"/>
          <w:szCs w:val="28"/>
        </w:rPr>
        <w:br w:type="page"/>
      </w:r>
      <w:bookmarkEnd w:id="450"/>
      <w:r>
        <w:rPr>
          <w:rFonts w:hint="eastAsia" w:ascii="宋体" w:hAnsi="宋体"/>
          <w:b/>
          <w:bCs/>
          <w:color w:val="auto"/>
          <w:spacing w:val="-11"/>
          <w:sz w:val="32"/>
          <w:szCs w:val="32"/>
        </w:rPr>
        <w:t>项目名称：</w:t>
      </w:r>
      <w:r>
        <w:rPr>
          <w:rFonts w:hint="eastAsia" w:hAnsi="宋体"/>
          <w:b/>
          <w:bCs/>
          <w:color w:val="auto"/>
          <w:spacing w:val="-11"/>
          <w:sz w:val="30"/>
          <w:szCs w:val="30"/>
          <w:u w:val="single"/>
        </w:rPr>
        <w:t xml:space="preserve">                                                                                              </w:t>
      </w:r>
    </w:p>
    <w:p>
      <w:pPr>
        <w:adjustRightInd w:val="0"/>
        <w:snapToGrid w:val="0"/>
        <w:spacing w:line="800" w:lineRule="exact"/>
        <w:jc w:val="center"/>
        <w:rPr>
          <w:rFonts w:eastAsia="方正小标宋简体"/>
          <w:bCs/>
          <w:color w:val="auto"/>
          <w:sz w:val="72"/>
          <w:szCs w:val="72"/>
        </w:rPr>
      </w:pPr>
    </w:p>
    <w:p>
      <w:pPr>
        <w:adjustRightInd w:val="0"/>
        <w:snapToGrid w:val="0"/>
        <w:spacing w:line="800" w:lineRule="exact"/>
        <w:jc w:val="center"/>
        <w:rPr>
          <w:rFonts w:eastAsia="方正小标宋简体"/>
          <w:bCs/>
          <w:color w:val="auto"/>
          <w:sz w:val="72"/>
          <w:szCs w:val="72"/>
        </w:rPr>
      </w:pPr>
    </w:p>
    <w:p>
      <w:pPr>
        <w:spacing w:line="1400" w:lineRule="exact"/>
        <w:jc w:val="center"/>
        <w:rPr>
          <w:rFonts w:eastAsia="方正小标宋简体"/>
          <w:bCs/>
          <w:color w:val="auto"/>
          <w:sz w:val="52"/>
          <w:szCs w:val="52"/>
        </w:rPr>
      </w:pPr>
      <w:r>
        <w:rPr>
          <w:rFonts w:hint="eastAsia" w:eastAsia="方正小标宋简体"/>
          <w:bCs/>
          <w:color w:val="auto"/>
          <w:sz w:val="52"/>
          <w:szCs w:val="52"/>
        </w:rPr>
        <w:t>投</w:t>
      </w:r>
    </w:p>
    <w:p>
      <w:pPr>
        <w:spacing w:line="1400" w:lineRule="exact"/>
        <w:jc w:val="center"/>
        <w:rPr>
          <w:rFonts w:eastAsia="方正小标宋简体"/>
          <w:bCs/>
          <w:color w:val="auto"/>
          <w:sz w:val="52"/>
          <w:szCs w:val="52"/>
        </w:rPr>
      </w:pPr>
      <w:r>
        <w:rPr>
          <w:rFonts w:hint="eastAsia" w:eastAsia="方正小标宋简体"/>
          <w:bCs/>
          <w:color w:val="auto"/>
          <w:sz w:val="52"/>
          <w:szCs w:val="52"/>
        </w:rPr>
        <w:t>标</w:t>
      </w:r>
    </w:p>
    <w:p>
      <w:pPr>
        <w:spacing w:line="1400" w:lineRule="exact"/>
        <w:jc w:val="center"/>
        <w:rPr>
          <w:rFonts w:eastAsia="方正小标宋简体"/>
          <w:bCs/>
          <w:color w:val="auto"/>
          <w:sz w:val="52"/>
          <w:szCs w:val="52"/>
        </w:rPr>
      </w:pPr>
      <w:r>
        <w:rPr>
          <w:rFonts w:hint="eastAsia" w:eastAsia="方正小标宋简体"/>
          <w:bCs/>
          <w:color w:val="auto"/>
          <w:sz w:val="52"/>
          <w:szCs w:val="52"/>
        </w:rPr>
        <w:t>文</w:t>
      </w:r>
    </w:p>
    <w:p>
      <w:pPr>
        <w:spacing w:line="1400" w:lineRule="exact"/>
        <w:jc w:val="center"/>
        <w:rPr>
          <w:rFonts w:eastAsia="方正小标宋简体"/>
          <w:bCs/>
          <w:color w:val="auto"/>
          <w:sz w:val="72"/>
          <w:szCs w:val="72"/>
        </w:rPr>
      </w:pPr>
      <w:r>
        <w:rPr>
          <w:rFonts w:hint="eastAsia" w:eastAsia="方正小标宋简体"/>
          <w:bCs/>
          <w:color w:val="auto"/>
          <w:sz w:val="52"/>
          <w:szCs w:val="52"/>
        </w:rPr>
        <w:t>件</w:t>
      </w:r>
    </w:p>
    <w:p>
      <w:pPr>
        <w:adjustRightInd w:val="0"/>
        <w:snapToGrid w:val="0"/>
        <w:spacing w:line="800" w:lineRule="exact"/>
        <w:rPr>
          <w:rFonts w:ascii="宋体" w:hAnsi="宋体"/>
          <w:b/>
          <w:bCs/>
          <w:color w:val="auto"/>
          <w:sz w:val="30"/>
        </w:rPr>
      </w:pPr>
    </w:p>
    <w:p>
      <w:pPr>
        <w:adjustRightInd w:val="0"/>
        <w:snapToGrid w:val="0"/>
        <w:spacing w:line="800" w:lineRule="exact"/>
        <w:rPr>
          <w:rFonts w:ascii="宋体" w:hAnsi="宋体"/>
          <w:b/>
          <w:bCs/>
          <w:color w:val="auto"/>
          <w:sz w:val="30"/>
        </w:rPr>
      </w:pPr>
    </w:p>
    <w:p>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商务标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投标人：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 xml:space="preserve">（盖单位公章）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（签字或盖章）</w:t>
      </w:r>
    </w:p>
    <w:p>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日</w:t>
      </w:r>
      <w:r>
        <w:rPr>
          <w:rFonts w:hint="eastAsia" w:ascii="宋体" w:hAnsi="宋体"/>
          <w:b/>
          <w:bCs/>
          <w:color w:val="auto"/>
          <w:sz w:val="28"/>
          <w:szCs w:val="28"/>
        </w:rPr>
        <w:t xml:space="preserve">  </w:t>
      </w:r>
    </w:p>
    <w:p>
      <w:pPr>
        <w:spacing w:line="400" w:lineRule="exact"/>
        <w:ind w:firstLine="210"/>
        <w:rPr>
          <w:rFonts w:asciiTheme="minorEastAsia" w:hAnsiTheme="minorEastAsia" w:eastAsiaTheme="minorEastAsia" w:cstheme="minorEastAsia"/>
          <w:color w:val="auto"/>
          <w:kern w:val="44"/>
          <w:sz w:val="24"/>
          <w:szCs w:val="24"/>
        </w:rPr>
      </w:pPr>
      <w:r>
        <w:rPr>
          <w:rFonts w:asciiTheme="minorEastAsia" w:hAnsiTheme="minorEastAsia" w:eastAsiaTheme="minorEastAsia" w:cstheme="minorEastAsia"/>
          <w:color w:val="auto"/>
          <w:kern w:val="44"/>
          <w:sz w:val="24"/>
          <w:szCs w:val="24"/>
        </w:rPr>
        <w:br w:type="page"/>
      </w:r>
      <w:bookmarkStart w:id="451" w:name="_Toc372212493"/>
      <w:bookmarkStart w:id="452" w:name="_Toc320271436"/>
      <w:bookmarkStart w:id="453" w:name="_Toc413527443"/>
    </w:p>
    <w:p>
      <w:pPr>
        <w:spacing w:line="420" w:lineRule="exact"/>
        <w:ind w:firstLine="321"/>
        <w:jc w:val="center"/>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投 标 </w:t>
      </w:r>
      <w:bookmarkEnd w:id="451"/>
      <w:bookmarkEnd w:id="452"/>
      <w:r>
        <w:rPr>
          <w:rFonts w:hint="eastAsia" w:asciiTheme="minorEastAsia" w:hAnsiTheme="minorEastAsia" w:eastAsiaTheme="minorEastAsia" w:cstheme="minorEastAsia"/>
          <w:b/>
          <w:bCs/>
          <w:color w:val="auto"/>
          <w:sz w:val="28"/>
          <w:szCs w:val="28"/>
        </w:rPr>
        <w:t>函</w:t>
      </w:r>
      <w:bookmarkEnd w:id="453"/>
    </w:p>
    <w:p>
      <w:pPr>
        <w:spacing w:line="360" w:lineRule="auto"/>
        <w:ind w:firstLine="211"/>
        <w:rPr>
          <w:rFonts w:asciiTheme="minorEastAsia" w:hAnsiTheme="minorEastAsia" w:eastAsiaTheme="minorEastAsia" w:cstheme="minorEastAsia"/>
          <w:b/>
          <w:bCs/>
          <w:color w:val="auto"/>
          <w:sz w:val="24"/>
          <w:szCs w:val="24"/>
        </w:rPr>
      </w:pPr>
    </w:p>
    <w:p>
      <w:pPr>
        <w:spacing w:after="120" w:afterLines="50" w:line="360" w:lineRule="auto"/>
        <w:ind w:firstLine="210"/>
        <w:rPr>
          <w:rFonts w:ascii="宋体" w:hAnsi="宋体" w:cstheme="minorEastAsia"/>
          <w:b/>
          <w:color w:val="auto"/>
          <w:sz w:val="22"/>
          <w:u w:val="single"/>
        </w:rPr>
      </w:pPr>
      <w:r>
        <w:rPr>
          <w:rFonts w:hint="eastAsia" w:ascii="宋体" w:hAnsi="宋体" w:cstheme="minorEastAsia"/>
          <w:b/>
          <w:color w:val="auto"/>
          <w:sz w:val="22"/>
          <w:u w:val="single"/>
        </w:rPr>
        <w:t xml:space="preserve">                    （招标人）：</w:t>
      </w:r>
    </w:p>
    <w:p>
      <w:pPr>
        <w:spacing w:line="360" w:lineRule="auto"/>
        <w:ind w:firstLine="420" w:firstLineChars="200"/>
        <w:jc w:val="left"/>
        <w:rPr>
          <w:rFonts w:ascii="宋体" w:hAnsi="宋体" w:cstheme="minorEastAsia"/>
          <w:color w:val="auto"/>
          <w:szCs w:val="21"/>
        </w:rPr>
      </w:pPr>
      <w:r>
        <w:rPr>
          <w:rFonts w:hint="eastAsia" w:ascii="宋体" w:hAnsi="宋体" w:cstheme="minorEastAsia"/>
          <w:color w:val="auto"/>
          <w:szCs w:val="21"/>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cstheme="minorEastAsia"/>
          <w:bCs/>
          <w:color w:val="auto"/>
          <w:szCs w:val="21"/>
        </w:rPr>
        <w:t>(工程名称)</w:t>
      </w:r>
      <w:r>
        <w:rPr>
          <w:rFonts w:hint="eastAsia" w:ascii="宋体" w:hAnsi="宋体" w:cstheme="minorEastAsia"/>
          <w:color w:val="auto"/>
          <w:szCs w:val="21"/>
        </w:rPr>
        <w:t>全部内容进行投标。最终报价为人民币</w:t>
      </w:r>
      <w:r>
        <w:rPr>
          <w:rFonts w:hint="eastAsia" w:ascii="宋体" w:hAnsi="宋体" w:cstheme="minorEastAsia"/>
          <w:color w:val="auto"/>
          <w:szCs w:val="21"/>
          <w:u w:val="single"/>
        </w:rPr>
        <w:t xml:space="preserve">（大写）      </w:t>
      </w:r>
      <w:r>
        <w:rPr>
          <w:rFonts w:hint="eastAsia" w:ascii="宋体" w:hAnsi="宋体" w:cstheme="minorEastAsia"/>
          <w:color w:val="auto"/>
          <w:szCs w:val="21"/>
        </w:rPr>
        <w:t>，品牌</w:t>
      </w:r>
      <w:r>
        <w:rPr>
          <w:rFonts w:hint="eastAsia" w:ascii="宋体" w:hAnsi="宋体" w:cstheme="minorEastAsia"/>
          <w:color w:val="auto"/>
          <w:szCs w:val="21"/>
          <w:u w:val="single"/>
        </w:rPr>
        <w:t xml:space="preserve">  /  </w:t>
      </w:r>
      <w:r>
        <w:rPr>
          <w:rFonts w:hint="eastAsia" w:ascii="宋体" w:hAnsi="宋体" w:cstheme="minorEastAsia"/>
          <w:color w:val="auto"/>
          <w:szCs w:val="21"/>
        </w:rPr>
        <w:t>，产地</w:t>
      </w:r>
      <w:r>
        <w:rPr>
          <w:rFonts w:hint="eastAsia" w:ascii="宋体" w:hAnsi="宋体" w:cstheme="minorEastAsia"/>
          <w:color w:val="auto"/>
          <w:szCs w:val="21"/>
          <w:u w:val="single"/>
        </w:rPr>
        <w:t xml:space="preserve">  /  </w:t>
      </w:r>
      <w:r>
        <w:rPr>
          <w:rFonts w:hint="eastAsia" w:ascii="宋体" w:hAnsi="宋体" w:cstheme="minorEastAsia"/>
          <w:color w:val="auto"/>
          <w:szCs w:val="21"/>
        </w:rPr>
        <w:t>，交货期（工期）</w:t>
      </w:r>
      <w:r>
        <w:rPr>
          <w:rFonts w:hint="eastAsia" w:ascii="宋体" w:hAnsi="宋体" w:cstheme="minorEastAsia"/>
          <w:color w:val="auto"/>
          <w:szCs w:val="21"/>
          <w:u w:val="single"/>
        </w:rPr>
        <w:t xml:space="preserve">        </w:t>
      </w:r>
      <w:r>
        <w:rPr>
          <w:rFonts w:hint="eastAsia" w:ascii="宋体" w:hAnsi="宋体" w:cstheme="minorEastAsia"/>
          <w:color w:val="auto"/>
          <w:szCs w:val="21"/>
        </w:rPr>
        <w:t>，质量</w:t>
      </w:r>
      <w:r>
        <w:rPr>
          <w:rFonts w:hint="eastAsia" w:ascii="宋体" w:hAnsi="宋体" w:cstheme="minorEastAsia"/>
          <w:color w:val="auto"/>
          <w:szCs w:val="21"/>
          <w:u w:val="single"/>
        </w:rPr>
        <w:t xml:space="preserve">      </w:t>
      </w:r>
      <w:r>
        <w:rPr>
          <w:rFonts w:hint="eastAsia" w:ascii="宋体" w:hAnsi="宋体" w:cstheme="minorEastAsia"/>
          <w:color w:val="auto"/>
          <w:szCs w:val="21"/>
        </w:rPr>
        <w:t>标准。</w:t>
      </w:r>
    </w:p>
    <w:p>
      <w:pPr>
        <w:pStyle w:val="21"/>
        <w:spacing w:line="360" w:lineRule="auto"/>
        <w:ind w:firstLine="420" w:firstLineChars="200"/>
        <w:rPr>
          <w:rFonts w:ascii="宋体" w:hAnsi="宋体" w:eastAsia="宋体" w:cstheme="minorEastAsia"/>
          <w:color w:val="auto"/>
          <w:sz w:val="21"/>
          <w:szCs w:val="21"/>
        </w:rPr>
      </w:pPr>
      <w:r>
        <w:rPr>
          <w:rFonts w:hint="eastAsia" w:ascii="宋体" w:hAnsi="宋体" w:eastAsia="宋体" w:cstheme="minorEastAsia"/>
          <w:color w:val="auto"/>
          <w:sz w:val="21"/>
          <w:szCs w:val="21"/>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theme="minorEastAsia"/>
          <w:color w:val="auto"/>
          <w:sz w:val="21"/>
          <w:szCs w:val="21"/>
          <w:lang w:val="en-US" w:eastAsia="zh-CN"/>
        </w:rPr>
        <w:t>15</w:t>
      </w:r>
      <w:r>
        <w:rPr>
          <w:rFonts w:hint="eastAsia" w:ascii="宋体" w:hAnsi="宋体" w:eastAsia="宋体" w:cstheme="minorEastAsia"/>
          <w:color w:val="auto"/>
          <w:sz w:val="21"/>
          <w:szCs w:val="21"/>
        </w:rPr>
        <w:t>天内递交委托合同价2%的履约保证金，并按中标通知书、招标文件和本投标函的约定与你方签订委托合同，履行规定的一切责任和义务。</w:t>
      </w:r>
    </w:p>
    <w:p>
      <w:pPr>
        <w:spacing w:line="360" w:lineRule="auto"/>
        <w:ind w:firstLine="420" w:firstLineChars="200"/>
        <w:rPr>
          <w:rFonts w:ascii="宋体" w:hAnsi="宋体" w:cstheme="minorEastAsia"/>
          <w:color w:val="auto"/>
          <w:szCs w:val="21"/>
        </w:rPr>
      </w:pPr>
      <w:r>
        <w:rPr>
          <w:rFonts w:hint="eastAsia" w:ascii="宋体" w:hAnsi="宋体" w:cstheme="minorEastAsia"/>
          <w:color w:val="auto"/>
          <w:szCs w:val="21"/>
        </w:rPr>
        <w:t>我们同意从投标之日起在</w:t>
      </w:r>
      <w:r>
        <w:rPr>
          <w:rFonts w:hint="eastAsia" w:ascii="宋体" w:hAnsi="宋体" w:cstheme="minorEastAsia"/>
          <w:color w:val="auto"/>
          <w:szCs w:val="21"/>
          <w:u w:val="single"/>
          <w:lang w:val="en-US" w:eastAsia="zh-CN"/>
        </w:rPr>
        <w:t xml:space="preserve">   </w:t>
      </w:r>
      <w:r>
        <w:rPr>
          <w:rFonts w:hint="eastAsia" w:ascii="宋体" w:hAnsi="宋体" w:cstheme="minorEastAsia"/>
          <w:color w:val="auto"/>
          <w:szCs w:val="21"/>
        </w:rPr>
        <w:t>天的有效期内恪守本招标文件，在此期限期满之前的任何时间，本投标函全部条款内容对我方具有约束力。</w:t>
      </w:r>
    </w:p>
    <w:p>
      <w:pPr>
        <w:spacing w:line="360" w:lineRule="auto"/>
        <w:ind w:firstLine="420" w:firstLineChars="200"/>
        <w:rPr>
          <w:rFonts w:asciiTheme="minorEastAsia" w:hAnsiTheme="minorEastAsia" w:eastAsiaTheme="minorEastAsia" w:cstheme="minorEastAsia"/>
          <w:b/>
          <w:color w:val="auto"/>
          <w:szCs w:val="21"/>
        </w:rPr>
      </w:pPr>
      <w:r>
        <w:rPr>
          <w:rFonts w:hint="eastAsia" w:ascii="宋体" w:hAnsi="宋体" w:cstheme="minorEastAsia"/>
          <w:color w:val="auto"/>
          <w:szCs w:val="21"/>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Cs w:val="21"/>
        </w:rPr>
      </w:pPr>
    </w:p>
    <w:p>
      <w:pPr>
        <w:spacing w:line="360" w:lineRule="auto"/>
        <w:ind w:left="480" w:firstLine="211"/>
        <w:rPr>
          <w:rFonts w:asciiTheme="minorEastAsia" w:hAnsiTheme="minorEastAsia" w:eastAsiaTheme="minorEastAsia" w:cstheme="minorEastAsia"/>
          <w:b/>
          <w:color w:val="auto"/>
          <w:szCs w:val="21"/>
        </w:rPr>
      </w:pPr>
    </w:p>
    <w:p>
      <w:pPr>
        <w:spacing w:line="360" w:lineRule="auto"/>
        <w:ind w:firstLine="210"/>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 xml:space="preserve">    投标单位（盖单位公章）：               法定代表或授权代表（签字或盖章）：</w:t>
      </w:r>
    </w:p>
    <w:p>
      <w:pPr>
        <w:spacing w:line="360" w:lineRule="auto"/>
        <w:ind w:firstLine="21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联系人：                               联系地址：</w:t>
      </w:r>
    </w:p>
    <w:p>
      <w:pPr>
        <w:spacing w:line="360" w:lineRule="auto"/>
        <w:ind w:firstLine="21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电话：                                 邮编：</w:t>
      </w:r>
    </w:p>
    <w:p>
      <w:pPr>
        <w:spacing w:line="360" w:lineRule="auto"/>
        <w:ind w:firstLine="210"/>
        <w:rPr>
          <w:rFonts w:asciiTheme="minorEastAsia" w:hAnsiTheme="minorEastAsia" w:eastAsiaTheme="minorEastAsia" w:cstheme="minorEastAsia"/>
          <w:color w:val="auto"/>
          <w:szCs w:val="21"/>
        </w:rPr>
      </w:pPr>
    </w:p>
    <w:p>
      <w:pPr>
        <w:spacing w:line="360" w:lineRule="auto"/>
        <w:ind w:firstLine="210"/>
        <w:jc w:val="center"/>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 xml:space="preserve">     年   月   日</w:t>
      </w:r>
    </w:p>
    <w:p>
      <w:pPr>
        <w:rPr>
          <w:rFonts w:ascii="宋体" w:hAnsi="宋体" w:cs="宋体"/>
          <w:color w:val="auto"/>
          <w:szCs w:val="21"/>
          <w:u w:val="single"/>
        </w:rPr>
      </w:pPr>
      <w:r>
        <w:rPr>
          <w:rFonts w:hint="eastAsia" w:asciiTheme="minorEastAsia" w:hAnsiTheme="minorEastAsia" w:eastAsiaTheme="minorEastAsia" w:cstheme="minorEastAsia"/>
          <w:color w:val="auto"/>
          <w:sz w:val="24"/>
          <w:szCs w:val="24"/>
        </w:rPr>
        <w:br w:type="page"/>
      </w:r>
      <w:bookmarkStart w:id="454" w:name="_Toc9908"/>
      <w:bookmarkStart w:id="455" w:name="_Toc372212495"/>
      <w:bookmarkStart w:id="456" w:name="_Toc413527444"/>
      <w:bookmarkStart w:id="457" w:name="_Toc320271438"/>
      <w:bookmarkStart w:id="458" w:name="_Toc320271437"/>
      <w:bookmarkStart w:id="459" w:name="_Toc372212494"/>
    </w:p>
    <w:bookmarkEnd w:id="454"/>
    <w:p>
      <w:pPr>
        <w:pStyle w:val="2"/>
        <w:spacing w:before="120" w:after="120" w:line="400" w:lineRule="exact"/>
        <w:ind w:firstLine="280"/>
        <w:rPr>
          <w:rFonts w:asciiTheme="minorEastAsia" w:hAnsiTheme="minorEastAsia" w:eastAsiaTheme="minorEastAsia" w:cstheme="minorEastAsia"/>
          <w:b w:val="0"/>
          <w:bCs w:val="0"/>
          <w:color w:val="auto"/>
          <w:sz w:val="24"/>
          <w:szCs w:val="24"/>
        </w:rPr>
      </w:pPr>
      <w:bookmarkStart w:id="460" w:name="_Toc11551"/>
      <w:r>
        <w:rPr>
          <w:rFonts w:hint="eastAsia" w:asciiTheme="minorEastAsia" w:hAnsiTheme="minorEastAsia" w:eastAsiaTheme="minorEastAsia" w:cstheme="minorEastAsia"/>
          <w:b w:val="0"/>
          <w:bCs w:val="0"/>
          <w:color w:val="auto"/>
          <w:sz w:val="24"/>
          <w:szCs w:val="24"/>
        </w:rPr>
        <w:t>法定代表人身份证明</w:t>
      </w:r>
      <w:bookmarkEnd w:id="455"/>
      <w:bookmarkEnd w:id="456"/>
      <w:bookmarkEnd w:id="457"/>
      <w:bookmarkEnd w:id="460"/>
    </w:p>
    <w:p>
      <w:pPr>
        <w:spacing w:line="360" w:lineRule="auto"/>
        <w:ind w:firstLine="280"/>
        <w:jc w:val="center"/>
        <w:rPr>
          <w:rFonts w:asciiTheme="minorEastAsia" w:hAnsiTheme="minorEastAsia" w:eastAsiaTheme="minorEastAsia" w:cstheme="minorEastAsia"/>
          <w:color w:val="auto"/>
          <w:kern w:val="44"/>
          <w:sz w:val="24"/>
          <w:szCs w:val="24"/>
        </w:rPr>
      </w:pPr>
    </w:p>
    <w:p>
      <w:pPr>
        <w:ind w:firstLine="210"/>
        <w:rPr>
          <w:rFonts w:asciiTheme="minorEastAsia" w:hAnsiTheme="minorEastAsia" w:eastAsiaTheme="minorEastAsia" w:cstheme="minorEastAsia"/>
          <w:color w:val="auto"/>
          <w:sz w:val="24"/>
          <w:szCs w:val="24"/>
        </w:rPr>
      </w:pP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投标人名称：</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单位性质：</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地址：</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成立时间：   年   月   日</w:t>
      </w: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经营期限：</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姓名：          性别：       年龄：         职务：</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系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（投标人名称）的法定代表人。</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特此证明。</w:t>
      </w:r>
    </w:p>
    <w:p>
      <w:pPr>
        <w:spacing w:line="480" w:lineRule="auto"/>
        <w:ind w:firstLine="480" w:firstLineChars="200"/>
        <w:rPr>
          <w:rFonts w:asciiTheme="minorEastAsia" w:hAnsiTheme="minorEastAsia" w:eastAsiaTheme="minorEastAsia" w:cstheme="minorEastAsia"/>
          <w:color w:val="auto"/>
          <w:sz w:val="24"/>
          <w:szCs w:val="24"/>
        </w:rPr>
      </w:pPr>
    </w:p>
    <w:p>
      <w:pPr>
        <w:spacing w:line="480" w:lineRule="auto"/>
        <w:ind w:firstLine="480" w:firstLineChars="200"/>
        <w:rPr>
          <w:rFonts w:asciiTheme="minorEastAsia" w:hAnsiTheme="minorEastAsia" w:eastAsiaTheme="minorEastAsia" w:cstheme="minorEastAsia"/>
          <w:color w:val="auto"/>
          <w:sz w:val="24"/>
          <w:szCs w:val="24"/>
        </w:rPr>
      </w:pP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（盖单位公章）</w:t>
      </w:r>
    </w:p>
    <w:p>
      <w:pPr>
        <w:spacing w:line="480" w:lineRule="auto"/>
        <w:ind w:firstLine="4080" w:firstLineChars="17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年   月  日         </w:t>
      </w:r>
    </w:p>
    <w:p>
      <w:pPr>
        <w:ind w:firstLine="210"/>
        <w:rPr>
          <w:rFonts w:asciiTheme="minorEastAsia" w:hAnsiTheme="minorEastAsia" w:eastAsiaTheme="minorEastAsia" w:cstheme="minorEastAsia"/>
          <w:color w:val="auto"/>
          <w:sz w:val="24"/>
          <w:szCs w:val="24"/>
        </w:rPr>
      </w:pPr>
    </w:p>
    <w:tbl>
      <w:tblPr>
        <w:tblStyle w:val="37"/>
        <w:tblW w:w="8079" w:type="dxa"/>
        <w:tblInd w:w="534" w:type="dxa"/>
        <w:tblLayout w:type="fixed"/>
        <w:tblCellMar>
          <w:top w:w="0" w:type="dxa"/>
          <w:left w:w="108" w:type="dxa"/>
          <w:bottom w:w="0" w:type="dxa"/>
          <w:right w:w="108" w:type="dxa"/>
        </w:tblCellMar>
      </w:tblPr>
      <w:tblGrid>
        <w:gridCol w:w="8079"/>
      </w:tblGrid>
      <w:tr>
        <w:tblPrEx>
          <w:tblCellMar>
            <w:top w:w="0" w:type="dxa"/>
            <w:left w:w="108" w:type="dxa"/>
            <w:bottom w:w="0" w:type="dxa"/>
            <w:right w:w="108" w:type="dxa"/>
          </w:tblCellMar>
        </w:tblPrEx>
        <w:trPr>
          <w:trHeight w:val="3437" w:hRule="atLeast"/>
        </w:trPr>
        <w:tc>
          <w:tcPr>
            <w:tcW w:w="8079"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firstLine="21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tc>
      </w:tr>
    </w:tbl>
    <w:p>
      <w:pPr>
        <w:pStyle w:val="2"/>
        <w:spacing w:before="120" w:after="120" w:line="400" w:lineRule="exact"/>
        <w:ind w:firstLine="321"/>
        <w:jc w:val="left"/>
        <w:rPr>
          <w:rFonts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color w:val="auto"/>
          <w:sz w:val="24"/>
          <w:szCs w:val="24"/>
        </w:rPr>
        <w:br w:type="page"/>
      </w:r>
      <w:bookmarkStart w:id="461" w:name="_Toc144974861"/>
      <w:bookmarkStart w:id="462" w:name="_Toc234515648"/>
      <w:bookmarkStart w:id="463" w:name="_Toc413527446"/>
      <w:bookmarkStart w:id="464" w:name="_Toc152042581"/>
      <w:bookmarkStart w:id="465" w:name="_Toc152045792"/>
      <w:bookmarkStart w:id="466" w:name="_Toc229646792"/>
      <w:bookmarkStart w:id="467" w:name="_Toc413527445"/>
    </w:p>
    <w:p>
      <w:pPr>
        <w:pStyle w:val="2"/>
        <w:spacing w:before="120" w:after="120" w:line="400" w:lineRule="exact"/>
        <w:ind w:firstLine="280"/>
        <w:rPr>
          <w:rFonts w:asciiTheme="minorEastAsia" w:hAnsiTheme="minorEastAsia" w:eastAsiaTheme="minorEastAsia" w:cstheme="minorEastAsia"/>
          <w:b w:val="0"/>
          <w:bCs w:val="0"/>
          <w:color w:val="auto"/>
          <w:sz w:val="24"/>
          <w:szCs w:val="24"/>
        </w:rPr>
      </w:pPr>
      <w:bookmarkStart w:id="468" w:name="_Toc16693"/>
      <w:r>
        <w:rPr>
          <w:rFonts w:hint="eastAsia" w:asciiTheme="minorEastAsia" w:hAnsiTheme="minorEastAsia" w:eastAsiaTheme="minorEastAsia" w:cstheme="minorEastAsia"/>
          <w:b w:val="0"/>
          <w:bCs w:val="0"/>
          <w:color w:val="auto"/>
          <w:sz w:val="24"/>
          <w:szCs w:val="24"/>
        </w:rPr>
        <w:t>授权委托书</w:t>
      </w:r>
      <w:bookmarkEnd w:id="458"/>
      <w:bookmarkEnd w:id="459"/>
      <w:bookmarkEnd w:id="461"/>
      <w:bookmarkEnd w:id="462"/>
      <w:bookmarkEnd w:id="463"/>
      <w:bookmarkEnd w:id="464"/>
      <w:bookmarkEnd w:id="465"/>
      <w:bookmarkEnd w:id="466"/>
      <w:bookmarkEnd w:id="467"/>
      <w:bookmarkEnd w:id="468"/>
    </w:p>
    <w:p>
      <w:pPr>
        <w:spacing w:line="420" w:lineRule="exact"/>
        <w:ind w:firstLine="280"/>
        <w:rPr>
          <w:rFonts w:asciiTheme="minorEastAsia" w:hAnsiTheme="minorEastAsia" w:eastAsiaTheme="minorEastAsia" w:cstheme="minorEastAsia"/>
          <w:color w:val="auto"/>
          <w:kern w:val="44"/>
          <w:sz w:val="24"/>
          <w:szCs w:val="24"/>
        </w:rPr>
      </w:pPr>
    </w:p>
    <w:p>
      <w:pPr>
        <w:topLinePunct/>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（姓名）系</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（投标人名称）的法定代表人，现委托</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（姓名）为我方代理人。代理人根据授权，以我方名义签署、澄清、说明、补正、递交、撤回、修改</w:t>
      </w:r>
      <w:r>
        <w:rPr>
          <w:rFonts w:hint="eastAsia" w:asciiTheme="minorEastAsia" w:hAnsiTheme="minorEastAsia" w:eastAsiaTheme="minorEastAsia" w:cstheme="minorEastAsia"/>
          <w:color w:val="auto"/>
          <w:szCs w:val="21"/>
          <w:u w:val="single"/>
          <w:lang w:val="en-US" w:eastAsia="zh-CN"/>
        </w:rPr>
        <w:t xml:space="preserve">        </w:t>
      </w:r>
      <w:r>
        <w:rPr>
          <w:rFonts w:hint="eastAsia" w:asciiTheme="minorEastAsia" w:hAnsiTheme="minorEastAsia" w:eastAsiaTheme="minorEastAsia" w:cstheme="minorEastAsia"/>
          <w:color w:val="auto"/>
          <w:szCs w:val="21"/>
        </w:rPr>
        <w:t>（项目名称）的投标文件、签订合同和处理有关事宜，其法律后果由我方承担。</w:t>
      </w: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委托期限：</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w:t>
      </w: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代理人无转委托权。</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附：法定代表人身份证明</w:t>
      </w:r>
    </w:p>
    <w:p>
      <w:pPr>
        <w:spacing w:line="360" w:lineRule="auto"/>
        <w:ind w:firstLine="200"/>
        <w:rPr>
          <w:rFonts w:asciiTheme="minorEastAsia" w:hAnsiTheme="minorEastAsia" w:eastAsiaTheme="minorEastAsia" w:cstheme="minorEastAsia"/>
          <w:color w:val="auto"/>
          <w:szCs w:val="21"/>
        </w:rPr>
      </w:pPr>
    </w:p>
    <w:p>
      <w:pPr>
        <w:spacing w:line="360" w:lineRule="auto"/>
        <w:ind w:firstLine="200"/>
        <w:rPr>
          <w:rFonts w:asciiTheme="minorEastAsia" w:hAnsiTheme="minorEastAsia" w:eastAsiaTheme="minorEastAsia" w:cstheme="minorEastAsia"/>
          <w:color w:val="auto"/>
          <w:szCs w:val="21"/>
        </w:rPr>
      </w:pP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法定代表人：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（签字或盖章）</w:t>
      </w:r>
    </w:p>
    <w:p>
      <w:pPr>
        <w:spacing w:line="360" w:lineRule="auto"/>
        <w:ind w:firstLine="200"/>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身份证号码：</w:t>
      </w:r>
      <w:r>
        <w:rPr>
          <w:rFonts w:hint="eastAsia" w:asciiTheme="minorEastAsia" w:hAnsiTheme="minorEastAsia" w:eastAsiaTheme="minorEastAsia" w:cstheme="minorEastAsia"/>
          <w:color w:val="auto"/>
          <w:szCs w:val="21"/>
          <w:u w:val="single"/>
        </w:rPr>
        <w:t xml:space="preserve">                     </w:t>
      </w: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委托代理人：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（签字或盖章） </w:t>
      </w:r>
    </w:p>
    <w:p>
      <w:pPr>
        <w:spacing w:line="360" w:lineRule="auto"/>
        <w:ind w:firstLine="200"/>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身份证号码：</w:t>
      </w:r>
      <w:r>
        <w:rPr>
          <w:rFonts w:hint="eastAsia" w:asciiTheme="minorEastAsia" w:hAnsiTheme="minorEastAsia" w:eastAsiaTheme="minorEastAsia" w:cstheme="minorEastAsia"/>
          <w:color w:val="auto"/>
          <w:szCs w:val="21"/>
          <w:u w:val="single"/>
        </w:rPr>
        <w:t xml:space="preserve">                     </w:t>
      </w:r>
    </w:p>
    <w:p>
      <w:pPr>
        <w:spacing w:line="480" w:lineRule="auto"/>
        <w:ind w:firstLine="200"/>
        <w:rPr>
          <w:rFonts w:asciiTheme="minorEastAsia" w:hAnsiTheme="minorEastAsia" w:eastAsiaTheme="minorEastAsia" w:cstheme="minorEastAsia"/>
          <w:color w:val="auto"/>
          <w:szCs w:val="21"/>
        </w:rPr>
      </w:pPr>
    </w:p>
    <w:p>
      <w:pPr>
        <w:spacing w:line="480" w:lineRule="auto"/>
        <w:ind w:firstLine="2310" w:firstLineChars="11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p>
      <w:pPr>
        <w:spacing w:line="480" w:lineRule="auto"/>
        <w:ind w:firstLine="6360" w:firstLineChars="265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pPr>
    </w:p>
    <w:tbl>
      <w:tblPr>
        <w:tblStyle w:val="37"/>
        <w:tblW w:w="8363" w:type="dxa"/>
        <w:tblInd w:w="392" w:type="dxa"/>
        <w:tblLayout w:type="fixed"/>
        <w:tblCellMar>
          <w:top w:w="0" w:type="dxa"/>
          <w:left w:w="108" w:type="dxa"/>
          <w:bottom w:w="0" w:type="dxa"/>
          <w:right w:w="108" w:type="dxa"/>
        </w:tblCellMar>
      </w:tblPr>
      <w:tblGrid>
        <w:gridCol w:w="8363"/>
      </w:tblGrid>
      <w:tr>
        <w:tblPrEx>
          <w:tblCellMar>
            <w:top w:w="0" w:type="dxa"/>
            <w:left w:w="108" w:type="dxa"/>
            <w:bottom w:w="0" w:type="dxa"/>
            <w:right w:w="108" w:type="dxa"/>
          </w:tblCellMar>
        </w:tblPrEx>
        <w:trPr>
          <w:trHeight w:val="3110" w:hRule="atLeast"/>
        </w:trPr>
        <w:tc>
          <w:tcPr>
            <w:tcW w:w="8363" w:type="dxa"/>
            <w:tcBorders>
              <w:top w:val="single" w:color="auto" w:sz="4" w:space="0"/>
              <w:left w:val="single" w:color="auto" w:sz="4" w:space="0"/>
              <w:bottom w:val="single" w:color="auto" w:sz="4" w:space="0"/>
              <w:right w:val="single" w:color="auto" w:sz="4" w:space="0"/>
            </w:tcBorders>
          </w:tcPr>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firstLine="2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委托代理人身份证复印件</w:t>
            </w: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tc>
      </w:tr>
    </w:tbl>
    <w:p>
      <w:pPr>
        <w:jc w:val="left"/>
        <w:rPr>
          <w:rFonts w:asciiTheme="minorEastAsia" w:hAnsiTheme="minorEastAsia" w:eastAsiaTheme="minorEastAsia" w:cstheme="minorEastAsia"/>
          <w:b/>
          <w:color w:val="auto"/>
          <w:sz w:val="24"/>
          <w:szCs w:val="24"/>
        </w:rPr>
      </w:pPr>
    </w:p>
    <w:p>
      <w:pPr>
        <w:spacing w:line="360" w:lineRule="auto"/>
        <w:ind w:firstLine="211"/>
        <w:jc w:val="left"/>
        <w:rPr>
          <w:rFonts w:asciiTheme="minorEastAsia" w:hAnsiTheme="minorEastAsia" w:eastAsiaTheme="minorEastAsia" w:cstheme="minorEastAsia"/>
          <w:b/>
          <w:color w:val="auto"/>
          <w:sz w:val="24"/>
          <w:szCs w:val="24"/>
        </w:rPr>
      </w:pPr>
    </w:p>
    <w:p>
      <w:pPr>
        <w:spacing w:line="360" w:lineRule="exact"/>
        <w:ind w:firstLine="422" w:firstLineChars="200"/>
        <w:rPr>
          <w:rFonts w:ascii="宋体" w:hAnsi="宋体"/>
          <w:color w:val="auto"/>
          <w:szCs w:val="21"/>
        </w:rPr>
      </w:pPr>
      <w:r>
        <w:rPr>
          <w:rFonts w:ascii="宋体" w:hAnsi="宋体"/>
          <w:b/>
          <w:bCs/>
          <w:color w:val="auto"/>
          <w:szCs w:val="28"/>
        </w:rPr>
        <w:br w:type="page"/>
      </w:r>
    </w:p>
    <w:p>
      <w:pPr>
        <w:pStyle w:val="2"/>
        <w:rPr>
          <w:color w:val="auto"/>
        </w:rPr>
        <w:sectPr>
          <w:pgSz w:w="11907" w:h="16840"/>
          <w:pgMar w:top="1440" w:right="1134" w:bottom="1440" w:left="1134" w:header="680" w:footer="680" w:gutter="0"/>
          <w:cols w:space="720" w:num="1"/>
          <w:docGrid w:linePitch="271" w:charSpace="0"/>
        </w:sectPr>
      </w:pPr>
    </w:p>
    <w:p>
      <w:pPr>
        <w:ind w:firstLine="4816" w:firstLineChars="1500"/>
        <w:rPr>
          <w:rFonts w:asciiTheme="minorEastAsia" w:hAnsiTheme="minorEastAsia" w:eastAsiaTheme="minorEastAsia" w:cstheme="minorEastAsia"/>
          <w:b/>
          <w:color w:val="auto"/>
          <w:spacing w:val="20"/>
          <w:sz w:val="28"/>
          <w:szCs w:val="28"/>
        </w:rPr>
      </w:pPr>
      <w:r>
        <w:rPr>
          <w:rFonts w:hint="eastAsia" w:asciiTheme="minorEastAsia" w:hAnsiTheme="minorEastAsia" w:eastAsiaTheme="minorEastAsia" w:cstheme="minorEastAsia"/>
          <w:b/>
          <w:color w:val="auto"/>
          <w:spacing w:val="20"/>
          <w:sz w:val="28"/>
          <w:szCs w:val="28"/>
          <w:u w:val="single"/>
        </w:rPr>
        <w:t xml:space="preserve">                  </w:t>
      </w:r>
      <w:r>
        <w:rPr>
          <w:rFonts w:hint="eastAsia" w:asciiTheme="minorEastAsia" w:hAnsiTheme="minorEastAsia" w:eastAsiaTheme="minorEastAsia" w:cstheme="minorEastAsia"/>
          <w:b/>
          <w:color w:val="auto"/>
          <w:spacing w:val="20"/>
          <w:sz w:val="28"/>
          <w:szCs w:val="28"/>
        </w:rPr>
        <w:t>投 标 报 价 表</w:t>
      </w:r>
    </w:p>
    <w:p>
      <w:pPr>
        <w:pStyle w:val="13"/>
        <w:rPr>
          <w:color w:val="auto"/>
        </w:rPr>
      </w:pPr>
    </w:p>
    <w:p>
      <w:pPr>
        <w:tabs>
          <w:tab w:val="left" w:pos="1800"/>
        </w:tabs>
        <w:ind w:firstLine="2880" w:firstLineChars="1200"/>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tbl>
      <w:tblPr>
        <w:tblStyle w:val="3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696"/>
        <w:gridCol w:w="1100"/>
        <w:gridCol w:w="882"/>
        <w:gridCol w:w="891"/>
        <w:gridCol w:w="1169"/>
        <w:gridCol w:w="1257"/>
        <w:gridCol w:w="1597"/>
        <w:gridCol w:w="1470"/>
        <w:gridCol w:w="983"/>
        <w:gridCol w:w="1428"/>
        <w:gridCol w:w="767"/>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575"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37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30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396"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426"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w:t>
            </w:r>
          </w:p>
        </w:tc>
        <w:tc>
          <w:tcPr>
            <w:tcW w:w="541"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w:t>
            </w:r>
          </w:p>
        </w:tc>
        <w:tc>
          <w:tcPr>
            <w:tcW w:w="498"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w:t>
            </w:r>
          </w:p>
        </w:tc>
        <w:tc>
          <w:tcPr>
            <w:tcW w:w="333"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w:t>
            </w:r>
          </w:p>
        </w:tc>
        <w:tc>
          <w:tcPr>
            <w:tcW w:w="48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w:t>
            </w:r>
          </w:p>
        </w:tc>
        <w:tc>
          <w:tcPr>
            <w:tcW w:w="258"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w:t>
            </w:r>
          </w:p>
        </w:tc>
        <w:tc>
          <w:tcPr>
            <w:tcW w:w="358"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项号</w:t>
            </w:r>
          </w:p>
        </w:tc>
        <w:tc>
          <w:tcPr>
            <w:tcW w:w="575"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货物名称</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型号规格</w:t>
            </w:r>
          </w:p>
        </w:tc>
        <w:tc>
          <w:tcPr>
            <w:tcW w:w="37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产地</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(品牌)</w:t>
            </w: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单位</w:t>
            </w:r>
          </w:p>
        </w:tc>
        <w:tc>
          <w:tcPr>
            <w:tcW w:w="30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数量</w:t>
            </w:r>
          </w:p>
        </w:tc>
        <w:tc>
          <w:tcPr>
            <w:tcW w:w="396" w:type="pct"/>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出厂单价</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426" w:type="pct"/>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运杂、及保险费</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541"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特殊工具费</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备品备件费(含税)</w:t>
            </w:r>
          </w:p>
        </w:tc>
        <w:tc>
          <w:tcPr>
            <w:tcW w:w="498"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相关服务费</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333"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其他</w:t>
            </w:r>
          </w:p>
          <w:p>
            <w:pPr>
              <w:widowControl/>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482"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综合单价</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(含税) </w:t>
            </w:r>
          </w:p>
        </w:tc>
        <w:tc>
          <w:tcPr>
            <w:tcW w:w="258"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总价</w:t>
            </w:r>
          </w:p>
        </w:tc>
        <w:tc>
          <w:tcPr>
            <w:tcW w:w="358"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5" w:type="pct"/>
            <w:vAlign w:val="center"/>
          </w:tcPr>
          <w:p>
            <w:pPr>
              <w:tabs>
                <w:tab w:val="left" w:pos="1800"/>
              </w:tabs>
              <w:rPr>
                <w:rFonts w:hint="eastAsia"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rPr>
              <w:t>一、</w:t>
            </w:r>
            <w:r>
              <w:rPr>
                <w:rFonts w:hint="eastAsia" w:hAnsi="宋体" w:cs="宋体" w:eastAsiaTheme="minorEastAsia"/>
                <w:b/>
                <w:bCs/>
                <w:color w:val="auto"/>
                <w:szCs w:val="21"/>
                <w:lang w:eastAsia="zh-CN"/>
              </w:rPr>
              <w:t>货物清单</w:t>
            </w:r>
          </w:p>
        </w:tc>
        <w:tc>
          <w:tcPr>
            <w:tcW w:w="37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2"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6"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widowControl/>
              <w:jc w:val="left"/>
              <w:rPr>
                <w:rFonts w:asciiTheme="minorEastAsia" w:hAnsiTheme="minorEastAsia" w:eastAsiaTheme="minorEastAsia" w:cstheme="minorEastAsia"/>
                <w:color w:val="auto"/>
                <w:sz w:val="24"/>
                <w:szCs w:val="24"/>
              </w:rPr>
            </w:pPr>
          </w:p>
        </w:tc>
        <w:tc>
          <w:tcPr>
            <w:tcW w:w="48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8"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5" w:type="pct"/>
            <w:vAlign w:val="center"/>
          </w:tcPr>
          <w:p>
            <w:pPr>
              <w:tabs>
                <w:tab w:val="left" w:pos="1800"/>
              </w:tabs>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以下按清单内容填写</w:t>
            </w:r>
          </w:p>
        </w:tc>
        <w:tc>
          <w:tcPr>
            <w:tcW w:w="37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2"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6"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8"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5" w:type="pct"/>
            <w:vAlign w:val="center"/>
          </w:tcPr>
          <w:p>
            <w:pPr>
              <w:tabs>
                <w:tab w:val="left" w:pos="1800"/>
              </w:tabs>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37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2"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6"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8"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5" w:type="pct"/>
            <w:vAlign w:val="center"/>
          </w:tcPr>
          <w:p>
            <w:pPr>
              <w:tabs>
                <w:tab w:val="left" w:pos="1800"/>
              </w:tabs>
              <w:rPr>
                <w:rFonts w:asciiTheme="minorEastAsia" w:hAnsiTheme="minorEastAsia" w:eastAsiaTheme="minorEastAsia" w:cstheme="minorEastAsia"/>
                <w:color w:val="auto"/>
                <w:szCs w:val="21"/>
              </w:rPr>
            </w:pPr>
            <w:r>
              <w:rPr>
                <w:rFonts w:hAnsi="宋体" w:cs="宋体"/>
                <w:b/>
                <w:bCs/>
                <w:color w:val="auto"/>
                <w:szCs w:val="21"/>
              </w:rPr>
              <w:t>二、其他清单</w:t>
            </w:r>
          </w:p>
        </w:tc>
        <w:tc>
          <w:tcPr>
            <w:tcW w:w="37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2"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6"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8"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5" w:type="pct"/>
            <w:vAlign w:val="center"/>
          </w:tcPr>
          <w:p>
            <w:pPr>
              <w:tabs>
                <w:tab w:val="left" w:pos="1800"/>
              </w:tabs>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以下内容由投标单位自行填写</w:t>
            </w:r>
          </w:p>
        </w:tc>
        <w:tc>
          <w:tcPr>
            <w:tcW w:w="37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2"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6"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8"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5" w:type="pct"/>
            <w:vAlign w:val="center"/>
          </w:tcPr>
          <w:p>
            <w:pPr>
              <w:tabs>
                <w:tab w:val="left" w:pos="1800"/>
              </w:tabs>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37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99"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2"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6"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2"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8"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Cs w:val="21"/>
                <w:highlight w:val="gree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5" w:type="pct"/>
            <w:vAlign w:val="center"/>
          </w:tcPr>
          <w:p>
            <w:pPr>
              <w:tabs>
                <w:tab w:val="left" w:pos="1800"/>
              </w:tabs>
              <w:rPr>
                <w:rFonts w:asciiTheme="minorEastAsia" w:hAnsiTheme="minorEastAsia" w:cstheme="minorEastAsia"/>
                <w:color w:val="auto"/>
                <w:szCs w:val="21"/>
              </w:rPr>
            </w:pPr>
            <w:r>
              <w:rPr>
                <w:rFonts w:hint="eastAsia" w:ascii="宋体" w:hAnsi="宋体" w:cs="宋体"/>
                <w:bCs/>
                <w:color w:val="auto"/>
                <w:szCs w:val="21"/>
              </w:rPr>
              <w:t>穿越所有楼地面、墙面的管线所用金属套管费用</w:t>
            </w:r>
          </w:p>
        </w:tc>
        <w:tc>
          <w:tcPr>
            <w:tcW w:w="3652" w:type="pct"/>
            <w:gridSpan w:val="9"/>
            <w:vAlign w:val="center"/>
          </w:tcPr>
          <w:p>
            <w:pPr>
              <w:tabs>
                <w:tab w:val="left" w:pos="1800"/>
              </w:tabs>
              <w:jc w:val="left"/>
              <w:rPr>
                <w:rFonts w:asciiTheme="minorEastAsia" w:hAnsiTheme="minorEastAsia" w:eastAsiaTheme="minorEastAsia" w:cstheme="minorEastAsia"/>
                <w:color w:val="auto"/>
                <w:sz w:val="24"/>
                <w:szCs w:val="24"/>
              </w:rPr>
            </w:pPr>
          </w:p>
        </w:tc>
        <w:tc>
          <w:tcPr>
            <w:tcW w:w="258"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5" w:type="pct"/>
            <w:vAlign w:val="center"/>
          </w:tcPr>
          <w:p>
            <w:pPr>
              <w:tabs>
                <w:tab w:val="left" w:pos="1800"/>
              </w:tabs>
              <w:rPr>
                <w:rFonts w:asciiTheme="minorEastAsia" w:hAnsiTheme="minorEastAsia" w:eastAsiaTheme="minorEastAsia" w:cstheme="minorEastAsia"/>
                <w:b/>
                <w:color w:val="auto"/>
                <w:szCs w:val="21"/>
              </w:rPr>
            </w:pPr>
            <w:r>
              <w:rPr>
                <w:rStyle w:val="50"/>
                <w:rFonts w:hint="eastAsia" w:ascii="宋体" w:hAnsi="宋体" w:cs="宋体"/>
                <w:color w:val="auto"/>
              </w:rPr>
              <w:t>2年质保期内驻场人员费用</w:t>
            </w:r>
          </w:p>
        </w:tc>
        <w:tc>
          <w:tcPr>
            <w:tcW w:w="3652" w:type="pct"/>
            <w:gridSpan w:val="9"/>
            <w:vAlign w:val="center"/>
          </w:tcPr>
          <w:p>
            <w:pPr>
              <w:tabs>
                <w:tab w:val="left" w:pos="1800"/>
              </w:tabs>
              <w:jc w:val="left"/>
              <w:rPr>
                <w:rFonts w:asciiTheme="minorEastAsia" w:hAnsiTheme="minorEastAsia" w:eastAsiaTheme="minorEastAsia" w:cstheme="minorEastAsia"/>
                <w:color w:val="auto"/>
                <w:sz w:val="24"/>
                <w:szCs w:val="24"/>
              </w:rPr>
            </w:pPr>
          </w:p>
        </w:tc>
        <w:tc>
          <w:tcPr>
            <w:tcW w:w="258"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5" w:type="pct"/>
            <w:vAlign w:val="center"/>
          </w:tcPr>
          <w:p>
            <w:pPr>
              <w:tabs>
                <w:tab w:val="left" w:pos="1800"/>
              </w:tabs>
              <w:rPr>
                <w:rFonts w:asciiTheme="minorEastAsia" w:hAnsiTheme="minorEastAsia" w:eastAsiaTheme="minorEastAsia" w:cstheme="minorEastAsia"/>
                <w:b/>
                <w:color w:val="auto"/>
                <w:szCs w:val="21"/>
              </w:rPr>
            </w:pPr>
            <w:r>
              <w:rPr>
                <w:rStyle w:val="50"/>
                <w:rFonts w:hint="eastAsia" w:ascii="宋体" w:hAnsi="宋体" w:cs="宋体"/>
                <w:color w:val="auto"/>
              </w:rPr>
              <w:t>质保优惠期内驻场人员费用</w:t>
            </w:r>
          </w:p>
        </w:tc>
        <w:tc>
          <w:tcPr>
            <w:tcW w:w="3652" w:type="pct"/>
            <w:gridSpan w:val="9"/>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优惠期</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人</w:t>
            </w:r>
          </w:p>
        </w:tc>
        <w:tc>
          <w:tcPr>
            <w:tcW w:w="258"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5" w:type="pct"/>
            <w:vAlign w:val="center"/>
          </w:tcPr>
          <w:p>
            <w:pPr>
              <w:tabs>
                <w:tab w:val="left" w:pos="1800"/>
              </w:tabs>
              <w:jc w:val="center"/>
              <w:rPr>
                <w:rFonts w:asciiTheme="minorEastAsia" w:hAnsiTheme="minorEastAsia" w:eastAsiaTheme="minorEastAsia" w:cstheme="minorEastAsia"/>
                <w:b/>
                <w:color w:val="auto"/>
                <w:szCs w:val="21"/>
              </w:rPr>
            </w:pPr>
            <w:r>
              <w:rPr>
                <w:rFonts w:asciiTheme="minorEastAsia" w:hAnsiTheme="minorEastAsia" w:eastAsiaTheme="minorEastAsia" w:cstheme="minorEastAsia"/>
                <w:b/>
                <w:color w:val="auto"/>
                <w:szCs w:val="21"/>
              </w:rPr>
              <w:t>（</w:t>
            </w:r>
            <w:r>
              <w:rPr>
                <w:rFonts w:hint="eastAsia" w:asciiTheme="minorEastAsia" w:hAnsiTheme="minorEastAsia" w:eastAsiaTheme="minorEastAsia" w:cstheme="minorEastAsia"/>
                <w:b/>
                <w:color w:val="auto"/>
                <w:szCs w:val="21"/>
              </w:rPr>
              <w:t>1</w:t>
            </w:r>
            <w:r>
              <w:rPr>
                <w:rFonts w:asciiTheme="minorEastAsia" w:hAnsiTheme="minorEastAsia" w:eastAsiaTheme="minorEastAsia" w:cstheme="minorEastAsia"/>
                <w:b/>
                <w:color w:val="auto"/>
                <w:szCs w:val="21"/>
              </w:rPr>
              <w:t>）小</w:t>
            </w:r>
            <w:r>
              <w:rPr>
                <w:rFonts w:hint="eastAsia" w:asciiTheme="minorEastAsia" w:hAnsiTheme="minorEastAsia" w:eastAsiaTheme="minorEastAsia" w:cstheme="minorEastAsia"/>
                <w:b/>
                <w:color w:val="auto"/>
                <w:szCs w:val="21"/>
              </w:rPr>
              <w:t xml:space="preserve">  </w:t>
            </w:r>
            <w:r>
              <w:rPr>
                <w:rFonts w:asciiTheme="minorEastAsia" w:hAnsiTheme="minorEastAsia" w:eastAsiaTheme="minorEastAsia" w:cstheme="minorEastAsia"/>
                <w:b/>
                <w:color w:val="auto"/>
                <w:szCs w:val="21"/>
              </w:rPr>
              <w:t>计</w:t>
            </w:r>
          </w:p>
        </w:tc>
        <w:tc>
          <w:tcPr>
            <w:tcW w:w="3652" w:type="pct"/>
            <w:gridSpan w:val="9"/>
            <w:vAlign w:val="center"/>
          </w:tcPr>
          <w:p>
            <w:pPr>
              <w:tabs>
                <w:tab w:val="left" w:pos="1800"/>
              </w:tabs>
              <w:jc w:val="left"/>
              <w:rPr>
                <w:rFonts w:asciiTheme="minorEastAsia" w:hAnsiTheme="minorEastAsia" w:eastAsiaTheme="minorEastAsia" w:cstheme="minorEastAsia"/>
                <w:color w:val="auto"/>
                <w:sz w:val="24"/>
                <w:szCs w:val="24"/>
              </w:rPr>
            </w:pPr>
          </w:p>
        </w:tc>
        <w:tc>
          <w:tcPr>
            <w:tcW w:w="258"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5" w:type="pct"/>
            <w:vAlign w:val="center"/>
          </w:tcPr>
          <w:p>
            <w:pPr>
              <w:tabs>
                <w:tab w:val="left" w:pos="1800"/>
              </w:tabs>
              <w:rPr>
                <w:rFonts w:asciiTheme="minorEastAsia" w:hAnsiTheme="minorEastAsia" w:eastAsiaTheme="minorEastAsia" w:cstheme="minorEastAsia"/>
                <w:color w:val="auto"/>
                <w:szCs w:val="21"/>
              </w:rPr>
            </w:pPr>
            <w:r>
              <w:rPr>
                <w:rStyle w:val="50"/>
                <w:rFonts w:hint="eastAsia" w:ascii="宋体" w:hAnsi="宋体" w:cs="宋体" w:eastAsiaTheme="minorEastAsia"/>
                <w:color w:val="auto"/>
              </w:rPr>
              <w:t>（2）现场必须发生费用</w:t>
            </w:r>
          </w:p>
        </w:tc>
        <w:tc>
          <w:tcPr>
            <w:tcW w:w="3652" w:type="pct"/>
            <w:gridSpan w:val="9"/>
            <w:vAlign w:val="center"/>
          </w:tcPr>
          <w:p>
            <w:pPr>
              <w:tabs>
                <w:tab w:val="left" w:pos="1800"/>
              </w:tabs>
              <w:jc w:val="center"/>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1</w:t>
            </w:r>
            <w:r>
              <w:rPr>
                <w:rFonts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w:t>
            </w:r>
          </w:p>
        </w:tc>
        <w:tc>
          <w:tcPr>
            <w:tcW w:w="258"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Cs w:val="21"/>
              </w:rPr>
              <w:t>填报费率不得低于4%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4"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5" w:type="pct"/>
            <w:vAlign w:val="center"/>
          </w:tcPr>
          <w:p>
            <w:pPr>
              <w:tabs>
                <w:tab w:val="left" w:pos="1800"/>
              </w:tabs>
              <w:rPr>
                <w:rStyle w:val="50"/>
                <w:rFonts w:ascii="宋体" w:hAnsi="宋体" w:cs="宋体"/>
                <w:color w:val="auto"/>
              </w:rPr>
            </w:pPr>
            <w:r>
              <w:rPr>
                <w:rStyle w:val="50"/>
                <w:rFonts w:hint="eastAsia" w:ascii="宋体" w:hAnsi="宋体" w:cs="宋体"/>
                <w:color w:val="auto"/>
              </w:rPr>
              <w:t>不可预见费</w:t>
            </w:r>
          </w:p>
        </w:tc>
        <w:tc>
          <w:tcPr>
            <w:tcW w:w="3652" w:type="pct"/>
            <w:gridSpan w:val="9"/>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 3 %</w:t>
            </w:r>
          </w:p>
        </w:tc>
        <w:tc>
          <w:tcPr>
            <w:tcW w:w="258"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6" w:hRule="atLeast"/>
          <w:jc w:val="center"/>
        </w:trPr>
        <w:tc>
          <w:tcPr>
            <w:tcW w:w="1102" w:type="pct"/>
            <w:gridSpan w:val="3"/>
            <w:vAlign w:val="center"/>
          </w:tcPr>
          <w:p>
            <w:pPr>
              <w:tabs>
                <w:tab w:val="left" w:pos="1800"/>
              </w:tabs>
              <w:jc w:val="left"/>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投标总价合计</w:t>
            </w:r>
          </w:p>
        </w:tc>
        <w:tc>
          <w:tcPr>
            <w:tcW w:w="3539" w:type="pct"/>
            <w:gridSpan w:val="9"/>
            <w:vAlign w:val="center"/>
          </w:tcPr>
          <w:p>
            <w:pPr>
              <w:tabs>
                <w:tab w:val="left" w:pos="1800"/>
              </w:tabs>
              <w:spacing w:line="360" w:lineRule="auto"/>
              <w:jc w:val="left"/>
              <w:rPr>
                <w:rFonts w:asciiTheme="minorEastAsia" w:hAnsiTheme="minorEastAsia" w:eastAsiaTheme="minorEastAsia" w:cstheme="minorEastAsia"/>
                <w:b/>
                <w:color w:val="auto"/>
                <w:sz w:val="24"/>
                <w:szCs w:val="24"/>
                <w:u w:val="single"/>
              </w:rPr>
            </w:pPr>
            <w:r>
              <w:rPr>
                <w:rFonts w:hint="eastAsia" w:asciiTheme="minorEastAsia" w:hAnsiTheme="minorEastAsia" w:eastAsiaTheme="minorEastAsia" w:cstheme="minorEastAsia"/>
                <w:b/>
                <w:color w:val="auto"/>
                <w:sz w:val="24"/>
                <w:szCs w:val="24"/>
              </w:rPr>
              <w:t>大写：</w:t>
            </w:r>
            <w:r>
              <w:rPr>
                <w:rFonts w:hint="eastAsia" w:asciiTheme="minorEastAsia" w:hAnsiTheme="minorEastAsia" w:eastAsiaTheme="minorEastAsia" w:cstheme="minorEastAsia"/>
                <w:color w:val="auto"/>
                <w:sz w:val="20"/>
                <w:szCs w:val="20"/>
                <w:u w:val="single"/>
              </w:rPr>
              <w:t xml:space="preserve">                     </w:t>
            </w:r>
          </w:p>
          <w:p>
            <w:pPr>
              <w:tabs>
                <w:tab w:val="left" w:pos="1800"/>
              </w:tabs>
              <w:spacing w:line="360" w:lineRule="auto"/>
              <w:jc w:val="left"/>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小写：</w:t>
            </w:r>
            <w:r>
              <w:rPr>
                <w:rFonts w:hint="eastAsia" w:asciiTheme="minorEastAsia" w:hAnsiTheme="minorEastAsia" w:eastAsiaTheme="minorEastAsia" w:cstheme="minorEastAsia"/>
                <w:color w:val="auto"/>
                <w:sz w:val="20"/>
                <w:szCs w:val="20"/>
                <w:u w:val="single"/>
              </w:rPr>
              <w:t xml:space="preserve">                     </w:t>
            </w:r>
          </w:p>
        </w:tc>
        <w:tc>
          <w:tcPr>
            <w:tcW w:w="358" w:type="pct"/>
            <w:vAlign w:val="center"/>
          </w:tcPr>
          <w:p>
            <w:pPr>
              <w:tabs>
                <w:tab w:val="left" w:pos="1800"/>
              </w:tabs>
              <w:spacing w:line="240" w:lineRule="exact"/>
              <w:jc w:val="left"/>
              <w:rPr>
                <w:rFonts w:asciiTheme="minorEastAsia" w:hAnsiTheme="minorEastAsia" w:eastAsiaTheme="minorEastAsia" w:cstheme="minorEastAsia"/>
                <w:b/>
                <w:color w:val="auto"/>
                <w:sz w:val="24"/>
                <w:szCs w:val="24"/>
              </w:rPr>
            </w:pPr>
            <w:r>
              <w:rPr>
                <w:rFonts w:asciiTheme="minorEastAsia" w:hAnsiTheme="minorEastAsia" w:eastAsiaTheme="minorEastAsia" w:cstheme="minorEastAsia"/>
                <w:color w:val="auto"/>
                <w:szCs w:val="21"/>
              </w:rPr>
              <w:t>报价最多精确到</w:t>
            </w:r>
            <w:r>
              <w:rPr>
                <w:rFonts w:hint="eastAsia" w:asciiTheme="minorEastAsia" w:hAnsiTheme="minorEastAsia" w:eastAsiaTheme="minorEastAsia" w:cstheme="minorEastAsia"/>
                <w:color w:val="auto"/>
                <w:szCs w:val="21"/>
              </w:rPr>
              <w:t>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1102" w:type="pct"/>
            <w:gridSpan w:val="3"/>
            <w:vAlign w:val="center"/>
          </w:tcPr>
          <w:p>
            <w:pPr>
              <w:tabs>
                <w:tab w:val="left" w:pos="1800"/>
              </w:tabs>
              <w:jc w:val="left"/>
              <w:rPr>
                <w:rFonts w:asciiTheme="minorEastAsia" w:hAnsiTheme="minorEastAsia" w:eastAsiaTheme="minorEastAsia" w:cstheme="minorEastAsia"/>
                <w:b/>
                <w:color w:val="auto"/>
                <w:sz w:val="24"/>
                <w:szCs w:val="24"/>
                <w:u w:val="single"/>
              </w:rPr>
            </w:pPr>
            <w:r>
              <w:rPr>
                <w:rFonts w:hint="eastAsia" w:asciiTheme="minorEastAsia" w:hAnsiTheme="minorEastAsia" w:eastAsiaTheme="minorEastAsia" w:cstheme="minorEastAsia"/>
                <w:b/>
                <w:color w:val="auto"/>
                <w:sz w:val="24"/>
                <w:szCs w:val="24"/>
              </w:rPr>
              <w:t>质保期后的维保费用</w:t>
            </w:r>
          </w:p>
        </w:tc>
        <w:tc>
          <w:tcPr>
            <w:tcW w:w="3897" w:type="pct"/>
            <w:gridSpan w:val="10"/>
            <w:vAlign w:val="center"/>
          </w:tcPr>
          <w:p>
            <w:pPr>
              <w:tabs>
                <w:tab w:val="left" w:pos="1800"/>
              </w:tabs>
              <w:jc w:val="left"/>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0"/>
                <w:szCs w:val="20"/>
                <w:u w:val="single"/>
              </w:rPr>
              <w:t xml:space="preserve">                     </w:t>
            </w:r>
            <w:r>
              <w:rPr>
                <w:rFonts w:hint="eastAsia" w:asciiTheme="minorEastAsia" w:hAnsiTheme="minorEastAsia" w:eastAsiaTheme="minorEastAsia" w:cstheme="minorEastAsia"/>
                <w:b/>
                <w:color w:val="auto"/>
                <w:sz w:val="24"/>
                <w:szCs w:val="24"/>
              </w:rPr>
              <w:t>元/年（不计入投标报价）</w:t>
            </w:r>
          </w:p>
        </w:tc>
      </w:tr>
    </w:tbl>
    <w:p>
      <w:pPr>
        <w:keepNext/>
        <w:keepLines/>
        <w:spacing w:line="360" w:lineRule="atLeast"/>
        <w:ind w:firstLine="420" w:firstLineChars="200"/>
        <w:jc w:val="left"/>
        <w:rPr>
          <w:rFonts w:ascii="宋体" w:hAnsi="宋体" w:cstheme="minorEastAsia"/>
          <w:strike/>
          <w:color w:val="auto"/>
          <w:szCs w:val="20"/>
        </w:rPr>
      </w:pPr>
      <w:r>
        <w:rPr>
          <w:rFonts w:hint="eastAsia" w:ascii="宋体" w:hAnsi="宋体" w:cstheme="minorEastAsia"/>
          <w:color w:val="auto"/>
          <w:szCs w:val="20"/>
        </w:rPr>
        <w:t>注：1、投标报价要求详见投标人须知前附表第3.2.4条款。</w:t>
      </w:r>
    </w:p>
    <w:p>
      <w:pPr>
        <w:pStyle w:val="54"/>
        <w:spacing w:line="360" w:lineRule="exact"/>
        <w:ind w:firstLine="420"/>
        <w:rPr>
          <w:rFonts w:ascii="宋体" w:hAnsi="宋体"/>
          <w:color w:val="auto"/>
          <w:sz w:val="21"/>
          <w:szCs w:val="21"/>
          <w:lang w:val="en-US"/>
        </w:rPr>
      </w:pPr>
      <w:r>
        <w:rPr>
          <w:rFonts w:hint="eastAsia" w:ascii="宋体" w:hAnsi="宋体"/>
          <w:color w:val="auto"/>
          <w:sz w:val="21"/>
          <w:szCs w:val="21"/>
          <w:lang w:val="en-US"/>
        </w:rPr>
        <w:t>2、第7栏指制造厂运至交货地点全部货物运杂费和保险费，第10栏其它费用包括投标分项报价表中除本表6-9外的所有费用。</w:t>
      </w:r>
    </w:p>
    <w:p>
      <w:pPr>
        <w:pStyle w:val="54"/>
        <w:spacing w:line="360" w:lineRule="exact"/>
        <w:ind w:firstLine="420"/>
        <w:rPr>
          <w:rFonts w:ascii="宋体" w:hAnsi="宋体"/>
          <w:color w:val="auto"/>
          <w:sz w:val="21"/>
          <w:szCs w:val="21"/>
          <w:lang w:val="en-US"/>
        </w:rPr>
      </w:pPr>
      <w:r>
        <w:rPr>
          <w:rFonts w:hint="eastAsia" w:ascii="宋体" w:hAnsi="宋体"/>
          <w:color w:val="auto"/>
          <w:sz w:val="21"/>
          <w:szCs w:val="21"/>
          <w:lang w:val="en-US"/>
        </w:rPr>
        <w:t>3、第11栏综合单价=6+7+8+9。</w:t>
      </w:r>
    </w:p>
    <w:p>
      <w:pPr>
        <w:pStyle w:val="54"/>
        <w:spacing w:line="360" w:lineRule="exact"/>
        <w:ind w:firstLine="420"/>
        <w:rPr>
          <w:rFonts w:ascii="宋体" w:hAnsi="宋体"/>
          <w:color w:val="auto"/>
          <w:sz w:val="21"/>
          <w:szCs w:val="21"/>
          <w:lang w:val="en-US"/>
        </w:rPr>
      </w:pPr>
      <w:r>
        <w:rPr>
          <w:rFonts w:hint="eastAsia" w:ascii="宋体" w:hAnsi="宋体"/>
          <w:color w:val="auto"/>
          <w:sz w:val="21"/>
          <w:szCs w:val="21"/>
          <w:lang w:val="en-US"/>
        </w:rPr>
        <w:t>4、第12栏合价=5×11项。</w:t>
      </w:r>
    </w:p>
    <w:p>
      <w:pPr>
        <w:pStyle w:val="54"/>
        <w:spacing w:line="360" w:lineRule="exact"/>
        <w:ind w:firstLine="420"/>
        <w:rPr>
          <w:rFonts w:ascii="宋体" w:hAnsi="宋体"/>
          <w:color w:val="auto"/>
          <w:sz w:val="21"/>
          <w:szCs w:val="21"/>
          <w:lang w:val="en-US"/>
        </w:rPr>
      </w:pPr>
      <w:r>
        <w:rPr>
          <w:rFonts w:hint="eastAsia" w:ascii="宋体" w:hAnsi="宋体"/>
          <w:color w:val="auto"/>
          <w:sz w:val="21"/>
          <w:szCs w:val="21"/>
          <w:lang w:val="en-US"/>
        </w:rPr>
        <w:t>5、投标总价合计为总价的合计，应与投标函的投标总价一致。</w:t>
      </w:r>
    </w:p>
    <w:p>
      <w:pPr>
        <w:pStyle w:val="54"/>
        <w:spacing w:line="360" w:lineRule="exact"/>
        <w:ind w:firstLine="420"/>
        <w:rPr>
          <w:rFonts w:ascii="宋体" w:hAnsi="宋体"/>
          <w:color w:val="auto"/>
          <w:sz w:val="21"/>
          <w:szCs w:val="21"/>
          <w:lang w:val="en-US"/>
        </w:rPr>
      </w:pPr>
      <w:r>
        <w:rPr>
          <w:rFonts w:hint="eastAsia" w:ascii="宋体" w:hAnsi="宋体"/>
          <w:color w:val="auto"/>
          <w:sz w:val="21"/>
          <w:szCs w:val="21"/>
          <w:lang w:val="en-US"/>
        </w:rPr>
        <w:t>6、投标报价表中含价栏目，若无报价的须填“含”、“无”等字样，若出现空白，招标人视为已含在投标报价中。</w:t>
      </w:r>
    </w:p>
    <w:p>
      <w:pPr>
        <w:pStyle w:val="54"/>
        <w:spacing w:line="360" w:lineRule="exact"/>
        <w:ind w:firstLine="420"/>
        <w:rPr>
          <w:rFonts w:ascii="宋体" w:hAnsi="宋体"/>
          <w:color w:val="auto"/>
          <w:sz w:val="21"/>
          <w:szCs w:val="21"/>
          <w:lang w:val="en-US"/>
        </w:rPr>
      </w:pPr>
      <w:r>
        <w:rPr>
          <w:rFonts w:hint="eastAsia" w:ascii="宋体" w:hAnsi="宋体"/>
          <w:color w:val="auto"/>
          <w:sz w:val="21"/>
          <w:szCs w:val="21"/>
          <w:lang w:val="en-US"/>
        </w:rPr>
        <w:t>7、如交货货物数量调整时，综合单价不作调整。</w:t>
      </w:r>
    </w:p>
    <w:p>
      <w:pPr>
        <w:pStyle w:val="54"/>
        <w:spacing w:line="360" w:lineRule="exact"/>
        <w:ind w:firstLine="420"/>
        <w:rPr>
          <w:rFonts w:ascii="宋体" w:hAnsi="宋体"/>
          <w:color w:val="auto"/>
          <w:sz w:val="21"/>
          <w:szCs w:val="21"/>
          <w:lang w:val="en-US"/>
        </w:rPr>
      </w:pPr>
      <w:r>
        <w:rPr>
          <w:rFonts w:hint="eastAsia" w:ascii="宋体" w:hAnsi="宋体"/>
          <w:color w:val="auto"/>
          <w:sz w:val="21"/>
          <w:szCs w:val="21"/>
          <w:lang w:val="en-US"/>
        </w:rPr>
        <w:t>8、其他清单是投标单位认为图纸、清单不明确或缺项的内容，以及招标文件要求包含在投标总价中的所有内容的体现。如未填报则视为投标优惠。</w:t>
      </w:r>
    </w:p>
    <w:p>
      <w:pPr>
        <w:pStyle w:val="54"/>
        <w:spacing w:line="360" w:lineRule="exact"/>
        <w:ind w:firstLine="420"/>
        <w:rPr>
          <w:rStyle w:val="50"/>
          <w:rFonts w:ascii="宋体" w:hAnsi="宋体" w:cs="宋体"/>
          <w:color w:val="auto"/>
        </w:rPr>
      </w:pPr>
      <w:r>
        <w:rPr>
          <w:rFonts w:hint="eastAsia" w:ascii="宋体" w:hAnsi="宋体"/>
          <w:color w:val="auto"/>
          <w:sz w:val="21"/>
          <w:szCs w:val="21"/>
          <w:lang w:val="en-US"/>
        </w:rPr>
        <w:t>9、</w:t>
      </w:r>
      <w:r>
        <w:rPr>
          <w:rStyle w:val="50"/>
          <w:rFonts w:hint="eastAsia" w:ascii="宋体" w:hAnsi="宋体" w:cs="宋体"/>
          <w:color w:val="auto"/>
        </w:rPr>
        <w:t>不可预见费为招标范围之外或招标人、中医院有特殊功能要求增加的费用。</w:t>
      </w:r>
    </w:p>
    <w:p>
      <w:pPr>
        <w:pStyle w:val="54"/>
        <w:spacing w:line="360" w:lineRule="exact"/>
        <w:ind w:firstLine="420"/>
        <w:rPr>
          <w:rFonts w:ascii="宋体" w:hAnsi="宋体"/>
          <w:color w:val="auto"/>
          <w:sz w:val="21"/>
          <w:szCs w:val="21"/>
          <w:lang w:val="en-US"/>
        </w:rPr>
      </w:pPr>
      <w:r>
        <w:rPr>
          <w:rStyle w:val="50"/>
          <w:rFonts w:hint="eastAsia" w:ascii="宋体" w:hAnsi="宋体" w:cs="宋体"/>
          <w:color w:val="auto"/>
        </w:rPr>
        <w:t>10、</w:t>
      </w:r>
      <w:r>
        <w:rPr>
          <w:rFonts w:hint="eastAsia" w:ascii="宋体" w:hAnsi="宋体" w:cstheme="minorEastAsia"/>
          <w:color w:val="auto"/>
          <w:sz w:val="21"/>
          <w:szCs w:val="21"/>
        </w:rPr>
        <w:t>表格行数不够，投标人可自行扩展。</w:t>
      </w:r>
    </w:p>
    <w:p>
      <w:pPr>
        <w:pStyle w:val="54"/>
        <w:spacing w:line="360" w:lineRule="exact"/>
        <w:ind w:left="0" w:leftChars="0" w:firstLine="0" w:firstLineChars="0"/>
        <w:rPr>
          <w:rFonts w:ascii="宋体" w:hAnsi="宋体"/>
          <w:color w:val="auto"/>
          <w:sz w:val="21"/>
          <w:szCs w:val="21"/>
          <w:lang w:val="en-US"/>
        </w:rPr>
      </w:pPr>
    </w:p>
    <w:p>
      <w:pPr>
        <w:pStyle w:val="54"/>
        <w:spacing w:line="360" w:lineRule="exact"/>
        <w:ind w:firstLine="400"/>
        <w:rPr>
          <w:rFonts w:ascii="宋体" w:hAnsi="宋体"/>
          <w:color w:val="auto"/>
          <w:sz w:val="20"/>
          <w:szCs w:val="20"/>
          <w:lang w:val="en-US"/>
        </w:rPr>
      </w:pPr>
    </w:p>
    <w:p>
      <w:pPr>
        <w:pStyle w:val="35"/>
        <w:spacing w:line="360" w:lineRule="exact"/>
        <w:ind w:firstLine="0" w:firstLineChars="0"/>
        <w:rPr>
          <w:rFonts w:ascii="宋体" w:hAnsi="宋体"/>
          <w:color w:val="auto"/>
          <w:szCs w:val="21"/>
        </w:rPr>
      </w:pPr>
      <w:r>
        <w:rPr>
          <w:rFonts w:hint="eastAsia" w:ascii="宋体" w:hAnsi="宋体"/>
          <w:color w:val="auto"/>
          <w:sz w:val="21"/>
          <w:szCs w:val="21"/>
        </w:rPr>
        <w:t>投标人：</w:t>
      </w:r>
      <w:r>
        <w:rPr>
          <w:rFonts w:hint="eastAsia" w:ascii="宋体" w:hAnsi="宋体"/>
          <w:color w:val="auto"/>
          <w:sz w:val="21"/>
          <w:szCs w:val="21"/>
          <w:u w:val="single"/>
        </w:rPr>
        <w:t xml:space="preserve">                             </w:t>
      </w:r>
      <w:r>
        <w:rPr>
          <w:rFonts w:hint="eastAsia" w:ascii="宋体" w:hAnsi="宋体"/>
          <w:color w:val="auto"/>
          <w:sz w:val="21"/>
          <w:szCs w:val="21"/>
        </w:rPr>
        <w:t>（盖单位公章）</w:t>
      </w:r>
    </w:p>
    <w:p>
      <w:pPr>
        <w:spacing w:line="360" w:lineRule="exact"/>
        <w:rPr>
          <w:color w:val="auto"/>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 xml:space="preserve">（签字或盖章 ） </w:t>
      </w:r>
    </w:p>
    <w:p>
      <w:pPr>
        <w:pStyle w:val="54"/>
        <w:ind w:firstLine="0" w:firstLineChars="0"/>
        <w:rPr>
          <w:color w:val="auto"/>
          <w:lang w:val="en-US"/>
        </w:rPr>
      </w:pPr>
      <w:r>
        <w:rPr>
          <w:rFonts w:hint="eastAsia" w:ascii="宋体" w:hAnsi="宋体"/>
          <w:color w:val="auto"/>
          <w:szCs w:val="21"/>
        </w:rPr>
        <w:t>日期：    年    月    日</w:t>
      </w:r>
    </w:p>
    <w:p>
      <w:pPr>
        <w:pStyle w:val="54"/>
        <w:rPr>
          <w:color w:val="auto"/>
          <w:lang w:val="en-US"/>
        </w:rPr>
        <w:sectPr>
          <w:pgSz w:w="16840" w:h="11907" w:orient="landscape"/>
          <w:pgMar w:top="1440" w:right="1134" w:bottom="1440" w:left="1134" w:header="680" w:footer="680" w:gutter="0"/>
          <w:cols w:space="720" w:num="1"/>
          <w:docGrid w:linePitch="271" w:charSpace="0"/>
        </w:sectPr>
      </w:pPr>
    </w:p>
    <w:p>
      <w:pPr>
        <w:spacing w:before="156" w:beforeLines="50" w:after="156" w:afterLines="50"/>
        <w:jc w:val="center"/>
        <w:rPr>
          <w:rFonts w:ascii="宋体" w:hAnsi="宋体"/>
          <w:b/>
          <w:color w:val="auto"/>
          <w:sz w:val="28"/>
          <w:szCs w:val="28"/>
        </w:rPr>
      </w:pPr>
      <w:r>
        <w:rPr>
          <w:rFonts w:hint="eastAsia" w:ascii="宋体" w:hAnsi="宋体"/>
          <w:b/>
          <w:color w:val="auto"/>
          <w:sz w:val="28"/>
          <w:szCs w:val="28"/>
        </w:rPr>
        <w:t>拟投入的主要施工人员一览表</w:t>
      </w:r>
    </w:p>
    <w:p>
      <w:pPr>
        <w:pStyle w:val="13"/>
        <w:rPr>
          <w:color w:val="auto"/>
        </w:rPr>
      </w:pPr>
    </w:p>
    <w:p>
      <w:pPr>
        <w:spacing w:line="480" w:lineRule="auto"/>
        <w:rPr>
          <w:rFonts w:ascii="宋体" w:hAnsi="宋体" w:cs="宋体"/>
          <w:color w:val="auto"/>
          <w:szCs w:val="21"/>
        </w:rPr>
      </w:pPr>
      <w:r>
        <w:rPr>
          <w:rFonts w:hint="eastAsia" w:ascii="宋体" w:hAnsi="宋体" w:cs="宋体"/>
          <w:color w:val="auto"/>
          <w:szCs w:val="21"/>
        </w:rPr>
        <w:t>投标人：</w:t>
      </w:r>
      <w:r>
        <w:rPr>
          <w:rFonts w:hint="eastAsia" w:ascii="宋体" w:hAnsi="宋体" w:cs="宋体"/>
          <w:color w:val="auto"/>
          <w:szCs w:val="21"/>
          <w:u w:val="single"/>
        </w:rPr>
        <w:t xml:space="preserve">                      </w:t>
      </w:r>
      <w:r>
        <w:rPr>
          <w:rFonts w:hint="eastAsia" w:ascii="宋体" w:hAnsi="宋体" w:cs="宋体"/>
          <w:color w:val="auto"/>
          <w:szCs w:val="21"/>
        </w:rPr>
        <w:t>（盖单位公章）</w:t>
      </w: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717"/>
        <w:gridCol w:w="682"/>
        <w:gridCol w:w="682"/>
        <w:gridCol w:w="1364"/>
        <w:gridCol w:w="974"/>
        <w:gridCol w:w="1338"/>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姓名</w:t>
            </w: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本工程</w:t>
            </w:r>
          </w:p>
          <w:p>
            <w:pPr>
              <w:spacing w:line="480" w:lineRule="auto"/>
              <w:jc w:val="center"/>
              <w:rPr>
                <w:rFonts w:ascii="宋体" w:hAnsi="宋体" w:cs="宋体"/>
                <w:color w:val="auto"/>
                <w:szCs w:val="21"/>
              </w:rPr>
            </w:pPr>
            <w:r>
              <w:rPr>
                <w:rFonts w:hint="eastAsia" w:ascii="宋体" w:hAnsi="宋体" w:cs="宋体"/>
                <w:color w:val="auto"/>
                <w:szCs w:val="21"/>
              </w:rPr>
              <w:t>拟任岗位</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年龄</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性别</w:t>
            </w: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专业学历</w:t>
            </w: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专业</w:t>
            </w:r>
          </w:p>
          <w:p>
            <w:pPr>
              <w:spacing w:line="480" w:lineRule="auto"/>
              <w:jc w:val="center"/>
              <w:rPr>
                <w:rFonts w:ascii="宋体" w:hAnsi="宋体" w:cs="宋体"/>
                <w:color w:val="auto"/>
                <w:szCs w:val="21"/>
              </w:rPr>
            </w:pPr>
            <w:r>
              <w:rPr>
                <w:rFonts w:hint="eastAsia" w:ascii="宋体" w:hAnsi="宋体" w:cs="宋体"/>
                <w:color w:val="auto"/>
                <w:szCs w:val="21"/>
              </w:rPr>
              <w:t>年限</w:t>
            </w: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现任职务和职称</w:t>
            </w: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安排上岗</w:t>
            </w:r>
          </w:p>
          <w:p>
            <w:pPr>
              <w:spacing w:line="480" w:lineRule="auto"/>
              <w:jc w:val="center"/>
              <w:rPr>
                <w:rFonts w:ascii="宋体" w:hAnsi="宋体" w:cs="宋体"/>
                <w:color w:val="auto"/>
                <w:szCs w:val="21"/>
              </w:rPr>
            </w:pPr>
            <w:r>
              <w:rPr>
                <w:rFonts w:hint="eastAsia" w:ascii="宋体" w:hAnsi="宋体" w:cs="宋体"/>
                <w:color w:val="auto"/>
                <w:szCs w:val="21"/>
              </w:rPr>
              <w:t>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bl>
    <w:p>
      <w:pPr>
        <w:spacing w:line="360" w:lineRule="exact"/>
        <w:ind w:firstLine="420" w:firstLineChars="200"/>
        <w:rPr>
          <w:rFonts w:ascii="宋体" w:hAnsi="宋体" w:cs="宋体"/>
          <w:color w:val="auto"/>
          <w:szCs w:val="21"/>
        </w:rPr>
      </w:pPr>
      <w:r>
        <w:rPr>
          <w:rFonts w:hint="eastAsia" w:ascii="宋体" w:hAnsi="宋体" w:cs="宋体"/>
          <w:color w:val="auto"/>
          <w:szCs w:val="21"/>
        </w:rPr>
        <w:t>注：1、投标人的项目负责人、项目班组人员均应列入。</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2、列入本表人员如更换需经过发包单位的同意，擅自更换或不到位均属违约行为。</w:t>
      </w:r>
    </w:p>
    <w:p>
      <w:pPr>
        <w:spacing w:line="480" w:lineRule="auto"/>
        <w:rPr>
          <w:rFonts w:ascii="宋体" w:hAnsi="宋体" w:cs="宋体"/>
          <w:color w:val="auto"/>
          <w:szCs w:val="21"/>
        </w:rPr>
      </w:pPr>
    </w:p>
    <w:p>
      <w:pPr>
        <w:rPr>
          <w:rFonts w:ascii="宋体" w:hAnsi="宋体" w:cs="宋体"/>
          <w:color w:val="auto"/>
          <w:szCs w:val="21"/>
        </w:rPr>
      </w:pPr>
    </w:p>
    <w:p>
      <w:pPr>
        <w:rPr>
          <w:rFonts w:ascii="宋体" w:hAnsi="宋体" w:cs="宋体"/>
          <w:color w:val="auto"/>
          <w:szCs w:val="21"/>
          <w:u w:val="single"/>
        </w:rPr>
      </w:pPr>
    </w:p>
    <w:sectPr>
      <w:pgSz w:w="11906" w:h="16838"/>
      <w:pgMar w:top="1440" w:right="1134" w:bottom="1440" w:left="1134"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S?o｡ﾀ?">
    <w:altName w:val="MS Mincho"/>
    <w:panose1 w:val="00000000000000000000"/>
    <w:charset w:val="80"/>
    <w:family w:val="moder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Lucida Sans">
    <w:panose1 w:val="020B0602030504020204"/>
    <w:charset w:val="00"/>
    <w:family w:val="swiss"/>
    <w:pitch w:val="default"/>
    <w:sig w:usb0="00000003" w:usb1="00000000" w:usb2="00000000" w:usb3="00000000" w:csb0="20000001" w:csb1="00000000"/>
  </w:font>
  <w:font w:name="Wingdings 2">
    <w:panose1 w:val="05020102010507070707"/>
    <w:charset w:val="02"/>
    <w:family w:val="roman"/>
    <w:pitch w:val="default"/>
    <w:sig w:usb0="00000000" w:usb1="00000000" w:usb2="00000000" w:usb3="00000000" w:csb0="80000000" w:csb1="00000000"/>
  </w:font>
  <w:font w:name="方正小标宋简体">
    <w:altName w:val="微软雅黑"/>
    <w:panose1 w:val="00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tabs>
        <w:tab w:val="center" w:pos="4821"/>
        <w:tab w:val="clear" w:pos="4153"/>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huisyAgAAZA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GG6KzICAABkBAAADgAAAAAAAAABACAAAAAfAQAAZHJzL2Uyb0RvYy54bWxQSwUG&#10;AAAAAAYABgBZAQAAwwUAAAAA&#10;">
              <v:fill on="f" focussize="0,0"/>
              <v:stroke on="f" weight="0.5pt"/>
              <v:imagedata o:title=""/>
              <o:lock v:ext="edit" aspectratio="f"/>
              <v:textbox inset="0mm,0mm,0mm,0mm" style="mso-fit-shape-to-text:t;">
                <w:txbxContent>
                  <w:p>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ind w:firstLine="180"/>
      <w:rPr>
        <w:rStyle w:val="41"/>
      </w:rPr>
    </w:pPr>
    <w:r>
      <w:fldChar w:fldCharType="begin"/>
    </w:r>
    <w:r>
      <w:rPr>
        <w:rStyle w:val="41"/>
      </w:rPr>
      <w:instrText xml:space="preserve">PAGE  </w:instrText>
    </w:r>
    <w:r>
      <w:fldChar w:fldCharType="separate"/>
    </w:r>
    <w:r>
      <w:rPr>
        <w:rStyle w:val="41"/>
      </w:rPr>
      <w:t>13</w:t>
    </w:r>
    <w:r>
      <w:fldChar w:fldCharType="end"/>
    </w:r>
  </w:p>
  <w:p>
    <w:pPr>
      <w:pStyle w:val="23"/>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outside" w:y="1"/>
      <w:rPr>
        <w:rStyle w:val="41"/>
      </w:rPr>
    </w:pPr>
    <w:r>
      <w:fldChar w:fldCharType="begin"/>
    </w:r>
    <w:r>
      <w:rPr>
        <w:rStyle w:val="41"/>
      </w:rPr>
      <w:instrText xml:space="preserve">PAGE  </w:instrText>
    </w:r>
    <w:r>
      <w:fldChar w:fldCharType="separate"/>
    </w:r>
    <w:r>
      <w:rPr>
        <w:rStyle w:val="41"/>
      </w:rPr>
      <w:t>16</w:t>
    </w:r>
    <w:r>
      <w:fldChar w:fldCharType="end"/>
    </w:r>
  </w:p>
  <w:p>
    <w:pPr>
      <w:pStyle w:val="23"/>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ind w:firstLine="180"/>
      <w:rPr>
        <w:rStyle w:val="41"/>
      </w:rPr>
    </w:pPr>
    <w:r>
      <w:fldChar w:fldCharType="begin"/>
    </w:r>
    <w:r>
      <w:rPr>
        <w:rStyle w:val="41"/>
      </w:rPr>
      <w:instrText xml:space="preserve">PAGE  </w:instrText>
    </w:r>
    <w:r>
      <w:fldChar w:fldCharType="separate"/>
    </w:r>
    <w:r>
      <w:rPr>
        <w:rStyle w:val="41"/>
      </w:rPr>
      <w:t>84</w:t>
    </w:r>
    <w:r>
      <w:fldChar w:fldCharType="end"/>
    </w:r>
  </w:p>
  <w:p>
    <w:pPr>
      <w:pStyle w:val="23"/>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ind w:firstLine="180"/>
      <w:rPr>
        <w:rStyle w:val="41"/>
      </w:rPr>
    </w:pPr>
    <w:r>
      <w:fldChar w:fldCharType="begin"/>
    </w:r>
    <w:r>
      <w:rPr>
        <w:rStyle w:val="41"/>
      </w:rPr>
      <w:instrText xml:space="preserve">PAGE  </w:instrText>
    </w:r>
    <w:r>
      <w:fldChar w:fldCharType="separate"/>
    </w:r>
    <w:r>
      <w:rPr>
        <w:rStyle w:val="41"/>
      </w:rPr>
      <w:t>3</w:t>
    </w:r>
    <w:r>
      <w:fldChar w:fldCharType="end"/>
    </w:r>
  </w:p>
  <w:p>
    <w:pPr>
      <w:pStyle w:val="23"/>
      <w:ind w:firstLine="18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ind w:firstLine="180"/>
      <w:rPr>
        <w:rStyle w:val="41"/>
      </w:rPr>
    </w:pPr>
    <w:r>
      <w:fldChar w:fldCharType="begin"/>
    </w:r>
    <w:r>
      <w:rPr>
        <w:rStyle w:val="41"/>
      </w:rPr>
      <w:instrText xml:space="preserve">PAGE  </w:instrText>
    </w:r>
    <w:r>
      <w:fldChar w:fldCharType="separate"/>
    </w:r>
    <w:r>
      <w:rPr>
        <w:rStyle w:val="41"/>
      </w:rPr>
      <w:t>102</w:t>
    </w:r>
    <w:r>
      <w:fldChar w:fldCharType="end"/>
    </w:r>
  </w:p>
  <w:p>
    <w:pPr>
      <w:pStyle w:val="23"/>
      <w:ind w:right="360" w:firstLine="180"/>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ind w:firstLine="180"/>
      <w:rPr>
        <w:rStyle w:val="41"/>
      </w:rPr>
    </w:pPr>
    <w:r>
      <w:fldChar w:fldCharType="begin"/>
    </w:r>
    <w:r>
      <w:rPr>
        <w:rStyle w:val="41"/>
      </w:rPr>
      <w:instrText xml:space="preserve">PAGE  </w:instrText>
    </w:r>
    <w:r>
      <w:fldChar w:fldCharType="separate"/>
    </w:r>
    <w:r>
      <w:rPr>
        <w:rStyle w:val="41"/>
      </w:rPr>
      <w:t>3</w:t>
    </w:r>
    <w:r>
      <w:fldChar w:fldCharType="end"/>
    </w:r>
  </w:p>
  <w:p>
    <w:pPr>
      <w:pStyle w:val="23"/>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A4EA"/>
    <w:multiLevelType w:val="singleLevel"/>
    <w:tmpl w:val="81F1A4EA"/>
    <w:lvl w:ilvl="0" w:tentative="0">
      <w:start w:val="1"/>
      <w:numFmt w:val="decimal"/>
      <w:suff w:val="nothing"/>
      <w:lvlText w:val="（%1）"/>
      <w:lvlJc w:val="left"/>
    </w:lvl>
  </w:abstractNum>
  <w:abstractNum w:abstractNumId="1">
    <w:nsid w:val="84E41FD6"/>
    <w:multiLevelType w:val="singleLevel"/>
    <w:tmpl w:val="84E41FD6"/>
    <w:lvl w:ilvl="0" w:tentative="0">
      <w:start w:val="1"/>
      <w:numFmt w:val="decimal"/>
      <w:pStyle w:val="8"/>
      <w:lvlText w:val="%1、"/>
      <w:lvlJc w:val="left"/>
      <w:pPr>
        <w:tabs>
          <w:tab w:val="left" w:pos="0"/>
        </w:tabs>
        <w:ind w:left="840" w:hanging="420"/>
      </w:pPr>
      <w:rPr>
        <w:rFonts w:ascii="Cambria" w:hAnsi="Cambria" w:eastAsia="微软雅黑" w:cs="Times New Roman"/>
      </w:rPr>
    </w:lvl>
  </w:abstractNum>
  <w:abstractNum w:abstractNumId="2">
    <w:nsid w:val="9D609D4B"/>
    <w:multiLevelType w:val="singleLevel"/>
    <w:tmpl w:val="9D609D4B"/>
    <w:lvl w:ilvl="0" w:tentative="0">
      <w:start w:val="1"/>
      <w:numFmt w:val="chineseCounting"/>
      <w:suff w:val="nothing"/>
      <w:lvlText w:val="%1、"/>
      <w:lvlJc w:val="left"/>
      <w:rPr>
        <w:rFonts w:hint="eastAsia"/>
      </w:rPr>
    </w:lvl>
  </w:abstractNum>
  <w:abstractNum w:abstractNumId="3">
    <w:nsid w:val="ADC21E24"/>
    <w:multiLevelType w:val="singleLevel"/>
    <w:tmpl w:val="ADC21E24"/>
    <w:lvl w:ilvl="0" w:tentative="0">
      <w:start w:val="20"/>
      <w:numFmt w:val="decimal"/>
      <w:suff w:val="nothing"/>
      <w:lvlText w:val="%1、"/>
      <w:lvlJc w:val="left"/>
    </w:lvl>
  </w:abstractNum>
  <w:abstractNum w:abstractNumId="4">
    <w:nsid w:val="B2F3A7BC"/>
    <w:multiLevelType w:val="singleLevel"/>
    <w:tmpl w:val="B2F3A7BC"/>
    <w:lvl w:ilvl="0" w:tentative="0">
      <w:start w:val="7"/>
      <w:numFmt w:val="chineseCounting"/>
      <w:suff w:val="space"/>
      <w:lvlText w:val="第%1章"/>
      <w:lvlJc w:val="left"/>
      <w:rPr>
        <w:rFonts w:hint="eastAsia"/>
      </w:rPr>
    </w:lvl>
  </w:abstractNum>
  <w:abstractNum w:abstractNumId="5">
    <w:nsid w:val="C7B895C9"/>
    <w:multiLevelType w:val="singleLevel"/>
    <w:tmpl w:val="C7B895C9"/>
    <w:lvl w:ilvl="0" w:tentative="0">
      <w:start w:val="6"/>
      <w:numFmt w:val="decimal"/>
      <w:suff w:val="nothing"/>
      <w:lvlText w:val="%1、"/>
      <w:lvlJc w:val="left"/>
    </w:lvl>
  </w:abstractNum>
  <w:abstractNum w:abstractNumId="6">
    <w:nsid w:val="D4ABCED3"/>
    <w:multiLevelType w:val="singleLevel"/>
    <w:tmpl w:val="D4ABCED3"/>
    <w:lvl w:ilvl="0" w:tentative="0">
      <w:start w:val="2"/>
      <w:numFmt w:val="decimal"/>
      <w:lvlText w:val="%1."/>
      <w:lvlJc w:val="left"/>
      <w:pPr>
        <w:tabs>
          <w:tab w:val="left" w:pos="312"/>
        </w:tabs>
      </w:pPr>
    </w:lvl>
  </w:abstractNum>
  <w:abstractNum w:abstractNumId="7">
    <w:nsid w:val="00000010"/>
    <w:multiLevelType w:val="multilevel"/>
    <w:tmpl w:val="00000010"/>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8">
    <w:nsid w:val="20B4F43E"/>
    <w:multiLevelType w:val="singleLevel"/>
    <w:tmpl w:val="20B4F43E"/>
    <w:lvl w:ilvl="0" w:tentative="0">
      <w:start w:val="3"/>
      <w:numFmt w:val="decimal"/>
      <w:lvlText w:val="%1."/>
      <w:lvlJc w:val="left"/>
      <w:pPr>
        <w:tabs>
          <w:tab w:val="left" w:pos="312"/>
        </w:tabs>
        <w:ind w:left="-34"/>
      </w:pPr>
      <w:rPr>
        <w:rFonts w:hint="default" w:ascii="宋体" w:hAnsi="宋体" w:eastAsia="宋体" w:cs="宋体"/>
        <w:sz w:val="21"/>
        <w:szCs w:val="21"/>
      </w:rPr>
    </w:lvl>
  </w:abstractNum>
  <w:abstractNum w:abstractNumId="9">
    <w:nsid w:val="2848C253"/>
    <w:multiLevelType w:val="multilevel"/>
    <w:tmpl w:val="2848C253"/>
    <w:lvl w:ilvl="0" w:tentative="0">
      <w:start w:val="1"/>
      <w:numFmt w:val="decimal"/>
      <w:lvlText w:val="%1."/>
      <w:legacy w:legacy="1" w:legacySpace="0" w:legacyIndent="425"/>
      <w:lvlJc w:val="left"/>
      <w:pPr>
        <w:ind w:left="425" w:hanging="425"/>
      </w:pPr>
    </w:lvl>
    <w:lvl w:ilvl="1" w:tentative="0">
      <w:start w:val="1"/>
      <w:numFmt w:val="decimal"/>
      <w:pStyle w:val="117"/>
      <w:lvlText w:val="%1.%2."/>
      <w:legacy w:legacy="1" w:legacySpace="0" w:legacyIndent="567"/>
      <w:lvlJc w:val="left"/>
      <w:pPr>
        <w:ind w:left="567" w:hanging="567"/>
      </w:pPr>
    </w:lvl>
    <w:lvl w:ilvl="2" w:tentative="0">
      <w:start w:val="1"/>
      <w:numFmt w:val="decimal"/>
      <w:lvlText w:val="%1.%2.%3."/>
      <w:legacy w:legacy="1" w:legacySpace="0" w:legacyIndent="709"/>
      <w:lvlJc w:val="left"/>
      <w:pPr>
        <w:ind w:left="709" w:hanging="709"/>
      </w:pPr>
    </w:lvl>
    <w:lvl w:ilvl="3" w:tentative="0">
      <w:start w:val="1"/>
      <w:numFmt w:val="decimal"/>
      <w:lvlText w:val="%1.%2.%3.%4."/>
      <w:legacy w:legacy="1" w:legacySpace="0" w:legacyIndent="851"/>
      <w:lvlJc w:val="left"/>
      <w:pPr>
        <w:ind w:left="851" w:hanging="851"/>
      </w:pPr>
    </w:lvl>
    <w:lvl w:ilvl="4" w:tentative="0">
      <w:start w:val="1"/>
      <w:numFmt w:val="decimal"/>
      <w:lvlText w:val="%1.%2.%3.%4.%5."/>
      <w:legacy w:legacy="1" w:legacySpace="0" w:legacyIndent="992"/>
      <w:lvlJc w:val="left"/>
      <w:pPr>
        <w:ind w:left="992" w:hanging="992"/>
      </w:pPr>
    </w:lvl>
    <w:lvl w:ilvl="5" w:tentative="0">
      <w:start w:val="1"/>
      <w:numFmt w:val="decimal"/>
      <w:lvlText w:val="%1.%2.%3.%4.%5.%6."/>
      <w:legacy w:legacy="1" w:legacySpace="0" w:legacyIndent="1134"/>
      <w:lvlJc w:val="left"/>
      <w:pPr>
        <w:ind w:left="1134" w:hanging="1134"/>
      </w:pPr>
    </w:lvl>
    <w:lvl w:ilvl="6" w:tentative="0">
      <w:start w:val="1"/>
      <w:numFmt w:val="decimal"/>
      <w:lvlText w:val="%1.%2.%3.%4.%5.%6.%7."/>
      <w:legacy w:legacy="1" w:legacySpace="0" w:legacyIndent="1276"/>
      <w:lvlJc w:val="left"/>
      <w:pPr>
        <w:ind w:left="1276" w:hanging="1276"/>
      </w:pPr>
    </w:lvl>
    <w:lvl w:ilvl="7" w:tentative="0">
      <w:start w:val="1"/>
      <w:numFmt w:val="decimal"/>
      <w:lvlText w:val="%1.%2.%3.%4.%5.%6.%7.%8."/>
      <w:legacy w:legacy="1" w:legacySpace="0" w:legacyIndent="1418"/>
      <w:lvlJc w:val="left"/>
      <w:pPr>
        <w:ind w:left="1418" w:hanging="1418"/>
      </w:pPr>
    </w:lvl>
    <w:lvl w:ilvl="8" w:tentative="0">
      <w:start w:val="1"/>
      <w:numFmt w:val="decimal"/>
      <w:lvlText w:val="%1.%2.%3.%4.%5.%6.%7.%8.%9."/>
      <w:legacy w:legacy="1" w:legacySpace="0" w:legacyIndent="1559"/>
      <w:lvlJc w:val="left"/>
      <w:pPr>
        <w:ind w:left="1559" w:hanging="1559"/>
      </w:pPr>
    </w:lvl>
  </w:abstractNum>
  <w:abstractNum w:abstractNumId="10">
    <w:nsid w:val="607703F5"/>
    <w:multiLevelType w:val="singleLevel"/>
    <w:tmpl w:val="607703F5"/>
    <w:lvl w:ilvl="0" w:tentative="0">
      <w:start w:val="1"/>
      <w:numFmt w:val="decimal"/>
      <w:pStyle w:val="16"/>
      <w:lvlText w:val="%1."/>
      <w:lvlJc w:val="left"/>
      <w:pPr>
        <w:tabs>
          <w:tab w:val="left" w:pos="1200"/>
        </w:tabs>
        <w:ind w:left="1200" w:hanging="360"/>
      </w:pPr>
    </w:lvl>
  </w:abstractNum>
  <w:abstractNum w:abstractNumId="11">
    <w:nsid w:val="634704D1"/>
    <w:multiLevelType w:val="singleLevel"/>
    <w:tmpl w:val="634704D1"/>
    <w:lvl w:ilvl="0" w:tentative="0">
      <w:start w:val="2"/>
      <w:numFmt w:val="decimal"/>
      <w:suff w:val="nothing"/>
      <w:lvlText w:val="（%1）"/>
      <w:lvlJc w:val="left"/>
    </w:lvl>
  </w:abstractNum>
  <w:num w:numId="1">
    <w:abstractNumId w:val="1"/>
  </w:num>
  <w:num w:numId="2">
    <w:abstractNumId w:val="10"/>
  </w:num>
  <w:num w:numId="3">
    <w:abstractNumId w:val="9"/>
  </w:num>
  <w:num w:numId="4">
    <w:abstractNumId w:val="2"/>
  </w:num>
  <w:num w:numId="5">
    <w:abstractNumId w:val="8"/>
  </w:num>
  <w:num w:numId="6">
    <w:abstractNumId w:val="5"/>
  </w:num>
  <w:num w:numId="7">
    <w:abstractNumId w:val="11"/>
  </w:num>
  <w:num w:numId="8">
    <w:abstractNumId w:val="0"/>
  </w:num>
  <w:num w:numId="9">
    <w:abstractNumId w:val="7"/>
  </w:num>
  <w:num w:numId="10">
    <w:abstractNumId w:val="3"/>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100"/>
  <w:drawingGridHorizontalSpacing w:val="105"/>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ED6"/>
    <w:rsid w:val="00011ECD"/>
    <w:rsid w:val="00014709"/>
    <w:rsid w:val="00043366"/>
    <w:rsid w:val="00047871"/>
    <w:rsid w:val="00050402"/>
    <w:rsid w:val="00063D7E"/>
    <w:rsid w:val="00074F53"/>
    <w:rsid w:val="00076221"/>
    <w:rsid w:val="0009108D"/>
    <w:rsid w:val="00092F51"/>
    <w:rsid w:val="00095A3C"/>
    <w:rsid w:val="00095DFB"/>
    <w:rsid w:val="000B18F0"/>
    <w:rsid w:val="000B48E9"/>
    <w:rsid w:val="000B6D87"/>
    <w:rsid w:val="000C00B2"/>
    <w:rsid w:val="000C13E8"/>
    <w:rsid w:val="000C4B6B"/>
    <w:rsid w:val="000D249F"/>
    <w:rsid w:val="000D27FF"/>
    <w:rsid w:val="000F0775"/>
    <w:rsid w:val="000F08C6"/>
    <w:rsid w:val="000F1046"/>
    <w:rsid w:val="000F135C"/>
    <w:rsid w:val="000F2092"/>
    <w:rsid w:val="000F474E"/>
    <w:rsid w:val="000F5F93"/>
    <w:rsid w:val="000F63D6"/>
    <w:rsid w:val="000F7296"/>
    <w:rsid w:val="001019E7"/>
    <w:rsid w:val="00102ED9"/>
    <w:rsid w:val="00107C55"/>
    <w:rsid w:val="001132C6"/>
    <w:rsid w:val="001240C5"/>
    <w:rsid w:val="001343D6"/>
    <w:rsid w:val="001403CD"/>
    <w:rsid w:val="00141554"/>
    <w:rsid w:val="001431D1"/>
    <w:rsid w:val="00143A27"/>
    <w:rsid w:val="00144CF8"/>
    <w:rsid w:val="00151E85"/>
    <w:rsid w:val="00157B73"/>
    <w:rsid w:val="001632CC"/>
    <w:rsid w:val="0016672F"/>
    <w:rsid w:val="00171641"/>
    <w:rsid w:val="00172A1E"/>
    <w:rsid w:val="00173A36"/>
    <w:rsid w:val="001800FD"/>
    <w:rsid w:val="001835D7"/>
    <w:rsid w:val="00186798"/>
    <w:rsid w:val="001A1835"/>
    <w:rsid w:val="001A7C36"/>
    <w:rsid w:val="001B1DE3"/>
    <w:rsid w:val="001B3A70"/>
    <w:rsid w:val="001C0CB2"/>
    <w:rsid w:val="001C668D"/>
    <w:rsid w:val="001D094E"/>
    <w:rsid w:val="001D5398"/>
    <w:rsid w:val="001D6D1E"/>
    <w:rsid w:val="001D6FA7"/>
    <w:rsid w:val="001E7B8E"/>
    <w:rsid w:val="0020335D"/>
    <w:rsid w:val="0020796C"/>
    <w:rsid w:val="002217F6"/>
    <w:rsid w:val="00223597"/>
    <w:rsid w:val="0022461C"/>
    <w:rsid w:val="002320DE"/>
    <w:rsid w:val="00250A6F"/>
    <w:rsid w:val="00253FA9"/>
    <w:rsid w:val="0026665C"/>
    <w:rsid w:val="0026717C"/>
    <w:rsid w:val="00270B8B"/>
    <w:rsid w:val="00280AE7"/>
    <w:rsid w:val="00286DDD"/>
    <w:rsid w:val="0029137D"/>
    <w:rsid w:val="002926D1"/>
    <w:rsid w:val="002937E7"/>
    <w:rsid w:val="002969EF"/>
    <w:rsid w:val="002A198E"/>
    <w:rsid w:val="002A76FC"/>
    <w:rsid w:val="002B22E1"/>
    <w:rsid w:val="002B3BFD"/>
    <w:rsid w:val="002B53DD"/>
    <w:rsid w:val="002C0DA9"/>
    <w:rsid w:val="002D54E1"/>
    <w:rsid w:val="002F40BE"/>
    <w:rsid w:val="002F7C3E"/>
    <w:rsid w:val="003034B4"/>
    <w:rsid w:val="00305B35"/>
    <w:rsid w:val="00310EB5"/>
    <w:rsid w:val="0031181C"/>
    <w:rsid w:val="003200DD"/>
    <w:rsid w:val="00320D23"/>
    <w:rsid w:val="00322C22"/>
    <w:rsid w:val="0033166E"/>
    <w:rsid w:val="003336FA"/>
    <w:rsid w:val="0033426E"/>
    <w:rsid w:val="00337C06"/>
    <w:rsid w:val="00343F53"/>
    <w:rsid w:val="00347E38"/>
    <w:rsid w:val="00351C88"/>
    <w:rsid w:val="0035375E"/>
    <w:rsid w:val="00357D1A"/>
    <w:rsid w:val="00360210"/>
    <w:rsid w:val="00364492"/>
    <w:rsid w:val="00383C23"/>
    <w:rsid w:val="0038457F"/>
    <w:rsid w:val="00385320"/>
    <w:rsid w:val="003953E5"/>
    <w:rsid w:val="003A3F67"/>
    <w:rsid w:val="003A3F6B"/>
    <w:rsid w:val="003A72B9"/>
    <w:rsid w:val="003B75C1"/>
    <w:rsid w:val="003B786A"/>
    <w:rsid w:val="003D2A99"/>
    <w:rsid w:val="003E141F"/>
    <w:rsid w:val="003E239C"/>
    <w:rsid w:val="003F2ED6"/>
    <w:rsid w:val="0040064D"/>
    <w:rsid w:val="00412BA6"/>
    <w:rsid w:val="004133AE"/>
    <w:rsid w:val="004158DA"/>
    <w:rsid w:val="004219A8"/>
    <w:rsid w:val="004368A8"/>
    <w:rsid w:val="00440F9B"/>
    <w:rsid w:val="00452D29"/>
    <w:rsid w:val="00453FBC"/>
    <w:rsid w:val="00454987"/>
    <w:rsid w:val="00482677"/>
    <w:rsid w:val="004841B8"/>
    <w:rsid w:val="0049476D"/>
    <w:rsid w:val="004A0483"/>
    <w:rsid w:val="004A0F00"/>
    <w:rsid w:val="004A2C55"/>
    <w:rsid w:val="004A2F75"/>
    <w:rsid w:val="004B200A"/>
    <w:rsid w:val="004B23F1"/>
    <w:rsid w:val="004B566C"/>
    <w:rsid w:val="004B643B"/>
    <w:rsid w:val="004C2351"/>
    <w:rsid w:val="004C29B1"/>
    <w:rsid w:val="004C311C"/>
    <w:rsid w:val="004C6A25"/>
    <w:rsid w:val="004D4A6B"/>
    <w:rsid w:val="004D4C09"/>
    <w:rsid w:val="004F51EE"/>
    <w:rsid w:val="00503539"/>
    <w:rsid w:val="005122FD"/>
    <w:rsid w:val="005242AA"/>
    <w:rsid w:val="005258FF"/>
    <w:rsid w:val="00531609"/>
    <w:rsid w:val="005335BA"/>
    <w:rsid w:val="0053496E"/>
    <w:rsid w:val="00534F4F"/>
    <w:rsid w:val="00541A86"/>
    <w:rsid w:val="005440C8"/>
    <w:rsid w:val="00545715"/>
    <w:rsid w:val="00546653"/>
    <w:rsid w:val="00560883"/>
    <w:rsid w:val="005724F0"/>
    <w:rsid w:val="005759F1"/>
    <w:rsid w:val="00576ECA"/>
    <w:rsid w:val="005805E4"/>
    <w:rsid w:val="005867C8"/>
    <w:rsid w:val="00590149"/>
    <w:rsid w:val="00593BD3"/>
    <w:rsid w:val="00596BB3"/>
    <w:rsid w:val="005A6130"/>
    <w:rsid w:val="005A6E59"/>
    <w:rsid w:val="005A7877"/>
    <w:rsid w:val="005A7F64"/>
    <w:rsid w:val="005C222C"/>
    <w:rsid w:val="005C5294"/>
    <w:rsid w:val="005C6D26"/>
    <w:rsid w:val="005D15CB"/>
    <w:rsid w:val="005D2329"/>
    <w:rsid w:val="005F0F7A"/>
    <w:rsid w:val="005F194D"/>
    <w:rsid w:val="005F43C7"/>
    <w:rsid w:val="00606763"/>
    <w:rsid w:val="006103BD"/>
    <w:rsid w:val="00611A58"/>
    <w:rsid w:val="00631716"/>
    <w:rsid w:val="00637BD9"/>
    <w:rsid w:val="00640F01"/>
    <w:rsid w:val="00642172"/>
    <w:rsid w:val="00642511"/>
    <w:rsid w:val="006464E2"/>
    <w:rsid w:val="00654D22"/>
    <w:rsid w:val="006604E8"/>
    <w:rsid w:val="00662032"/>
    <w:rsid w:val="00665289"/>
    <w:rsid w:val="006755D3"/>
    <w:rsid w:val="006758C4"/>
    <w:rsid w:val="00691EA3"/>
    <w:rsid w:val="00692E08"/>
    <w:rsid w:val="006A2BB1"/>
    <w:rsid w:val="006A5BF3"/>
    <w:rsid w:val="006A716E"/>
    <w:rsid w:val="006B57FE"/>
    <w:rsid w:val="006C028F"/>
    <w:rsid w:val="006C357A"/>
    <w:rsid w:val="006E184B"/>
    <w:rsid w:val="006E4D0F"/>
    <w:rsid w:val="006F3512"/>
    <w:rsid w:val="006F43E5"/>
    <w:rsid w:val="006F582F"/>
    <w:rsid w:val="00707BA2"/>
    <w:rsid w:val="007150EB"/>
    <w:rsid w:val="0071561A"/>
    <w:rsid w:val="00724630"/>
    <w:rsid w:val="0072694A"/>
    <w:rsid w:val="00731042"/>
    <w:rsid w:val="00745AFA"/>
    <w:rsid w:val="00747591"/>
    <w:rsid w:val="0074797D"/>
    <w:rsid w:val="00772F5A"/>
    <w:rsid w:val="00773F33"/>
    <w:rsid w:val="007743CF"/>
    <w:rsid w:val="00781212"/>
    <w:rsid w:val="00793036"/>
    <w:rsid w:val="00794DE1"/>
    <w:rsid w:val="007B08DA"/>
    <w:rsid w:val="007B55EA"/>
    <w:rsid w:val="007F2242"/>
    <w:rsid w:val="008010DC"/>
    <w:rsid w:val="00802517"/>
    <w:rsid w:val="00807EC9"/>
    <w:rsid w:val="00810C1B"/>
    <w:rsid w:val="008202BD"/>
    <w:rsid w:val="00821463"/>
    <w:rsid w:val="00832D0C"/>
    <w:rsid w:val="00833E0B"/>
    <w:rsid w:val="0084105F"/>
    <w:rsid w:val="00850C1A"/>
    <w:rsid w:val="00850F37"/>
    <w:rsid w:val="00853178"/>
    <w:rsid w:val="00870846"/>
    <w:rsid w:val="00871DA3"/>
    <w:rsid w:val="00873467"/>
    <w:rsid w:val="00874A0D"/>
    <w:rsid w:val="008771A9"/>
    <w:rsid w:val="00877D83"/>
    <w:rsid w:val="00890384"/>
    <w:rsid w:val="00890C7B"/>
    <w:rsid w:val="00893455"/>
    <w:rsid w:val="008939BE"/>
    <w:rsid w:val="008A4A0A"/>
    <w:rsid w:val="008B1375"/>
    <w:rsid w:val="008D7FCF"/>
    <w:rsid w:val="008E1EA6"/>
    <w:rsid w:val="008F2838"/>
    <w:rsid w:val="009038F0"/>
    <w:rsid w:val="00917CA5"/>
    <w:rsid w:val="0092029E"/>
    <w:rsid w:val="00920B95"/>
    <w:rsid w:val="00941337"/>
    <w:rsid w:val="009413DB"/>
    <w:rsid w:val="00942E77"/>
    <w:rsid w:val="009472C0"/>
    <w:rsid w:val="009475ED"/>
    <w:rsid w:val="009618E5"/>
    <w:rsid w:val="0096333D"/>
    <w:rsid w:val="00963C2F"/>
    <w:rsid w:val="00964C73"/>
    <w:rsid w:val="00974715"/>
    <w:rsid w:val="00975D23"/>
    <w:rsid w:val="00976302"/>
    <w:rsid w:val="00977D02"/>
    <w:rsid w:val="00983125"/>
    <w:rsid w:val="00984E24"/>
    <w:rsid w:val="00987E6C"/>
    <w:rsid w:val="00995FE3"/>
    <w:rsid w:val="00997E08"/>
    <w:rsid w:val="009A0A6E"/>
    <w:rsid w:val="009A49E9"/>
    <w:rsid w:val="009B1D96"/>
    <w:rsid w:val="009B38B3"/>
    <w:rsid w:val="009C15C8"/>
    <w:rsid w:val="009C4658"/>
    <w:rsid w:val="009C4DC8"/>
    <w:rsid w:val="009C533B"/>
    <w:rsid w:val="009D1FFE"/>
    <w:rsid w:val="009D6349"/>
    <w:rsid w:val="009E0215"/>
    <w:rsid w:val="009E4E44"/>
    <w:rsid w:val="009F169E"/>
    <w:rsid w:val="009F2921"/>
    <w:rsid w:val="00A0041E"/>
    <w:rsid w:val="00A00A78"/>
    <w:rsid w:val="00A00AAD"/>
    <w:rsid w:val="00A0177C"/>
    <w:rsid w:val="00A01B5C"/>
    <w:rsid w:val="00A051EE"/>
    <w:rsid w:val="00A11A5B"/>
    <w:rsid w:val="00A12C93"/>
    <w:rsid w:val="00A179E3"/>
    <w:rsid w:val="00A17D17"/>
    <w:rsid w:val="00A20975"/>
    <w:rsid w:val="00A3516C"/>
    <w:rsid w:val="00A35DC5"/>
    <w:rsid w:val="00A62269"/>
    <w:rsid w:val="00A62D7D"/>
    <w:rsid w:val="00A62FC2"/>
    <w:rsid w:val="00A6740C"/>
    <w:rsid w:val="00A72A79"/>
    <w:rsid w:val="00A8651B"/>
    <w:rsid w:val="00AA077A"/>
    <w:rsid w:val="00AA3738"/>
    <w:rsid w:val="00AB2611"/>
    <w:rsid w:val="00AC123C"/>
    <w:rsid w:val="00AC4394"/>
    <w:rsid w:val="00AC672C"/>
    <w:rsid w:val="00AD79B1"/>
    <w:rsid w:val="00AE2AE1"/>
    <w:rsid w:val="00AF4D53"/>
    <w:rsid w:val="00AF681C"/>
    <w:rsid w:val="00AF7D8D"/>
    <w:rsid w:val="00B0537A"/>
    <w:rsid w:val="00B07DA6"/>
    <w:rsid w:val="00B11CD4"/>
    <w:rsid w:val="00B16145"/>
    <w:rsid w:val="00B16381"/>
    <w:rsid w:val="00B16EA5"/>
    <w:rsid w:val="00B20B96"/>
    <w:rsid w:val="00B316B3"/>
    <w:rsid w:val="00B3179E"/>
    <w:rsid w:val="00B36B9F"/>
    <w:rsid w:val="00B55293"/>
    <w:rsid w:val="00B564EB"/>
    <w:rsid w:val="00B60620"/>
    <w:rsid w:val="00B60CF5"/>
    <w:rsid w:val="00B73039"/>
    <w:rsid w:val="00B82173"/>
    <w:rsid w:val="00B840A6"/>
    <w:rsid w:val="00B916E1"/>
    <w:rsid w:val="00BA0CFD"/>
    <w:rsid w:val="00BC202D"/>
    <w:rsid w:val="00BD491F"/>
    <w:rsid w:val="00BE0B72"/>
    <w:rsid w:val="00BE4DA1"/>
    <w:rsid w:val="00BF0F70"/>
    <w:rsid w:val="00BF5802"/>
    <w:rsid w:val="00BF7A4B"/>
    <w:rsid w:val="00C11E99"/>
    <w:rsid w:val="00C17EA8"/>
    <w:rsid w:val="00C3308E"/>
    <w:rsid w:val="00C33D6B"/>
    <w:rsid w:val="00C40C30"/>
    <w:rsid w:val="00C54E0F"/>
    <w:rsid w:val="00C56377"/>
    <w:rsid w:val="00C567AF"/>
    <w:rsid w:val="00C60D0A"/>
    <w:rsid w:val="00C61AC9"/>
    <w:rsid w:val="00C67CEB"/>
    <w:rsid w:val="00C702DC"/>
    <w:rsid w:val="00C71910"/>
    <w:rsid w:val="00C8090C"/>
    <w:rsid w:val="00C84A58"/>
    <w:rsid w:val="00CA1496"/>
    <w:rsid w:val="00CA2BFC"/>
    <w:rsid w:val="00CB3F5C"/>
    <w:rsid w:val="00CB711F"/>
    <w:rsid w:val="00CD42FA"/>
    <w:rsid w:val="00CE0118"/>
    <w:rsid w:val="00CE4B3B"/>
    <w:rsid w:val="00CE6048"/>
    <w:rsid w:val="00CE710D"/>
    <w:rsid w:val="00CE7D36"/>
    <w:rsid w:val="00CF3CD5"/>
    <w:rsid w:val="00CF7685"/>
    <w:rsid w:val="00CF7F0D"/>
    <w:rsid w:val="00D04981"/>
    <w:rsid w:val="00D0654C"/>
    <w:rsid w:val="00D2563E"/>
    <w:rsid w:val="00D27D65"/>
    <w:rsid w:val="00D33FE3"/>
    <w:rsid w:val="00D344B3"/>
    <w:rsid w:val="00D35640"/>
    <w:rsid w:val="00D411EF"/>
    <w:rsid w:val="00D44CB4"/>
    <w:rsid w:val="00D47674"/>
    <w:rsid w:val="00D50438"/>
    <w:rsid w:val="00D5396F"/>
    <w:rsid w:val="00D629C4"/>
    <w:rsid w:val="00D62AEC"/>
    <w:rsid w:val="00D64132"/>
    <w:rsid w:val="00D64325"/>
    <w:rsid w:val="00D657B2"/>
    <w:rsid w:val="00D67AA7"/>
    <w:rsid w:val="00D73801"/>
    <w:rsid w:val="00D81BE2"/>
    <w:rsid w:val="00D8267D"/>
    <w:rsid w:val="00D82A7D"/>
    <w:rsid w:val="00D94428"/>
    <w:rsid w:val="00D94D68"/>
    <w:rsid w:val="00DB0250"/>
    <w:rsid w:val="00DB5C9B"/>
    <w:rsid w:val="00DB6C09"/>
    <w:rsid w:val="00DD058F"/>
    <w:rsid w:val="00DD1D41"/>
    <w:rsid w:val="00DF3E56"/>
    <w:rsid w:val="00DF3E74"/>
    <w:rsid w:val="00DF525B"/>
    <w:rsid w:val="00E101E9"/>
    <w:rsid w:val="00E15281"/>
    <w:rsid w:val="00E1681C"/>
    <w:rsid w:val="00E21C24"/>
    <w:rsid w:val="00E22B1C"/>
    <w:rsid w:val="00E418B9"/>
    <w:rsid w:val="00E45A7D"/>
    <w:rsid w:val="00E57386"/>
    <w:rsid w:val="00E60B35"/>
    <w:rsid w:val="00E6100D"/>
    <w:rsid w:val="00E67B7F"/>
    <w:rsid w:val="00E70AEE"/>
    <w:rsid w:val="00E81341"/>
    <w:rsid w:val="00E9398F"/>
    <w:rsid w:val="00EA14FF"/>
    <w:rsid w:val="00EA7B11"/>
    <w:rsid w:val="00EC2831"/>
    <w:rsid w:val="00EC4116"/>
    <w:rsid w:val="00ED6A40"/>
    <w:rsid w:val="00EE49C4"/>
    <w:rsid w:val="00EE6018"/>
    <w:rsid w:val="00EF3203"/>
    <w:rsid w:val="00EF595E"/>
    <w:rsid w:val="00F17A72"/>
    <w:rsid w:val="00F21D62"/>
    <w:rsid w:val="00F23F82"/>
    <w:rsid w:val="00F24B50"/>
    <w:rsid w:val="00F334A7"/>
    <w:rsid w:val="00F33613"/>
    <w:rsid w:val="00F35EF9"/>
    <w:rsid w:val="00F46641"/>
    <w:rsid w:val="00F85CB8"/>
    <w:rsid w:val="00F92967"/>
    <w:rsid w:val="00FB197F"/>
    <w:rsid w:val="00FB50D9"/>
    <w:rsid w:val="00FB7E55"/>
    <w:rsid w:val="00FC0D12"/>
    <w:rsid w:val="00FC1D7E"/>
    <w:rsid w:val="00FD19B1"/>
    <w:rsid w:val="00FD28CE"/>
    <w:rsid w:val="00FD692B"/>
    <w:rsid w:val="00FE21DA"/>
    <w:rsid w:val="00FF4AFA"/>
    <w:rsid w:val="00FF5EA8"/>
    <w:rsid w:val="00FF696A"/>
    <w:rsid w:val="017B4D40"/>
    <w:rsid w:val="019F128A"/>
    <w:rsid w:val="01BB6144"/>
    <w:rsid w:val="01F7586A"/>
    <w:rsid w:val="025B2C03"/>
    <w:rsid w:val="02C2621C"/>
    <w:rsid w:val="02D642DB"/>
    <w:rsid w:val="031D2886"/>
    <w:rsid w:val="03611529"/>
    <w:rsid w:val="03A04854"/>
    <w:rsid w:val="042F2D99"/>
    <w:rsid w:val="044D26E8"/>
    <w:rsid w:val="049319C1"/>
    <w:rsid w:val="04A2161B"/>
    <w:rsid w:val="04B154D4"/>
    <w:rsid w:val="04E50089"/>
    <w:rsid w:val="04F1176B"/>
    <w:rsid w:val="055314D6"/>
    <w:rsid w:val="057115C5"/>
    <w:rsid w:val="059600AA"/>
    <w:rsid w:val="05A52E9F"/>
    <w:rsid w:val="069B1A69"/>
    <w:rsid w:val="07CD64D5"/>
    <w:rsid w:val="07E01420"/>
    <w:rsid w:val="07EC28A5"/>
    <w:rsid w:val="08681B3C"/>
    <w:rsid w:val="088B1A29"/>
    <w:rsid w:val="093F284B"/>
    <w:rsid w:val="097225BD"/>
    <w:rsid w:val="099361CD"/>
    <w:rsid w:val="09EF772D"/>
    <w:rsid w:val="09FB409D"/>
    <w:rsid w:val="0A17516A"/>
    <w:rsid w:val="0A2436DD"/>
    <w:rsid w:val="0A4C323E"/>
    <w:rsid w:val="0A6D0BC1"/>
    <w:rsid w:val="0A6F2DDF"/>
    <w:rsid w:val="0A9414BC"/>
    <w:rsid w:val="0AD95861"/>
    <w:rsid w:val="0B042481"/>
    <w:rsid w:val="0B667B77"/>
    <w:rsid w:val="0B936E03"/>
    <w:rsid w:val="0BC54321"/>
    <w:rsid w:val="0C2F0F17"/>
    <w:rsid w:val="0C620A55"/>
    <w:rsid w:val="0C6F07B0"/>
    <w:rsid w:val="0CE874CC"/>
    <w:rsid w:val="0D156588"/>
    <w:rsid w:val="0D19188B"/>
    <w:rsid w:val="0D5420F2"/>
    <w:rsid w:val="0D853B66"/>
    <w:rsid w:val="0D862F3D"/>
    <w:rsid w:val="0DF43C55"/>
    <w:rsid w:val="0E594DB4"/>
    <w:rsid w:val="0E5A6B34"/>
    <w:rsid w:val="0E65327A"/>
    <w:rsid w:val="0E9960EA"/>
    <w:rsid w:val="0E9C1764"/>
    <w:rsid w:val="0F1D14DB"/>
    <w:rsid w:val="0F210F57"/>
    <w:rsid w:val="0FF0126E"/>
    <w:rsid w:val="10075E08"/>
    <w:rsid w:val="10402738"/>
    <w:rsid w:val="10966690"/>
    <w:rsid w:val="10D842E1"/>
    <w:rsid w:val="11200E0E"/>
    <w:rsid w:val="112154D1"/>
    <w:rsid w:val="11467596"/>
    <w:rsid w:val="115C0A93"/>
    <w:rsid w:val="115E110D"/>
    <w:rsid w:val="116C0539"/>
    <w:rsid w:val="118E3102"/>
    <w:rsid w:val="11DA79F1"/>
    <w:rsid w:val="1231797F"/>
    <w:rsid w:val="126E08E5"/>
    <w:rsid w:val="1294348F"/>
    <w:rsid w:val="12B87C38"/>
    <w:rsid w:val="1364393E"/>
    <w:rsid w:val="137815E8"/>
    <w:rsid w:val="13E024F7"/>
    <w:rsid w:val="142524E7"/>
    <w:rsid w:val="143F7EB9"/>
    <w:rsid w:val="154C118F"/>
    <w:rsid w:val="15B24D6C"/>
    <w:rsid w:val="15C0055F"/>
    <w:rsid w:val="15D15AEB"/>
    <w:rsid w:val="161A5B51"/>
    <w:rsid w:val="163E614D"/>
    <w:rsid w:val="16A930AD"/>
    <w:rsid w:val="17923454"/>
    <w:rsid w:val="17A24DFB"/>
    <w:rsid w:val="180E1B29"/>
    <w:rsid w:val="1823439B"/>
    <w:rsid w:val="18B206A5"/>
    <w:rsid w:val="18D271AF"/>
    <w:rsid w:val="19291A20"/>
    <w:rsid w:val="192D193A"/>
    <w:rsid w:val="19815DB4"/>
    <w:rsid w:val="19C370FB"/>
    <w:rsid w:val="1A0F4587"/>
    <w:rsid w:val="1A7B3B44"/>
    <w:rsid w:val="1AA926FC"/>
    <w:rsid w:val="1AC83C20"/>
    <w:rsid w:val="1ACC08DB"/>
    <w:rsid w:val="1AE41B2C"/>
    <w:rsid w:val="1C6631F1"/>
    <w:rsid w:val="1CBC449C"/>
    <w:rsid w:val="1CD215E6"/>
    <w:rsid w:val="1D075220"/>
    <w:rsid w:val="1D16627B"/>
    <w:rsid w:val="1D597EE5"/>
    <w:rsid w:val="1DB305AA"/>
    <w:rsid w:val="1DD647E1"/>
    <w:rsid w:val="1E6D152D"/>
    <w:rsid w:val="1F222924"/>
    <w:rsid w:val="1F4544B4"/>
    <w:rsid w:val="1F814EBA"/>
    <w:rsid w:val="1F8B53DA"/>
    <w:rsid w:val="1FA35771"/>
    <w:rsid w:val="20426CFD"/>
    <w:rsid w:val="20533F4A"/>
    <w:rsid w:val="20A4172F"/>
    <w:rsid w:val="20D165E0"/>
    <w:rsid w:val="21551F1B"/>
    <w:rsid w:val="21790732"/>
    <w:rsid w:val="21C727E1"/>
    <w:rsid w:val="21F70E0E"/>
    <w:rsid w:val="221C6D96"/>
    <w:rsid w:val="223E2102"/>
    <w:rsid w:val="225F1748"/>
    <w:rsid w:val="226F5711"/>
    <w:rsid w:val="23086BFC"/>
    <w:rsid w:val="234B14B9"/>
    <w:rsid w:val="23E20EED"/>
    <w:rsid w:val="23FD212F"/>
    <w:rsid w:val="24C63B80"/>
    <w:rsid w:val="25111399"/>
    <w:rsid w:val="251D5245"/>
    <w:rsid w:val="25673626"/>
    <w:rsid w:val="26686CEF"/>
    <w:rsid w:val="27BD18E0"/>
    <w:rsid w:val="27DC55D7"/>
    <w:rsid w:val="27EF324E"/>
    <w:rsid w:val="27F84584"/>
    <w:rsid w:val="28433A8E"/>
    <w:rsid w:val="289135FD"/>
    <w:rsid w:val="28A82D5B"/>
    <w:rsid w:val="292F2406"/>
    <w:rsid w:val="294916A2"/>
    <w:rsid w:val="29597C42"/>
    <w:rsid w:val="295F16EB"/>
    <w:rsid w:val="297E1B4D"/>
    <w:rsid w:val="29B61E7E"/>
    <w:rsid w:val="2A4414CF"/>
    <w:rsid w:val="2A6C706D"/>
    <w:rsid w:val="2A937931"/>
    <w:rsid w:val="2AFE1262"/>
    <w:rsid w:val="2B00526F"/>
    <w:rsid w:val="2B0A0A6F"/>
    <w:rsid w:val="2B1F1C39"/>
    <w:rsid w:val="2B2B68A8"/>
    <w:rsid w:val="2BF86644"/>
    <w:rsid w:val="2C3E33B8"/>
    <w:rsid w:val="2C4F1FE4"/>
    <w:rsid w:val="2C5E53FF"/>
    <w:rsid w:val="2C820E21"/>
    <w:rsid w:val="2D3E6559"/>
    <w:rsid w:val="2D457B10"/>
    <w:rsid w:val="2D705E83"/>
    <w:rsid w:val="2DAE34B9"/>
    <w:rsid w:val="2DC57D5B"/>
    <w:rsid w:val="2DE77365"/>
    <w:rsid w:val="2E0216AC"/>
    <w:rsid w:val="2E247524"/>
    <w:rsid w:val="2E69320E"/>
    <w:rsid w:val="2E700DD6"/>
    <w:rsid w:val="2E741DD6"/>
    <w:rsid w:val="2E7A6958"/>
    <w:rsid w:val="2EB11D5E"/>
    <w:rsid w:val="2F3C2249"/>
    <w:rsid w:val="2F4250B0"/>
    <w:rsid w:val="30150B09"/>
    <w:rsid w:val="30181573"/>
    <w:rsid w:val="306A75C3"/>
    <w:rsid w:val="30B1575E"/>
    <w:rsid w:val="31662556"/>
    <w:rsid w:val="31790FA8"/>
    <w:rsid w:val="31987412"/>
    <w:rsid w:val="319A66D0"/>
    <w:rsid w:val="31F17147"/>
    <w:rsid w:val="32397FF3"/>
    <w:rsid w:val="325A0E05"/>
    <w:rsid w:val="327358CC"/>
    <w:rsid w:val="32936AA7"/>
    <w:rsid w:val="32A146A9"/>
    <w:rsid w:val="33B17220"/>
    <w:rsid w:val="33B42114"/>
    <w:rsid w:val="33B719C4"/>
    <w:rsid w:val="33C032CF"/>
    <w:rsid w:val="3413152B"/>
    <w:rsid w:val="345E02C4"/>
    <w:rsid w:val="34B753E3"/>
    <w:rsid w:val="358F6DAA"/>
    <w:rsid w:val="35C77D9C"/>
    <w:rsid w:val="360D102C"/>
    <w:rsid w:val="363429C0"/>
    <w:rsid w:val="36AF4B2F"/>
    <w:rsid w:val="36DB4144"/>
    <w:rsid w:val="37863B68"/>
    <w:rsid w:val="38973FE4"/>
    <w:rsid w:val="39412F93"/>
    <w:rsid w:val="3A76452D"/>
    <w:rsid w:val="3AF90CBF"/>
    <w:rsid w:val="3BB77F64"/>
    <w:rsid w:val="3D065BAD"/>
    <w:rsid w:val="3D0D4E09"/>
    <w:rsid w:val="3D707725"/>
    <w:rsid w:val="3D795DB5"/>
    <w:rsid w:val="3E1068C3"/>
    <w:rsid w:val="3E506E48"/>
    <w:rsid w:val="3EA03591"/>
    <w:rsid w:val="3EA568EF"/>
    <w:rsid w:val="3F072216"/>
    <w:rsid w:val="3F3841AA"/>
    <w:rsid w:val="3F4F59CD"/>
    <w:rsid w:val="3FC719B7"/>
    <w:rsid w:val="3FF14683"/>
    <w:rsid w:val="3FFC4B0C"/>
    <w:rsid w:val="402B46EA"/>
    <w:rsid w:val="40D70CA4"/>
    <w:rsid w:val="4161165B"/>
    <w:rsid w:val="419D572E"/>
    <w:rsid w:val="41F20501"/>
    <w:rsid w:val="428253C0"/>
    <w:rsid w:val="430B68B0"/>
    <w:rsid w:val="43852BDE"/>
    <w:rsid w:val="438D14C7"/>
    <w:rsid w:val="43A766C9"/>
    <w:rsid w:val="43DF7EDC"/>
    <w:rsid w:val="43EB0E95"/>
    <w:rsid w:val="440324A0"/>
    <w:rsid w:val="440E25B5"/>
    <w:rsid w:val="442B300F"/>
    <w:rsid w:val="443365B6"/>
    <w:rsid w:val="44995CF7"/>
    <w:rsid w:val="44B07C37"/>
    <w:rsid w:val="44CB5E39"/>
    <w:rsid w:val="44D35F3D"/>
    <w:rsid w:val="44FA3266"/>
    <w:rsid w:val="45CD0EC5"/>
    <w:rsid w:val="46E461D2"/>
    <w:rsid w:val="47081642"/>
    <w:rsid w:val="4710543A"/>
    <w:rsid w:val="471C35D3"/>
    <w:rsid w:val="473A2265"/>
    <w:rsid w:val="473C0C50"/>
    <w:rsid w:val="476A452D"/>
    <w:rsid w:val="47827CE8"/>
    <w:rsid w:val="47936E84"/>
    <w:rsid w:val="48B50D89"/>
    <w:rsid w:val="490A20AF"/>
    <w:rsid w:val="493836DA"/>
    <w:rsid w:val="49805156"/>
    <w:rsid w:val="498B4DE8"/>
    <w:rsid w:val="49926AD3"/>
    <w:rsid w:val="49ED6952"/>
    <w:rsid w:val="4AA130AF"/>
    <w:rsid w:val="4B1579E4"/>
    <w:rsid w:val="4B7242B8"/>
    <w:rsid w:val="4BDA33B9"/>
    <w:rsid w:val="4C0B64A9"/>
    <w:rsid w:val="4C132D02"/>
    <w:rsid w:val="4C6B3194"/>
    <w:rsid w:val="4C8C2CAA"/>
    <w:rsid w:val="4C94692B"/>
    <w:rsid w:val="4CF1441C"/>
    <w:rsid w:val="4D3D7584"/>
    <w:rsid w:val="4D4745C8"/>
    <w:rsid w:val="4DD917CE"/>
    <w:rsid w:val="4E4C74A7"/>
    <w:rsid w:val="4E7902BB"/>
    <w:rsid w:val="4EDA4F4E"/>
    <w:rsid w:val="4EE75FFD"/>
    <w:rsid w:val="4F3B3E0A"/>
    <w:rsid w:val="4FB54F48"/>
    <w:rsid w:val="4FCC53D0"/>
    <w:rsid w:val="50033DDA"/>
    <w:rsid w:val="50D54CE6"/>
    <w:rsid w:val="51057895"/>
    <w:rsid w:val="51455C9A"/>
    <w:rsid w:val="51585983"/>
    <w:rsid w:val="524453D1"/>
    <w:rsid w:val="525A2376"/>
    <w:rsid w:val="52CB247A"/>
    <w:rsid w:val="5426532C"/>
    <w:rsid w:val="54274E6D"/>
    <w:rsid w:val="54866B54"/>
    <w:rsid w:val="550B434B"/>
    <w:rsid w:val="551368A0"/>
    <w:rsid w:val="553C2C5E"/>
    <w:rsid w:val="564C2C4B"/>
    <w:rsid w:val="567F1EA1"/>
    <w:rsid w:val="569623DF"/>
    <w:rsid w:val="56E97DF7"/>
    <w:rsid w:val="571A7085"/>
    <w:rsid w:val="57422CC3"/>
    <w:rsid w:val="576D6BA8"/>
    <w:rsid w:val="578F4111"/>
    <w:rsid w:val="57B33B59"/>
    <w:rsid w:val="57D97FF1"/>
    <w:rsid w:val="58555D8D"/>
    <w:rsid w:val="585C2844"/>
    <w:rsid w:val="58894810"/>
    <w:rsid w:val="58A6629F"/>
    <w:rsid w:val="58BE66A6"/>
    <w:rsid w:val="58BF5D66"/>
    <w:rsid w:val="58C20E22"/>
    <w:rsid w:val="58D83DCA"/>
    <w:rsid w:val="590A5A1F"/>
    <w:rsid w:val="59527937"/>
    <w:rsid w:val="595E7043"/>
    <w:rsid w:val="59993CB5"/>
    <w:rsid w:val="59D7322F"/>
    <w:rsid w:val="5A627A39"/>
    <w:rsid w:val="5A7E3AD5"/>
    <w:rsid w:val="5A8A4A8E"/>
    <w:rsid w:val="5ABC6408"/>
    <w:rsid w:val="5B443AAA"/>
    <w:rsid w:val="5B7B460E"/>
    <w:rsid w:val="5BAD1BC8"/>
    <w:rsid w:val="5BC35917"/>
    <w:rsid w:val="5C0D1289"/>
    <w:rsid w:val="5C0F2D54"/>
    <w:rsid w:val="5C2B2C64"/>
    <w:rsid w:val="5C393DC9"/>
    <w:rsid w:val="5C3F3950"/>
    <w:rsid w:val="5C6E39CD"/>
    <w:rsid w:val="5D482AF9"/>
    <w:rsid w:val="5D7B314A"/>
    <w:rsid w:val="5D865AA2"/>
    <w:rsid w:val="5E704FC8"/>
    <w:rsid w:val="5EB47616"/>
    <w:rsid w:val="5EBB148A"/>
    <w:rsid w:val="5ED818B0"/>
    <w:rsid w:val="5F0E6876"/>
    <w:rsid w:val="5F1D70FB"/>
    <w:rsid w:val="5F7A55CB"/>
    <w:rsid w:val="5FA77E78"/>
    <w:rsid w:val="5FCD6D7A"/>
    <w:rsid w:val="5FEC6A29"/>
    <w:rsid w:val="5FF97043"/>
    <w:rsid w:val="604653E4"/>
    <w:rsid w:val="610E38E0"/>
    <w:rsid w:val="610F2CB4"/>
    <w:rsid w:val="61167D2D"/>
    <w:rsid w:val="61DC50D9"/>
    <w:rsid w:val="620053C1"/>
    <w:rsid w:val="620E7C5F"/>
    <w:rsid w:val="62270ADF"/>
    <w:rsid w:val="625378D1"/>
    <w:rsid w:val="638043CD"/>
    <w:rsid w:val="63B109AF"/>
    <w:rsid w:val="63BD5816"/>
    <w:rsid w:val="64EE0F15"/>
    <w:rsid w:val="657E7ACD"/>
    <w:rsid w:val="658339B4"/>
    <w:rsid w:val="65CA29C5"/>
    <w:rsid w:val="65D80871"/>
    <w:rsid w:val="65E956CF"/>
    <w:rsid w:val="65F052A1"/>
    <w:rsid w:val="663B572E"/>
    <w:rsid w:val="66B050D3"/>
    <w:rsid w:val="66D864C9"/>
    <w:rsid w:val="670B6EF9"/>
    <w:rsid w:val="671036AF"/>
    <w:rsid w:val="673B20F9"/>
    <w:rsid w:val="67577DF7"/>
    <w:rsid w:val="680844A0"/>
    <w:rsid w:val="684D71CF"/>
    <w:rsid w:val="68DB4AEF"/>
    <w:rsid w:val="698117BF"/>
    <w:rsid w:val="69965724"/>
    <w:rsid w:val="69A57FB1"/>
    <w:rsid w:val="6A2B313E"/>
    <w:rsid w:val="6A4467AA"/>
    <w:rsid w:val="6A452224"/>
    <w:rsid w:val="6A6C17DD"/>
    <w:rsid w:val="6AF440DC"/>
    <w:rsid w:val="6BA80DB1"/>
    <w:rsid w:val="6C23251E"/>
    <w:rsid w:val="6C4562AE"/>
    <w:rsid w:val="6C726415"/>
    <w:rsid w:val="6CFA3259"/>
    <w:rsid w:val="6D331832"/>
    <w:rsid w:val="6D3535AA"/>
    <w:rsid w:val="6D3951DB"/>
    <w:rsid w:val="6D49716C"/>
    <w:rsid w:val="6D63564B"/>
    <w:rsid w:val="6D651FE6"/>
    <w:rsid w:val="6D771154"/>
    <w:rsid w:val="6D8010B0"/>
    <w:rsid w:val="6E014C22"/>
    <w:rsid w:val="6E1231BC"/>
    <w:rsid w:val="6E1845CD"/>
    <w:rsid w:val="6ED91546"/>
    <w:rsid w:val="6F6748D6"/>
    <w:rsid w:val="6FD91B43"/>
    <w:rsid w:val="7018750F"/>
    <w:rsid w:val="702225E2"/>
    <w:rsid w:val="70624CFC"/>
    <w:rsid w:val="707725B8"/>
    <w:rsid w:val="70C435D1"/>
    <w:rsid w:val="70CA156D"/>
    <w:rsid w:val="70CF039C"/>
    <w:rsid w:val="710527FD"/>
    <w:rsid w:val="71791E23"/>
    <w:rsid w:val="71CB75A4"/>
    <w:rsid w:val="72283F7B"/>
    <w:rsid w:val="723851DD"/>
    <w:rsid w:val="725E15F7"/>
    <w:rsid w:val="72AB48E6"/>
    <w:rsid w:val="72B159A4"/>
    <w:rsid w:val="73817DBF"/>
    <w:rsid w:val="73DA32E4"/>
    <w:rsid w:val="74217E6E"/>
    <w:rsid w:val="74486BA7"/>
    <w:rsid w:val="746F4550"/>
    <w:rsid w:val="74755C01"/>
    <w:rsid w:val="74A905A6"/>
    <w:rsid w:val="74AD5CC5"/>
    <w:rsid w:val="75016933"/>
    <w:rsid w:val="750C7B1C"/>
    <w:rsid w:val="759D14AE"/>
    <w:rsid w:val="75A2482B"/>
    <w:rsid w:val="75D46CCF"/>
    <w:rsid w:val="763E18BE"/>
    <w:rsid w:val="768E6161"/>
    <w:rsid w:val="77154207"/>
    <w:rsid w:val="77654CBC"/>
    <w:rsid w:val="77B466DA"/>
    <w:rsid w:val="77F9134D"/>
    <w:rsid w:val="78466826"/>
    <w:rsid w:val="78FB1F18"/>
    <w:rsid w:val="79414858"/>
    <w:rsid w:val="79426A45"/>
    <w:rsid w:val="795646A9"/>
    <w:rsid w:val="798D5337"/>
    <w:rsid w:val="79B63BF3"/>
    <w:rsid w:val="7A235C9B"/>
    <w:rsid w:val="7A5614A2"/>
    <w:rsid w:val="7A9862F5"/>
    <w:rsid w:val="7AB73FDF"/>
    <w:rsid w:val="7ABB0D0D"/>
    <w:rsid w:val="7AEC4473"/>
    <w:rsid w:val="7B092148"/>
    <w:rsid w:val="7B393C75"/>
    <w:rsid w:val="7B9633A8"/>
    <w:rsid w:val="7BBF555D"/>
    <w:rsid w:val="7BEF445B"/>
    <w:rsid w:val="7CBD3DBE"/>
    <w:rsid w:val="7D365589"/>
    <w:rsid w:val="7DBC149B"/>
    <w:rsid w:val="7E40319D"/>
    <w:rsid w:val="7E9C05BC"/>
    <w:rsid w:val="7E9D6200"/>
    <w:rsid w:val="7F0B7D73"/>
    <w:rsid w:val="7F234E2D"/>
    <w:rsid w:val="7F262F3B"/>
    <w:rsid w:val="7F326B39"/>
    <w:rsid w:val="7F3575F6"/>
    <w:rsid w:val="7F372864"/>
    <w:rsid w:val="7F3C31A4"/>
    <w:rsid w:val="7FB82AF5"/>
    <w:rsid w:val="7FEC5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148"/>
    <w:qFormat/>
    <w:uiPriority w:val="0"/>
    <w:pPr>
      <w:keepNext/>
      <w:keepLines/>
      <w:spacing w:line="360" w:lineRule="auto"/>
      <w:jc w:val="center"/>
      <w:outlineLvl w:val="0"/>
    </w:pPr>
    <w:rPr>
      <w:rFonts w:ascii="Calibri" w:hAnsi="Calibri" w:eastAsia="华文细黑"/>
      <w:b/>
      <w:bCs/>
      <w:kern w:val="44"/>
      <w:sz w:val="28"/>
      <w:szCs w:val="44"/>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3"/>
    <w:basedOn w:val="1"/>
    <w:next w:val="1"/>
    <w:qFormat/>
    <w:uiPriority w:val="0"/>
    <w:pPr>
      <w:keepNext/>
      <w:keepLines/>
      <w:spacing w:line="360" w:lineRule="auto"/>
      <w:ind w:firstLine="200" w:firstLineChars="200"/>
      <w:outlineLvl w:val="2"/>
    </w:pPr>
    <w:rPr>
      <w:b/>
      <w:bCs/>
      <w:szCs w:val="32"/>
    </w:rPr>
  </w:style>
  <w:style w:type="paragraph" w:styleId="5">
    <w:name w:val="heading 4"/>
    <w:basedOn w:val="1"/>
    <w:next w:val="1"/>
    <w:link w:val="68"/>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6">
    <w:name w:val="toc 7"/>
    <w:next w:val="1"/>
    <w:qFormat/>
    <w:uiPriority w:val="0"/>
    <w:pPr>
      <w:ind w:left="1260"/>
    </w:pPr>
    <w:rPr>
      <w:rFonts w:ascii="Calibri" w:hAnsi="Calibri" w:eastAsia="宋体" w:cs="Times New Roman"/>
      <w:sz w:val="18"/>
      <w:szCs w:val="18"/>
      <w:lang w:val="en-US" w:eastAsia="zh-CN" w:bidi="ar-SA"/>
    </w:rPr>
  </w:style>
  <w:style w:type="paragraph" w:styleId="7">
    <w:name w:val="List Number 2"/>
    <w:basedOn w:val="1"/>
    <w:qFormat/>
    <w:uiPriority w:val="0"/>
    <w:pPr>
      <w:widowControl/>
      <w:tabs>
        <w:tab w:val="left" w:pos="1697"/>
      </w:tabs>
      <w:spacing w:afterLines="50"/>
      <w:ind w:left="1697" w:hanging="420"/>
      <w:jc w:val="left"/>
    </w:pPr>
    <w:rPr>
      <w:sz w:val="24"/>
      <w:szCs w:val="20"/>
    </w:rPr>
  </w:style>
  <w:style w:type="paragraph" w:styleId="8">
    <w:name w:val="List Number"/>
    <w:basedOn w:val="1"/>
    <w:qFormat/>
    <w:uiPriority w:val="0"/>
    <w:pPr>
      <w:widowControl/>
      <w:numPr>
        <w:ilvl w:val="0"/>
        <w:numId w:val="1"/>
      </w:numPr>
      <w:tabs>
        <w:tab w:val="left" w:pos="454"/>
      </w:tabs>
      <w:spacing w:afterLines="50"/>
      <w:ind w:left="454" w:hanging="284"/>
      <w:jc w:val="left"/>
    </w:pPr>
    <w:rPr>
      <w:sz w:val="24"/>
      <w:szCs w:val="20"/>
    </w:rPr>
  </w:style>
  <w:style w:type="paragraph" w:styleId="9">
    <w:name w:val="Normal Indent"/>
    <w:basedOn w:val="1"/>
    <w:qFormat/>
    <w:uiPriority w:val="0"/>
    <w:pPr>
      <w:ind w:firstLine="420" w:firstLineChars="200"/>
    </w:pPr>
  </w:style>
  <w:style w:type="paragraph" w:styleId="10">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1">
    <w:name w:val="annotation text"/>
    <w:basedOn w:val="1"/>
    <w:link w:val="110"/>
    <w:qFormat/>
    <w:uiPriority w:val="0"/>
    <w:pPr>
      <w:jc w:val="left"/>
    </w:pPr>
  </w:style>
  <w:style w:type="paragraph" w:styleId="12">
    <w:name w:val="Body Text 3"/>
    <w:link w:val="107"/>
    <w:qFormat/>
    <w:uiPriority w:val="0"/>
    <w:pPr>
      <w:widowControl w:val="0"/>
      <w:snapToGrid w:val="0"/>
      <w:spacing w:before="50" w:after="50"/>
      <w:jc w:val="both"/>
    </w:pPr>
    <w:rPr>
      <w:rFonts w:ascii="Times New Roman" w:hAnsi="Times New Roman" w:eastAsia="仿宋_GB2312" w:cs="Times New Roman"/>
      <w:b/>
      <w:bCs/>
      <w:kern w:val="2"/>
      <w:sz w:val="24"/>
      <w:lang w:val="en-US" w:eastAsia="zh-CN" w:bidi="ar-SA"/>
    </w:rPr>
  </w:style>
  <w:style w:type="paragraph" w:styleId="13">
    <w:name w:val="Body Text"/>
    <w:basedOn w:val="1"/>
    <w:next w:val="14"/>
    <w:link w:val="147"/>
    <w:qFormat/>
    <w:uiPriority w:val="1"/>
    <w:rPr>
      <w:sz w:val="24"/>
      <w:szCs w:val="24"/>
    </w:rPr>
  </w:style>
  <w:style w:type="paragraph" w:styleId="14">
    <w:name w:val="Body Text 2"/>
    <w:basedOn w:val="1"/>
    <w:next w:val="13"/>
    <w:qFormat/>
    <w:uiPriority w:val="0"/>
    <w:pPr>
      <w:spacing w:line="480" w:lineRule="auto"/>
    </w:pPr>
  </w:style>
  <w:style w:type="paragraph" w:styleId="15">
    <w:name w:val="Body Text Indent"/>
    <w:link w:val="108"/>
    <w:qFormat/>
    <w:uiPriority w:val="0"/>
    <w:pPr>
      <w:widowControl w:val="0"/>
      <w:spacing w:after="120"/>
      <w:ind w:left="200" w:leftChars="200"/>
      <w:jc w:val="both"/>
    </w:pPr>
    <w:rPr>
      <w:rFonts w:ascii="Times New Roman" w:hAnsi="Times New Roman" w:eastAsia="宋体" w:cs="Times New Roman"/>
      <w:kern w:val="2"/>
      <w:sz w:val="21"/>
      <w:szCs w:val="24"/>
      <w:lang w:val="en-US" w:eastAsia="zh-CN" w:bidi="ar-SA"/>
    </w:rPr>
  </w:style>
  <w:style w:type="paragraph" w:styleId="16">
    <w:name w:val="List Number 3"/>
    <w:basedOn w:val="1"/>
    <w:qFormat/>
    <w:uiPriority w:val="0"/>
    <w:pPr>
      <w:numPr>
        <w:ilvl w:val="0"/>
        <w:numId w:val="2"/>
      </w:numPr>
    </w:pPr>
    <w:rPr>
      <w:kern w:val="2"/>
      <w:szCs w:val="20"/>
    </w:rPr>
  </w:style>
  <w:style w:type="paragraph" w:styleId="17">
    <w:name w:val="toc 5"/>
    <w:next w:val="1"/>
    <w:qFormat/>
    <w:uiPriority w:val="0"/>
    <w:pPr>
      <w:ind w:left="840"/>
    </w:pPr>
    <w:rPr>
      <w:rFonts w:ascii="Calibri" w:hAnsi="Calibri" w:eastAsia="宋体" w:cs="Times New Roman"/>
      <w:sz w:val="18"/>
      <w:szCs w:val="18"/>
      <w:lang w:val="en-US" w:eastAsia="zh-CN" w:bidi="ar-SA"/>
    </w:rPr>
  </w:style>
  <w:style w:type="paragraph" w:styleId="18">
    <w:name w:val="toc 3"/>
    <w:next w:val="1"/>
    <w:qFormat/>
    <w:uiPriority w:val="0"/>
    <w:pPr>
      <w:ind w:left="420"/>
    </w:pPr>
    <w:rPr>
      <w:rFonts w:ascii="Calibri" w:hAnsi="Calibri" w:eastAsia="宋体" w:cs="Times New Roman"/>
      <w:i/>
      <w:iCs/>
      <w:lang w:val="en-US" w:eastAsia="zh-CN" w:bidi="ar-SA"/>
    </w:rPr>
  </w:style>
  <w:style w:type="paragraph" w:styleId="19">
    <w:name w:val="Plain Text"/>
    <w:basedOn w:val="1"/>
    <w:qFormat/>
    <w:uiPriority w:val="0"/>
    <w:rPr>
      <w:rFonts w:ascii="宋体" w:hAnsi="Courier New" w:cs="Courier New"/>
      <w:szCs w:val="21"/>
    </w:rPr>
  </w:style>
  <w:style w:type="paragraph" w:styleId="20">
    <w:name w:val="toc 8"/>
    <w:next w:val="1"/>
    <w:qFormat/>
    <w:uiPriority w:val="0"/>
    <w:pPr>
      <w:ind w:left="1470"/>
    </w:pPr>
    <w:rPr>
      <w:rFonts w:ascii="Calibri" w:hAnsi="Calibri" w:eastAsia="宋体" w:cs="Times New Roman"/>
      <w:sz w:val="18"/>
      <w:szCs w:val="18"/>
      <w:lang w:val="en-US" w:eastAsia="zh-CN" w:bidi="ar-SA"/>
    </w:rPr>
  </w:style>
  <w:style w:type="paragraph" w:styleId="21">
    <w:name w:val="Date"/>
    <w:basedOn w:val="1"/>
    <w:next w:val="1"/>
    <w:link w:val="93"/>
    <w:qFormat/>
    <w:uiPriority w:val="0"/>
    <w:rPr>
      <w:rFonts w:eastAsia="仿宋_GB2312"/>
      <w:sz w:val="28"/>
      <w:szCs w:val="20"/>
    </w:rPr>
  </w:style>
  <w:style w:type="paragraph" w:styleId="22">
    <w:name w:val="Balloon Text"/>
    <w:basedOn w:val="1"/>
    <w:link w:val="106"/>
    <w:qFormat/>
    <w:uiPriority w:val="0"/>
    <w:rPr>
      <w:sz w:val="18"/>
      <w:szCs w:val="18"/>
    </w:rPr>
  </w:style>
  <w:style w:type="paragraph" w:styleId="23">
    <w:name w:val="footer"/>
    <w:basedOn w:val="1"/>
    <w:link w:val="96"/>
    <w:qFormat/>
    <w:uiPriority w:val="0"/>
    <w:pPr>
      <w:tabs>
        <w:tab w:val="center" w:pos="4153"/>
        <w:tab w:val="right" w:pos="8306"/>
      </w:tabs>
      <w:snapToGrid w:val="0"/>
      <w:jc w:val="left"/>
    </w:pPr>
    <w:rPr>
      <w:sz w:val="18"/>
      <w:szCs w:val="18"/>
    </w:rPr>
  </w:style>
  <w:style w:type="paragraph" w:styleId="24">
    <w:name w:val="header"/>
    <w:basedOn w:val="1"/>
    <w:link w:val="66"/>
    <w:qFormat/>
    <w:uiPriority w:val="0"/>
    <w:pPr>
      <w:pBdr>
        <w:bottom w:val="single" w:color="auto" w:sz="6" w:space="1"/>
      </w:pBdr>
      <w:tabs>
        <w:tab w:val="center" w:pos="4153"/>
        <w:tab w:val="right" w:pos="8306"/>
      </w:tabs>
      <w:snapToGrid w:val="0"/>
      <w:jc w:val="center"/>
    </w:pPr>
    <w:rPr>
      <w:sz w:val="18"/>
      <w:szCs w:val="18"/>
    </w:rPr>
  </w:style>
  <w:style w:type="paragraph" w:styleId="25">
    <w:name w:val="toc 1"/>
    <w:next w:val="1"/>
    <w:qFormat/>
    <w:uiPriority w:val="0"/>
    <w:pPr>
      <w:spacing w:beforeLines="38" w:afterLines="38"/>
    </w:pPr>
    <w:rPr>
      <w:rFonts w:ascii="Calibri" w:hAnsi="Calibri" w:eastAsia="宋体" w:cs="Times New Roman"/>
      <w:b/>
      <w:bCs/>
      <w:lang w:val="en-US" w:eastAsia="zh-CN" w:bidi="ar-SA"/>
    </w:rPr>
  </w:style>
  <w:style w:type="paragraph" w:styleId="26">
    <w:name w:val="toc 4"/>
    <w:next w:val="1"/>
    <w:qFormat/>
    <w:uiPriority w:val="0"/>
    <w:pPr>
      <w:ind w:left="630"/>
    </w:pPr>
    <w:rPr>
      <w:rFonts w:ascii="Calibri" w:hAnsi="Calibri" w:eastAsia="宋体" w:cs="Times New Roman"/>
      <w:sz w:val="18"/>
      <w:szCs w:val="18"/>
      <w:lang w:val="en-US" w:eastAsia="zh-CN" w:bidi="ar-SA"/>
    </w:rPr>
  </w:style>
  <w:style w:type="paragraph" w:styleId="27">
    <w:name w:val="toc 6"/>
    <w:next w:val="1"/>
    <w:qFormat/>
    <w:uiPriority w:val="0"/>
    <w:pPr>
      <w:ind w:left="1050"/>
    </w:pPr>
    <w:rPr>
      <w:rFonts w:ascii="Calibri" w:hAnsi="Calibri" w:eastAsia="宋体" w:cs="Times New Roman"/>
      <w:sz w:val="18"/>
      <w:szCs w:val="18"/>
      <w:lang w:val="en-US" w:eastAsia="zh-CN" w:bidi="ar-SA"/>
    </w:rPr>
  </w:style>
  <w:style w:type="paragraph" w:styleId="28">
    <w:name w:val="Body Text Indent 3"/>
    <w:basedOn w:val="1"/>
    <w:link w:val="85"/>
    <w:qFormat/>
    <w:uiPriority w:val="0"/>
    <w:pPr>
      <w:spacing w:after="120"/>
      <w:ind w:left="420" w:leftChars="200"/>
    </w:pPr>
    <w:rPr>
      <w:sz w:val="16"/>
      <w:szCs w:val="16"/>
    </w:rPr>
  </w:style>
  <w:style w:type="paragraph" w:styleId="29">
    <w:name w:val="toc 2"/>
    <w:basedOn w:val="1"/>
    <w:next w:val="1"/>
    <w:qFormat/>
    <w:uiPriority w:val="0"/>
    <w:pPr>
      <w:ind w:left="210"/>
    </w:pPr>
    <w:rPr>
      <w:rFonts w:ascii="Calibri" w:hAnsi="Calibri"/>
      <w:smallCaps/>
    </w:rPr>
  </w:style>
  <w:style w:type="paragraph" w:styleId="30">
    <w:name w:val="toc 9"/>
    <w:next w:val="1"/>
    <w:qFormat/>
    <w:uiPriority w:val="0"/>
    <w:pPr>
      <w:ind w:left="1680"/>
    </w:pPr>
    <w:rPr>
      <w:rFonts w:ascii="Calibri" w:hAnsi="Calibri" w:eastAsia="宋体" w:cs="Times New Roman"/>
      <w:sz w:val="18"/>
      <w:szCs w:val="18"/>
      <w:lang w:val="en-US" w:eastAsia="zh-CN" w:bidi="ar-SA"/>
    </w:rPr>
  </w:style>
  <w:style w:type="paragraph" w:styleId="31">
    <w:name w:val="HTML Preformatted"/>
    <w:basedOn w:val="1"/>
    <w:link w:val="109"/>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vanish/>
      <w:sz w:val="24"/>
      <w:szCs w:val="24"/>
    </w:rPr>
  </w:style>
  <w:style w:type="paragraph" w:styleId="32">
    <w:name w:val="Normal (Web)"/>
    <w:basedOn w:val="1"/>
    <w:qFormat/>
    <w:uiPriority w:val="0"/>
    <w:pPr>
      <w:widowControl/>
      <w:spacing w:before="100" w:beforeAutospacing="1" w:after="100" w:afterAutospacing="1"/>
      <w:jc w:val="left"/>
    </w:pPr>
    <w:rPr>
      <w:sz w:val="24"/>
    </w:rPr>
  </w:style>
  <w:style w:type="paragraph" w:styleId="33">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34">
    <w:name w:val="annotation subject"/>
    <w:basedOn w:val="11"/>
    <w:next w:val="11"/>
    <w:link w:val="111"/>
    <w:qFormat/>
    <w:uiPriority w:val="0"/>
    <w:rPr>
      <w:b/>
      <w:kern w:val="2"/>
      <w:szCs w:val="20"/>
    </w:rPr>
  </w:style>
  <w:style w:type="paragraph" w:styleId="35">
    <w:name w:val="Body Text First Indent"/>
    <w:basedOn w:val="13"/>
    <w:next w:val="1"/>
    <w:qFormat/>
    <w:uiPriority w:val="0"/>
    <w:pPr>
      <w:ind w:firstLine="420" w:firstLineChars="100"/>
    </w:pPr>
    <w:rPr>
      <w:sz w:val="34"/>
      <w:szCs w:val="20"/>
    </w:rPr>
  </w:style>
  <w:style w:type="paragraph" w:styleId="36">
    <w:name w:val="Body Text First Indent 2"/>
    <w:basedOn w:val="15"/>
    <w:link w:val="112"/>
    <w:qFormat/>
    <w:uiPriority w:val="0"/>
    <w:pPr>
      <w:ind w:left="0" w:leftChars="0" w:firstLine="960" w:firstLineChars="200"/>
    </w:pPr>
    <w:rPr>
      <w:rFonts w:eastAsia="楷体"/>
    </w:rPr>
  </w:style>
  <w:style w:type="table" w:styleId="38">
    <w:name w:val="Table Grid"/>
    <w:basedOn w:val="3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qFormat/>
    <w:uiPriority w:val="0"/>
    <w:rPr>
      <w:rFonts w:cs="Times New Roman"/>
      <w:b/>
      <w:bCs/>
    </w:rPr>
  </w:style>
  <w:style w:type="character" w:styleId="41">
    <w:name w:val="page number"/>
    <w:basedOn w:val="39"/>
    <w:qFormat/>
    <w:uiPriority w:val="0"/>
  </w:style>
  <w:style w:type="character" w:styleId="42">
    <w:name w:val="FollowedHyperlink"/>
    <w:basedOn w:val="39"/>
    <w:qFormat/>
    <w:uiPriority w:val="0"/>
    <w:rPr>
      <w:color w:val="3F88BF"/>
      <w:u w:val="none"/>
    </w:rPr>
  </w:style>
  <w:style w:type="character" w:styleId="43">
    <w:name w:val="Emphasis"/>
    <w:basedOn w:val="39"/>
    <w:qFormat/>
    <w:uiPriority w:val="0"/>
  </w:style>
  <w:style w:type="character" w:styleId="44">
    <w:name w:val="HTML Definition"/>
    <w:basedOn w:val="39"/>
    <w:qFormat/>
    <w:uiPriority w:val="0"/>
  </w:style>
  <w:style w:type="character" w:styleId="45">
    <w:name w:val="HTML Typewriter"/>
    <w:basedOn w:val="39"/>
    <w:qFormat/>
    <w:uiPriority w:val="0"/>
    <w:rPr>
      <w:rFonts w:hint="default" w:ascii="monospace" w:hAnsi="monospace" w:eastAsia="monospace" w:cs="monospace"/>
      <w:sz w:val="20"/>
    </w:rPr>
  </w:style>
  <w:style w:type="character" w:styleId="46">
    <w:name w:val="HTML Acronym"/>
    <w:basedOn w:val="39"/>
    <w:qFormat/>
    <w:uiPriority w:val="0"/>
  </w:style>
  <w:style w:type="character" w:styleId="47">
    <w:name w:val="HTML Variable"/>
    <w:basedOn w:val="39"/>
    <w:qFormat/>
    <w:uiPriority w:val="0"/>
  </w:style>
  <w:style w:type="character" w:styleId="48">
    <w:name w:val="Hyperlink"/>
    <w:basedOn w:val="39"/>
    <w:qFormat/>
    <w:uiPriority w:val="0"/>
    <w:rPr>
      <w:color w:val="0000FF" w:themeColor="hyperlink"/>
      <w:u w:val="single"/>
      <w14:textFill>
        <w14:solidFill>
          <w14:schemeClr w14:val="hlink"/>
        </w14:solidFill>
      </w14:textFill>
    </w:rPr>
  </w:style>
  <w:style w:type="character" w:styleId="49">
    <w:name w:val="HTML Code"/>
    <w:basedOn w:val="39"/>
    <w:qFormat/>
    <w:uiPriority w:val="0"/>
    <w:rPr>
      <w:rFonts w:hint="eastAsia" w:ascii="微软雅黑" w:hAnsi="微软雅黑" w:eastAsia="微软雅黑" w:cs="微软雅黑"/>
      <w:sz w:val="20"/>
    </w:rPr>
  </w:style>
  <w:style w:type="character" w:styleId="50">
    <w:name w:val="annotation reference"/>
    <w:basedOn w:val="39"/>
    <w:qFormat/>
    <w:uiPriority w:val="0"/>
    <w:rPr>
      <w:sz w:val="21"/>
      <w:szCs w:val="21"/>
    </w:rPr>
  </w:style>
  <w:style w:type="character" w:styleId="51">
    <w:name w:val="HTML Cite"/>
    <w:basedOn w:val="39"/>
    <w:qFormat/>
    <w:uiPriority w:val="0"/>
  </w:style>
  <w:style w:type="character" w:styleId="52">
    <w:name w:val="HTML Keyboard"/>
    <w:basedOn w:val="39"/>
    <w:qFormat/>
    <w:uiPriority w:val="0"/>
    <w:rPr>
      <w:rFonts w:hint="eastAsia" w:ascii="微软雅黑" w:hAnsi="微软雅黑" w:eastAsia="微软雅黑" w:cs="微软雅黑"/>
      <w:color w:val="3F88BF"/>
      <w:sz w:val="20"/>
      <w:u w:val="none"/>
    </w:rPr>
  </w:style>
  <w:style w:type="character" w:styleId="53">
    <w:name w:val="HTML Sample"/>
    <w:basedOn w:val="39"/>
    <w:qFormat/>
    <w:uiPriority w:val="0"/>
    <w:rPr>
      <w:rFonts w:hint="eastAsia" w:ascii="微软雅黑" w:hAnsi="微软雅黑" w:eastAsia="微软雅黑" w:cs="微软雅黑"/>
    </w:rPr>
  </w:style>
  <w:style w:type="paragraph" w:customStyle="1" w:styleId="54">
    <w:name w:val="首行缩进"/>
    <w:basedOn w:val="1"/>
    <w:qFormat/>
    <w:uiPriority w:val="99"/>
    <w:pPr>
      <w:spacing w:line="360" w:lineRule="auto"/>
      <w:ind w:firstLine="480" w:firstLineChars="200"/>
    </w:pPr>
    <w:rPr>
      <w:sz w:val="24"/>
      <w:lang w:val="zh-CN"/>
    </w:rPr>
  </w:style>
  <w:style w:type="paragraph" w:customStyle="1" w:styleId="55">
    <w:name w:val="样式 标题 2 + Times New Roman 四号 非加粗 段前: 5 磅 段后: 0 磅 行距: 固定值 20..."/>
    <w:basedOn w:val="3"/>
    <w:qFormat/>
    <w:uiPriority w:val="0"/>
    <w:pPr>
      <w:spacing w:before="100" w:line="400" w:lineRule="exact"/>
    </w:pPr>
    <w:rPr>
      <w:rFonts w:ascii="Times New Roman" w:hAnsi="Times New Roman" w:eastAsia="黑体" w:cs="宋体"/>
      <w:b w:val="0"/>
      <w:bCs w:val="0"/>
      <w:sz w:val="28"/>
      <w:szCs w:val="20"/>
    </w:rPr>
  </w:style>
  <w:style w:type="paragraph" w:customStyle="1" w:styleId="56">
    <w:name w:val="样式 标题 3 + (中文) 黑体 小四 非加粗 段前: 7.8 磅 段后: 0 磅 行距: 固定值 20 磅"/>
    <w:basedOn w:val="4"/>
    <w:qFormat/>
    <w:uiPriority w:val="0"/>
    <w:pPr>
      <w:spacing w:line="400" w:lineRule="exact"/>
      <w:ind w:firstLine="0" w:firstLineChars="0"/>
    </w:pPr>
    <w:rPr>
      <w:rFonts w:eastAsia="黑体" w:cs="宋体"/>
      <w:b w:val="0"/>
      <w:bCs w:val="0"/>
      <w:sz w:val="24"/>
      <w:szCs w:val="20"/>
    </w:rPr>
  </w:style>
  <w:style w:type="character" w:customStyle="1" w:styleId="57">
    <w:name w:val="zbggmain style9"/>
    <w:basedOn w:val="39"/>
    <w:qFormat/>
    <w:uiPriority w:val="0"/>
  </w:style>
  <w:style w:type="paragraph" w:customStyle="1" w:styleId="58">
    <w:name w:val="p0"/>
    <w:basedOn w:val="1"/>
    <w:qFormat/>
    <w:uiPriority w:val="99"/>
    <w:pPr>
      <w:widowControl/>
      <w:spacing w:before="100" w:beforeAutospacing="1" w:after="100" w:afterAutospacing="1"/>
      <w:jc w:val="left"/>
    </w:pPr>
    <w:rPr>
      <w:rFonts w:ascii="宋体" w:hAnsi="宋体" w:cs="宋体"/>
      <w:sz w:val="24"/>
    </w:rPr>
  </w:style>
  <w:style w:type="paragraph" w:styleId="59">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60">
    <w:name w:val="List Paragraph"/>
    <w:basedOn w:val="1"/>
    <w:qFormat/>
    <w:uiPriority w:val="34"/>
    <w:pPr>
      <w:ind w:firstLine="420" w:firstLineChars="200"/>
    </w:pPr>
  </w:style>
  <w:style w:type="character" w:customStyle="1" w:styleId="61">
    <w:name w:val="answer-title"/>
    <w:basedOn w:val="39"/>
    <w:qFormat/>
    <w:uiPriority w:val="0"/>
  </w:style>
  <w:style w:type="character" w:customStyle="1" w:styleId="62">
    <w:name w:val="num"/>
    <w:basedOn w:val="39"/>
    <w:qFormat/>
    <w:uiPriority w:val="0"/>
    <w:rPr>
      <w:b/>
      <w:color w:val="FF7800"/>
    </w:rPr>
  </w:style>
  <w:style w:type="character" w:customStyle="1" w:styleId="63">
    <w:name w:val="release-day"/>
    <w:basedOn w:val="39"/>
    <w:qFormat/>
    <w:uiPriority w:val="0"/>
    <w:rPr>
      <w:bdr w:val="single" w:color="BDEBB0" w:sz="6" w:space="0"/>
      <w:shd w:val="clear" w:color="auto" w:fill="F5FFF1"/>
    </w:rPr>
  </w:style>
  <w:style w:type="character" w:customStyle="1" w:styleId="64">
    <w:name w:val="num4"/>
    <w:basedOn w:val="39"/>
    <w:qFormat/>
    <w:uiPriority w:val="0"/>
    <w:rPr>
      <w:b/>
      <w:color w:val="FF7800"/>
    </w:rPr>
  </w:style>
  <w:style w:type="character" w:customStyle="1" w:styleId="65">
    <w:name w:val="answer-title8"/>
    <w:basedOn w:val="39"/>
    <w:qFormat/>
    <w:uiPriority w:val="0"/>
  </w:style>
  <w:style w:type="character" w:customStyle="1" w:styleId="66">
    <w:name w:val="页眉 Char"/>
    <w:basedOn w:val="39"/>
    <w:link w:val="24"/>
    <w:qFormat/>
    <w:uiPriority w:val="0"/>
    <w:rPr>
      <w:sz w:val="18"/>
      <w:szCs w:val="18"/>
    </w:rPr>
  </w:style>
  <w:style w:type="paragraph" w:customStyle="1" w:styleId="67">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68">
    <w:name w:val="标题 4 Char"/>
    <w:basedOn w:val="39"/>
    <w:link w:val="5"/>
    <w:semiHidden/>
    <w:qFormat/>
    <w:uiPriority w:val="0"/>
    <w:rPr>
      <w:rFonts w:asciiTheme="majorHAnsi" w:hAnsiTheme="majorHAnsi" w:eastAsiaTheme="majorEastAsia" w:cstheme="majorBidi"/>
      <w:b/>
      <w:bCs/>
      <w:sz w:val="28"/>
      <w:szCs w:val="28"/>
    </w:rPr>
  </w:style>
  <w:style w:type="paragraph" w:customStyle="1" w:styleId="69">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0">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1">
    <w:name w:val="Table Paragraph"/>
    <w:basedOn w:val="1"/>
    <w:qFormat/>
    <w:uiPriority w:val="1"/>
  </w:style>
  <w:style w:type="paragraph" w:customStyle="1" w:styleId="72">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73">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74">
    <w:name w:val="正文2"/>
    <w:basedOn w:val="1"/>
    <w:qFormat/>
    <w:uiPriority w:val="0"/>
    <w:pPr>
      <w:spacing w:before="156" w:line="360" w:lineRule="auto"/>
      <w:ind w:firstLine="510" w:firstLineChars="200"/>
    </w:pPr>
    <w:rPr>
      <w:sz w:val="24"/>
      <w:szCs w:val="20"/>
    </w:rPr>
  </w:style>
  <w:style w:type="paragraph" w:customStyle="1" w:styleId="75">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76">
    <w:name w:val="font41"/>
    <w:qFormat/>
    <w:uiPriority w:val="0"/>
    <w:rPr>
      <w:rFonts w:hint="eastAsia" w:ascii="等线" w:hAnsi="等线" w:eastAsia="等线" w:cs="等线"/>
      <w:b/>
      <w:color w:val="000000"/>
      <w:sz w:val="22"/>
      <w:szCs w:val="22"/>
      <w:u w:val="none"/>
    </w:rPr>
  </w:style>
  <w:style w:type="character" w:customStyle="1" w:styleId="77">
    <w:name w:val="font61"/>
    <w:qFormat/>
    <w:uiPriority w:val="0"/>
    <w:rPr>
      <w:rFonts w:hint="default" w:ascii="Times New Roman" w:hAnsi="Times New Roman" w:cs="Times New Roman"/>
      <w:b/>
      <w:color w:val="000000"/>
      <w:sz w:val="22"/>
      <w:szCs w:val="22"/>
      <w:u w:val="none"/>
    </w:rPr>
  </w:style>
  <w:style w:type="character" w:customStyle="1" w:styleId="78">
    <w:name w:val="font31"/>
    <w:qFormat/>
    <w:uiPriority w:val="0"/>
    <w:rPr>
      <w:rFonts w:hint="eastAsia" w:ascii="宋体" w:hAnsi="宋体" w:eastAsia="宋体" w:cs="宋体"/>
      <w:color w:val="FF0000"/>
      <w:sz w:val="22"/>
      <w:szCs w:val="22"/>
      <w:u w:val="none"/>
    </w:rPr>
  </w:style>
  <w:style w:type="character" w:customStyle="1" w:styleId="79">
    <w:name w:val="font01"/>
    <w:basedOn w:val="39"/>
    <w:qFormat/>
    <w:uiPriority w:val="0"/>
    <w:rPr>
      <w:rFonts w:hint="eastAsia" w:ascii="宋体" w:hAnsi="宋体" w:eastAsia="宋体" w:cs="宋体"/>
      <w:color w:val="000000"/>
      <w:sz w:val="18"/>
      <w:szCs w:val="18"/>
      <w:u w:val="none"/>
    </w:rPr>
  </w:style>
  <w:style w:type="character" w:customStyle="1" w:styleId="80">
    <w:name w:val="font11"/>
    <w:qFormat/>
    <w:uiPriority w:val="0"/>
    <w:rPr>
      <w:rFonts w:hint="eastAsia" w:ascii="宋体" w:hAnsi="宋体" w:eastAsia="宋体" w:cs="宋体"/>
      <w:color w:val="000000"/>
      <w:sz w:val="18"/>
      <w:szCs w:val="18"/>
      <w:u w:val="none"/>
    </w:rPr>
  </w:style>
  <w:style w:type="character" w:customStyle="1" w:styleId="81">
    <w:name w:val="font51"/>
    <w:qFormat/>
    <w:uiPriority w:val="0"/>
    <w:rPr>
      <w:rFonts w:hint="default" w:ascii="Times New Roman" w:hAnsi="Times New Roman" w:cs="Times New Roman"/>
      <w:b/>
      <w:color w:val="000000"/>
      <w:sz w:val="21"/>
      <w:szCs w:val="21"/>
      <w:u w:val="none"/>
    </w:rPr>
  </w:style>
  <w:style w:type="character" w:customStyle="1" w:styleId="82">
    <w:name w:val="font21"/>
    <w:basedOn w:val="39"/>
    <w:qFormat/>
    <w:uiPriority w:val="0"/>
    <w:rPr>
      <w:rFonts w:hint="eastAsia" w:ascii="宋体" w:hAnsi="宋体" w:eastAsia="宋体" w:cs="宋体"/>
      <w:b/>
      <w:color w:val="000000"/>
      <w:sz w:val="21"/>
      <w:szCs w:val="21"/>
      <w:u w:val="none"/>
    </w:rPr>
  </w:style>
  <w:style w:type="paragraph" w:customStyle="1" w:styleId="83">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84">
    <w:name w:val="标准正文"/>
    <w:basedOn w:val="1"/>
    <w:qFormat/>
    <w:uiPriority w:val="0"/>
    <w:pPr>
      <w:spacing w:afterLines="50"/>
      <w:ind w:firstLine="200" w:firstLineChars="200"/>
    </w:pPr>
    <w:rPr>
      <w:sz w:val="24"/>
      <w:szCs w:val="21"/>
    </w:rPr>
  </w:style>
  <w:style w:type="character" w:customStyle="1" w:styleId="85">
    <w:name w:val="正文文本缩进 3 Char"/>
    <w:basedOn w:val="39"/>
    <w:link w:val="28"/>
    <w:qFormat/>
    <w:uiPriority w:val="0"/>
    <w:rPr>
      <w:sz w:val="16"/>
      <w:szCs w:val="16"/>
    </w:rPr>
  </w:style>
  <w:style w:type="paragraph" w:customStyle="1" w:styleId="86">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7">
    <w:name w:val="NormalCharacter"/>
    <w:qFormat/>
    <w:uiPriority w:val="0"/>
  </w:style>
  <w:style w:type="table" w:customStyle="1" w:styleId="88">
    <w:name w:val="TableNormal"/>
    <w:qFormat/>
    <w:uiPriority w:val="0"/>
    <w:rPr>
      <w:rFonts w:cstheme="minorBidi"/>
    </w:rPr>
    <w:tblPr>
      <w:tblCellMar>
        <w:top w:w="0" w:type="dxa"/>
        <w:left w:w="0" w:type="dxa"/>
        <w:bottom w:w="0" w:type="dxa"/>
        <w:right w:w="0" w:type="dxa"/>
      </w:tblCellMar>
    </w:tblPr>
  </w:style>
  <w:style w:type="paragraph" w:customStyle="1" w:styleId="89">
    <w:name w:val="AnnotationText"/>
    <w:basedOn w:val="1"/>
    <w:link w:val="90"/>
    <w:qFormat/>
    <w:uiPriority w:val="0"/>
    <w:pPr>
      <w:widowControl/>
      <w:jc w:val="left"/>
      <w:textAlignment w:val="baseline"/>
    </w:pPr>
    <w:rPr>
      <w:rFonts w:ascii="仿宋_GB2312" w:eastAsia="仿宋_GB2312" w:cstheme="minorBidi"/>
      <w:kern w:val="2"/>
      <w:sz w:val="28"/>
      <w:szCs w:val="32"/>
    </w:rPr>
  </w:style>
  <w:style w:type="character" w:customStyle="1" w:styleId="90">
    <w:name w:val="UserStyle_0"/>
    <w:link w:val="89"/>
    <w:qFormat/>
    <w:uiPriority w:val="0"/>
    <w:rPr>
      <w:rFonts w:ascii="仿宋_GB2312" w:eastAsia="仿宋_GB2312" w:cstheme="minorBidi"/>
      <w:kern w:val="2"/>
      <w:sz w:val="28"/>
      <w:szCs w:val="32"/>
    </w:rPr>
  </w:style>
  <w:style w:type="paragraph" w:customStyle="1" w:styleId="91">
    <w:name w:val="PlainText"/>
    <w:basedOn w:val="1"/>
    <w:link w:val="92"/>
    <w:qFormat/>
    <w:uiPriority w:val="0"/>
    <w:pPr>
      <w:widowControl/>
      <w:textAlignment w:val="baseline"/>
    </w:pPr>
    <w:rPr>
      <w:rFonts w:ascii="宋体" w:hAnsi="Courier New" w:cstheme="minorBidi"/>
      <w:kern w:val="2"/>
      <w:szCs w:val="21"/>
    </w:rPr>
  </w:style>
  <w:style w:type="character" w:customStyle="1" w:styleId="92">
    <w:name w:val="UserStyle_1"/>
    <w:link w:val="91"/>
    <w:qFormat/>
    <w:uiPriority w:val="0"/>
    <w:rPr>
      <w:rFonts w:ascii="宋体" w:hAnsi="Courier New" w:cstheme="minorBidi"/>
      <w:kern w:val="2"/>
      <w:sz w:val="21"/>
      <w:szCs w:val="21"/>
    </w:rPr>
  </w:style>
  <w:style w:type="character" w:customStyle="1" w:styleId="93">
    <w:name w:val="日期 Char"/>
    <w:link w:val="21"/>
    <w:qFormat/>
    <w:uiPriority w:val="0"/>
    <w:rPr>
      <w:rFonts w:eastAsia="仿宋_GB2312"/>
      <w:sz w:val="28"/>
    </w:rPr>
  </w:style>
  <w:style w:type="paragraph" w:customStyle="1" w:styleId="94">
    <w:name w:val="Acetate"/>
    <w:basedOn w:val="1"/>
    <w:link w:val="95"/>
    <w:qFormat/>
    <w:uiPriority w:val="0"/>
    <w:pPr>
      <w:widowControl/>
      <w:textAlignment w:val="baseline"/>
    </w:pPr>
    <w:rPr>
      <w:rFonts w:ascii="仿宋_GB2312" w:eastAsia="仿宋_GB2312" w:cstheme="minorBidi"/>
      <w:kern w:val="2"/>
      <w:sz w:val="18"/>
      <w:szCs w:val="18"/>
    </w:rPr>
  </w:style>
  <w:style w:type="character" w:customStyle="1" w:styleId="95">
    <w:name w:val="UserStyle_3"/>
    <w:link w:val="94"/>
    <w:qFormat/>
    <w:uiPriority w:val="0"/>
    <w:rPr>
      <w:rFonts w:ascii="仿宋_GB2312" w:eastAsia="仿宋_GB2312" w:cstheme="minorBidi"/>
      <w:kern w:val="2"/>
      <w:sz w:val="18"/>
      <w:szCs w:val="18"/>
    </w:rPr>
  </w:style>
  <w:style w:type="character" w:customStyle="1" w:styleId="96">
    <w:name w:val="页脚 Char"/>
    <w:link w:val="23"/>
    <w:qFormat/>
    <w:locked/>
    <w:uiPriority w:val="0"/>
    <w:rPr>
      <w:sz w:val="18"/>
      <w:szCs w:val="18"/>
    </w:rPr>
  </w:style>
  <w:style w:type="paragraph" w:customStyle="1" w:styleId="97">
    <w:name w:val="HtmlNormal"/>
    <w:basedOn w:val="1"/>
    <w:qFormat/>
    <w:uiPriority w:val="0"/>
    <w:pPr>
      <w:widowControl/>
      <w:spacing w:before="167" w:after="167"/>
      <w:ind w:left="167" w:right="167"/>
      <w:jc w:val="left"/>
      <w:textAlignment w:val="baseline"/>
    </w:pPr>
    <w:rPr>
      <w:rFonts w:ascii="宋体" w:hAnsi="宋体" w:cstheme="minorBidi"/>
      <w:sz w:val="24"/>
      <w:szCs w:val="24"/>
    </w:rPr>
  </w:style>
  <w:style w:type="paragraph" w:customStyle="1" w:styleId="98">
    <w:name w:val="AnnotationSubject"/>
    <w:basedOn w:val="89"/>
    <w:next w:val="89"/>
    <w:link w:val="99"/>
    <w:qFormat/>
    <w:uiPriority w:val="0"/>
    <w:rPr>
      <w:rFonts w:cs="Times New Roman"/>
      <w:b/>
      <w:bCs/>
    </w:rPr>
  </w:style>
  <w:style w:type="character" w:customStyle="1" w:styleId="99">
    <w:name w:val="UserStyle_6"/>
    <w:link w:val="98"/>
    <w:qFormat/>
    <w:uiPriority w:val="0"/>
    <w:rPr>
      <w:rFonts w:ascii="仿宋_GB2312" w:eastAsia="仿宋_GB2312"/>
      <w:b/>
      <w:bCs/>
      <w:kern w:val="2"/>
      <w:sz w:val="28"/>
      <w:szCs w:val="32"/>
    </w:rPr>
  </w:style>
  <w:style w:type="character" w:customStyle="1" w:styleId="100">
    <w:name w:val="PageNumber"/>
    <w:qFormat/>
    <w:uiPriority w:val="0"/>
  </w:style>
  <w:style w:type="character" w:customStyle="1" w:styleId="101">
    <w:name w:val="AnnotationReference"/>
    <w:qFormat/>
    <w:uiPriority w:val="0"/>
    <w:rPr>
      <w:sz w:val="21"/>
      <w:szCs w:val="21"/>
    </w:rPr>
  </w:style>
  <w:style w:type="character" w:customStyle="1" w:styleId="102">
    <w:name w:val="UserStyle_7"/>
    <w:qFormat/>
    <w:uiPriority w:val="0"/>
  </w:style>
  <w:style w:type="paragraph" w:customStyle="1" w:styleId="103">
    <w:name w:val="UserStyle_8"/>
    <w:basedOn w:val="1"/>
    <w:qFormat/>
    <w:uiPriority w:val="0"/>
    <w:pPr>
      <w:widowControl/>
      <w:ind w:firstLine="420" w:firstLineChars="200"/>
      <w:textAlignment w:val="baseline"/>
    </w:pPr>
    <w:rPr>
      <w:rFonts w:ascii="Calibri" w:hAnsi="Calibri" w:cstheme="minorBidi"/>
      <w:kern w:val="2"/>
      <w:szCs w:val="21"/>
    </w:rPr>
  </w:style>
  <w:style w:type="paragraph" w:customStyle="1" w:styleId="104">
    <w:name w:val="UserStyle_9"/>
    <w:basedOn w:val="1"/>
    <w:qFormat/>
    <w:uiPriority w:val="0"/>
    <w:pPr>
      <w:widowControl/>
      <w:textAlignment w:val="baseline"/>
    </w:pPr>
    <w:rPr>
      <w:rFonts w:ascii="Tahoma" w:hAnsi="Tahoma" w:cstheme="minorBidi"/>
      <w:kern w:val="2"/>
      <w:sz w:val="24"/>
      <w:szCs w:val="20"/>
    </w:rPr>
  </w:style>
  <w:style w:type="paragraph" w:customStyle="1" w:styleId="105">
    <w:name w:val="179"/>
    <w:basedOn w:val="1"/>
    <w:qFormat/>
    <w:uiPriority w:val="0"/>
    <w:pPr>
      <w:widowControl/>
      <w:ind w:firstLine="420" w:firstLineChars="200"/>
      <w:textAlignment w:val="baseline"/>
    </w:pPr>
    <w:rPr>
      <w:rFonts w:ascii="Calibri" w:hAnsi="Calibri" w:cstheme="minorBidi"/>
      <w:kern w:val="2"/>
    </w:rPr>
  </w:style>
  <w:style w:type="character" w:customStyle="1" w:styleId="106">
    <w:name w:val="批注框文本 Char"/>
    <w:basedOn w:val="39"/>
    <w:link w:val="22"/>
    <w:qFormat/>
    <w:uiPriority w:val="0"/>
    <w:rPr>
      <w:sz w:val="18"/>
      <w:szCs w:val="18"/>
    </w:rPr>
  </w:style>
  <w:style w:type="character" w:customStyle="1" w:styleId="107">
    <w:name w:val="正文文本 3 Char"/>
    <w:basedOn w:val="39"/>
    <w:link w:val="12"/>
    <w:qFormat/>
    <w:uiPriority w:val="0"/>
    <w:rPr>
      <w:rFonts w:eastAsia="仿宋_GB2312"/>
      <w:b/>
      <w:bCs/>
      <w:kern w:val="2"/>
      <w:sz w:val="24"/>
    </w:rPr>
  </w:style>
  <w:style w:type="character" w:customStyle="1" w:styleId="108">
    <w:name w:val="正文文本缩进 Char"/>
    <w:basedOn w:val="39"/>
    <w:link w:val="15"/>
    <w:qFormat/>
    <w:uiPriority w:val="0"/>
    <w:rPr>
      <w:kern w:val="2"/>
      <w:sz w:val="21"/>
      <w:szCs w:val="24"/>
    </w:rPr>
  </w:style>
  <w:style w:type="character" w:customStyle="1" w:styleId="109">
    <w:name w:val="HTML 预设格式 Char"/>
    <w:basedOn w:val="39"/>
    <w:link w:val="31"/>
    <w:qFormat/>
    <w:uiPriority w:val="0"/>
    <w:rPr>
      <w:rFonts w:ascii="宋体" w:hAnsi="宋体"/>
      <w:vanish/>
      <w:sz w:val="24"/>
      <w:szCs w:val="24"/>
    </w:rPr>
  </w:style>
  <w:style w:type="character" w:customStyle="1" w:styleId="110">
    <w:name w:val="批注文字 Char"/>
    <w:basedOn w:val="39"/>
    <w:link w:val="11"/>
    <w:qFormat/>
    <w:uiPriority w:val="0"/>
    <w:rPr>
      <w:sz w:val="21"/>
      <w:szCs w:val="22"/>
    </w:rPr>
  </w:style>
  <w:style w:type="character" w:customStyle="1" w:styleId="111">
    <w:name w:val="批注主题 Char"/>
    <w:basedOn w:val="110"/>
    <w:link w:val="34"/>
    <w:qFormat/>
    <w:uiPriority w:val="0"/>
    <w:rPr>
      <w:sz w:val="21"/>
      <w:szCs w:val="22"/>
    </w:rPr>
  </w:style>
  <w:style w:type="character" w:customStyle="1" w:styleId="112">
    <w:name w:val="正文首行缩进 2 Char"/>
    <w:basedOn w:val="108"/>
    <w:link w:val="36"/>
    <w:qFormat/>
    <w:uiPriority w:val="0"/>
    <w:rPr>
      <w:rFonts w:eastAsia="楷体"/>
      <w:kern w:val="2"/>
      <w:sz w:val="21"/>
      <w:szCs w:val="24"/>
    </w:rPr>
  </w:style>
  <w:style w:type="paragraph" w:customStyle="1" w:styleId="113">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114">
    <w:name w:val="正文段"/>
    <w:qFormat/>
    <w:uiPriority w:val="0"/>
    <w:pPr>
      <w:snapToGrid w:val="0"/>
      <w:spacing w:afterLines="50"/>
      <w:ind w:firstLine="200" w:firstLineChars="200"/>
      <w:jc w:val="both"/>
    </w:pPr>
    <w:rPr>
      <w:rFonts w:ascii="Calibri" w:hAnsi="Calibri" w:eastAsia="宋体" w:cs="Times New Roman"/>
      <w:sz w:val="24"/>
      <w:lang w:val="en-US" w:eastAsia="zh-CN" w:bidi="ar-SA"/>
    </w:rPr>
  </w:style>
  <w:style w:type="paragraph" w:customStyle="1" w:styleId="115">
    <w:name w:val="Proposals body"/>
    <w:next w:val="1"/>
    <w:qFormat/>
    <w:uiPriority w:val="0"/>
    <w:pPr>
      <w:spacing w:line="360" w:lineRule="auto"/>
    </w:pPr>
    <w:rPr>
      <w:rFonts w:ascii="宋体" w:hAnsi="Times New Roman" w:eastAsia="宋体" w:cs="Times New Roman"/>
      <w:snapToGrid w:val="0"/>
      <w:color w:val="000000"/>
      <w:sz w:val="24"/>
      <w:lang w:val="en-US" w:eastAsia="zh-CN" w:bidi="ar-SA"/>
    </w:rPr>
  </w:style>
  <w:style w:type="paragraph" w:customStyle="1" w:styleId="116">
    <w:name w:val="正文文字 7"/>
    <w:basedOn w:val="1"/>
    <w:next w:val="1"/>
    <w:qFormat/>
    <w:uiPriority w:val="0"/>
    <w:pPr>
      <w:ind w:left="240"/>
    </w:pPr>
    <w:rPr>
      <w:kern w:val="2"/>
      <w:sz w:val="20"/>
      <w:szCs w:val="20"/>
    </w:rPr>
  </w:style>
  <w:style w:type="paragraph" w:customStyle="1" w:styleId="117">
    <w:name w:val="正文文字 8"/>
    <w:next w:val="1"/>
    <w:qFormat/>
    <w:uiPriority w:val="0"/>
    <w:pPr>
      <w:widowControl w:val="0"/>
      <w:numPr>
        <w:ilvl w:val="1"/>
        <w:numId w:val="3"/>
      </w:numPr>
      <w:ind w:left="805"/>
      <w:jc w:val="both"/>
    </w:pPr>
    <w:rPr>
      <w:rFonts w:ascii="Times New Roman" w:hAnsi="Times New Roman" w:eastAsia="宋体" w:cs="Times New Roman"/>
      <w:kern w:val="2"/>
      <w:sz w:val="16"/>
      <w:lang w:val="en-US" w:eastAsia="zh-CN" w:bidi="ar-SA"/>
    </w:rPr>
  </w:style>
  <w:style w:type="paragraph" w:customStyle="1" w:styleId="118">
    <w:name w:val="列出段落1"/>
    <w:next w:val="116"/>
    <w:qFormat/>
    <w:uiPriority w:val="0"/>
    <w:pPr>
      <w:widowControl w:val="0"/>
      <w:adjustRightInd w:val="0"/>
      <w:spacing w:line="360" w:lineRule="auto"/>
      <w:ind w:firstLine="200" w:firstLineChars="200"/>
      <w:jc w:val="both"/>
    </w:pPr>
    <w:rPr>
      <w:rFonts w:ascii="Times New Roman" w:hAnsi="Times New Roman" w:eastAsia="楷体_GB2312" w:cs="Lucida Sans"/>
      <w:kern w:val="2"/>
      <w:sz w:val="24"/>
      <w:szCs w:val="24"/>
      <w:lang w:val="en-US" w:eastAsia="zh-CN" w:bidi="ar-SA"/>
    </w:rPr>
  </w:style>
  <w:style w:type="paragraph" w:customStyle="1" w:styleId="119">
    <w:name w:val="样式5"/>
    <w:next w:val="117"/>
    <w:qFormat/>
    <w:uiPriority w:val="0"/>
    <w:pPr>
      <w:widowControl w:val="0"/>
      <w:adjustRightInd w:val="0"/>
      <w:spacing w:line="440" w:lineRule="exact"/>
      <w:ind w:left="2" w:firstLine="200" w:firstLineChars="200"/>
      <w:jc w:val="both"/>
    </w:pPr>
    <w:rPr>
      <w:rFonts w:ascii="仿宋_GB2312" w:hAnsi="Times New Roman" w:eastAsia="仿宋_GB2312" w:cs="Times New Roman"/>
      <w:kern w:val="2"/>
      <w:sz w:val="24"/>
      <w:szCs w:val="24"/>
      <w:lang w:val="en-US" w:eastAsia="zh-CN" w:bidi="ar-SA"/>
    </w:rPr>
  </w:style>
  <w:style w:type="paragraph" w:customStyle="1" w:styleId="120">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1">
    <w:name w:val="表正文"/>
    <w:basedOn w:val="1"/>
    <w:next w:val="19"/>
    <w:qFormat/>
    <w:uiPriority w:val="0"/>
    <w:rPr>
      <w:rFonts w:ascii="宋体" w:hAnsi="Courier New"/>
      <w:kern w:val="2"/>
      <w:szCs w:val="20"/>
    </w:rPr>
  </w:style>
  <w:style w:type="paragraph" w:customStyle="1" w:styleId="122">
    <w:name w:val="样式 列表编号 + 段后: 0.5 行"/>
    <w:basedOn w:val="8"/>
    <w:qFormat/>
    <w:uiPriority w:val="0"/>
    <w:pPr>
      <w:tabs>
        <w:tab w:val="left" w:pos="360"/>
        <w:tab w:val="left" w:pos="390"/>
      </w:tabs>
      <w:ind w:left="360" w:hanging="360"/>
    </w:pPr>
    <w:rPr>
      <w:rFonts w:cs="宋体"/>
    </w:rPr>
  </w:style>
  <w:style w:type="paragraph" w:customStyle="1" w:styleId="123">
    <w:name w:val="标题1"/>
    <w:basedOn w:val="19"/>
    <w:qFormat/>
    <w:uiPriority w:val="0"/>
    <w:pPr>
      <w:spacing w:beforeLines="100" w:afterLines="100" w:line="360" w:lineRule="exact"/>
      <w:jc w:val="center"/>
    </w:pPr>
    <w:rPr>
      <w:rFonts w:hAnsi="Times New Roman" w:eastAsia="楷体_GB2312" w:cs="Times New Roman"/>
      <w:b/>
      <w:kern w:val="2"/>
      <w:sz w:val="44"/>
      <w:szCs w:val="20"/>
    </w:rPr>
  </w:style>
  <w:style w:type="character" w:customStyle="1" w:styleId="124">
    <w:name w:val="des"/>
    <w:basedOn w:val="39"/>
    <w:qFormat/>
    <w:uiPriority w:val="0"/>
    <w:rPr>
      <w:color w:val="333333"/>
    </w:rPr>
  </w:style>
  <w:style w:type="character" w:customStyle="1" w:styleId="125">
    <w:name w:val="content-top"/>
    <w:basedOn w:val="39"/>
    <w:qFormat/>
    <w:uiPriority w:val="0"/>
  </w:style>
  <w:style w:type="character" w:customStyle="1" w:styleId="126">
    <w:name w:val="num20"/>
    <w:basedOn w:val="39"/>
    <w:qFormat/>
    <w:uiPriority w:val="0"/>
    <w:rPr>
      <w:color w:val="333333"/>
      <w:sz w:val="21"/>
      <w:szCs w:val="21"/>
    </w:rPr>
  </w:style>
  <w:style w:type="character" w:customStyle="1" w:styleId="127">
    <w:name w:val="hover69"/>
    <w:basedOn w:val="39"/>
    <w:qFormat/>
    <w:uiPriority w:val="0"/>
    <w:rPr>
      <w:color w:val="FFFFFF"/>
      <w:shd w:val="clear" w:color="auto" w:fill="377BEE"/>
    </w:rPr>
  </w:style>
  <w:style w:type="character" w:customStyle="1" w:styleId="128">
    <w:name w:val="hover70"/>
    <w:basedOn w:val="39"/>
    <w:qFormat/>
    <w:uiPriority w:val="0"/>
    <w:rPr>
      <w:u w:val="none"/>
    </w:rPr>
  </w:style>
  <w:style w:type="character" w:customStyle="1" w:styleId="129">
    <w:name w:val="on22"/>
    <w:basedOn w:val="39"/>
    <w:qFormat/>
    <w:uiPriority w:val="0"/>
    <w:rPr>
      <w:color w:val="377BEE"/>
    </w:rPr>
  </w:style>
  <w:style w:type="character" w:customStyle="1" w:styleId="130">
    <w:name w:val="before1"/>
    <w:basedOn w:val="39"/>
    <w:qFormat/>
    <w:uiPriority w:val="0"/>
  </w:style>
  <w:style w:type="character" w:customStyle="1" w:styleId="131">
    <w:name w:val="num-first"/>
    <w:basedOn w:val="39"/>
    <w:qFormat/>
    <w:uiPriority w:val="0"/>
  </w:style>
  <w:style w:type="character" w:customStyle="1" w:styleId="132">
    <w:name w:val="r"/>
    <w:basedOn w:val="39"/>
    <w:qFormat/>
    <w:uiPriority w:val="0"/>
  </w:style>
  <w:style w:type="character" w:customStyle="1" w:styleId="133">
    <w:name w:val="first-child"/>
    <w:basedOn w:val="39"/>
    <w:qFormat/>
    <w:uiPriority w:val="0"/>
  </w:style>
  <w:style w:type="character" w:customStyle="1" w:styleId="134">
    <w:name w:val="hover"/>
    <w:basedOn w:val="39"/>
    <w:qFormat/>
    <w:uiPriority w:val="0"/>
    <w:rPr>
      <w:color w:val="FFFFFF"/>
      <w:shd w:val="clear" w:color="auto" w:fill="377BEE"/>
    </w:rPr>
  </w:style>
  <w:style w:type="character" w:customStyle="1" w:styleId="135">
    <w:name w:val="hover1"/>
    <w:basedOn w:val="39"/>
    <w:qFormat/>
    <w:uiPriority w:val="0"/>
    <w:rPr>
      <w:u w:val="none"/>
    </w:rPr>
  </w:style>
  <w:style w:type="character" w:customStyle="1" w:styleId="136">
    <w:name w:val="on21"/>
    <w:basedOn w:val="39"/>
    <w:qFormat/>
    <w:uiPriority w:val="0"/>
    <w:rPr>
      <w:color w:val="377BEE"/>
    </w:rPr>
  </w:style>
  <w:style w:type="character" w:customStyle="1" w:styleId="137">
    <w:name w:val="des2"/>
    <w:basedOn w:val="39"/>
    <w:qFormat/>
    <w:uiPriority w:val="0"/>
    <w:rPr>
      <w:color w:val="333333"/>
    </w:rPr>
  </w:style>
  <w:style w:type="character" w:customStyle="1" w:styleId="138">
    <w:name w:val="before"/>
    <w:basedOn w:val="39"/>
    <w:qFormat/>
    <w:uiPriority w:val="0"/>
  </w:style>
  <w:style w:type="character" w:customStyle="1" w:styleId="139">
    <w:name w:val="font121"/>
    <w:qFormat/>
    <w:uiPriority w:val="0"/>
    <w:rPr>
      <w:rFonts w:hint="eastAsia" w:ascii="宋体" w:hAnsi="宋体" w:eastAsia="宋体" w:cs="宋体"/>
      <w:color w:val="000000"/>
      <w:kern w:val="2"/>
      <w:sz w:val="21"/>
      <w:szCs w:val="21"/>
      <w:u w:val="none"/>
    </w:rPr>
  </w:style>
  <w:style w:type="character" w:customStyle="1" w:styleId="140">
    <w:name w:val="font111"/>
    <w:qFormat/>
    <w:uiPriority w:val="0"/>
    <w:rPr>
      <w:rFonts w:hint="eastAsia" w:ascii="宋体" w:hAnsi="宋体" w:eastAsia="宋体" w:cs="宋体"/>
      <w:color w:val="000000"/>
      <w:kern w:val="2"/>
      <w:sz w:val="20"/>
      <w:szCs w:val="20"/>
      <w:u w:val="none"/>
    </w:rPr>
  </w:style>
  <w:style w:type="character" w:customStyle="1" w:styleId="141">
    <w:name w:val="font81"/>
    <w:qFormat/>
    <w:uiPriority w:val="0"/>
    <w:rPr>
      <w:rFonts w:hint="default" w:ascii="Calibri" w:hAnsi="Calibri" w:cs="Calibri"/>
      <w:color w:val="000000"/>
      <w:kern w:val="2"/>
      <w:sz w:val="21"/>
      <w:szCs w:val="21"/>
      <w:u w:val="none"/>
    </w:rPr>
  </w:style>
  <w:style w:type="character" w:customStyle="1" w:styleId="142">
    <w:name w:val="font71"/>
    <w:qFormat/>
    <w:uiPriority w:val="0"/>
    <w:rPr>
      <w:rFonts w:hint="eastAsia" w:ascii="宋体" w:hAnsi="宋体" w:eastAsia="宋体" w:cs="宋体"/>
      <w:color w:val="000000"/>
      <w:kern w:val="2"/>
      <w:sz w:val="20"/>
      <w:szCs w:val="20"/>
      <w:u w:val="none"/>
    </w:rPr>
  </w:style>
  <w:style w:type="character" w:customStyle="1" w:styleId="143">
    <w:name w:val="btn-auto-11"/>
    <w:basedOn w:val="39"/>
    <w:qFormat/>
    <w:uiPriority w:val="0"/>
  </w:style>
  <w:style w:type="character" w:customStyle="1" w:styleId="144">
    <w:name w:val="btn-task-gray"/>
    <w:basedOn w:val="39"/>
    <w:qFormat/>
    <w:uiPriority w:val="0"/>
    <w:rPr>
      <w:color w:val="FFFFFF"/>
      <w:u w:val="none"/>
      <w:shd w:val="clear" w:color="auto" w:fill="CCCCCC"/>
    </w:rPr>
  </w:style>
  <w:style w:type="character" w:customStyle="1" w:styleId="145">
    <w:name w:val="btn-task-gray1"/>
    <w:basedOn w:val="39"/>
    <w:qFormat/>
    <w:uiPriority w:val="0"/>
  </w:style>
  <w:style w:type="character" w:customStyle="1" w:styleId="146">
    <w:name w:val="s1"/>
    <w:basedOn w:val="39"/>
    <w:qFormat/>
    <w:uiPriority w:val="0"/>
    <w:rPr>
      <w:color w:val="DDDDDD"/>
      <w:sz w:val="18"/>
      <w:szCs w:val="18"/>
    </w:rPr>
  </w:style>
  <w:style w:type="character" w:customStyle="1" w:styleId="147">
    <w:name w:val="正文文本 Char"/>
    <w:basedOn w:val="39"/>
    <w:link w:val="13"/>
    <w:qFormat/>
    <w:uiPriority w:val="1"/>
    <w:rPr>
      <w:sz w:val="24"/>
      <w:szCs w:val="24"/>
    </w:rPr>
  </w:style>
  <w:style w:type="character" w:customStyle="1" w:styleId="148">
    <w:name w:val="标题 1 Char"/>
    <w:basedOn w:val="39"/>
    <w:link w:val="2"/>
    <w:qFormat/>
    <w:uiPriority w:val="0"/>
    <w:rPr>
      <w:rFonts w:ascii="Calibri" w:hAnsi="Calibri" w:eastAsia="华文细黑"/>
      <w:b/>
      <w:bCs/>
      <w:kern w:val="44"/>
      <w:sz w:val="28"/>
      <w:szCs w:val="44"/>
    </w:rPr>
  </w:style>
  <w:style w:type="character" w:customStyle="1" w:styleId="149">
    <w:name w:val="正文文本 3 Char1"/>
    <w:basedOn w:val="39"/>
    <w:qFormat/>
    <w:uiPriority w:val="0"/>
    <w:rPr>
      <w:sz w:val="16"/>
      <w:szCs w:val="16"/>
    </w:rPr>
  </w:style>
  <w:style w:type="character" w:customStyle="1" w:styleId="150">
    <w:name w:val="bsharetext"/>
    <w:basedOn w:val="39"/>
    <w:qFormat/>
    <w:uiPriority w:val="0"/>
  </w:style>
</w:styles>
</file>

<file path=word/_rels/document.xml.rels><?xml version="1.0" encoding="UTF-8" standalone="yes"?>
<Relationships xmlns="http://schemas.openxmlformats.org/package/2006/relationships"><Relationship Id="rId99" Type="http://schemas.openxmlformats.org/officeDocument/2006/relationships/image" Target="media/image89.png"/><Relationship Id="rId98" Type="http://schemas.openxmlformats.org/officeDocument/2006/relationships/image" Target="media/image88.png"/><Relationship Id="rId97" Type="http://schemas.openxmlformats.org/officeDocument/2006/relationships/image" Target="media/image87.png"/><Relationship Id="rId96" Type="http://schemas.openxmlformats.org/officeDocument/2006/relationships/image" Target="media/image86.png"/><Relationship Id="rId95" Type="http://schemas.openxmlformats.org/officeDocument/2006/relationships/image" Target="media/image85.png"/><Relationship Id="rId94" Type="http://schemas.openxmlformats.org/officeDocument/2006/relationships/image" Target="media/image84.png"/><Relationship Id="rId93" Type="http://schemas.openxmlformats.org/officeDocument/2006/relationships/image" Target="media/image83.png"/><Relationship Id="rId92" Type="http://schemas.openxmlformats.org/officeDocument/2006/relationships/image" Target="media/image82.png"/><Relationship Id="rId91" Type="http://schemas.openxmlformats.org/officeDocument/2006/relationships/image" Target="media/image81.png"/><Relationship Id="rId90" Type="http://schemas.openxmlformats.org/officeDocument/2006/relationships/image" Target="media/image80.png"/><Relationship Id="rId9" Type="http://schemas.openxmlformats.org/officeDocument/2006/relationships/footer" Target="footer7.xml"/><Relationship Id="rId89" Type="http://schemas.openxmlformats.org/officeDocument/2006/relationships/image" Target="media/image79.png"/><Relationship Id="rId88" Type="http://schemas.openxmlformats.org/officeDocument/2006/relationships/image" Target="media/image78.png"/><Relationship Id="rId87" Type="http://schemas.openxmlformats.org/officeDocument/2006/relationships/image" Target="media/image77.png"/><Relationship Id="rId86" Type="http://schemas.openxmlformats.org/officeDocument/2006/relationships/image" Target="media/image76.png"/><Relationship Id="rId85" Type="http://schemas.openxmlformats.org/officeDocument/2006/relationships/image" Target="media/image75.png"/><Relationship Id="rId84" Type="http://schemas.openxmlformats.org/officeDocument/2006/relationships/image" Target="media/image74.png"/><Relationship Id="rId83" Type="http://schemas.openxmlformats.org/officeDocument/2006/relationships/image" Target="media/image73.png"/><Relationship Id="rId82" Type="http://schemas.openxmlformats.org/officeDocument/2006/relationships/image" Target="media/image72.png"/><Relationship Id="rId81" Type="http://schemas.openxmlformats.org/officeDocument/2006/relationships/image" Target="media/image71.png"/><Relationship Id="rId80" Type="http://schemas.openxmlformats.org/officeDocument/2006/relationships/image" Target="media/image70.png"/><Relationship Id="rId8" Type="http://schemas.openxmlformats.org/officeDocument/2006/relationships/footer" Target="footer6.xml"/><Relationship Id="rId79" Type="http://schemas.openxmlformats.org/officeDocument/2006/relationships/image" Target="media/image69.png"/><Relationship Id="rId78" Type="http://schemas.openxmlformats.org/officeDocument/2006/relationships/image" Target="media/image68.png"/><Relationship Id="rId77" Type="http://schemas.openxmlformats.org/officeDocument/2006/relationships/image" Target="media/image67.png"/><Relationship Id="rId76" Type="http://schemas.openxmlformats.org/officeDocument/2006/relationships/image" Target="media/image66.png"/><Relationship Id="rId75" Type="http://schemas.openxmlformats.org/officeDocument/2006/relationships/image" Target="media/image65.png"/><Relationship Id="rId74" Type="http://schemas.openxmlformats.org/officeDocument/2006/relationships/image" Target="media/image64.png"/><Relationship Id="rId73" Type="http://schemas.openxmlformats.org/officeDocument/2006/relationships/image" Target="media/image63.png"/><Relationship Id="rId72" Type="http://schemas.openxmlformats.org/officeDocument/2006/relationships/image" Target="media/image62.png"/><Relationship Id="rId71" Type="http://schemas.openxmlformats.org/officeDocument/2006/relationships/image" Target="media/image61.png"/><Relationship Id="rId70" Type="http://schemas.openxmlformats.org/officeDocument/2006/relationships/image" Target="media/image60.png"/><Relationship Id="rId7" Type="http://schemas.openxmlformats.org/officeDocument/2006/relationships/footer" Target="footer5.xml"/><Relationship Id="rId69" Type="http://schemas.openxmlformats.org/officeDocument/2006/relationships/image" Target="media/image59.png"/><Relationship Id="rId68" Type="http://schemas.openxmlformats.org/officeDocument/2006/relationships/image" Target="media/image58.png"/><Relationship Id="rId67" Type="http://schemas.openxmlformats.org/officeDocument/2006/relationships/image" Target="media/image57.png"/><Relationship Id="rId66" Type="http://schemas.openxmlformats.org/officeDocument/2006/relationships/image" Target="media/image56.png"/><Relationship Id="rId65" Type="http://schemas.openxmlformats.org/officeDocument/2006/relationships/image" Target="media/image55.png"/><Relationship Id="rId64" Type="http://schemas.openxmlformats.org/officeDocument/2006/relationships/image" Target="media/image54.png"/><Relationship Id="rId63" Type="http://schemas.openxmlformats.org/officeDocument/2006/relationships/image" Target="media/image53.png"/><Relationship Id="rId62" Type="http://schemas.openxmlformats.org/officeDocument/2006/relationships/image" Target="media/image52.png"/><Relationship Id="rId61" Type="http://schemas.openxmlformats.org/officeDocument/2006/relationships/image" Target="media/image51.png"/><Relationship Id="rId60" Type="http://schemas.openxmlformats.org/officeDocument/2006/relationships/image" Target="media/image50.png"/><Relationship Id="rId6" Type="http://schemas.openxmlformats.org/officeDocument/2006/relationships/footer" Target="footer4.xml"/><Relationship Id="rId59" Type="http://schemas.openxmlformats.org/officeDocument/2006/relationships/image" Target="media/image49.png"/><Relationship Id="rId58" Type="http://schemas.openxmlformats.org/officeDocument/2006/relationships/image" Target="media/image48.png"/><Relationship Id="rId57" Type="http://schemas.openxmlformats.org/officeDocument/2006/relationships/image" Target="media/image47.png"/><Relationship Id="rId56" Type="http://schemas.openxmlformats.org/officeDocument/2006/relationships/image" Target="media/image46.png"/><Relationship Id="rId55" Type="http://schemas.openxmlformats.org/officeDocument/2006/relationships/image" Target="media/image45.png"/><Relationship Id="rId54" Type="http://schemas.openxmlformats.org/officeDocument/2006/relationships/image" Target="media/image44.png"/><Relationship Id="rId53" Type="http://schemas.openxmlformats.org/officeDocument/2006/relationships/image" Target="media/image43.png"/><Relationship Id="rId52" Type="http://schemas.openxmlformats.org/officeDocument/2006/relationships/image" Target="media/image42.png"/><Relationship Id="rId51" Type="http://schemas.openxmlformats.org/officeDocument/2006/relationships/image" Target="media/image41.png"/><Relationship Id="rId50" Type="http://schemas.openxmlformats.org/officeDocument/2006/relationships/image" Target="media/image40.png"/><Relationship Id="rId5" Type="http://schemas.openxmlformats.org/officeDocument/2006/relationships/footer" Target="footer3.xml"/><Relationship Id="rId49" Type="http://schemas.openxmlformats.org/officeDocument/2006/relationships/image" Target="media/image39.png"/><Relationship Id="rId48" Type="http://schemas.openxmlformats.org/officeDocument/2006/relationships/image" Target="media/image38.png"/><Relationship Id="rId47" Type="http://schemas.openxmlformats.org/officeDocument/2006/relationships/image" Target="media/image37.png"/><Relationship Id="rId46" Type="http://schemas.openxmlformats.org/officeDocument/2006/relationships/image" Target="media/image36.png"/><Relationship Id="rId45" Type="http://schemas.openxmlformats.org/officeDocument/2006/relationships/image" Target="media/image35.png"/><Relationship Id="rId44" Type="http://schemas.openxmlformats.org/officeDocument/2006/relationships/image" Target="media/image34.png"/><Relationship Id="rId43" Type="http://schemas.openxmlformats.org/officeDocument/2006/relationships/image" Target="media/image33.png"/><Relationship Id="rId42" Type="http://schemas.openxmlformats.org/officeDocument/2006/relationships/image" Target="media/image32.png"/><Relationship Id="rId41" Type="http://schemas.openxmlformats.org/officeDocument/2006/relationships/image" Target="media/image31.png"/><Relationship Id="rId40" Type="http://schemas.openxmlformats.org/officeDocument/2006/relationships/image" Target="media/image30.png"/><Relationship Id="rId4" Type="http://schemas.openxmlformats.org/officeDocument/2006/relationships/footer" Target="footer2.xml"/><Relationship Id="rId39" Type="http://schemas.openxmlformats.org/officeDocument/2006/relationships/image" Target="media/image29.png"/><Relationship Id="rId38" Type="http://schemas.openxmlformats.org/officeDocument/2006/relationships/image" Target="media/image28.png"/><Relationship Id="rId37" Type="http://schemas.openxmlformats.org/officeDocument/2006/relationships/image" Target="media/image27.png"/><Relationship Id="rId36" Type="http://schemas.openxmlformats.org/officeDocument/2006/relationships/image" Target="media/image26.png"/><Relationship Id="rId35" Type="http://schemas.openxmlformats.org/officeDocument/2006/relationships/image" Target="media/image25.png"/><Relationship Id="rId34" Type="http://schemas.openxmlformats.org/officeDocument/2006/relationships/image" Target="media/image24.png"/><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footer" Target="foot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3" Type="http://schemas.openxmlformats.org/officeDocument/2006/relationships/fontTable" Target="fontTable.xml"/><Relationship Id="rId102" Type="http://schemas.openxmlformats.org/officeDocument/2006/relationships/customXml" Target="../customXml/item2.xml"/><Relationship Id="rId101" Type="http://schemas.openxmlformats.org/officeDocument/2006/relationships/numbering" Target="numbering.xml"/><Relationship Id="rId100"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7278EF-4F2C-46BD-8C0F-72AE8A59198B}">
  <ds:schemaRefs/>
</ds:datastoreItem>
</file>

<file path=docProps/app.xml><?xml version="1.0" encoding="utf-8"?>
<Properties xmlns="http://schemas.openxmlformats.org/officeDocument/2006/extended-properties" xmlns:vt="http://schemas.openxmlformats.org/officeDocument/2006/docPropsVTypes">
  <Template>Normal.dotm</Template>
  <Company>http://www.deepbbs.org</Company>
  <Pages>103</Pages>
  <Words>11185</Words>
  <Characters>63759</Characters>
  <Lines>531</Lines>
  <Paragraphs>149</Paragraphs>
  <TotalTime>20</TotalTime>
  <ScaleCrop>false</ScaleCrop>
  <LinksUpToDate>false</LinksUpToDate>
  <CharactersWithSpaces>74795</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丫丫</cp:lastModifiedBy>
  <cp:lastPrinted>2021-10-12T09:04:00Z</cp:lastPrinted>
  <dcterms:modified xsi:type="dcterms:W3CDTF">2021-10-26T05:13:53Z</dcterms:modified>
  <cp:revision>281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0B756E4F468A4EF49F690265C6F0F723</vt:lpwstr>
  </property>
</Properties>
</file>