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hint="eastAsia" w:asciiTheme="minorEastAsia" w:hAnsiTheme="minorEastAsia" w:eastAsiaTheme="minorEastAsia" w:cstheme="minorEastAsia"/>
          <w:b/>
          <w:color w:val="auto"/>
          <w:spacing w:val="-6"/>
          <w:sz w:val="36"/>
          <w:szCs w:val="36"/>
          <w:highlight w:val="none"/>
          <w:lang w:eastAsia="zh-CN"/>
        </w:rPr>
      </w:pPr>
      <w:r>
        <w:rPr>
          <w:rFonts w:hint="eastAsia" w:asciiTheme="minorEastAsia" w:hAnsiTheme="minorEastAsia" w:eastAsiaTheme="minorEastAsia" w:cstheme="minorEastAsia"/>
          <w:b/>
          <w:color w:val="auto"/>
          <w:spacing w:val="-6"/>
          <w:sz w:val="36"/>
          <w:szCs w:val="36"/>
          <w:highlight w:val="none"/>
          <w:lang w:eastAsia="zh-CN"/>
        </w:rPr>
        <w:t>绍兴市上虞区虞东河湖综合整治工程七标段—自动化安装项目</w:t>
      </w: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人：绍兴市上虞舜惠水利工程有限公司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招标代理机构：浙江翔实建设项目管理有限公司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2023年</w:t>
      </w:r>
      <w:r>
        <w:rPr>
          <w:rFonts w:hint="eastAsia" w:asciiTheme="minorEastAsia" w:hAnsiTheme="minorEastAsia" w:eastAsiaTheme="minorEastAsia" w:cstheme="minorEastAsia"/>
          <w:b/>
          <w:bCs/>
          <w:color w:val="auto"/>
          <w:sz w:val="28"/>
          <w:szCs w:val="28"/>
          <w:highlight w:val="none"/>
          <w:lang w:val="en-US" w:eastAsia="zh-CN"/>
        </w:rPr>
        <w:t>9</w:t>
      </w:r>
      <w:r>
        <w:rPr>
          <w:rFonts w:hint="eastAsia" w:asciiTheme="minorEastAsia" w:hAnsiTheme="minorEastAsia" w:eastAsiaTheme="minorEastAsia" w:cstheme="minorEastAsia"/>
          <w:b/>
          <w:bCs/>
          <w:color w:val="auto"/>
          <w:sz w:val="28"/>
          <w:szCs w:val="28"/>
          <w:highlight w:val="none"/>
        </w:rPr>
        <w:t>月</w:t>
      </w:r>
    </w:p>
    <w:p>
      <w:pPr>
        <w:rPr>
          <w:color w:val="auto"/>
          <w:highlight w:val="none"/>
        </w:rPr>
      </w:pPr>
    </w:p>
    <w:p>
      <w:pPr>
        <w:spacing w:line="300" w:lineRule="auto"/>
        <w:jc w:val="center"/>
        <w:rPr>
          <w:rFonts w:hint="eastAsia" w:eastAsia="宋体"/>
          <w:b/>
          <w:color w:val="auto"/>
          <w:sz w:val="32"/>
          <w:szCs w:val="32"/>
          <w:highlight w:val="none"/>
          <w:lang w:eastAsia="zh-CN"/>
        </w:rPr>
      </w:pPr>
      <w:r>
        <w:rPr>
          <w:rFonts w:hint="eastAsia"/>
          <w:b/>
          <w:color w:val="auto"/>
          <w:sz w:val="32"/>
          <w:szCs w:val="32"/>
          <w:highlight w:val="none"/>
          <w:lang w:eastAsia="zh-CN"/>
        </w:rPr>
        <w:t>绍兴市上虞区虞东河湖综合整治工程七标段—自动化安装项目</w:t>
      </w:r>
    </w:p>
    <w:p>
      <w:pPr>
        <w:spacing w:line="300" w:lineRule="auto"/>
        <w:jc w:val="center"/>
        <w:rPr>
          <w:b/>
          <w:color w:val="auto"/>
          <w:sz w:val="32"/>
          <w:szCs w:val="32"/>
          <w:highlight w:val="none"/>
        </w:rPr>
      </w:pPr>
      <w:r>
        <w:rPr>
          <w:rFonts w:hint="eastAsia"/>
          <w:b/>
          <w:color w:val="auto"/>
          <w:sz w:val="32"/>
          <w:szCs w:val="32"/>
          <w:highlight w:val="none"/>
        </w:rPr>
        <w:t>招标文件</w:t>
      </w:r>
    </w:p>
    <w:p>
      <w:pPr>
        <w:spacing w:line="300" w:lineRule="auto"/>
        <w:jc w:val="center"/>
        <w:rPr>
          <w:b/>
          <w:color w:val="auto"/>
          <w:sz w:val="32"/>
          <w:szCs w:val="32"/>
          <w:highlight w:val="none"/>
        </w:rPr>
      </w:pPr>
    </w:p>
    <w:p>
      <w:pPr>
        <w:spacing w:line="540" w:lineRule="exact"/>
        <w:ind w:firstLine="840" w:firstLineChars="400"/>
        <w:rPr>
          <w:rFonts w:ascii="宋体" w:hAnsi="宋体" w:cs="宋体"/>
          <w:color w:val="auto"/>
          <w:szCs w:val="21"/>
          <w:highlight w:val="none"/>
        </w:rPr>
      </w:pPr>
      <w:bookmarkStart w:id="0" w:name="_Toc10676"/>
      <w:r>
        <w:rPr>
          <w:rFonts w:hint="eastAsia" w:ascii="宋体" w:hAnsi="宋体" w:cs="宋体"/>
          <w:color w:val="auto"/>
          <w:szCs w:val="21"/>
          <w:highlight w:val="none"/>
        </w:rPr>
        <w:t>招标人：</w:t>
      </w:r>
      <w:r>
        <w:rPr>
          <w:rFonts w:hint="eastAsia" w:ascii="宋体" w:hAnsi="宋体" w:cs="宋体"/>
          <w:color w:val="auto"/>
          <w:szCs w:val="21"/>
          <w:highlight w:val="none"/>
          <w:u w:val="single"/>
        </w:rPr>
        <w:t>绍兴市上虞舜惠水利工程有限公司</w:t>
      </w:r>
      <w:r>
        <w:rPr>
          <w:rFonts w:hint="eastAsia" w:ascii="宋体" w:hAnsi="宋体" w:cs="宋体"/>
          <w:color w:val="auto"/>
          <w:szCs w:val="21"/>
          <w:highlight w:val="none"/>
        </w:rPr>
        <w:t>（盖章）</w:t>
      </w:r>
    </w:p>
    <w:p>
      <w:pPr>
        <w:shd w:val="clear" w:color="auto" w:fill="FFFFFF"/>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招标人法定代表人：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（签字或盖章）</w:t>
      </w:r>
    </w:p>
    <w:p>
      <w:pPr>
        <w:shd w:val="clear" w:color="auto" w:fill="FFFFFF"/>
        <w:spacing w:line="540" w:lineRule="exact"/>
        <w:ind w:firstLine="840" w:firstLineChars="400"/>
        <w:rPr>
          <w:rFonts w:ascii="宋体" w:hAnsi="宋体" w:cs="宋体"/>
          <w:color w:val="auto"/>
          <w:highlight w:val="none"/>
          <w:u w:val="single"/>
        </w:rPr>
      </w:pPr>
      <w:r>
        <w:rPr>
          <w:rFonts w:hint="eastAsia" w:ascii="宋体" w:hAnsi="宋体" w:cs="宋体"/>
          <w:color w:val="auto"/>
          <w:szCs w:val="21"/>
          <w:highlight w:val="none"/>
        </w:rPr>
        <w:t>招标人地址：</w:t>
      </w:r>
      <w:r>
        <w:rPr>
          <w:rFonts w:hint="eastAsia" w:ascii="宋体" w:hAnsi="宋体" w:cs="宋体"/>
          <w:color w:val="auto"/>
          <w:szCs w:val="21"/>
          <w:highlight w:val="none"/>
          <w:u w:val="single"/>
        </w:rPr>
        <w:t xml:space="preserve">浙江省绍兴市上虞区百官街道恒利东四区25幢一楼      </w:t>
      </w:r>
    </w:p>
    <w:p>
      <w:pPr>
        <w:shd w:val="clear" w:color="auto" w:fill="FFFFFF"/>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312300           </w:t>
      </w:r>
    </w:p>
    <w:p>
      <w:pPr>
        <w:shd w:val="clear" w:color="auto" w:fill="FFFFFF"/>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        </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阮帅    </w:t>
      </w:r>
      <w:r>
        <w:rPr>
          <w:rFonts w:hint="eastAsia" w:ascii="宋体" w:hAnsi="宋体" w:cs="宋体"/>
          <w:color w:val="auto"/>
          <w:szCs w:val="21"/>
          <w:highlight w:val="none"/>
        </w:rPr>
        <w:t>手机：</w:t>
      </w:r>
      <w:r>
        <w:rPr>
          <w:rFonts w:hint="eastAsia" w:ascii="宋体" w:hAnsi="宋体" w:cs="宋体"/>
          <w:color w:val="auto"/>
          <w:szCs w:val="21"/>
          <w:highlight w:val="none"/>
          <w:u w:val="single"/>
        </w:rPr>
        <w:t xml:space="preserve">   18814852498      </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招标人统一社会信用代码：</w:t>
      </w:r>
      <w:r>
        <w:rPr>
          <w:rFonts w:hint="eastAsia" w:ascii="宋体" w:hAnsi="宋体" w:cs="宋体"/>
          <w:color w:val="auto"/>
          <w:szCs w:val="21"/>
          <w:highlight w:val="none"/>
          <w:u w:val="single"/>
        </w:rPr>
        <w:t xml:space="preserve"> 91330604097567811A  </w:t>
      </w:r>
    </w:p>
    <w:p>
      <w:pPr>
        <w:shd w:val="clear" w:color="auto" w:fill="FFFFFF"/>
        <w:spacing w:line="540" w:lineRule="exact"/>
        <w:ind w:firstLine="840" w:firstLineChars="400"/>
        <w:rPr>
          <w:rFonts w:ascii="宋体" w:hAnsi="宋体" w:cs="宋体"/>
          <w:color w:val="auto"/>
          <w:szCs w:val="21"/>
          <w:highlight w:val="none"/>
          <w:u w:val="single"/>
        </w:rPr>
      </w:pPr>
    </w:p>
    <w:p>
      <w:pPr>
        <w:pStyle w:val="83"/>
        <w:tabs>
          <w:tab w:val="left" w:pos="0"/>
          <w:tab w:val="left" w:pos="360"/>
          <w:tab w:val="left" w:pos="822"/>
        </w:tabs>
        <w:ind w:firstLine="960" w:firstLineChars="400"/>
        <w:rPr>
          <w:color w:val="auto"/>
          <w:highlight w:val="none"/>
        </w:rPr>
      </w:pPr>
    </w:p>
    <w:p>
      <w:pPr>
        <w:shd w:val="clear" w:color="auto" w:fill="FFFFFF"/>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招标代理机构名称</w:t>
      </w:r>
      <w:r>
        <w:rPr>
          <w:rFonts w:hint="eastAsia" w:ascii="宋体" w:hAnsi="宋体" w:cs="宋体"/>
          <w:color w:val="auto"/>
          <w:szCs w:val="21"/>
          <w:highlight w:val="none"/>
          <w:u w:val="single"/>
        </w:rPr>
        <w:t xml:space="preserve">：  浙江翔实建设项目管理有限公司  </w:t>
      </w:r>
      <w:r>
        <w:rPr>
          <w:rFonts w:hint="eastAsia" w:ascii="宋体" w:hAnsi="宋体" w:cs="宋体"/>
          <w:color w:val="auto"/>
          <w:szCs w:val="21"/>
          <w:highlight w:val="none"/>
        </w:rPr>
        <w:t>（盖章）</w:t>
      </w:r>
    </w:p>
    <w:p>
      <w:pPr>
        <w:shd w:val="clear" w:color="auto" w:fill="FFFFFF"/>
        <w:tabs>
          <w:tab w:val="left" w:pos="6300"/>
        </w:tabs>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 xml:space="preserve">法定代表人：  </w:t>
      </w:r>
      <w:r>
        <w:rPr>
          <w:rFonts w:hint="eastAsia" w:ascii="宋体" w:hAnsi="宋体" w:cs="宋体"/>
          <w:iCs/>
          <w:color w:val="auto"/>
          <w:szCs w:val="21"/>
          <w:highlight w:val="none"/>
          <w:u w:val="single"/>
        </w:rPr>
        <w:t xml:space="preserve">    何景祥     </w:t>
      </w:r>
      <w:r>
        <w:rPr>
          <w:rFonts w:hint="eastAsia" w:ascii="宋体" w:hAnsi="宋体" w:cs="宋体"/>
          <w:color w:val="auto"/>
          <w:szCs w:val="21"/>
          <w:highlight w:val="none"/>
        </w:rPr>
        <w:t>（签字或盖章）</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iCs/>
          <w:color w:val="auto"/>
          <w:szCs w:val="21"/>
          <w:highlight w:val="none"/>
          <w:u w:val="single"/>
        </w:rPr>
        <w:t>绍兴市越城区阳明北路692号</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邮政编码：</w:t>
      </w:r>
      <w:r>
        <w:rPr>
          <w:rFonts w:hint="eastAsia" w:ascii="宋体" w:hAnsi="宋体" w:cs="宋体"/>
          <w:color w:val="auto"/>
          <w:szCs w:val="21"/>
          <w:highlight w:val="none"/>
          <w:u w:val="single"/>
        </w:rPr>
        <w:t xml:space="preserve">    312000    </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18358503880</w:t>
      </w:r>
      <w:r>
        <w:rPr>
          <w:rFonts w:hint="eastAsia" w:ascii="宋体" w:hAnsi="宋体" w:cs="宋体"/>
          <w:color w:val="auto"/>
          <w:szCs w:val="21"/>
          <w:highlight w:val="none"/>
        </w:rPr>
        <w:t>传真：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p>
    <w:p>
      <w:pPr>
        <w:shd w:val="clear" w:color="auto" w:fill="FFFFFF"/>
        <w:spacing w:line="540" w:lineRule="exact"/>
        <w:ind w:firstLine="840" w:firstLineChars="400"/>
        <w:rPr>
          <w:rFonts w:ascii="宋体" w:hAnsi="宋体" w:cs="宋体"/>
          <w:color w:val="auto"/>
          <w:szCs w:val="21"/>
          <w:highlight w:val="none"/>
          <w:u w:val="single"/>
        </w:rPr>
      </w:pPr>
      <w:r>
        <w:rPr>
          <w:rFonts w:hint="eastAsia" w:ascii="宋体" w:hAnsi="宋体" w:cs="宋体"/>
          <w:color w:val="auto"/>
          <w:szCs w:val="21"/>
          <w:highlight w:val="none"/>
        </w:rPr>
        <w:t>联系人：</w:t>
      </w:r>
      <w:r>
        <w:rPr>
          <w:rFonts w:hint="eastAsia" w:ascii="宋体" w:hAnsi="宋体" w:cs="宋体"/>
          <w:color w:val="auto"/>
          <w:highlight w:val="none"/>
          <w:u w:val="single"/>
        </w:rPr>
        <w:t xml:space="preserve">周成龙  </w:t>
      </w:r>
    </w:p>
    <w:p>
      <w:pPr>
        <w:shd w:val="clear" w:color="auto" w:fill="FFFFFF"/>
        <w:spacing w:line="540" w:lineRule="exact"/>
        <w:ind w:firstLine="840" w:firstLineChars="400"/>
        <w:rPr>
          <w:rFonts w:ascii="宋体" w:hAnsi="宋体" w:cs="宋体"/>
          <w:color w:val="auto"/>
          <w:szCs w:val="21"/>
          <w:highlight w:val="none"/>
        </w:rPr>
      </w:pPr>
      <w:r>
        <w:rPr>
          <w:rFonts w:hint="eastAsia" w:ascii="宋体" w:hAnsi="宋体" w:cs="宋体"/>
          <w:color w:val="auto"/>
          <w:szCs w:val="21"/>
          <w:highlight w:val="none"/>
        </w:rPr>
        <w:t>签发日期：  2023  年        月         日</w:t>
      </w:r>
    </w:p>
    <w:p>
      <w:pPr>
        <w:rPr>
          <w:color w:val="auto"/>
          <w:highlight w:val="none"/>
        </w:rPr>
      </w:pPr>
      <w:r>
        <w:rPr>
          <w:rFonts w:hint="eastAsia"/>
          <w:color w:val="auto"/>
          <w:highlight w:val="none"/>
        </w:rPr>
        <w:br w:type="page"/>
      </w:r>
    </w:p>
    <w:p>
      <w:pPr>
        <w:ind w:firstLine="1440" w:firstLineChars="400"/>
        <w:jc w:val="center"/>
        <w:rPr>
          <w:rFonts w:ascii="宋体" w:hAnsi="宋体" w:cs="宋体"/>
          <w:color w:val="auto"/>
          <w:sz w:val="36"/>
          <w:szCs w:val="36"/>
          <w:highlight w:val="none"/>
        </w:rPr>
      </w:pPr>
      <w:r>
        <w:rPr>
          <w:rFonts w:hint="eastAsia" w:ascii="宋体" w:hAnsi="宋体" w:cs="宋体"/>
          <w:color w:val="auto"/>
          <w:sz w:val="36"/>
          <w:szCs w:val="36"/>
          <w:highlight w:val="none"/>
        </w:rPr>
        <w:t>目录</w:t>
      </w:r>
    </w:p>
    <w:p>
      <w:pPr>
        <w:spacing w:line="360" w:lineRule="auto"/>
        <w:ind w:firstLine="960" w:firstLineChars="400"/>
        <w:rPr>
          <w:color w:val="auto"/>
          <w:sz w:val="24"/>
          <w:szCs w:val="24"/>
          <w:highlight w:val="none"/>
        </w:rPr>
      </w:pPr>
      <w:r>
        <w:rPr>
          <w:rFonts w:hint="eastAsia" w:ascii="Calibri" w:hAnsi="Calibri"/>
          <w:color w:val="auto"/>
          <w:kern w:val="2"/>
          <w:sz w:val="24"/>
          <w:szCs w:val="24"/>
          <w:highlight w:val="none"/>
        </w:rPr>
        <w:t>第一章</w:t>
      </w:r>
      <w:r>
        <w:rPr>
          <w:rFonts w:hint="eastAsia"/>
          <w:color w:val="auto"/>
          <w:sz w:val="24"/>
          <w:szCs w:val="24"/>
          <w:highlight w:val="none"/>
        </w:rPr>
        <w:t xml:space="preserve">  招标公告</w:t>
      </w:r>
    </w:p>
    <w:p>
      <w:pPr>
        <w:spacing w:line="360" w:lineRule="auto"/>
        <w:ind w:firstLine="960" w:firstLineChars="400"/>
        <w:rPr>
          <w:color w:val="auto"/>
          <w:sz w:val="24"/>
          <w:szCs w:val="24"/>
          <w:highlight w:val="none"/>
        </w:rPr>
      </w:pPr>
      <w:r>
        <w:rPr>
          <w:rFonts w:hint="eastAsia"/>
          <w:color w:val="auto"/>
          <w:sz w:val="24"/>
          <w:szCs w:val="24"/>
          <w:highlight w:val="none"/>
        </w:rPr>
        <w:t>第二章  投标人须知</w:t>
      </w:r>
    </w:p>
    <w:p>
      <w:pPr>
        <w:spacing w:line="360" w:lineRule="auto"/>
        <w:ind w:firstLine="1440" w:firstLineChars="600"/>
        <w:rPr>
          <w:color w:val="auto"/>
          <w:sz w:val="24"/>
          <w:szCs w:val="24"/>
          <w:highlight w:val="none"/>
        </w:rPr>
      </w:pPr>
      <w:r>
        <w:rPr>
          <w:rFonts w:hint="eastAsia"/>
          <w:color w:val="auto"/>
          <w:sz w:val="24"/>
          <w:szCs w:val="24"/>
          <w:highlight w:val="none"/>
        </w:rPr>
        <w:t>投标人须知前附表</w:t>
      </w:r>
    </w:p>
    <w:p>
      <w:pPr>
        <w:spacing w:line="360" w:lineRule="auto"/>
        <w:ind w:firstLine="1440" w:firstLineChars="600"/>
        <w:rPr>
          <w:color w:val="auto"/>
          <w:sz w:val="24"/>
          <w:szCs w:val="24"/>
          <w:highlight w:val="none"/>
        </w:rPr>
      </w:pPr>
      <w:r>
        <w:rPr>
          <w:rFonts w:hint="eastAsia"/>
          <w:color w:val="auto"/>
          <w:sz w:val="24"/>
          <w:szCs w:val="24"/>
          <w:highlight w:val="none"/>
        </w:rPr>
        <w:t xml:space="preserve">一、总则 </w:t>
      </w:r>
    </w:p>
    <w:p>
      <w:pPr>
        <w:spacing w:line="360" w:lineRule="auto"/>
        <w:ind w:firstLine="1440" w:firstLineChars="600"/>
        <w:rPr>
          <w:color w:val="auto"/>
          <w:sz w:val="24"/>
          <w:szCs w:val="24"/>
          <w:highlight w:val="none"/>
        </w:rPr>
      </w:pPr>
      <w:r>
        <w:rPr>
          <w:rFonts w:hint="eastAsia"/>
          <w:color w:val="auto"/>
          <w:sz w:val="24"/>
          <w:szCs w:val="24"/>
          <w:highlight w:val="none"/>
        </w:rPr>
        <w:t>二、招标文件</w:t>
      </w:r>
    </w:p>
    <w:p>
      <w:pPr>
        <w:spacing w:line="360" w:lineRule="auto"/>
        <w:ind w:firstLine="1440" w:firstLineChars="600"/>
        <w:rPr>
          <w:color w:val="auto"/>
          <w:sz w:val="24"/>
          <w:szCs w:val="24"/>
          <w:highlight w:val="none"/>
        </w:rPr>
      </w:pPr>
      <w:r>
        <w:rPr>
          <w:rFonts w:hint="eastAsia"/>
          <w:color w:val="auto"/>
          <w:sz w:val="24"/>
          <w:szCs w:val="24"/>
          <w:highlight w:val="none"/>
        </w:rPr>
        <w:t>三、投标文件</w:t>
      </w:r>
    </w:p>
    <w:p>
      <w:pPr>
        <w:spacing w:line="360" w:lineRule="auto"/>
        <w:ind w:firstLine="1440" w:firstLineChars="600"/>
        <w:rPr>
          <w:color w:val="auto"/>
          <w:sz w:val="24"/>
          <w:szCs w:val="24"/>
          <w:highlight w:val="none"/>
        </w:rPr>
      </w:pPr>
      <w:r>
        <w:rPr>
          <w:rFonts w:hint="eastAsia"/>
          <w:color w:val="auto"/>
          <w:sz w:val="24"/>
          <w:szCs w:val="24"/>
          <w:highlight w:val="none"/>
        </w:rPr>
        <w:t>四、投标</w:t>
      </w:r>
    </w:p>
    <w:p>
      <w:pPr>
        <w:spacing w:line="360" w:lineRule="auto"/>
        <w:ind w:firstLine="1440" w:firstLineChars="600"/>
        <w:rPr>
          <w:color w:val="auto"/>
          <w:sz w:val="24"/>
          <w:szCs w:val="24"/>
          <w:highlight w:val="none"/>
        </w:rPr>
      </w:pPr>
      <w:r>
        <w:rPr>
          <w:rFonts w:hint="eastAsia"/>
          <w:color w:val="auto"/>
          <w:sz w:val="24"/>
          <w:szCs w:val="24"/>
          <w:highlight w:val="none"/>
        </w:rPr>
        <w:t>五、开标</w:t>
      </w:r>
    </w:p>
    <w:p>
      <w:pPr>
        <w:spacing w:line="360" w:lineRule="auto"/>
        <w:ind w:firstLine="1440" w:firstLineChars="600"/>
        <w:rPr>
          <w:color w:val="auto"/>
          <w:sz w:val="24"/>
          <w:szCs w:val="24"/>
          <w:highlight w:val="none"/>
        </w:rPr>
      </w:pPr>
      <w:r>
        <w:rPr>
          <w:rFonts w:hint="eastAsia"/>
          <w:color w:val="auto"/>
          <w:sz w:val="24"/>
          <w:szCs w:val="24"/>
          <w:highlight w:val="none"/>
        </w:rPr>
        <w:t>六、评标</w:t>
      </w:r>
    </w:p>
    <w:p>
      <w:pPr>
        <w:spacing w:line="360" w:lineRule="auto"/>
        <w:ind w:firstLine="1440" w:firstLineChars="600"/>
        <w:rPr>
          <w:color w:val="auto"/>
          <w:sz w:val="24"/>
          <w:szCs w:val="24"/>
          <w:highlight w:val="none"/>
        </w:rPr>
      </w:pPr>
      <w:r>
        <w:rPr>
          <w:rFonts w:hint="eastAsia"/>
          <w:color w:val="auto"/>
          <w:sz w:val="24"/>
          <w:szCs w:val="24"/>
          <w:highlight w:val="none"/>
        </w:rPr>
        <w:t>七、授予合同</w:t>
      </w:r>
    </w:p>
    <w:p>
      <w:pPr>
        <w:spacing w:line="360" w:lineRule="auto"/>
        <w:ind w:firstLine="1440" w:firstLineChars="600"/>
        <w:rPr>
          <w:color w:val="auto"/>
          <w:sz w:val="24"/>
          <w:szCs w:val="24"/>
          <w:highlight w:val="none"/>
        </w:rPr>
      </w:pPr>
      <w:r>
        <w:rPr>
          <w:rFonts w:hint="eastAsia"/>
          <w:color w:val="auto"/>
          <w:sz w:val="24"/>
          <w:szCs w:val="24"/>
          <w:highlight w:val="none"/>
        </w:rPr>
        <w:t>八、重新招标和不再招标</w:t>
      </w:r>
    </w:p>
    <w:p>
      <w:pPr>
        <w:spacing w:line="360" w:lineRule="auto"/>
        <w:ind w:firstLine="1440" w:firstLineChars="600"/>
        <w:rPr>
          <w:color w:val="auto"/>
          <w:sz w:val="24"/>
          <w:szCs w:val="24"/>
          <w:highlight w:val="none"/>
        </w:rPr>
      </w:pPr>
      <w:r>
        <w:rPr>
          <w:rFonts w:hint="eastAsia"/>
          <w:color w:val="auto"/>
          <w:sz w:val="24"/>
          <w:szCs w:val="24"/>
          <w:highlight w:val="none"/>
        </w:rPr>
        <w:t>九、纪律和监督</w:t>
      </w:r>
    </w:p>
    <w:p>
      <w:pPr>
        <w:spacing w:line="360" w:lineRule="auto"/>
        <w:ind w:firstLine="1440" w:firstLineChars="600"/>
        <w:rPr>
          <w:color w:val="auto"/>
          <w:sz w:val="24"/>
          <w:szCs w:val="24"/>
          <w:highlight w:val="none"/>
        </w:rPr>
      </w:pPr>
      <w:r>
        <w:rPr>
          <w:rFonts w:hint="eastAsia"/>
          <w:color w:val="auto"/>
          <w:sz w:val="24"/>
          <w:szCs w:val="24"/>
          <w:highlight w:val="none"/>
        </w:rPr>
        <w:t>十、需要补充和其他内容</w:t>
      </w:r>
    </w:p>
    <w:p>
      <w:pPr>
        <w:spacing w:line="360" w:lineRule="auto"/>
        <w:ind w:firstLine="960" w:firstLineChars="400"/>
        <w:rPr>
          <w:color w:val="auto"/>
          <w:sz w:val="24"/>
          <w:szCs w:val="24"/>
          <w:highlight w:val="none"/>
        </w:rPr>
      </w:pPr>
      <w:r>
        <w:rPr>
          <w:rFonts w:hint="eastAsia"/>
          <w:color w:val="auto"/>
          <w:sz w:val="24"/>
          <w:szCs w:val="24"/>
          <w:highlight w:val="none"/>
        </w:rPr>
        <w:t>第三章  评标办法（综合评估法）</w:t>
      </w:r>
    </w:p>
    <w:p>
      <w:pPr>
        <w:spacing w:line="360" w:lineRule="auto"/>
        <w:ind w:firstLine="960" w:firstLineChars="400"/>
        <w:rPr>
          <w:color w:val="auto"/>
          <w:sz w:val="24"/>
          <w:szCs w:val="24"/>
          <w:highlight w:val="none"/>
        </w:rPr>
      </w:pPr>
      <w:r>
        <w:rPr>
          <w:rFonts w:hint="eastAsia"/>
          <w:color w:val="auto"/>
          <w:sz w:val="24"/>
          <w:szCs w:val="24"/>
          <w:highlight w:val="none"/>
        </w:rPr>
        <w:t>第四章  合同主要协议条款</w:t>
      </w:r>
    </w:p>
    <w:p>
      <w:pPr>
        <w:spacing w:line="360" w:lineRule="auto"/>
        <w:ind w:firstLine="960" w:firstLineChars="400"/>
        <w:rPr>
          <w:color w:val="auto"/>
          <w:sz w:val="24"/>
          <w:szCs w:val="24"/>
          <w:highlight w:val="none"/>
        </w:rPr>
      </w:pPr>
      <w:r>
        <w:rPr>
          <w:rFonts w:hint="eastAsia"/>
          <w:color w:val="auto"/>
          <w:sz w:val="24"/>
          <w:szCs w:val="24"/>
          <w:highlight w:val="none"/>
        </w:rPr>
        <w:t>第五章  图纸</w:t>
      </w:r>
    </w:p>
    <w:p>
      <w:pPr>
        <w:spacing w:line="360" w:lineRule="auto"/>
        <w:ind w:firstLine="960" w:firstLineChars="400"/>
        <w:rPr>
          <w:color w:val="auto"/>
          <w:sz w:val="24"/>
          <w:szCs w:val="24"/>
          <w:highlight w:val="none"/>
        </w:rPr>
      </w:pPr>
      <w:r>
        <w:rPr>
          <w:rFonts w:hint="eastAsia"/>
          <w:color w:val="auto"/>
          <w:sz w:val="24"/>
          <w:szCs w:val="24"/>
          <w:highlight w:val="none"/>
        </w:rPr>
        <w:t>第六章  技术标准和要求</w:t>
      </w:r>
    </w:p>
    <w:p>
      <w:pPr>
        <w:spacing w:line="360" w:lineRule="auto"/>
        <w:ind w:firstLine="960" w:firstLineChars="400"/>
        <w:rPr>
          <w:color w:val="auto"/>
          <w:sz w:val="24"/>
          <w:szCs w:val="24"/>
          <w:highlight w:val="none"/>
        </w:rPr>
      </w:pPr>
      <w:r>
        <w:rPr>
          <w:rFonts w:hint="eastAsia"/>
          <w:color w:val="auto"/>
          <w:sz w:val="24"/>
          <w:szCs w:val="24"/>
          <w:highlight w:val="none"/>
        </w:rPr>
        <w:t>第七章  投标文件格式</w:t>
      </w:r>
    </w:p>
    <w:p>
      <w:pPr>
        <w:ind w:firstLine="840" w:firstLineChars="400"/>
        <w:rPr>
          <w:color w:val="auto"/>
          <w:highlight w:val="none"/>
        </w:rPr>
      </w:pPr>
      <w:r>
        <w:rPr>
          <w:rFonts w:hint="eastAsia"/>
          <w:color w:val="auto"/>
          <w:highlight w:val="none"/>
        </w:rPr>
        <w:br w:type="page"/>
      </w:r>
    </w:p>
    <w:p>
      <w:pPr>
        <w:pStyle w:val="2"/>
        <w:rPr>
          <w:color w:val="auto"/>
          <w:highlight w:val="none"/>
        </w:rPr>
      </w:pPr>
      <w:r>
        <w:rPr>
          <w:rFonts w:hint="eastAsia"/>
          <w:color w:val="auto"/>
          <w:highlight w:val="none"/>
        </w:rPr>
        <w:t>第一章 招标公告</w:t>
      </w:r>
      <w:bookmarkEnd w:id="0"/>
    </w:p>
    <w:p>
      <w:pPr>
        <w:spacing w:line="340" w:lineRule="exact"/>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lang w:eastAsia="zh-CN"/>
        </w:rPr>
        <w:t>绍兴市上虞区虞东河湖综合整治工程七标段—自动化安装项目</w:t>
      </w:r>
    </w:p>
    <w:p>
      <w:pPr>
        <w:spacing w:line="340" w:lineRule="exact"/>
        <w:jc w:val="center"/>
        <w:rPr>
          <w:rFonts w:ascii="宋体" w:hAnsi="宋体"/>
          <w:b/>
          <w:color w:val="auto"/>
          <w:sz w:val="32"/>
          <w:szCs w:val="32"/>
          <w:highlight w:val="none"/>
        </w:rPr>
      </w:pPr>
      <w:r>
        <w:rPr>
          <w:rFonts w:hint="eastAsia" w:ascii="宋体" w:hAnsi="宋体"/>
          <w:b/>
          <w:color w:val="auto"/>
          <w:sz w:val="32"/>
          <w:szCs w:val="32"/>
          <w:highlight w:val="none"/>
        </w:rPr>
        <w:t>招标公告</w:t>
      </w:r>
    </w:p>
    <w:p>
      <w:pPr>
        <w:spacing w:line="340" w:lineRule="exact"/>
        <w:jc w:val="center"/>
        <w:rPr>
          <w:rFonts w:ascii="宋体" w:hAnsi="宋体"/>
          <w:color w:val="auto"/>
          <w:sz w:val="18"/>
          <w:szCs w:val="18"/>
          <w:highlight w:val="none"/>
          <w:u w:val="single"/>
        </w:rPr>
      </w:pP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绍兴市上虞区虞东河湖综合整治工程</w:t>
      </w:r>
      <w:r>
        <w:rPr>
          <w:rFonts w:ascii="宋体" w:hAnsi="宋体" w:cs="Arial"/>
          <w:color w:val="auto"/>
          <w:szCs w:val="21"/>
          <w:highlight w:val="none"/>
        </w:rPr>
        <w:t>（项目名称）已由</w:t>
      </w:r>
      <w:r>
        <w:rPr>
          <w:rFonts w:hint="eastAsia" w:ascii="宋体" w:hAnsi="宋体" w:cs="Arial"/>
          <w:b/>
          <w:color w:val="auto"/>
          <w:szCs w:val="21"/>
          <w:highlight w:val="none"/>
          <w:u w:val="single"/>
        </w:rPr>
        <w:t>浙江省发展和改革委员会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浙发改设计[2015]65号文</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绍兴市上虞舜惠水利工程有限公司</w:t>
      </w:r>
      <w:r>
        <w:rPr>
          <w:rFonts w:ascii="宋体" w:hAnsi="宋体" w:cs="Arial"/>
          <w:color w:val="auto"/>
          <w:szCs w:val="21"/>
          <w:highlight w:val="none"/>
        </w:rPr>
        <w:t>，建设资金来自</w:t>
      </w:r>
      <w:r>
        <w:rPr>
          <w:rFonts w:hint="eastAsia" w:ascii="宋体" w:hAnsi="宋体" w:cs="宋体"/>
          <w:b/>
          <w:color w:val="auto"/>
          <w:szCs w:val="21"/>
          <w:highlight w:val="none"/>
          <w:u w:val="single"/>
        </w:rPr>
        <w:t>自筹</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绍兴市上虞舜惠水利工程有限公司</w:t>
      </w:r>
      <w:r>
        <w:rPr>
          <w:rFonts w:ascii="宋体" w:hAnsi="宋体" w:cs="Arial"/>
          <w:color w:val="auto"/>
          <w:szCs w:val="21"/>
          <w:highlight w:val="none"/>
        </w:rPr>
        <w:t>。项目已具备招标条件，现对该项目的</w:t>
      </w:r>
      <w:r>
        <w:rPr>
          <w:rFonts w:hint="eastAsia" w:ascii="宋体" w:hAnsi="宋体" w:cs="Arial"/>
          <w:b/>
          <w:bCs/>
          <w:color w:val="auto"/>
          <w:szCs w:val="21"/>
          <w:highlight w:val="none"/>
          <w:u w:val="single"/>
        </w:rPr>
        <w:t>七标段</w:t>
      </w:r>
      <w:r>
        <w:rPr>
          <w:rFonts w:hint="eastAsia"/>
          <w:b/>
          <w:color w:val="auto"/>
          <w:kern w:val="58"/>
          <w:szCs w:val="21"/>
          <w:highlight w:val="none"/>
          <w:u w:val="single"/>
          <w:lang w:eastAsia="zh-CN"/>
        </w:rPr>
        <w:t>自动化安装项目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绍兴市上虞区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建设湖岸工程40.14km，清淤279.66万m3;新建皂李湖堤防1.37km，整治虞甬运河、阜李湖河、阜李湖支河、盖南河起始段等河道15.19km;新建皂李湖~白马湖隧洞，长2.38km，洞径为10m，一次引水流量5m/s;新建白马湖~西泊隧洞，长 0.34km，洞径为 8m;新建节制闸6座;布置水净化预处理设施1处;新建及拆建桥梁26座</w:t>
      </w:r>
      <w:r>
        <w:rPr>
          <w:rFonts w:ascii="宋体" w:hAnsi="宋体" w:cs="Arial"/>
          <w:b/>
          <w:bCs/>
          <w:color w:val="auto"/>
          <w:szCs w:val="21"/>
          <w:highlight w:val="none"/>
          <w:u w:val="single"/>
        </w:rPr>
        <w:t>。</w:t>
      </w:r>
      <w:r>
        <w:rPr>
          <w:rFonts w:hint="eastAsia" w:ascii="宋体" w:hAnsi="宋体" w:cs="Arial"/>
          <w:b/>
          <w:bCs/>
          <w:color w:val="auto"/>
          <w:szCs w:val="21"/>
          <w:highlight w:val="none"/>
          <w:u w:val="single"/>
        </w:rPr>
        <w:t>本次招标内容为</w:t>
      </w:r>
      <w:r>
        <w:rPr>
          <w:rFonts w:hint="eastAsia" w:ascii="宋体" w:hAnsi="宋体" w:cs="Arial"/>
          <w:b/>
          <w:bCs/>
          <w:color w:val="auto"/>
          <w:szCs w:val="21"/>
          <w:highlight w:val="none"/>
          <w:u w:val="single"/>
          <w:lang w:eastAsia="zh-CN"/>
        </w:rPr>
        <w:t>绍兴市上虞区虞东河湖综合整治工程七标段—自动化安装项目</w:t>
      </w:r>
      <w:r>
        <w:rPr>
          <w:rFonts w:hint="eastAsia" w:ascii="宋体" w:hAnsi="宋体" w:cs="Arial"/>
          <w:b/>
          <w:bCs/>
          <w:color w:val="auto"/>
          <w:szCs w:val="21"/>
          <w:highlight w:val="none"/>
          <w:u w:val="single"/>
        </w:rPr>
        <w:t>，</w:t>
      </w:r>
      <w:r>
        <w:rPr>
          <w:rFonts w:hint="eastAsia" w:ascii="宋体" w:hAnsi="宋体" w:cs="Arial"/>
          <w:b/>
          <w:bCs/>
          <w:color w:val="auto"/>
          <w:szCs w:val="21"/>
          <w:highlight w:val="none"/>
          <w:u w:val="single"/>
          <w:lang w:val="en-US" w:eastAsia="zh-CN"/>
        </w:rPr>
        <w:t>招标估算价为852万元，</w:t>
      </w:r>
      <w:bookmarkStart w:id="448" w:name="_GoBack"/>
      <w:bookmarkEnd w:id="448"/>
      <w:r>
        <w:rPr>
          <w:rFonts w:hint="eastAsia" w:ascii="宋体" w:hAnsi="宋体" w:cs="Arial"/>
          <w:b/>
          <w:bCs/>
          <w:color w:val="auto"/>
          <w:szCs w:val="21"/>
          <w:highlight w:val="none"/>
          <w:u w:val="single"/>
        </w:rPr>
        <w:t>招标上限价为</w:t>
      </w:r>
      <w:r>
        <w:rPr>
          <w:rFonts w:hint="eastAsia" w:ascii="宋体" w:hAnsi="宋体" w:cs="Arial"/>
          <w:b/>
          <w:bCs/>
          <w:color w:val="auto"/>
          <w:szCs w:val="21"/>
          <w:highlight w:val="none"/>
          <w:u w:val="single"/>
          <w:lang w:val="en-US" w:eastAsia="zh-CN"/>
        </w:rPr>
        <w:t>784</w:t>
      </w:r>
      <w:r>
        <w:rPr>
          <w:rFonts w:hint="eastAsia" w:ascii="宋体" w:hAnsi="宋体" w:cs="Arial"/>
          <w:b/>
          <w:bCs/>
          <w:color w:val="auto"/>
          <w:szCs w:val="21"/>
          <w:highlight w:val="none"/>
          <w:u w:val="single"/>
        </w:rPr>
        <w:t>万元</w:t>
      </w:r>
      <w:r>
        <w:rPr>
          <w:rFonts w:ascii="宋体" w:hAnsi="宋体" w:cs="Arial"/>
          <w:b/>
          <w:bCs/>
          <w:color w:val="auto"/>
          <w:szCs w:val="21"/>
          <w:highlight w:val="none"/>
          <w:u w:val="single"/>
        </w:rPr>
        <w:t>。</w:t>
      </w:r>
    </w:p>
    <w:p>
      <w:pPr>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u w:val="single"/>
          <w:lang w:eastAsia="zh-CN"/>
        </w:rPr>
        <w:t>绍兴市上虞区虞东河湖综合整治工程七标段—自动化安装项目</w:t>
      </w:r>
      <w:r>
        <w:rPr>
          <w:rFonts w:hint="eastAsia" w:ascii="宋体" w:hAnsi="宋体" w:cs="宋体"/>
          <w:b/>
          <w:bCs/>
          <w:color w:val="auto"/>
          <w:szCs w:val="21"/>
          <w:highlight w:val="none"/>
          <w:u w:val="single"/>
        </w:rPr>
        <w:t>，包括整个工程的自动化安装（基础感知设施、水情自动测报系统、工程安全监测系统、计算机监控系统流量监测系统、管理控制中心、图像安防系统、出入口道闸系统、门禁管理系统、文化宣传大屏、通信网络、网络安全、软件平台业务（数据资源体系、应用支撑体系、业务应用体系等）），具体详见</w:t>
      </w:r>
      <w:r>
        <w:rPr>
          <w:rFonts w:hint="eastAsia" w:ascii="宋体" w:hAnsi="宋体" w:cs="宋体"/>
          <w:b/>
          <w:bCs/>
          <w:color w:val="auto"/>
          <w:szCs w:val="21"/>
          <w:highlight w:val="none"/>
          <w:u w:val="single"/>
          <w:lang w:eastAsia="zh-CN"/>
        </w:rPr>
        <w:t>工程量清单及施工图</w:t>
      </w:r>
      <w:r>
        <w:rPr>
          <w:rFonts w:hint="eastAsia" w:ascii="宋体" w:hAnsi="宋体" w:cs="宋体"/>
          <w:b/>
          <w:bCs/>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s="宋体"/>
          <w:b/>
          <w:bCs/>
          <w:color w:val="auto"/>
          <w:szCs w:val="21"/>
          <w:highlight w:val="none"/>
          <w:u w:val="single"/>
          <w:lang w:val="en-US" w:eastAsia="zh-CN"/>
        </w:rPr>
        <w:t>9</w:t>
      </w:r>
      <w:r>
        <w:rPr>
          <w:rFonts w:hint="eastAsia" w:ascii="宋体" w:hAnsi="宋体" w:cs="宋体"/>
          <w:b/>
          <w:bCs/>
          <w:color w:val="auto"/>
          <w:szCs w:val="21"/>
          <w:highlight w:val="none"/>
          <w:u w:val="single"/>
        </w:rPr>
        <w:t>0日历天</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b/>
          <w:bCs/>
          <w:color w:val="auto"/>
          <w:highlight w:val="none"/>
          <w:u w:val="single"/>
        </w:rPr>
        <w:t>合格</w:t>
      </w:r>
      <w:r>
        <w:rPr>
          <w:rFonts w:hint="eastAsia" w:ascii="宋体" w:hAnsi="宋体"/>
          <w:color w:val="auto"/>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b/>
          <w:color w:val="auto"/>
          <w:szCs w:val="21"/>
          <w:highlight w:val="none"/>
          <w:u w:val="single"/>
        </w:rPr>
      </w:pPr>
      <w:r>
        <w:rPr>
          <w:rFonts w:ascii="宋体" w:hAnsi="宋体" w:cs="Arial"/>
          <w:color w:val="auto"/>
          <w:szCs w:val="21"/>
          <w:highlight w:val="none"/>
        </w:rPr>
        <w:t>3.1 本次招标要求投标人具备</w:t>
      </w:r>
      <w:r>
        <w:rPr>
          <w:rFonts w:hint="eastAsia" w:ascii="宋体" w:hAnsi="宋体" w:cs="Arial"/>
          <w:b/>
          <w:color w:val="auto"/>
          <w:szCs w:val="21"/>
          <w:highlight w:val="none"/>
          <w:u w:val="single"/>
          <w:lang w:eastAsia="zh-CN"/>
        </w:rPr>
        <w:t>电子与智能化专业承包二级</w:t>
      </w:r>
      <w:r>
        <w:rPr>
          <w:rFonts w:hint="eastAsia" w:ascii="宋体" w:hAnsi="宋体" w:cs="Arial"/>
          <w:b/>
          <w:color w:val="auto"/>
          <w:szCs w:val="21"/>
          <w:highlight w:val="none"/>
          <w:u w:val="single"/>
        </w:rPr>
        <w:t>及以上</w:t>
      </w:r>
      <w:r>
        <w:rPr>
          <w:rFonts w:ascii="宋体" w:hAnsi="宋体" w:cs="Arial"/>
          <w:color w:val="auto"/>
          <w:szCs w:val="21"/>
          <w:highlight w:val="none"/>
        </w:rPr>
        <w:t>资质，具有</w:t>
      </w:r>
      <w:r>
        <w:rPr>
          <w:rFonts w:hint="eastAsia" w:ascii="宋体" w:hAnsi="宋体" w:cs="Arial"/>
          <w:b/>
          <w:color w:val="auto"/>
          <w:szCs w:val="21"/>
          <w:highlight w:val="none"/>
          <w:u w:val="single"/>
        </w:rPr>
        <w:t>有效的企业安全生产许可证。</w:t>
      </w:r>
    </w:p>
    <w:p>
      <w:pPr>
        <w:pStyle w:val="5"/>
        <w:spacing w:before="0" w:after="0" w:line="340" w:lineRule="exact"/>
        <w:rPr>
          <w:rFonts w:hint="eastAsia" w:ascii="宋体" w:hAnsi="宋体" w:eastAsia="宋体" w:cs="宋体"/>
          <w:bCs w:val="0"/>
          <w:iCs/>
          <w:color w:val="auto"/>
          <w:sz w:val="21"/>
          <w:szCs w:val="21"/>
          <w:highlight w:val="none"/>
          <w:u w:val="single"/>
          <w:lang w:val="en-US" w:eastAsia="zh-CN"/>
        </w:rPr>
      </w:pPr>
      <w:r>
        <w:rPr>
          <w:rFonts w:hint="eastAsia" w:ascii="宋体" w:hAnsi="宋体" w:eastAsia="宋体" w:cs="宋体"/>
          <w:bCs w:val="0"/>
          <w:iCs/>
          <w:color w:val="auto"/>
          <w:sz w:val="21"/>
          <w:szCs w:val="21"/>
          <w:highlight w:val="none"/>
          <w:u w:val="single"/>
          <w:lang w:val="en-US" w:eastAsia="zh-CN"/>
        </w:rPr>
        <w:t xml:space="preserve">投标人2018年1月1日以来完成过水利工程自动化或信息化项目业绩。业绩证明材料：须提供中标通知书、合同、验收证书（报告），三者证明材料缺一不可，且材料中的施工单位名称须与本次投标的投标人名称一致。时间以验收证书（报告）为准。注：①施工总承包中的分包业绩或工程总承包中的分包业绩、②工程总承包业绩、③联合体业绩、 ④PPP模式中的业绩，以上①②③④种情况的业绩均不予认可。 </w:t>
      </w:r>
    </w:p>
    <w:p>
      <w:pPr>
        <w:pStyle w:val="5"/>
        <w:spacing w:before="0" w:after="0" w:line="340" w:lineRule="exact"/>
        <w:ind w:firstLine="422" w:firstLineChars="200"/>
        <w:rPr>
          <w:rFonts w:ascii="宋体" w:hAnsi="宋体" w:eastAsia="宋体" w:cs="宋体"/>
          <w:bCs w:val="0"/>
          <w:iCs/>
          <w:color w:val="auto"/>
          <w:sz w:val="21"/>
          <w:szCs w:val="21"/>
          <w:highlight w:val="none"/>
          <w:u w:val="single"/>
        </w:rPr>
      </w:pPr>
      <w:r>
        <w:rPr>
          <w:rFonts w:hint="eastAsia" w:ascii="宋体" w:hAnsi="宋体" w:eastAsia="宋体" w:cs="宋体"/>
          <w:bCs w:val="0"/>
          <w:iCs/>
          <w:color w:val="auto"/>
          <w:sz w:val="21"/>
          <w:szCs w:val="21"/>
          <w:highlight w:val="none"/>
          <w:u w:val="single"/>
        </w:rPr>
        <w:t>项目负责人须具备</w:t>
      </w:r>
      <w:r>
        <w:rPr>
          <w:rFonts w:hint="eastAsia" w:ascii="宋体" w:hAnsi="宋体" w:eastAsia="宋体" w:cs="宋体"/>
          <w:bCs w:val="0"/>
          <w:iCs/>
          <w:color w:val="auto"/>
          <w:sz w:val="21"/>
          <w:szCs w:val="21"/>
          <w:highlight w:val="none"/>
          <w:u w:val="single"/>
          <w:lang w:eastAsia="zh-CN"/>
        </w:rPr>
        <w:t>机电工程</w:t>
      </w:r>
      <w:r>
        <w:rPr>
          <w:rFonts w:hint="eastAsia" w:ascii="宋体" w:hAnsi="宋体" w:eastAsia="宋体" w:cs="宋体"/>
          <w:bCs w:val="0"/>
          <w:iCs/>
          <w:color w:val="auto"/>
          <w:sz w:val="21"/>
          <w:szCs w:val="21"/>
          <w:highlight w:val="none"/>
          <w:u w:val="single"/>
        </w:rPr>
        <w:t>专业二级及以上注册建造师资格，同时具有安全生产考核合格证（B证），且无在建工程；拟派项目负责人应为投标企业在职职工（在职职工不包括离、退休返聘人员），应提供缴费期限包含</w:t>
      </w:r>
      <w:r>
        <w:rPr>
          <w:rFonts w:hint="eastAsia" w:ascii="宋体" w:hAnsi="宋体" w:eastAsia="宋体" w:cs="宋体"/>
          <w:bCs w:val="0"/>
          <w:iCs/>
          <w:color w:val="auto"/>
          <w:sz w:val="21"/>
          <w:szCs w:val="21"/>
          <w:highlight w:val="none"/>
          <w:u w:val="single"/>
          <w:lang w:eastAsia="zh-CN"/>
        </w:rPr>
        <w:t>2023年05月至2023年07月</w:t>
      </w:r>
      <w:r>
        <w:rPr>
          <w:rFonts w:hint="eastAsia" w:ascii="宋体" w:hAnsi="宋体" w:eastAsia="宋体" w:cs="宋体"/>
          <w:bCs w:val="0"/>
          <w:iCs/>
          <w:color w:val="auto"/>
          <w:sz w:val="21"/>
          <w:szCs w:val="21"/>
          <w:highlight w:val="none"/>
          <w:u w:val="single"/>
        </w:rPr>
        <w:t>的投标人所属社保机构养老保险交纳清单或证明（缴费单位和投标单位名称必须一致，并加盖社保缴费证明专用章或电子专用章），以投标人所属社保机构出具的盖有社保部门专用章（或电子专用章）的社保证明件为准；若项目负责人为事业编制的，以提供缴费期限包含</w:t>
      </w:r>
      <w:r>
        <w:rPr>
          <w:rFonts w:hint="eastAsia" w:ascii="宋体" w:hAnsi="宋体" w:eastAsia="宋体" w:cs="宋体"/>
          <w:bCs w:val="0"/>
          <w:iCs/>
          <w:color w:val="auto"/>
          <w:sz w:val="21"/>
          <w:szCs w:val="21"/>
          <w:highlight w:val="none"/>
          <w:u w:val="single"/>
          <w:lang w:eastAsia="zh-CN"/>
        </w:rPr>
        <w:t>2023年05月至2023年07月</w:t>
      </w:r>
      <w:r>
        <w:rPr>
          <w:rFonts w:hint="eastAsia" w:ascii="宋体" w:hAnsi="宋体" w:eastAsia="宋体" w:cs="宋体"/>
          <w:bCs w:val="0"/>
          <w:iCs/>
          <w:color w:val="auto"/>
          <w:sz w:val="21"/>
          <w:szCs w:val="21"/>
          <w:highlight w:val="none"/>
          <w:u w:val="single"/>
        </w:rPr>
        <w:t>由人事代理中心出具的社保证明（需加盖人事代理中心证明专用章）。</w:t>
      </w:r>
    </w:p>
    <w:p>
      <w:pPr>
        <w:rPr>
          <w:b/>
          <w:bCs/>
          <w:color w:val="auto"/>
          <w:highlight w:val="none"/>
        </w:rPr>
      </w:pPr>
      <w:r>
        <w:rPr>
          <w:rFonts w:hint="eastAsia"/>
          <w:b/>
          <w:bCs/>
          <w:color w:val="auto"/>
          <w:highlight w:val="none"/>
        </w:rPr>
        <w:t>备注：若拟派项目负责人为一级注册建造师的，电子证书应符合《住房和城乡建设部办公厅关于全面实行一级建造师电子注册证书的通知》（建办市【2021】</w:t>
      </w:r>
      <w:r>
        <w:rPr>
          <w:rFonts w:hint="eastAsia"/>
          <w:b/>
          <w:bCs/>
          <w:color w:val="auto"/>
          <w:highlight w:val="none"/>
          <w:lang w:eastAsia="zh-CN"/>
        </w:rPr>
        <w:t>40号</w:t>
      </w:r>
      <w:r>
        <w:rPr>
          <w:rFonts w:hint="eastAsia"/>
          <w:b/>
          <w:bCs/>
          <w:color w:val="auto"/>
          <w:highlight w:val="none"/>
        </w:rPr>
        <w:t>）文，须在个人签名处手写本人签名，未手写签名或与签名图像笔迹不一致的，该电子证书无效，资格审查不予通过。</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企业具有绍兴市公共资源交易中心工程建设项目年度登记资格并在有效期内。</w:t>
      </w:r>
    </w:p>
    <w:p>
      <w:pPr>
        <w:widowControl/>
        <w:spacing w:line="340" w:lineRule="exact"/>
        <w:rPr>
          <w:rFonts w:hint="eastAsia" w:ascii="宋体" w:hAnsi="宋体" w:cs="Arial"/>
          <w:color w:val="auto"/>
          <w:szCs w:val="21"/>
          <w:highlight w:val="none"/>
          <w:lang w:eastAsia="zh-CN"/>
        </w:rPr>
      </w:pPr>
      <w:r>
        <w:rPr>
          <w:rFonts w:ascii="宋体" w:hAnsi="宋体" w:cs="Arial"/>
          <w:color w:val="auto"/>
          <w:szCs w:val="21"/>
          <w:highlight w:val="none"/>
        </w:rPr>
        <w:t>3.3.</w:t>
      </w:r>
      <w:r>
        <w:rPr>
          <w:rFonts w:hint="eastAsia" w:ascii="宋体" w:hAnsi="宋体" w:cs="Arial"/>
          <w:color w:val="auto"/>
          <w:szCs w:val="21"/>
          <w:highlight w:val="none"/>
          <w:lang w:val="en-US" w:eastAsia="zh-CN"/>
        </w:rPr>
        <w:t>2</w:t>
      </w:r>
      <w:r>
        <w:rPr>
          <w:rFonts w:hint="eastAsia" w:ascii="宋体" w:hAnsi="宋体" w:cs="Arial"/>
          <w:color w:val="auto"/>
          <w:szCs w:val="21"/>
          <w:highlight w:val="none"/>
        </w:rPr>
        <w:t>投标人及其拟派项目负责人自</w:t>
      </w:r>
      <w:r>
        <w:rPr>
          <w:rFonts w:hint="eastAsia" w:ascii="宋体" w:hAnsi="宋体" w:cs="Arial"/>
          <w:color w:val="auto"/>
          <w:szCs w:val="21"/>
          <w:highlight w:val="none"/>
          <w:u w:val="single"/>
        </w:rPr>
        <w:t xml:space="preserve"> 2020</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1</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1 </w:t>
      </w:r>
      <w:r>
        <w:rPr>
          <w:rFonts w:hint="eastAsia" w:ascii="宋体" w:hAnsi="宋体" w:cs="Arial"/>
          <w:color w:val="auto"/>
          <w:szCs w:val="21"/>
          <w:highlight w:val="none"/>
        </w:rPr>
        <w:t>日起至投标截止日止无行贿犯罪记录</w:t>
      </w:r>
      <w:r>
        <w:rPr>
          <w:rFonts w:hint="eastAsia" w:ascii="宋体" w:hAnsi="宋体" w:cs="Arial"/>
          <w:color w:val="auto"/>
          <w:szCs w:val="21"/>
          <w:highlight w:val="none"/>
          <w:lang w:eastAsia="zh-CN"/>
        </w:rPr>
        <w:t>（以在中国裁</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lang w:eastAsia="zh-CN"/>
        </w:rPr>
        <w:t>判文书网查询的结果为准）</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2023</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2023</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17:30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壹拾伍</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2023</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17:00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i/>
          <w:color w:val="auto"/>
          <w:szCs w:val="21"/>
          <w:highlight w:val="none"/>
          <w:u w:val="single"/>
        </w:rPr>
        <w:t xml:space="preserve"> </w:t>
      </w:r>
      <w:r>
        <w:rPr>
          <w:rFonts w:hint="eastAsia" w:ascii="宋体" w:hAnsi="宋体" w:cs="宋体"/>
          <w:i w:val="0"/>
          <w:iCs/>
          <w:color w:val="auto"/>
          <w:szCs w:val="21"/>
          <w:highlight w:val="none"/>
          <w:u w:val="single"/>
        </w:rPr>
        <w:t>6224861565799087648</w:t>
      </w:r>
      <w:r>
        <w:rPr>
          <w:rFonts w:ascii="宋体" w:hAnsi="宋体" w:cs="Arial"/>
          <w:color w:val="auto"/>
          <w:szCs w:val="21"/>
          <w:highlight w:val="none"/>
          <w:u w:val="single"/>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i/>
          <w:color w:val="auto"/>
          <w:szCs w:val="21"/>
          <w:highlight w:val="none"/>
          <w:u w:val="single"/>
        </w:rPr>
        <w:t xml:space="preserve"> </w:t>
      </w:r>
      <w:r>
        <w:rPr>
          <w:rFonts w:hint="eastAsia" w:ascii="宋体" w:hAnsi="宋体" w:cs="宋体"/>
          <w:i w:val="0"/>
          <w:iCs/>
          <w:color w:val="auto"/>
          <w:szCs w:val="21"/>
          <w:highlight w:val="none"/>
          <w:u w:val="single"/>
        </w:rPr>
        <w:t>3110810043370000475</w:t>
      </w:r>
      <w:r>
        <w:rPr>
          <w:rFonts w:ascii="宋体" w:hAnsi="宋体" w:cs="Arial"/>
          <w:color w:val="auto"/>
          <w:szCs w:val="21"/>
          <w:highlight w:val="none"/>
          <w:u w:val="single"/>
        </w:rPr>
        <w:t xml:space="preserve"> </w:t>
      </w:r>
      <w:r>
        <w:rPr>
          <w:rFonts w:hint="eastAsia" w:ascii="宋体" w:hAnsi="宋体" w:cs="仿宋"/>
          <w:color w:val="auto"/>
          <w:szCs w:val="21"/>
          <w:highlight w:val="none"/>
        </w:rPr>
        <w:t>；投标人可自主选择以上账户之一缴纳投标保证金。</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2、招标人接受投标保证金电子保险</w:t>
      </w:r>
      <w:r>
        <w:rPr>
          <w:rFonts w:hint="eastAsia" w:ascii="宋体" w:hAnsi="宋体" w:cs="仿宋"/>
          <w:color w:val="auto"/>
          <w:szCs w:val="21"/>
          <w:highlight w:val="none"/>
          <w:lang w:eastAsia="zh-CN"/>
        </w:rPr>
        <w:t>、</w:t>
      </w:r>
      <w:r>
        <w:rPr>
          <w:rFonts w:hint="eastAsia" w:ascii="宋体" w:hAnsi="宋体" w:cs="仿宋"/>
          <w:color w:val="auto"/>
          <w:szCs w:val="21"/>
          <w:highlight w:val="none"/>
          <w:lang w:val="en-US" w:eastAsia="zh-CN"/>
        </w:rPr>
        <w:t>担保</w:t>
      </w:r>
      <w:r>
        <w:rPr>
          <w:rFonts w:hint="eastAsia" w:ascii="宋体" w:hAnsi="宋体" w:cs="仿宋"/>
          <w:color w:val="auto"/>
          <w:szCs w:val="21"/>
          <w:highlight w:val="none"/>
        </w:rPr>
        <w:t>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44"/>
          <w:rFonts w:hint="eastAsia" w:ascii="宋体" w:hAnsi="宋体"/>
          <w:color w:val="auto"/>
          <w:szCs w:val="21"/>
          <w:highlight w:val="none"/>
        </w:rPr>
        <w:t>http://p.ggb.sx.gov.cn:6081/TPBidder/</w:t>
      </w:r>
      <w:r>
        <w:rPr>
          <w:rStyle w:val="44"/>
          <w:rFonts w:hint="eastAsia" w:ascii="宋体" w:hAnsi="宋体"/>
          <w:color w:val="auto"/>
          <w:szCs w:val="21"/>
          <w:highlight w:val="none"/>
        </w:rPr>
        <w:fldChar w:fldCharType="end"/>
      </w:r>
      <w:r>
        <w:rPr>
          <w:rFonts w:hint="eastAsia" w:ascii="宋体" w:hAnsi="宋体" w:cs="仿宋"/>
          <w:color w:val="auto"/>
          <w:szCs w:val="21"/>
          <w:highlight w:val="none"/>
        </w:rPr>
        <w:t>）中自主选择办理。电子保函费用必须从投标人企业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综合评估法（设技术标，不采用计算机辅助评标）</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2023</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31"/>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31"/>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b/>
          <w:bCs/>
          <w:color w:val="auto"/>
          <w:szCs w:val="21"/>
          <w:highlight w:val="none"/>
        </w:rPr>
        <w:t xml:space="preserve">7.发布公告的媒介 </w:t>
      </w:r>
      <w:r>
        <w:rPr>
          <w:rFonts w:hint="eastAsia" w:ascii="宋体" w:hAnsi="宋体" w:cs="Arial"/>
          <w:color w:val="auto"/>
          <w:szCs w:val="21"/>
          <w:highlight w:val="none"/>
        </w:rPr>
        <w:t xml:space="preserve">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绍兴市上虞舜惠水利工程有限公司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浙江翔实建设项目管理有限公司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 xml:space="preserve"> 绍兴市上虞区百官街道恒利东四区25幢一楼 </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绍兴市越城区阳明北路692号</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阮帅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hint="eastAsia" w:ascii="宋体" w:hAnsi="宋体" w:cs="Arial"/>
          <w:color w:val="auto"/>
          <w:szCs w:val="21"/>
          <w:highlight w:val="none"/>
          <w:lang w:val="en-US" w:eastAsia="zh-CN"/>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周成龙</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18814852498   </w:t>
      </w:r>
      <w:r>
        <w:rPr>
          <w:rFonts w:hint="eastAsia" w:ascii="宋体" w:hAnsi="宋体"/>
          <w:i/>
          <w:color w:val="auto"/>
          <w:szCs w:val="21"/>
          <w:highlight w:val="none"/>
          <w:u w:val="none"/>
        </w:rPr>
        <w:t xml:space="preserve">      </w:t>
      </w:r>
      <w:r>
        <w:rPr>
          <w:rFonts w:hint="eastAsia" w:ascii="宋体" w:hAnsi="宋体" w:cs="宋体"/>
          <w:i/>
          <w:color w:val="auto"/>
          <w:szCs w:val="21"/>
          <w:highlight w:val="none"/>
          <w:u w:val="none"/>
        </w:rPr>
        <w:t xml:space="preserve">   </w:t>
      </w:r>
      <w:r>
        <w:rPr>
          <w:rFonts w:ascii="宋体" w:hAnsi="宋体" w:cs="Arial"/>
          <w:color w:val="auto"/>
          <w:szCs w:val="21"/>
          <w:highlight w:val="none"/>
          <w:u w:val="none"/>
        </w:rPr>
        <w:t xml:space="preserve"> </w:t>
      </w:r>
      <w:r>
        <w:rPr>
          <w:rFonts w:hint="eastAsia" w:ascii="宋体" w:hAnsi="宋体" w:cs="Arial"/>
          <w:color w:val="auto"/>
          <w:szCs w:val="21"/>
          <w:highlight w:val="none"/>
        </w:rPr>
        <w:t xml:space="preserve">        </w:t>
      </w:r>
      <w:r>
        <w:rPr>
          <w:rFonts w:hint="eastAsia" w:ascii="宋体" w:hAnsi="宋体" w:cs="Arial"/>
          <w:color w:val="auto"/>
          <w:szCs w:val="21"/>
          <w:highlight w:val="none"/>
          <w:lang w:val="en-US" w:eastAsia="zh-CN"/>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18358503880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绍兴市上虞舜惠水利工程有限公司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浙江翔实建设项目管理有限公司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2023</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jc w:val="center"/>
        <w:rPr>
          <w:rFonts w:ascii="宋体" w:hAnsi="宋体" w:cs="Arial"/>
          <w:color w:val="auto"/>
          <w:szCs w:val="21"/>
          <w:highlight w:val="none"/>
          <w:u w:val="single"/>
        </w:rPr>
      </w:pPr>
      <w:r>
        <w:rPr>
          <w:rFonts w:hint="eastAsia" w:ascii="宋体" w:hAnsi="宋体" w:cs="Arial"/>
          <w:color w:val="auto"/>
          <w:szCs w:val="21"/>
          <w:highlight w:val="none"/>
        </w:rPr>
        <w:t xml:space="preserve">                                         绍兴市公共资源交易中心意见：</w:t>
      </w:r>
    </w:p>
    <w:p>
      <w:pPr>
        <w:widowControl/>
        <w:spacing w:line="360" w:lineRule="exact"/>
        <w:ind w:firstLine="210" w:firstLineChars="100"/>
        <w:jc w:val="right"/>
        <w:rPr>
          <w:rFonts w:ascii="宋体" w:hAnsi="宋体" w:cs="Arial"/>
          <w:color w:val="auto"/>
          <w:szCs w:val="21"/>
          <w:highlight w:val="none"/>
          <w:u w:val="single"/>
        </w:rPr>
      </w:pPr>
    </w:p>
    <w:p>
      <w:pPr>
        <w:widowControl/>
        <w:spacing w:line="360" w:lineRule="exact"/>
        <w:ind w:firstLine="210" w:firstLineChars="100"/>
        <w:jc w:val="right"/>
        <w:rPr>
          <w:rFonts w:ascii="宋体" w:hAnsi="宋体" w:cs="Arial"/>
          <w:color w:val="auto"/>
          <w:szCs w:val="21"/>
          <w:highlight w:val="none"/>
        </w:rPr>
      </w:pPr>
      <w:r>
        <w:rPr>
          <w:rFonts w:hint="eastAsia" w:ascii="宋体" w:hAnsi="宋体" w:cs="Arial"/>
          <w:color w:val="auto"/>
          <w:szCs w:val="21"/>
          <w:highlight w:val="none"/>
          <w:u w:val="single"/>
        </w:rPr>
        <w:t>2023</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pStyle w:val="2"/>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34"/>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名称：绍兴市上虞舜惠水利工程有限公司</w:t>
            </w:r>
          </w:p>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地址：绍兴市上虞区百官街道恒利东四区25幢一楼</w:t>
            </w:r>
          </w:p>
          <w:p>
            <w:pPr>
              <w:rPr>
                <w:rFonts w:ascii="宋体" w:hAnsi="宋体" w:cs="宋体"/>
                <w:color w:val="auto"/>
                <w:sz w:val="20"/>
                <w:szCs w:val="20"/>
                <w:highlight w:val="none"/>
              </w:rPr>
            </w:pPr>
            <w:r>
              <w:rPr>
                <w:rFonts w:hint="eastAsia" w:ascii="宋体" w:hAnsi="宋体" w:cs="宋体"/>
                <w:color w:val="auto"/>
                <w:sz w:val="20"/>
                <w:szCs w:val="20"/>
                <w:highlight w:val="none"/>
              </w:rPr>
              <w:t>联系人：阮帅  电话：18814852498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名称：浙江翔实建设项目管理有限公司</w:t>
            </w:r>
          </w:p>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地址：绍兴市越城区阳明北路692号</w:t>
            </w:r>
          </w:p>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联系人：周成龙  电话：18358503880</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电子邮箱：569424945@qq.com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eastAsia="zh-CN"/>
              </w:rPr>
              <w:t>绍兴市上虞区虞东河湖综合整治工程七标段—自动化安装项目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绍兴市上虞区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资金来源及出资比例</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自筹，出资比例为100%。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64"/>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 xml:space="preserve">本次招标项目的招标范围: </w:t>
            </w:r>
            <w:r>
              <w:rPr>
                <w:rFonts w:hint="eastAsia" w:hAnsi="宋体" w:cs="宋体"/>
                <w:color w:val="auto"/>
                <w:szCs w:val="20"/>
                <w:highlight w:val="none"/>
                <w:lang w:eastAsia="zh-CN"/>
              </w:rPr>
              <w:t>绍兴市上虞区虞东河湖综合整治工程七标段—自动化安装项目</w:t>
            </w:r>
            <w:r>
              <w:rPr>
                <w:rFonts w:hint="eastAsia" w:hAnsi="宋体" w:cs="宋体"/>
                <w:color w:val="auto"/>
                <w:szCs w:val="20"/>
                <w:highlight w:val="none"/>
              </w:rPr>
              <w:t>，包括整个工程的自动化安装（基础感知设施、水情自动测报系统、工程安全监测系统、计算机监控系统流量监测系统、管理控制中心、图像安防系统、出入口道闸系统、门禁管理系统、文化宣传大屏、通信网络、网络安全、软件平台业务（数据资源体系、应用支撑体系、业务应用体系等）），具体详见</w:t>
            </w:r>
            <w:r>
              <w:rPr>
                <w:rFonts w:hint="eastAsia" w:hAnsi="宋体" w:cs="宋体"/>
                <w:color w:val="auto"/>
                <w:szCs w:val="20"/>
                <w:highlight w:val="none"/>
                <w:lang w:eastAsia="zh-CN"/>
              </w:rPr>
              <w:t>工程量清单及施工图</w:t>
            </w:r>
            <w:r>
              <w:rPr>
                <w:rFonts w:hint="eastAsia" w:hAnsi="宋体" w:cs="宋体"/>
                <w:color w:val="auto"/>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rPr>
              <w:t>工期</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9</w:t>
            </w:r>
            <w:r>
              <w:rPr>
                <w:rFonts w:hint="eastAsia" w:ascii="宋体" w:hAnsi="宋体" w:cs="宋体"/>
                <w:color w:val="auto"/>
                <w:sz w:val="20"/>
                <w:szCs w:val="20"/>
                <w:highlight w:val="none"/>
              </w:rPr>
              <w:t>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ascii="宋体" w:hAnsi="宋体" w:cs="宋体"/>
                <w:color w:val="auto"/>
                <w:sz w:val="20"/>
                <w:szCs w:val="20"/>
                <w:highlight w:val="none"/>
              </w:rPr>
              <w:t>质量保质期</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36个月。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64"/>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both"/>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1.4.3</w:t>
            </w:r>
          </w:p>
        </w:tc>
        <w:tc>
          <w:tcPr>
            <w:tcW w:w="1560" w:type="dxa"/>
            <w:vAlign w:val="center"/>
          </w:tcPr>
          <w:p>
            <w:pPr>
              <w:pStyle w:val="64"/>
              <w:adjustRightInd w:val="0"/>
              <w:snapToGrid w:val="0"/>
              <w:spacing w:line="0" w:lineRule="atLeast"/>
              <w:ind w:right="241" w:rightChars="115" w:firstLine="0" w:firstLineChars="0"/>
              <w:jc w:val="center"/>
              <w:rPr>
                <w:rFonts w:hint="eastAsia" w:hAnsi="宋体" w:cs="宋体"/>
                <w:color w:val="auto"/>
                <w:szCs w:val="20"/>
                <w:highlight w:val="none"/>
              </w:rPr>
            </w:pPr>
            <w:r>
              <w:rPr>
                <w:rFonts w:hint="eastAsia" w:hAnsi="宋体" w:cs="宋体"/>
                <w:color w:val="auto"/>
                <w:sz w:val="21"/>
                <w:szCs w:val="21"/>
                <w:highlight w:val="none"/>
              </w:rPr>
              <w:t>不得存在的情形</w:t>
            </w:r>
          </w:p>
        </w:tc>
        <w:tc>
          <w:tcPr>
            <w:tcW w:w="7447" w:type="dxa"/>
            <w:vAlign w:val="center"/>
          </w:tcPr>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（1）为招标人不具有独立法人资格的附属机构（单位）； </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（2）为本标段的代建人；</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（3）为本标段提供招标代理服务的；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（4）单位负责人为同一人或者存在控股、管理关系的不同单位，同时参加本标段投标的；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（5）投标人及其法定代表人控股的其他公司，同时参加本标段投标的；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（6）与招标人存在利害关系可能影响招标公正性的法人、其他组织或者个人参加投标的；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（7）被责令停业的；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（8）被暂停或取消投标资格的；</w:t>
            </w:r>
          </w:p>
          <w:p>
            <w:pPr>
              <w:jc w:val="left"/>
              <w:rPr>
                <w:rFonts w:hint="eastAsia" w:ascii="宋体" w:hAnsi="宋体" w:cs="宋体"/>
                <w:color w:val="auto"/>
                <w:sz w:val="20"/>
                <w:szCs w:val="20"/>
                <w:highlight w:val="none"/>
              </w:rPr>
            </w:pPr>
            <w:r>
              <w:rPr>
                <w:rFonts w:hint="eastAsia" w:ascii="宋体" w:hAnsi="宋体" w:cs="宋体"/>
                <w:color w:val="auto"/>
                <w:sz w:val="20"/>
                <w:szCs w:val="20"/>
                <w:highlight w:val="none"/>
              </w:rPr>
              <w:t>（9）财产被接管或冻结的。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2023年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时前（北京时间），请将要求澄清内容加盖单位公章后将复制件、WORD电子版发到569424945@qq.com。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rPr>
              <w:t>不允许</w:t>
            </w:r>
          </w:p>
          <w:p>
            <w:pPr>
              <w:jc w:val="lef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rPr>
              <w:t>允许，分包内容要求：</w:t>
            </w:r>
            <w:r>
              <w:rPr>
                <w:rFonts w:hint="eastAsia" w:ascii="宋体" w:hAnsi="宋体" w:cs="宋体"/>
                <w:color w:val="auto"/>
                <w:sz w:val="20"/>
                <w:szCs w:val="20"/>
                <w:highlight w:val="none"/>
                <w:lang w:val="en-US" w:eastAsia="zh-CN"/>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        分包金额要求：/</w:t>
            </w:r>
          </w:p>
          <w:p>
            <w:pPr>
              <w:jc w:val="left"/>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rPr>
              <w:t xml:space="preserve">        接受分包的第三人资质要求</w:t>
            </w:r>
            <w:r>
              <w:rPr>
                <w:rFonts w:hint="eastAsia" w:ascii="宋体" w:hAnsi="宋体" w:cs="宋体"/>
                <w:color w:val="auto"/>
                <w:sz w:val="20"/>
                <w:szCs w:val="20"/>
                <w:highlight w:val="none"/>
                <w:lang w:eastAsia="zh-CN"/>
              </w:rPr>
              <w:t>：</w:t>
            </w:r>
            <w:r>
              <w:rPr>
                <w:rFonts w:hint="eastAsia" w:ascii="宋体" w:hAnsi="宋体" w:cs="宋体"/>
                <w:color w:val="auto"/>
                <w:sz w:val="20"/>
                <w:szCs w:val="20"/>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工程量清单、施工图纸、招标补充文件等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同投标人须知前附表第 1.10.2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投标人确认收到招标文件澄清和修改时间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投标人认为有必要提供的其他材料及按评标委员会要求作出的澄清。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w:t>
            </w:r>
            <w:r>
              <w:rPr>
                <w:rFonts w:hint="eastAsia" w:ascii="宋体" w:hAnsi="宋体" w:cs="宋体"/>
                <w:color w:val="auto"/>
                <w:sz w:val="20"/>
                <w:szCs w:val="20"/>
                <w:highlight w:val="none"/>
                <w:lang w:val="en-US" w:eastAsia="zh-CN"/>
              </w:rPr>
              <w:t>784</w:t>
            </w:r>
            <w:r>
              <w:rPr>
                <w:rFonts w:hint="eastAsia" w:ascii="宋体" w:hAnsi="宋体" w:cs="宋体"/>
                <w:color w:val="auto"/>
                <w:sz w:val="20"/>
                <w:szCs w:val="20"/>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充分了解现场位置、情况、道路、储存空间、装卸限制及任何其它足以影响报价的情况（是否到项目现场踏勘由投标人自行决定，招标人不另行组织），任何因忽视或误解工地情况而导致的索赔或工期延长申请将不获批准；</w:t>
            </w:r>
          </w:p>
          <w:p>
            <w:pPr>
              <w:pStyle w:val="64"/>
              <w:adjustRightInd w:val="0"/>
              <w:snapToGrid w:val="0"/>
              <w:spacing w:line="0" w:lineRule="atLeast"/>
              <w:ind w:firstLine="0" w:firstLineChars="0"/>
              <w:rPr>
                <w:rFonts w:hAnsi="宋体" w:cs="宋体"/>
                <w:b/>
                <w:bCs/>
                <w:color w:val="auto"/>
                <w:szCs w:val="20"/>
                <w:highlight w:val="none"/>
              </w:rPr>
            </w:pPr>
            <w:r>
              <w:rPr>
                <w:rFonts w:hint="eastAsia" w:hAnsi="宋体" w:cs="宋体"/>
                <w:color w:val="auto"/>
                <w:szCs w:val="20"/>
                <w:highlight w:val="none"/>
              </w:rPr>
              <w:t>5、 投标人的投标报价包括并不限于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w:t>
            </w:r>
          </w:p>
          <w:p>
            <w:pPr>
              <w:pStyle w:val="64"/>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6、招标人不接受低于成本的投标报价，也不接受招标项目范围内的捐赠。</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64"/>
              <w:adjustRightInd w:val="0"/>
              <w:snapToGrid w:val="0"/>
              <w:spacing w:line="0" w:lineRule="atLeast"/>
              <w:ind w:firstLine="0" w:firstLineChars="0"/>
              <w:jc w:val="both"/>
              <w:rPr>
                <w:rFonts w:hAnsi="宋体" w:cs="宋体"/>
                <w:color w:val="auto"/>
                <w:highlight w:val="none"/>
              </w:rPr>
            </w:pPr>
            <w:r>
              <w:rPr>
                <w:rFonts w:hint="eastAsia" w:hAnsi="宋体" w:cs="宋体"/>
                <w:color w:val="auto"/>
                <w:szCs w:val="20"/>
                <w:highlight w:val="none"/>
              </w:rPr>
              <w:t>8、投标人报价中包含本项目供货、安装、施工时所需的各项措施费（如未单独列报的，将视作已包含在投标总价之中），否则视作优惠。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64"/>
              <w:adjustRightInd w:val="0"/>
              <w:snapToGrid w:val="0"/>
              <w:spacing w:line="0" w:lineRule="atLeast"/>
              <w:ind w:firstLine="0" w:firstLineChars="0"/>
              <w:rPr>
                <w:rFonts w:hint="eastAsia" w:hAnsi="宋体" w:cs="宋体"/>
                <w:color w:val="auto"/>
                <w:szCs w:val="20"/>
                <w:highlight w:val="none"/>
              </w:rPr>
            </w:pPr>
            <w:bookmarkStart w:id="2" w:name="_Hlk82006863"/>
            <w:r>
              <w:rPr>
                <w:rFonts w:hint="eastAsia" w:hAnsi="宋体" w:cs="宋体"/>
                <w:color w:val="auto"/>
                <w:szCs w:val="20"/>
                <w:highlight w:val="none"/>
              </w:rPr>
              <w:t xml:space="preserve">（1）投标人在规定的投标有效期内撤销或修改其投标文件； </w:t>
            </w:r>
          </w:p>
          <w:p>
            <w:pPr>
              <w:pStyle w:val="64"/>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 xml:space="preserve">（2）中标人在收到中标通知书后，无正当理由拒签合同协议书或未按招标文件规定提交履约担保； </w:t>
            </w:r>
          </w:p>
          <w:p>
            <w:pPr>
              <w:pStyle w:val="64"/>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（3）存在违反《招标投标法》第三十二条、第三十三条规定的违法情形的；</w:t>
            </w:r>
          </w:p>
          <w:p>
            <w:pPr>
              <w:pStyle w:val="64"/>
              <w:adjustRightInd w:val="0"/>
              <w:snapToGrid w:val="0"/>
              <w:spacing w:line="0" w:lineRule="atLeast"/>
              <w:ind w:firstLine="0" w:firstLineChars="0"/>
              <w:rPr>
                <w:rFonts w:hint="eastAsia" w:hAnsi="宋体" w:cs="宋体"/>
                <w:color w:val="auto"/>
                <w:szCs w:val="20"/>
                <w:highlight w:val="none"/>
              </w:rPr>
            </w:pPr>
            <w:r>
              <w:rPr>
                <w:rFonts w:hint="eastAsia" w:hAnsi="宋体" w:cs="宋体"/>
                <w:color w:val="auto"/>
                <w:szCs w:val="20"/>
                <w:highlight w:val="none"/>
              </w:rPr>
              <w:t>（4）招标文件等材料约定的不予退还的其他情形；</w:t>
            </w:r>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（5）其他法律法规规定情形。</w:t>
            </w:r>
            <w:bookmarkEnd w:id="2"/>
          </w:p>
          <w:p>
            <w:pPr>
              <w:pStyle w:val="64"/>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出现上述不予退还情形的，招标人告知交易中心登记后，平台将自动划转其投标保证金招标人指定账户，不再退还给投标人。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1、企业法人营业执照复制件。</w:t>
            </w:r>
          </w:p>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2、企业资质证书、安全生产许可证复制件。</w:t>
            </w:r>
          </w:p>
          <w:p>
            <w:pPr>
              <w:rPr>
                <w:rFonts w:ascii="宋体" w:hAnsi="宋体" w:cs="宋体"/>
                <w:b/>
                <w:iCs/>
                <w:color w:val="auto"/>
                <w:sz w:val="20"/>
                <w:szCs w:val="20"/>
                <w:highlight w:val="none"/>
                <w:u w:val="single"/>
                <w:lang w:bidi="ar"/>
              </w:rPr>
            </w:pPr>
            <w:r>
              <w:rPr>
                <w:rFonts w:hint="eastAsia" w:ascii="宋体" w:hAnsi="宋体" w:cs="宋体"/>
                <w:b/>
                <w:iCs/>
                <w:color w:val="auto"/>
                <w:sz w:val="20"/>
                <w:highlight w:val="none"/>
                <w:u w:val="single"/>
                <w:lang w:bidi="ar"/>
              </w:rPr>
              <w:t>3、</w:t>
            </w:r>
            <w:r>
              <w:rPr>
                <w:rFonts w:hint="eastAsia" w:ascii="宋体" w:hAnsi="宋体" w:cs="宋体"/>
                <w:b/>
                <w:bCs/>
                <w:color w:val="auto"/>
                <w:sz w:val="20"/>
                <w:szCs w:val="20"/>
                <w:highlight w:val="none"/>
                <w:u w:val="single"/>
                <w:lang w:val="en-US" w:eastAsia="zh-CN" w:bidi="ar"/>
              </w:rPr>
              <w:t xml:space="preserve">投标人2018年1月1日以来完成过水利工程自动化或信息化项目业绩。业绩证明材料：须提供中标通知书、合同、验收证书（报告），三者证明材料缺一不可，且材料中的施工单位名称须与本次投标的投标人名称一致。时间以验收证书（报告）为准。注：①施工总承包中的分包业绩或工程总承包中的分包业绩、②工程总承包业绩、③联合体业绩、 ④PPP模式中的业绩，以上①②③④种情况的业绩均不予认可。 </w:t>
            </w:r>
          </w:p>
          <w:p>
            <w:pPr>
              <w:widowControl/>
              <w:jc w:val="left"/>
              <w:rPr>
                <w:rFonts w:hint="eastAsia" w:ascii="宋体" w:hAnsi="宋体" w:eastAsia="宋体" w:cs="宋体"/>
                <w:b/>
                <w:bCs/>
                <w:color w:val="auto"/>
                <w:sz w:val="20"/>
                <w:szCs w:val="20"/>
                <w:highlight w:val="none"/>
                <w:u w:val="single"/>
                <w:lang w:val="en-US" w:eastAsia="zh-CN" w:bidi="ar"/>
              </w:rPr>
            </w:pPr>
            <w:r>
              <w:rPr>
                <w:rFonts w:hint="eastAsia" w:ascii="宋体" w:hAnsi="宋体" w:cs="宋体"/>
                <w:b/>
                <w:bCs/>
                <w:color w:val="auto"/>
                <w:sz w:val="20"/>
                <w:szCs w:val="20"/>
                <w:highlight w:val="none"/>
                <w:u w:val="single"/>
                <w:lang w:val="en-US" w:eastAsia="zh-CN" w:bidi="ar"/>
              </w:rPr>
              <w:t>4、</w:t>
            </w:r>
            <w:r>
              <w:rPr>
                <w:rFonts w:hint="eastAsia" w:ascii="宋体" w:hAnsi="宋体" w:cs="宋体"/>
                <w:b/>
                <w:iCs/>
                <w:color w:val="auto"/>
                <w:sz w:val="20"/>
                <w:szCs w:val="20"/>
                <w:highlight w:val="none"/>
                <w:u w:val="single"/>
                <w:lang w:bidi="ar"/>
              </w:rPr>
              <w:t>项目负责人注册证书、安全生产考核合格证、社保证明复制件。</w:t>
            </w:r>
          </w:p>
          <w:p>
            <w:pPr>
              <w:widowControl/>
              <w:jc w:val="left"/>
              <w:rPr>
                <w:rFonts w:ascii="宋体" w:hAnsi="宋体" w:cs="宋体"/>
                <w:b/>
                <w:bCs/>
                <w:color w:val="auto"/>
                <w:sz w:val="20"/>
                <w:szCs w:val="20"/>
                <w:highlight w:val="none"/>
                <w:u w:val="single"/>
                <w:lang w:bidi="ar"/>
              </w:rPr>
            </w:pPr>
            <w:r>
              <w:rPr>
                <w:rFonts w:hint="eastAsia" w:ascii="宋体" w:hAnsi="宋体" w:cs="宋体"/>
                <w:b/>
                <w:bCs/>
                <w:color w:val="auto"/>
                <w:sz w:val="20"/>
                <w:szCs w:val="20"/>
                <w:highlight w:val="none"/>
                <w:u w:val="single"/>
                <w:lang w:val="en-US" w:eastAsia="zh-CN" w:bidi="ar"/>
              </w:rPr>
              <w:t>5</w:t>
            </w:r>
            <w:r>
              <w:rPr>
                <w:rFonts w:hint="eastAsia" w:ascii="宋体" w:hAnsi="宋体" w:cs="宋体"/>
                <w:b/>
                <w:bCs/>
                <w:color w:val="auto"/>
                <w:sz w:val="20"/>
                <w:szCs w:val="20"/>
                <w:highlight w:val="none"/>
                <w:u w:val="single"/>
                <w:lang w:bidi="ar"/>
              </w:rPr>
              <w:t>、承诺书（①承诺对资格审查资料所有提交的证明材料真实有效性负责，若发现其有伪造证书、业绩等行为的，同意招标人不接受其投标，其缴纳的投标保证金不予退还；②承诺投标人及其拟派项目负责人自 2020年 1月 1 日起至投标截止日止无行贿犯罪记录；③承诺项目负责人无在建工程。）格式自拟，加盖投标人公章。</w:t>
            </w:r>
          </w:p>
          <w:p>
            <w:pPr>
              <w:widowControl/>
              <w:jc w:val="left"/>
              <w:rPr>
                <w:rFonts w:hAnsi="???|CS?o｡ﾀ?"/>
                <w:b/>
                <w:bCs/>
                <w:color w:val="auto"/>
                <w:szCs w:val="28"/>
                <w:highlight w:val="none"/>
              </w:rPr>
            </w:pPr>
            <w:r>
              <w:rPr>
                <w:rFonts w:hint="eastAsia" w:hAnsi="???|CS?o｡ﾀ?"/>
                <w:b/>
                <w:bCs/>
                <w:color w:val="auto"/>
                <w:szCs w:val="28"/>
                <w:highlight w:val="none"/>
              </w:rPr>
              <w:t>注：①不能提供上述材料任何一项或不符合审查要求的投标人为资格审查不合格。</w:t>
            </w:r>
          </w:p>
          <w:p>
            <w:pPr>
              <w:jc w:val="left"/>
              <w:rPr>
                <w:rFonts w:ascii="宋体" w:hAnsi="宋体" w:cs="宋体"/>
                <w:color w:val="auto"/>
                <w:sz w:val="20"/>
                <w:szCs w:val="20"/>
                <w:highlight w:val="none"/>
              </w:rPr>
            </w:pPr>
            <w:r>
              <w:rPr>
                <w:rFonts w:hint="eastAsia" w:hAnsi="???|CS?o｡ﾀ?"/>
                <w:b/>
                <w:bCs/>
                <w:color w:val="auto"/>
                <w:szCs w:val="28"/>
                <w:highlight w:val="none"/>
              </w:rPr>
              <w:t>②若拟派项目负责人为一级注册建造师的，电子证书应符合《住房和城乡建设部办公厅关于全面实行一级建造师电子注册证书的通知》（建办市【2021】</w:t>
            </w:r>
            <w:r>
              <w:rPr>
                <w:rFonts w:hint="eastAsia" w:hAnsi="???|CS?o｡ﾀ?"/>
                <w:b/>
                <w:bCs/>
                <w:color w:val="auto"/>
                <w:szCs w:val="28"/>
                <w:highlight w:val="none"/>
                <w:lang w:eastAsia="zh-CN"/>
              </w:rPr>
              <w:t>40号</w:t>
            </w:r>
            <w:r>
              <w:rPr>
                <w:rFonts w:hint="eastAsia" w:hAnsi="???|CS?o｡ﾀ?"/>
                <w:b/>
                <w:bCs/>
                <w:color w:val="auto"/>
                <w:szCs w:val="28"/>
                <w:highlight w:val="none"/>
              </w:rPr>
              <w:t>）文，须在个人签名处手写本人签名，未手写签名或与签名图像笔迹不一致的，该电子证书无效，资格审查不予通过。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按招标文件要求和附表（件）格式要求加盖法人单位公章及法定代表人签字或盖章。委托代理人签字的，投标文件应附法定代表人签署的授权委托书。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pStyle w:val="64"/>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投标文件一式七份，其中正本一份，副本六份。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绍兴市上虞区</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绍兴市上虞舜惠水利工程有限公司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lang w:eastAsia="zh-CN"/>
              </w:rPr>
              <w:t>绍兴市上虞区虞东河湖综合整治工程七标段—自动化安装项目</w:t>
            </w:r>
            <w:r>
              <w:rPr>
                <w:rFonts w:hint="eastAsia" w:ascii="宋体" w:hAnsi="宋体" w:cs="宋体"/>
                <w:color w:val="auto"/>
                <w:sz w:val="20"/>
                <w:szCs w:val="20"/>
                <w:highlight w:val="none"/>
              </w:rPr>
              <w:t>投标文件，在2023年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投标文件递交地址:绍兴市公共资源交易中心四楼指定开标室（绍兴市迪荡新城惠利街20号鼎盛时代大厦四楼)。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64"/>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64"/>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开标程序</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不少于3日(截止日为国家法定休假日的，自动顺延至法定休假日后的第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否，推荐的中标候选人数量：</w:t>
            </w:r>
            <w:r>
              <w:rPr>
                <w:rFonts w:hint="eastAsia" w:ascii="宋体" w:hAnsi="宋体" w:cs="宋体"/>
                <w:color w:val="auto"/>
                <w:sz w:val="20"/>
                <w:szCs w:val="20"/>
                <w:highlight w:val="none"/>
                <w:lang w:val="en-US" w:eastAsia="zh-CN"/>
              </w:rPr>
              <w:t>1</w:t>
            </w:r>
            <w:r>
              <w:rPr>
                <w:rFonts w:hint="eastAsia" w:ascii="宋体" w:hAnsi="宋体" w:cs="宋体"/>
                <w:color w:val="auto"/>
                <w:sz w:val="20"/>
                <w:szCs w:val="20"/>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64"/>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1.投标人的资质、业绩、人员、设备等条件未满足招标文件实质性响应要求的（以投标人须知前附表3.5中“资格审查资料”内容为准）；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5.投标人不以自己的名义或未按招标文件要求提供投标保证金，或提供的投标保证金不能与本项目匹配的；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7.改变招标人提供的工程量清单内容的（货物名称、单位、数量）；</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ind w:firstLine="280"/>
              <w:jc w:val="left"/>
              <w:rPr>
                <w:rFonts w:ascii="宋体" w:hAnsi="宋体" w:cs="宋体"/>
                <w:color w:val="auto"/>
                <w:sz w:val="20"/>
                <w:szCs w:val="20"/>
                <w:highlight w:val="none"/>
              </w:rPr>
            </w:pPr>
            <w:r>
              <w:rPr>
                <w:rFonts w:hint="eastAsia" w:ascii="宋体" w:hAnsi="宋体" w:cs="宋体"/>
                <w:color w:val="auto"/>
                <w:sz w:val="20"/>
                <w:szCs w:val="20"/>
                <w:highlight w:val="none"/>
              </w:rPr>
              <w:t>9.存在法律、法规、规章规定的其它无效投标情况的。</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ind w:firstLine="280"/>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r>
              <w:rPr>
                <w:rFonts w:hint="eastAsia" w:ascii="宋体" w:hAnsi="宋体" w:cs="宋体"/>
                <w:color w:val="auto"/>
                <w:sz w:val="20"/>
                <w:szCs w:val="20"/>
                <w:highlight w:val="none"/>
                <w:shd w:val="clear" w:color="auto" w:fill="FFFFFF"/>
                <w:lang w:eastAsia="zh-CN"/>
              </w:rPr>
              <w:t>。</w:t>
            </w:r>
            <w:r>
              <w:rPr>
                <w:rFonts w:hint="eastAsia" w:ascii="宋体" w:hAnsi="宋体" w:cs="宋体"/>
                <w:color w:val="auto"/>
                <w:sz w:val="20"/>
                <w:szCs w:val="20"/>
                <w:highlight w:val="none"/>
                <w:shd w:val="clear" w:color="auto" w:fill="FFFFFF"/>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ascii="宋体" w:hAnsi="宋体" w:cs="宋体"/>
                <w:color w:val="auto"/>
                <w:spacing w:val="4"/>
                <w:sz w:val="23"/>
                <w:szCs w:val="23"/>
                <w:highlight w:val="none"/>
              </w:rPr>
              <w:t>特别说明</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一、投标人须知具体内容如与本前附表不一致的，以本前附表为准。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二</w:t>
            </w:r>
            <w:r>
              <w:rPr>
                <w:rFonts w:ascii="宋体" w:hAnsi="宋体" w:cs="宋体"/>
                <w:color w:val="auto"/>
                <w:sz w:val="20"/>
                <w:szCs w:val="20"/>
                <w:highlight w:val="none"/>
              </w:rPr>
              <w:t>、</w:t>
            </w:r>
            <w:r>
              <w:rPr>
                <w:rFonts w:ascii="宋体" w:hAnsi="宋体" w:cs="宋体"/>
                <w:strike/>
                <w:color w:val="auto"/>
                <w:sz w:val="20"/>
                <w:szCs w:val="20"/>
                <w:highlight w:val="none"/>
              </w:rPr>
              <w:t>投标人投标函与投标函附录不一致的，以投标人投标函为准。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w:t>
            </w:r>
            <w:r>
              <w:rPr>
                <w:rFonts w:ascii="宋体" w:hAnsi="宋体" w:cs="宋体"/>
                <w:color w:val="auto"/>
                <w:sz w:val="20"/>
                <w:szCs w:val="20"/>
                <w:highlight w:val="none"/>
              </w:rPr>
              <w:t>、除招标文件另有规定外，投标函的投标报价与清单汇总报价不一致时，以投标函报价为准。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四</w:t>
            </w:r>
            <w:r>
              <w:rPr>
                <w:rFonts w:ascii="宋体" w:hAnsi="宋体" w:cs="宋体"/>
                <w:color w:val="auto"/>
                <w:sz w:val="20"/>
                <w:szCs w:val="20"/>
                <w:highlight w:val="none"/>
              </w:rPr>
              <w:t>、评标委员会评标中，发现投标人有下列情形之一的，且经询标澄清投标人无令人信服的理由和可靠证据证明其合理性的，经半数以上成员确认，其投标文件按否决投标处理，不再对其进行评审，也不影响招标工程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pPr>
              <w:jc w:val="left"/>
              <w:rPr>
                <w:rFonts w:ascii="宋体" w:hAnsi="宋体" w:cs="宋体"/>
                <w:color w:val="auto"/>
                <w:sz w:val="20"/>
                <w:szCs w:val="20"/>
                <w:highlight w:val="none"/>
              </w:rPr>
            </w:pPr>
            <w:r>
              <w:rPr>
                <w:rFonts w:ascii="宋体" w:hAnsi="宋体" w:cs="宋体"/>
                <w:color w:val="auto"/>
                <w:sz w:val="20"/>
                <w:szCs w:val="20"/>
                <w:highlight w:val="none"/>
              </w:rPr>
              <w:t>1.不同投标人的投标文件由同一单位或者个人编制；</w:t>
            </w:r>
          </w:p>
          <w:p>
            <w:pPr>
              <w:jc w:val="left"/>
              <w:rPr>
                <w:rFonts w:ascii="宋体" w:hAnsi="宋体" w:cs="宋体"/>
                <w:color w:val="auto"/>
                <w:sz w:val="20"/>
                <w:szCs w:val="20"/>
                <w:highlight w:val="none"/>
              </w:rPr>
            </w:pPr>
            <w:r>
              <w:rPr>
                <w:rFonts w:ascii="宋体" w:hAnsi="宋体" w:cs="宋体"/>
                <w:color w:val="auto"/>
                <w:sz w:val="20"/>
                <w:szCs w:val="20"/>
                <w:highlight w:val="none"/>
              </w:rPr>
              <w:t>2.不同投标人委托同一单位或者个人办理投标事宜；</w:t>
            </w:r>
          </w:p>
          <w:p>
            <w:pPr>
              <w:jc w:val="left"/>
              <w:rPr>
                <w:rFonts w:ascii="宋体" w:hAnsi="宋体" w:cs="宋体"/>
                <w:color w:val="auto"/>
                <w:sz w:val="20"/>
                <w:szCs w:val="20"/>
                <w:highlight w:val="none"/>
              </w:rPr>
            </w:pPr>
            <w:r>
              <w:rPr>
                <w:rFonts w:ascii="宋体" w:hAnsi="宋体" w:cs="宋体"/>
                <w:color w:val="auto"/>
                <w:sz w:val="20"/>
                <w:szCs w:val="20"/>
                <w:highlight w:val="none"/>
              </w:rPr>
              <w:t>3.不同投标人的投标文件载明的项目管理成员为同一人；</w:t>
            </w:r>
          </w:p>
          <w:p>
            <w:pPr>
              <w:jc w:val="left"/>
              <w:rPr>
                <w:rFonts w:ascii="宋体" w:hAnsi="宋体" w:cs="宋体"/>
                <w:color w:val="auto"/>
                <w:sz w:val="20"/>
                <w:szCs w:val="20"/>
                <w:highlight w:val="none"/>
              </w:rPr>
            </w:pPr>
            <w:r>
              <w:rPr>
                <w:rFonts w:ascii="宋体" w:hAnsi="宋体" w:cs="宋体"/>
                <w:color w:val="auto"/>
                <w:sz w:val="20"/>
                <w:szCs w:val="20"/>
                <w:highlight w:val="none"/>
              </w:rPr>
              <w:t>4.不同投标人的投标文件异常一致或者投标报价呈规律性差异；</w:t>
            </w:r>
          </w:p>
          <w:p>
            <w:pPr>
              <w:jc w:val="left"/>
              <w:rPr>
                <w:rFonts w:ascii="宋体" w:hAnsi="宋体" w:cs="宋体"/>
                <w:color w:val="auto"/>
                <w:sz w:val="20"/>
                <w:szCs w:val="20"/>
                <w:highlight w:val="none"/>
              </w:rPr>
            </w:pPr>
            <w:r>
              <w:rPr>
                <w:rFonts w:ascii="宋体" w:hAnsi="宋体" w:cs="宋体"/>
                <w:color w:val="auto"/>
                <w:sz w:val="20"/>
                <w:szCs w:val="20"/>
                <w:highlight w:val="none"/>
              </w:rPr>
              <w:t>5.不同投标人的投标文件相互混装；</w:t>
            </w:r>
          </w:p>
          <w:p>
            <w:pPr>
              <w:jc w:val="left"/>
              <w:rPr>
                <w:rFonts w:ascii="宋体" w:hAnsi="宋体" w:cs="宋体"/>
                <w:color w:val="auto"/>
                <w:sz w:val="20"/>
                <w:szCs w:val="20"/>
                <w:highlight w:val="none"/>
              </w:rPr>
            </w:pPr>
            <w:r>
              <w:rPr>
                <w:rFonts w:ascii="宋体" w:hAnsi="宋体" w:cs="宋体"/>
                <w:color w:val="auto"/>
                <w:sz w:val="20"/>
                <w:szCs w:val="20"/>
                <w:highlight w:val="none"/>
              </w:rPr>
              <w:t>6.不同投标人的投标保证金从同一单位或者个人的账户转出或者通过同一单位或者个人的账户购买电子保函；</w:t>
            </w:r>
          </w:p>
          <w:p>
            <w:pPr>
              <w:jc w:val="left"/>
              <w:rPr>
                <w:rFonts w:ascii="宋体" w:hAnsi="宋体" w:cs="宋体"/>
                <w:color w:val="auto"/>
                <w:sz w:val="20"/>
                <w:szCs w:val="20"/>
                <w:highlight w:val="none"/>
              </w:rPr>
            </w:pPr>
            <w:r>
              <w:rPr>
                <w:rFonts w:ascii="宋体" w:hAnsi="宋体" w:cs="宋体"/>
                <w:color w:val="auto"/>
                <w:sz w:val="20"/>
                <w:szCs w:val="20"/>
                <w:highlight w:val="none"/>
              </w:rPr>
              <w:t>7.投标人之间协商投标报价等投标文件的实质性内容；</w:t>
            </w:r>
          </w:p>
          <w:p>
            <w:pPr>
              <w:jc w:val="left"/>
              <w:rPr>
                <w:rFonts w:ascii="宋体" w:hAnsi="宋体" w:cs="宋体"/>
                <w:color w:val="auto"/>
                <w:sz w:val="20"/>
                <w:szCs w:val="20"/>
                <w:highlight w:val="none"/>
              </w:rPr>
            </w:pPr>
            <w:r>
              <w:rPr>
                <w:rFonts w:ascii="宋体" w:hAnsi="宋体" w:cs="宋体"/>
                <w:color w:val="auto"/>
                <w:sz w:val="20"/>
                <w:szCs w:val="20"/>
                <w:highlight w:val="none"/>
              </w:rPr>
              <w:t>8.投标人之间约定中标人；</w:t>
            </w:r>
          </w:p>
          <w:p>
            <w:pPr>
              <w:jc w:val="left"/>
              <w:rPr>
                <w:rFonts w:ascii="宋体" w:hAnsi="宋体" w:cs="宋体"/>
                <w:color w:val="auto"/>
                <w:sz w:val="20"/>
                <w:szCs w:val="20"/>
                <w:highlight w:val="none"/>
              </w:rPr>
            </w:pPr>
            <w:r>
              <w:rPr>
                <w:rFonts w:ascii="宋体" w:hAnsi="宋体" w:cs="宋体"/>
                <w:color w:val="auto"/>
                <w:sz w:val="20"/>
                <w:szCs w:val="20"/>
                <w:highlight w:val="none"/>
              </w:rPr>
              <w:t>9.投标人之间约定部分投标人放弃投标或者中标；</w:t>
            </w:r>
          </w:p>
          <w:p>
            <w:pPr>
              <w:jc w:val="left"/>
              <w:rPr>
                <w:rFonts w:ascii="宋体" w:hAnsi="宋体" w:cs="宋体"/>
                <w:color w:val="auto"/>
                <w:sz w:val="20"/>
                <w:szCs w:val="20"/>
                <w:highlight w:val="none"/>
              </w:rPr>
            </w:pPr>
            <w:r>
              <w:rPr>
                <w:rFonts w:ascii="宋体" w:hAnsi="宋体" w:cs="宋体"/>
                <w:color w:val="auto"/>
                <w:sz w:val="20"/>
                <w:szCs w:val="20"/>
                <w:highlight w:val="none"/>
              </w:rPr>
              <w:t>10.属于同一集团、协会、商会等组织成员的投标人按照该组织要求协同投标；</w:t>
            </w:r>
          </w:p>
          <w:p>
            <w:pPr>
              <w:jc w:val="left"/>
              <w:rPr>
                <w:rFonts w:ascii="宋体" w:hAnsi="宋体" w:cs="宋体"/>
                <w:color w:val="auto"/>
                <w:sz w:val="20"/>
                <w:szCs w:val="20"/>
                <w:highlight w:val="none"/>
              </w:rPr>
            </w:pPr>
            <w:r>
              <w:rPr>
                <w:rFonts w:ascii="宋体" w:hAnsi="宋体" w:cs="宋体"/>
                <w:color w:val="auto"/>
                <w:sz w:val="20"/>
                <w:szCs w:val="20"/>
                <w:highlight w:val="none"/>
              </w:rPr>
              <w:t>11.投标人之间为谋取中标或者排斥特定投标人而采取的其他联合行动。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p>
        </w:tc>
        <w:tc>
          <w:tcPr>
            <w:tcW w:w="1560" w:type="dxa"/>
            <w:vAlign w:val="center"/>
          </w:tcPr>
          <w:p>
            <w:pPr>
              <w:jc w:val="center"/>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绍兴市政务服务办公室</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2"/>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52"/>
        <w:spacing w:line="440" w:lineRule="exact"/>
        <w:rPr>
          <w:rFonts w:asciiTheme="minorEastAsia" w:hAnsiTheme="minorEastAsia" w:eastAsiaTheme="minorEastAsia" w:cstheme="minorEastAsia"/>
          <w:color w:val="auto"/>
          <w:sz w:val="24"/>
          <w:szCs w:val="24"/>
          <w:highlight w:val="none"/>
        </w:rPr>
      </w:pPr>
      <w:bookmarkStart w:id="4" w:name="_Toc392345909"/>
      <w:bookmarkStart w:id="5" w:name="_Toc11269"/>
      <w:r>
        <w:rPr>
          <w:rFonts w:hint="eastAsia" w:asciiTheme="minorEastAsia" w:hAnsiTheme="minorEastAsia" w:eastAsiaTheme="minorEastAsia" w:cstheme="minorEastAsia"/>
          <w:color w:val="auto"/>
          <w:sz w:val="24"/>
          <w:szCs w:val="24"/>
          <w:highlight w:val="none"/>
        </w:rPr>
        <w:t>1. 总则</w:t>
      </w:r>
      <w:bookmarkEnd w:id="4"/>
      <w:bookmarkEnd w:id="5"/>
    </w:p>
    <w:p>
      <w:pPr>
        <w:pStyle w:val="53"/>
        <w:spacing w:line="440" w:lineRule="exact"/>
        <w:rPr>
          <w:rFonts w:asciiTheme="minorEastAsia" w:hAnsiTheme="minorEastAsia" w:eastAsiaTheme="minorEastAsia" w:cstheme="minorEastAsia"/>
          <w:b/>
          <w:color w:val="auto"/>
          <w:szCs w:val="24"/>
          <w:highlight w:val="none"/>
        </w:rPr>
      </w:pPr>
      <w:bookmarkStart w:id="6" w:name="_Toc392345910"/>
      <w:bookmarkStart w:id="7" w:name="_Toc229646712"/>
      <w:bookmarkStart w:id="8" w:name="_Toc9106"/>
      <w:bookmarkStart w:id="9" w:name="_Toc152042306"/>
      <w:bookmarkStart w:id="10" w:name="_Toc144974498"/>
      <w:bookmarkStart w:id="11" w:name="_Toc152045530"/>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12" w:name="_Toc3629"/>
      <w:bookmarkStart w:id="13" w:name="_Toc229646713"/>
      <w:bookmarkStart w:id="14" w:name="_Toc152045531"/>
      <w:bookmarkStart w:id="15" w:name="_Toc152042307"/>
      <w:bookmarkStart w:id="16" w:name="_Toc392345911"/>
      <w:bookmarkStart w:id="17" w:name="_Toc144974499"/>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18" w:name="_Toc460"/>
      <w:bookmarkStart w:id="19" w:name="_Toc392345912"/>
      <w:bookmarkStart w:id="20" w:name="_Toc144974500"/>
      <w:bookmarkStart w:id="21" w:name="_Toc152042308"/>
      <w:bookmarkStart w:id="22" w:name="_Toc229646714"/>
      <w:bookmarkStart w:id="23" w:name="_Toc152045532"/>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w:t>
      </w:r>
      <w:r>
        <w:rPr>
          <w:rFonts w:hint="eastAsia" w:asciiTheme="minorEastAsia" w:hAnsiTheme="minorEastAsia" w:eastAsiaTheme="minorEastAsia" w:cstheme="minorEastAsia"/>
          <w:color w:val="auto"/>
          <w:sz w:val="24"/>
          <w:szCs w:val="24"/>
          <w:highlight w:val="none"/>
          <w:lang w:val="en-US" w:eastAsia="zh-CN"/>
        </w:rPr>
        <w:t>工期</w:t>
      </w:r>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1.3.3 本招标项目质量保质期：见投标人须知前附表。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24" w:name="_Toc144974502"/>
      <w:bookmarkStart w:id="25" w:name="_Toc229646715"/>
      <w:bookmarkStart w:id="26" w:name="_Toc152045534"/>
      <w:bookmarkStart w:id="27" w:name="_Toc152042310"/>
      <w:bookmarkStart w:id="28" w:name="_Toc22287"/>
      <w:bookmarkStart w:id="29" w:name="_Toc392345913"/>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30" w:name="_Toc152045535"/>
      <w:bookmarkStart w:id="31" w:name="_Toc144974503"/>
      <w:bookmarkStart w:id="32" w:name="_Toc229646716"/>
      <w:bookmarkStart w:id="33" w:name="_Toc152042311"/>
      <w:r>
        <w:rPr>
          <w:rFonts w:hint="eastAsia" w:asciiTheme="minorEastAsia" w:hAnsiTheme="minorEastAsia" w:eastAsiaTheme="minorEastAsia" w:cstheme="minorEastAsia"/>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53"/>
        <w:spacing w:line="440" w:lineRule="exact"/>
        <w:rPr>
          <w:rFonts w:asciiTheme="minorEastAsia" w:hAnsiTheme="minorEastAsia" w:eastAsiaTheme="minorEastAsia" w:cstheme="minorEastAsia"/>
          <w:b/>
          <w:color w:val="auto"/>
          <w:szCs w:val="24"/>
          <w:highlight w:val="none"/>
        </w:rPr>
      </w:pPr>
      <w:bookmarkStart w:id="34" w:name="_Toc392345914"/>
      <w:bookmarkStart w:id="35" w:name="_Toc10130"/>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53"/>
        <w:spacing w:line="440" w:lineRule="exact"/>
        <w:rPr>
          <w:rFonts w:asciiTheme="minorEastAsia" w:hAnsiTheme="minorEastAsia" w:eastAsiaTheme="minorEastAsia" w:cstheme="minorEastAsia"/>
          <w:b/>
          <w:color w:val="auto"/>
          <w:szCs w:val="24"/>
          <w:highlight w:val="none"/>
        </w:rPr>
      </w:pPr>
      <w:bookmarkStart w:id="36" w:name="_Toc319408072"/>
      <w:bookmarkStart w:id="37" w:name="_Toc144974504"/>
      <w:bookmarkStart w:id="38" w:name="_Toc245036603"/>
      <w:bookmarkStart w:id="39" w:name="_Toc322615398"/>
      <w:bookmarkStart w:id="40" w:name="_Toc319407837"/>
      <w:bookmarkStart w:id="41" w:name="_Toc392345915"/>
      <w:bookmarkStart w:id="42" w:name="_Toc323711750"/>
      <w:bookmarkStart w:id="43" w:name="_Toc152042312"/>
      <w:bookmarkStart w:id="44" w:name="_Toc25357"/>
      <w:bookmarkStart w:id="45" w:name="_Toc152045536"/>
      <w:bookmarkStart w:id="46" w:name="_Toc144974510"/>
      <w:bookmarkStart w:id="47" w:name="_Toc152045542"/>
      <w:bookmarkStart w:id="48" w:name="_Toc229646724"/>
      <w:bookmarkStart w:id="49" w:name="_Toc152042318"/>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53"/>
        <w:spacing w:line="440" w:lineRule="exact"/>
        <w:rPr>
          <w:rFonts w:asciiTheme="minorEastAsia" w:hAnsiTheme="minorEastAsia" w:eastAsiaTheme="minorEastAsia" w:cstheme="minorEastAsia"/>
          <w:b/>
          <w:color w:val="auto"/>
          <w:szCs w:val="24"/>
          <w:highlight w:val="none"/>
        </w:rPr>
      </w:pPr>
      <w:bookmarkStart w:id="50" w:name="_Toc144974505"/>
      <w:bookmarkStart w:id="51" w:name="_Toc152045537"/>
      <w:bookmarkStart w:id="52" w:name="_Toc392345916"/>
      <w:bookmarkStart w:id="53" w:name="_Toc322615399"/>
      <w:bookmarkStart w:id="54" w:name="_Toc152042313"/>
      <w:bookmarkStart w:id="55" w:name="_Toc319408073"/>
      <w:bookmarkStart w:id="56" w:name="_Toc4033"/>
      <w:bookmarkStart w:id="57" w:name="_Toc319407838"/>
      <w:bookmarkStart w:id="58" w:name="_Toc323711751"/>
      <w:bookmarkStart w:id="59" w:name="_Toc245036604"/>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53"/>
        <w:spacing w:line="440" w:lineRule="exact"/>
        <w:rPr>
          <w:rFonts w:asciiTheme="minorEastAsia" w:hAnsiTheme="minorEastAsia" w:eastAsiaTheme="minorEastAsia" w:cstheme="minorEastAsia"/>
          <w:b/>
          <w:color w:val="auto"/>
          <w:szCs w:val="24"/>
          <w:highlight w:val="none"/>
        </w:rPr>
      </w:pPr>
      <w:bookmarkStart w:id="60" w:name="_Toc152042314"/>
      <w:bookmarkStart w:id="61" w:name="_Toc144974506"/>
      <w:bookmarkStart w:id="62" w:name="_Toc319408074"/>
      <w:bookmarkStart w:id="63" w:name="_Toc392345917"/>
      <w:bookmarkStart w:id="64" w:name="_Toc245036605"/>
      <w:bookmarkStart w:id="65" w:name="_Toc152045538"/>
      <w:bookmarkStart w:id="66" w:name="_Toc31144"/>
      <w:bookmarkStart w:id="67" w:name="_Toc319407839"/>
      <w:bookmarkStart w:id="68" w:name="_Toc322615400"/>
      <w:bookmarkStart w:id="69" w:name="_Toc323711752"/>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53"/>
        <w:spacing w:line="440" w:lineRule="exact"/>
        <w:rPr>
          <w:rFonts w:asciiTheme="minorEastAsia" w:hAnsiTheme="minorEastAsia" w:eastAsiaTheme="minorEastAsia" w:cstheme="minorEastAsia"/>
          <w:b/>
          <w:color w:val="auto"/>
          <w:szCs w:val="24"/>
          <w:highlight w:val="none"/>
        </w:rPr>
      </w:pPr>
      <w:bookmarkStart w:id="70" w:name="_Toc392345918"/>
      <w:bookmarkStart w:id="71" w:name="_Toc926"/>
      <w:bookmarkStart w:id="72" w:name="_Toc245036606"/>
      <w:bookmarkStart w:id="73" w:name="_Toc319408075"/>
      <w:bookmarkStart w:id="74" w:name="_Toc322615401"/>
      <w:bookmarkStart w:id="75" w:name="_Toc152042315"/>
      <w:bookmarkStart w:id="76" w:name="_Toc144974507"/>
      <w:bookmarkStart w:id="77" w:name="_Toc323711753"/>
      <w:bookmarkStart w:id="78" w:name="_Toc152045539"/>
      <w:bookmarkStart w:id="79" w:name="_Toc319407840"/>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53"/>
        <w:spacing w:line="440" w:lineRule="exact"/>
        <w:rPr>
          <w:rFonts w:asciiTheme="minorEastAsia" w:hAnsiTheme="minorEastAsia" w:eastAsiaTheme="minorEastAsia" w:cstheme="minorEastAsia"/>
          <w:b/>
          <w:color w:val="auto"/>
          <w:szCs w:val="24"/>
          <w:highlight w:val="none"/>
        </w:rPr>
      </w:pPr>
      <w:bookmarkStart w:id="80" w:name="_Toc392345919"/>
      <w:bookmarkStart w:id="81" w:name="_Toc144974508"/>
      <w:bookmarkStart w:id="82" w:name="_Toc323711754"/>
      <w:bookmarkStart w:id="83" w:name="_Toc322615402"/>
      <w:bookmarkStart w:id="84" w:name="_Toc245036607"/>
      <w:bookmarkStart w:id="85" w:name="_Toc319407841"/>
      <w:bookmarkStart w:id="86" w:name="_Toc152042316"/>
      <w:bookmarkStart w:id="87" w:name="_Toc319408076"/>
      <w:bookmarkStart w:id="88" w:name="_Toc152045540"/>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53"/>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投标人须知前附表允许投标文件偏离招标文件某些要求的，偏离应当符合招标文件的规定。</w:t>
      </w:r>
    </w:p>
    <w:bookmarkEnd w:id="46"/>
    <w:bookmarkEnd w:id="47"/>
    <w:bookmarkEnd w:id="48"/>
    <w:bookmarkEnd w:id="49"/>
    <w:p>
      <w:pPr>
        <w:pStyle w:val="52"/>
        <w:spacing w:line="440" w:lineRule="exact"/>
        <w:rPr>
          <w:rFonts w:asciiTheme="minorEastAsia" w:hAnsiTheme="minorEastAsia" w:eastAsiaTheme="minorEastAsia" w:cstheme="minorEastAsia"/>
          <w:color w:val="auto"/>
          <w:sz w:val="24"/>
          <w:szCs w:val="24"/>
          <w:highlight w:val="none"/>
        </w:rPr>
      </w:pPr>
      <w:bookmarkStart w:id="92" w:name="_Toc323711757"/>
      <w:bookmarkStart w:id="93" w:name="_Toc245036610"/>
      <w:bookmarkStart w:id="94" w:name="_Toc17"/>
      <w:bookmarkStart w:id="95" w:name="_Toc392345920"/>
      <w:bookmarkStart w:id="96" w:name="_Toc229646728"/>
      <w:bookmarkStart w:id="97" w:name="_Toc152045546"/>
      <w:bookmarkStart w:id="98" w:name="_Toc144974514"/>
      <w:bookmarkStart w:id="99" w:name="_Toc152042322"/>
      <w:bookmarkStart w:id="100" w:name="_Toc152045548"/>
      <w:bookmarkStart w:id="101" w:name="_Toc152042324"/>
      <w:bookmarkStart w:id="102" w:name="_Toc144974516"/>
      <w:bookmarkStart w:id="103" w:name="_Toc229646730"/>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53"/>
        <w:spacing w:line="440" w:lineRule="exact"/>
        <w:rPr>
          <w:rFonts w:asciiTheme="minorEastAsia" w:hAnsiTheme="minorEastAsia" w:eastAsiaTheme="minorEastAsia" w:cstheme="minorEastAsia"/>
          <w:b/>
          <w:color w:val="auto"/>
          <w:szCs w:val="24"/>
          <w:highlight w:val="none"/>
        </w:rPr>
      </w:pPr>
      <w:bookmarkStart w:id="104" w:name="_Toc322615406"/>
      <w:bookmarkStart w:id="105" w:name="_Toc144974511"/>
      <w:bookmarkStart w:id="106" w:name="_Toc319408080"/>
      <w:bookmarkStart w:id="107" w:name="_Toc245036611"/>
      <w:bookmarkStart w:id="108" w:name="_Toc392345921"/>
      <w:bookmarkStart w:id="109" w:name="_Toc319407845"/>
      <w:bookmarkStart w:id="110" w:name="_Toc323711758"/>
      <w:bookmarkStart w:id="111" w:name="_Toc152045543"/>
      <w:bookmarkStart w:id="112" w:name="_Toc26955"/>
      <w:bookmarkStart w:id="113" w:name="_Toc152042319"/>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53"/>
        <w:spacing w:line="440" w:lineRule="exact"/>
        <w:rPr>
          <w:rFonts w:asciiTheme="minorEastAsia" w:hAnsiTheme="minorEastAsia" w:eastAsiaTheme="minorEastAsia" w:cstheme="minorEastAsia"/>
          <w:b/>
          <w:color w:val="auto"/>
          <w:szCs w:val="24"/>
          <w:highlight w:val="none"/>
        </w:rPr>
      </w:pPr>
      <w:bookmarkStart w:id="114" w:name="_Toc152042320"/>
      <w:bookmarkStart w:id="115" w:name="_Toc322615407"/>
      <w:bookmarkStart w:id="116" w:name="_Toc14430"/>
      <w:bookmarkStart w:id="117" w:name="_Toc319407846"/>
      <w:bookmarkStart w:id="118" w:name="_Toc392345922"/>
      <w:bookmarkStart w:id="119" w:name="_Toc319408081"/>
      <w:bookmarkStart w:id="120" w:name="_Toc245036612"/>
      <w:bookmarkStart w:id="121" w:name="_Toc144974512"/>
      <w:bookmarkStart w:id="122" w:name="_Toc152045544"/>
      <w:bookmarkStart w:id="123" w:name="_Toc323711759"/>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bookmarkStart w:id="124" w:name="_Toc3662"/>
      <w:bookmarkStart w:id="125" w:name="_Toc392345924"/>
      <w:r>
        <w:rPr>
          <w:rFonts w:hint="eastAsia" w:ascii="宋体" w:hAnsi="宋体"/>
          <w:color w:val="auto"/>
          <w:sz w:val="24"/>
          <w:szCs w:val="24"/>
          <w:highlight w:val="none"/>
        </w:rPr>
        <w:t>。</w:t>
      </w:r>
    </w:p>
    <w:p>
      <w:pPr>
        <w:pStyle w:val="52"/>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53"/>
        <w:spacing w:line="440" w:lineRule="exact"/>
        <w:rPr>
          <w:rFonts w:asciiTheme="minorEastAsia" w:hAnsiTheme="minorEastAsia" w:eastAsiaTheme="minorEastAsia" w:cstheme="minorEastAsia"/>
          <w:b/>
          <w:color w:val="auto"/>
          <w:szCs w:val="24"/>
          <w:highlight w:val="none"/>
        </w:rPr>
      </w:pPr>
      <w:bookmarkStart w:id="126" w:name="_Toc152042323"/>
      <w:bookmarkStart w:id="127" w:name="_Toc229646729"/>
      <w:bookmarkStart w:id="128" w:name="_Toc22707"/>
      <w:bookmarkStart w:id="129" w:name="_Toc152045547"/>
      <w:bookmarkStart w:id="130" w:name="_Toc144974515"/>
      <w:bookmarkStart w:id="131" w:name="_Toc392345925"/>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54"/>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53"/>
        <w:spacing w:line="440" w:lineRule="exact"/>
        <w:rPr>
          <w:rFonts w:asciiTheme="minorEastAsia" w:hAnsiTheme="minorEastAsia" w:eastAsiaTheme="minorEastAsia" w:cstheme="minorEastAsia"/>
          <w:b/>
          <w:color w:val="auto"/>
          <w:szCs w:val="24"/>
          <w:highlight w:val="none"/>
        </w:rPr>
      </w:pPr>
      <w:bookmarkStart w:id="132" w:name="_Toc392345926"/>
      <w:bookmarkStart w:id="133" w:name="_Toc5081"/>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52045549"/>
      <w:bookmarkStart w:id="135" w:name="_Toc152042325"/>
      <w:bookmarkStart w:id="136" w:name="_Toc144974517"/>
      <w:bookmarkStart w:id="137" w:name="_Toc229646731"/>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44974518"/>
      <w:bookmarkStart w:id="141" w:name="_Toc152042326"/>
      <w:bookmarkStart w:id="142" w:name="_Toc152045550"/>
      <w:bookmarkStart w:id="143" w:name="_Toc229646732"/>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53"/>
        <w:spacing w:line="440" w:lineRule="exact"/>
        <w:rPr>
          <w:rFonts w:asciiTheme="minorEastAsia" w:hAnsiTheme="minorEastAsia" w:eastAsiaTheme="minorEastAsia" w:cstheme="minorEastAsia"/>
          <w:b/>
          <w:color w:val="auto"/>
          <w:szCs w:val="24"/>
          <w:highlight w:val="none"/>
        </w:rPr>
      </w:pPr>
      <w:bookmarkStart w:id="144" w:name="_Toc10327"/>
      <w:bookmarkStart w:id="145" w:name="_Toc392345928"/>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229646733"/>
      <w:bookmarkStart w:id="147" w:name="_Toc144974520"/>
      <w:bookmarkStart w:id="148" w:name="_Toc152045552"/>
      <w:bookmarkStart w:id="149" w:name="_Toc152042328"/>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招标文件等材料约定的不予退还的其他情形</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（5）其他法律法规规定情形。</w:t>
      </w:r>
      <w:r>
        <w:rPr>
          <w:rFonts w:asciiTheme="minorEastAsia" w:hAnsiTheme="minorEastAsia" w:eastAsiaTheme="minorEastAsia" w:cstheme="minorEastAsia"/>
          <w:color w:val="auto"/>
          <w:sz w:val="24"/>
          <w:szCs w:val="24"/>
          <w:highlight w:val="none"/>
          <w:lang w:bidi="ar"/>
        </w:rPr>
        <w:t xml:space="preserve"> </w:t>
      </w:r>
    </w:p>
    <w:bookmarkEnd w:id="146"/>
    <w:bookmarkEnd w:id="147"/>
    <w:bookmarkEnd w:id="148"/>
    <w:bookmarkEnd w:id="149"/>
    <w:p>
      <w:pPr>
        <w:pStyle w:val="53"/>
        <w:spacing w:line="440" w:lineRule="exact"/>
        <w:rPr>
          <w:rFonts w:asciiTheme="minorEastAsia" w:hAnsiTheme="minorEastAsia" w:eastAsiaTheme="minorEastAsia" w:cstheme="minorEastAsia"/>
          <w:b/>
          <w:color w:val="auto"/>
          <w:szCs w:val="24"/>
          <w:highlight w:val="none"/>
        </w:rPr>
      </w:pPr>
      <w:bookmarkStart w:id="150" w:name="_Toc319408089"/>
      <w:bookmarkStart w:id="151" w:name="_Toc322615415"/>
      <w:bookmarkStart w:id="152" w:name="_Toc319407854"/>
      <w:bookmarkStart w:id="153" w:name="_Toc144974521"/>
      <w:bookmarkStart w:id="154" w:name="_Toc152045553"/>
      <w:bookmarkStart w:id="155" w:name="_Toc152042329"/>
      <w:bookmarkStart w:id="156" w:name="_Toc323711767"/>
      <w:bookmarkStart w:id="157" w:name="_Toc245036620"/>
      <w:bookmarkStart w:id="158" w:name="_Toc16875"/>
      <w:bookmarkStart w:id="159" w:name="_Toc392345930"/>
      <w:bookmarkStart w:id="160" w:name="_Toc152042335"/>
      <w:bookmarkStart w:id="161" w:name="_Toc144974527"/>
      <w:bookmarkStart w:id="162" w:name="_Toc229646740"/>
      <w:bookmarkStart w:id="163" w:name="_Toc152045559"/>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322615416"/>
      <w:bookmarkStart w:id="165" w:name="_Toc245036621"/>
      <w:bookmarkStart w:id="166" w:name="_Toc319407855"/>
      <w:bookmarkStart w:id="167" w:name="_Toc319408090"/>
      <w:bookmarkStart w:id="168" w:name="_Toc323711768"/>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229646735"/>
      <w:bookmarkStart w:id="170" w:name="_Toc152045554"/>
      <w:bookmarkStart w:id="171" w:name="_Toc144974522"/>
      <w:bookmarkStart w:id="172" w:name="_Toc247527578"/>
      <w:bookmarkStart w:id="173" w:name="_Toc300834974"/>
      <w:bookmarkStart w:id="174" w:name="_Toc247513977"/>
      <w:bookmarkStart w:id="175" w:name="_Toc152042330"/>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“投标人基本情况表”应附投标人营业执照副本、资质证书副本等材料的复制件。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“近年完成的类似项目情况表”应附中标通知书、合同复制件及验收证明，具体年份要求见投标人须知前附表。每张表格只填写一个项目，并标明序号。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w:t>
      </w:r>
      <w:r>
        <w:rPr>
          <w:rFonts w:hint="eastAsia" w:asciiTheme="minorEastAsia" w:hAnsiTheme="minorEastAsia" w:eastAsiaTheme="minorEastAsia" w:cstheme="minorEastAsia"/>
          <w:strike/>
          <w:color w:val="auto"/>
          <w:sz w:val="24"/>
          <w:szCs w:val="24"/>
          <w:highlight w:val="none"/>
        </w:rPr>
        <w:t>复制件</w:t>
      </w:r>
      <w:r>
        <w:rPr>
          <w:rFonts w:asciiTheme="minorEastAsia" w:hAnsiTheme="minorEastAsia" w:eastAsiaTheme="minorEastAsia" w:cstheme="minorEastAsia"/>
          <w:strike/>
          <w:color w:val="auto"/>
          <w:sz w:val="24"/>
          <w:szCs w:val="24"/>
          <w:highlight w:val="none"/>
        </w:rPr>
        <w:t>。每张表格只填写一个项目，并标明序号。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“近年发生的诉讼及仲裁情况”应说明相关情况，并附法院或仲裁机构作出的判决、裁决等有关法律文书复制件，具体年份要求见投标人须知前附表。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53"/>
        <w:spacing w:line="440" w:lineRule="exact"/>
        <w:rPr>
          <w:rFonts w:asciiTheme="minorEastAsia" w:hAnsiTheme="minorEastAsia" w:eastAsiaTheme="minorEastAsia" w:cstheme="minorEastAsia"/>
          <w:b/>
          <w:color w:val="auto"/>
          <w:szCs w:val="24"/>
          <w:highlight w:val="none"/>
        </w:rPr>
      </w:pPr>
      <w:bookmarkStart w:id="176" w:name="_Toc29305"/>
      <w:r>
        <w:rPr>
          <w:rFonts w:asciiTheme="minorEastAsia" w:hAnsiTheme="minorEastAsia" w:eastAsiaTheme="minorEastAsia" w:cstheme="minorEastAsia"/>
          <w:b/>
          <w:color w:val="auto"/>
          <w:szCs w:val="24"/>
          <w:highlight w:val="none"/>
        </w:rPr>
        <w:t>3.6备选投标方案</w:t>
      </w:r>
      <w:bookmarkEnd w:id="17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53"/>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144974523"/>
      <w:bookmarkStart w:id="179" w:name="_Toc323711769"/>
      <w:bookmarkStart w:id="180" w:name="_Toc392345931"/>
      <w:bookmarkStart w:id="181" w:name="_Toc152042331"/>
      <w:bookmarkStart w:id="182" w:name="_Toc245036622"/>
      <w:bookmarkStart w:id="183" w:name="_Toc152045555"/>
      <w:r>
        <w:rPr>
          <w:rFonts w:hint="eastAsia" w:asciiTheme="minorEastAsia" w:hAnsiTheme="minorEastAsia" w:eastAsiaTheme="minorEastAsia" w:cstheme="minorEastAsia"/>
          <w:color w:val="auto"/>
          <w:sz w:val="24"/>
          <w:szCs w:val="24"/>
          <w:highlight w:val="none"/>
        </w:rPr>
        <w:t>具体装订要求见投标人须知前附表规定。</w:t>
      </w:r>
    </w:p>
    <w:p>
      <w:pPr>
        <w:pStyle w:val="52"/>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53"/>
        <w:spacing w:line="440" w:lineRule="exact"/>
        <w:rPr>
          <w:rFonts w:asciiTheme="minorEastAsia" w:hAnsiTheme="minorEastAsia" w:eastAsiaTheme="minorEastAsia" w:cstheme="minorEastAsia"/>
          <w:b/>
          <w:color w:val="auto"/>
          <w:szCs w:val="24"/>
          <w:highlight w:val="none"/>
        </w:rPr>
      </w:pPr>
      <w:bookmarkStart w:id="185" w:name="_Toc245036623"/>
      <w:bookmarkStart w:id="186" w:name="_Toc152042332"/>
      <w:bookmarkStart w:id="187" w:name="_Toc152045556"/>
      <w:bookmarkStart w:id="188" w:name="_Toc322615418"/>
      <w:bookmarkStart w:id="189" w:name="_Toc319408092"/>
      <w:bookmarkStart w:id="190" w:name="_Toc323711770"/>
      <w:bookmarkStart w:id="191" w:name="_Toc20016"/>
      <w:bookmarkStart w:id="192" w:name="_Toc319407857"/>
      <w:bookmarkStart w:id="193" w:name="_Toc144974524"/>
      <w:bookmarkStart w:id="194" w:name="_Toc392345932"/>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195" w:name="_Toc323711771"/>
      <w:bookmarkStart w:id="196" w:name="_Toc245036624"/>
      <w:bookmarkStart w:id="197" w:name="_Toc152045557"/>
      <w:bookmarkStart w:id="198" w:name="_Toc322615419"/>
      <w:bookmarkStart w:id="199" w:name="_Toc144974525"/>
      <w:bookmarkStart w:id="200" w:name="_Toc319408093"/>
      <w:bookmarkStart w:id="201" w:name="_Toc319407858"/>
      <w:bookmarkStart w:id="202" w:name="_Toc28433"/>
      <w:bookmarkStart w:id="203" w:name="_Toc152042333"/>
      <w:bookmarkStart w:id="204" w:name="_Toc392345933"/>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53"/>
        <w:spacing w:line="440" w:lineRule="exact"/>
        <w:rPr>
          <w:rFonts w:asciiTheme="minorEastAsia" w:hAnsiTheme="minorEastAsia" w:eastAsiaTheme="minorEastAsia" w:cstheme="minorEastAsia"/>
          <w:b/>
          <w:color w:val="auto"/>
          <w:szCs w:val="24"/>
          <w:highlight w:val="none"/>
        </w:rPr>
      </w:pPr>
      <w:bookmarkStart w:id="205" w:name="_Toc319408094"/>
      <w:bookmarkStart w:id="206" w:name="_Toc392345934"/>
      <w:bookmarkStart w:id="207" w:name="_Toc144974526"/>
      <w:bookmarkStart w:id="208" w:name="_Toc322615420"/>
      <w:bookmarkStart w:id="209" w:name="_Toc319407859"/>
      <w:bookmarkStart w:id="210" w:name="_Toc152045558"/>
      <w:bookmarkStart w:id="211" w:name="_Toc21598"/>
      <w:bookmarkStart w:id="212" w:name="_Toc245036625"/>
      <w:bookmarkStart w:id="213" w:name="_Toc152042334"/>
      <w:bookmarkStart w:id="214" w:name="_Toc323711772"/>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53"/>
        <w:spacing w:line="440" w:lineRule="exact"/>
        <w:rPr>
          <w:rFonts w:asciiTheme="minorEastAsia" w:hAnsiTheme="minorEastAsia" w:eastAsiaTheme="minorEastAsia" w:cstheme="minorEastAsia"/>
          <w:b/>
          <w:color w:val="auto"/>
          <w:szCs w:val="24"/>
          <w:highlight w:val="none"/>
        </w:rPr>
      </w:pPr>
      <w:bookmarkStart w:id="215" w:name="_Toc14614"/>
      <w:bookmarkStart w:id="216" w:name="_Toc392345935"/>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52"/>
        <w:spacing w:line="440" w:lineRule="exact"/>
        <w:rPr>
          <w:rFonts w:asciiTheme="minorEastAsia" w:hAnsiTheme="minorEastAsia" w:eastAsiaTheme="minorEastAsia" w:cstheme="minorEastAsia"/>
          <w:color w:val="auto"/>
          <w:sz w:val="24"/>
          <w:szCs w:val="24"/>
          <w:highlight w:val="none"/>
        </w:rPr>
      </w:pPr>
      <w:bookmarkStart w:id="217" w:name="_Toc392345936"/>
      <w:bookmarkStart w:id="218" w:name="_Toc18369"/>
      <w:r>
        <w:rPr>
          <w:rFonts w:hint="eastAsia" w:asciiTheme="minorEastAsia" w:hAnsiTheme="minorEastAsia" w:eastAsiaTheme="minorEastAsia" w:cstheme="minorEastAsia"/>
          <w:color w:val="auto"/>
          <w:sz w:val="24"/>
          <w:szCs w:val="24"/>
          <w:highlight w:val="none"/>
        </w:rPr>
        <w:t xml:space="preserve">5. </w:t>
      </w:r>
      <w:r>
        <w:rPr>
          <w:rFonts w:hint="eastAsia" w:asciiTheme="minorEastAsia" w:hAnsiTheme="minorEastAsia" w:eastAsiaTheme="minorEastAsia" w:cstheme="minorEastAsia"/>
          <w:b/>
          <w:color w:val="auto"/>
          <w:szCs w:val="24"/>
          <w:highlight w:val="none"/>
        </w:rPr>
        <w:t>开标</w:t>
      </w:r>
      <w:bookmarkEnd w:id="160"/>
      <w:bookmarkEnd w:id="161"/>
      <w:bookmarkEnd w:id="162"/>
      <w:bookmarkEnd w:id="163"/>
      <w:bookmarkEnd w:id="217"/>
      <w:bookmarkEnd w:id="218"/>
    </w:p>
    <w:p>
      <w:pPr>
        <w:pStyle w:val="53"/>
        <w:spacing w:line="440" w:lineRule="exact"/>
        <w:rPr>
          <w:rFonts w:asciiTheme="minorEastAsia" w:hAnsiTheme="minorEastAsia" w:eastAsiaTheme="minorEastAsia" w:cstheme="minorEastAsia"/>
          <w:b/>
          <w:color w:val="auto"/>
          <w:szCs w:val="24"/>
          <w:highlight w:val="none"/>
        </w:rPr>
      </w:pPr>
      <w:bookmarkStart w:id="219" w:name="_Toc229646741"/>
      <w:bookmarkStart w:id="220" w:name="_Toc152042336"/>
      <w:bookmarkStart w:id="221" w:name="_Toc392345937"/>
      <w:bookmarkStart w:id="222" w:name="_Toc144974528"/>
      <w:bookmarkStart w:id="223" w:name="_Toc152045560"/>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225" w:name="_Toc392345938"/>
      <w:bookmarkStart w:id="226" w:name="_Toc152045561"/>
      <w:bookmarkStart w:id="227" w:name="_Toc229646742"/>
      <w:bookmarkStart w:id="228" w:name="_Toc152042337"/>
      <w:bookmarkStart w:id="229" w:name="_Toc28832"/>
      <w:bookmarkStart w:id="230" w:name="_Toc144974529"/>
      <w:r>
        <w:rPr>
          <w:rFonts w:hint="eastAsia" w:asciiTheme="minorEastAsia" w:hAnsiTheme="minorEastAsia" w:eastAsiaTheme="minorEastAsia" w:cstheme="minorEastAsia"/>
          <w:b/>
          <w:color w:val="auto"/>
          <w:szCs w:val="24"/>
          <w:highlight w:val="none"/>
        </w:rPr>
        <w:t>5.2</w:t>
      </w:r>
      <w:bookmarkEnd w:id="225"/>
      <w:bookmarkEnd w:id="226"/>
      <w:bookmarkEnd w:id="227"/>
      <w:bookmarkEnd w:id="228"/>
      <w:bookmarkEnd w:id="229"/>
      <w:bookmarkEnd w:id="230"/>
      <w:r>
        <w:rPr>
          <w:rFonts w:hint="eastAsia" w:asciiTheme="minorEastAsia" w:hAnsiTheme="minorEastAsia" w:eastAsiaTheme="minorEastAsia" w:cstheme="minorEastAsia"/>
          <w:color w:val="auto"/>
          <w:szCs w:val="24"/>
          <w:highlight w:val="none"/>
        </w:rPr>
        <w:t>开标程序</w:t>
      </w:r>
    </w:p>
    <w:p>
      <w:pPr>
        <w:ind w:firstLine="480" w:firstLineChars="200"/>
        <w:rPr>
          <w:rFonts w:asciiTheme="minorEastAsia" w:hAnsiTheme="minorEastAsia" w:eastAsiaTheme="minorEastAsia" w:cstheme="minorEastAsia"/>
          <w:color w:val="auto"/>
          <w:sz w:val="24"/>
          <w:szCs w:val="24"/>
          <w:highlight w:val="none"/>
        </w:rPr>
      </w:pPr>
      <w:bookmarkStart w:id="231" w:name="_Toc152045562"/>
      <w:bookmarkStart w:id="232" w:name="_Toc144974530"/>
      <w:bookmarkStart w:id="233" w:name="_Toc152042338"/>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（11）投标人代表（投标人不需签字确认）、招标人代表、监标人、记录人等有关人员在开标记录上签字确认；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53"/>
        <w:spacing w:line="440" w:lineRule="exact"/>
        <w:rPr>
          <w:rFonts w:asciiTheme="minorEastAsia" w:hAnsiTheme="minorEastAsia" w:eastAsiaTheme="minorEastAsia" w:cstheme="minorEastAsia"/>
          <w:b/>
          <w:color w:val="auto"/>
          <w:szCs w:val="24"/>
          <w:highlight w:val="none"/>
        </w:rPr>
      </w:pPr>
      <w:bookmarkStart w:id="235" w:name="_Toc624"/>
      <w:bookmarkStart w:id="236" w:name="_Toc392345939"/>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52"/>
        <w:spacing w:line="440" w:lineRule="exact"/>
        <w:rPr>
          <w:rFonts w:asciiTheme="minorEastAsia" w:hAnsiTheme="minorEastAsia" w:eastAsiaTheme="minorEastAsia" w:cstheme="minorEastAsia"/>
          <w:color w:val="auto"/>
          <w:sz w:val="24"/>
          <w:szCs w:val="24"/>
          <w:highlight w:val="none"/>
        </w:rPr>
      </w:pPr>
      <w:bookmarkStart w:id="237" w:name="_Toc392345940"/>
      <w:bookmarkStart w:id="238" w:name="_Toc21142"/>
      <w:bookmarkStart w:id="239" w:name="_Toc229646744"/>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53"/>
        <w:spacing w:line="440" w:lineRule="exact"/>
        <w:rPr>
          <w:rFonts w:asciiTheme="minorEastAsia" w:hAnsiTheme="minorEastAsia" w:eastAsiaTheme="minorEastAsia" w:cstheme="minorEastAsia"/>
          <w:b/>
          <w:color w:val="auto"/>
          <w:szCs w:val="24"/>
          <w:highlight w:val="none"/>
        </w:rPr>
      </w:pPr>
      <w:bookmarkStart w:id="240" w:name="_Toc392345941"/>
      <w:bookmarkStart w:id="241" w:name="_Toc144974531"/>
      <w:bookmarkStart w:id="242" w:name="_Toc7251"/>
      <w:bookmarkStart w:id="243" w:name="_Toc229646745"/>
      <w:bookmarkStart w:id="244" w:name="_Toc152045563"/>
      <w:bookmarkStart w:id="245" w:name="_Toc152042339"/>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229646746"/>
      <w:bookmarkStart w:id="247" w:name="_Toc152042340"/>
      <w:bookmarkStart w:id="248" w:name="_Toc144974532"/>
      <w:bookmarkStart w:id="249" w:name="_Toc152045564"/>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53"/>
        <w:tabs>
          <w:tab w:val="left" w:pos="2620"/>
        </w:tabs>
        <w:spacing w:line="440" w:lineRule="exact"/>
        <w:rPr>
          <w:rFonts w:asciiTheme="minorEastAsia" w:hAnsiTheme="minorEastAsia" w:eastAsiaTheme="minorEastAsia" w:cstheme="minorEastAsia"/>
          <w:b/>
          <w:color w:val="auto"/>
          <w:szCs w:val="24"/>
          <w:highlight w:val="none"/>
        </w:rPr>
      </w:pPr>
      <w:bookmarkStart w:id="250" w:name="_Toc28610"/>
      <w:bookmarkStart w:id="251" w:name="_Toc392345942"/>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53"/>
        <w:spacing w:line="440" w:lineRule="exact"/>
        <w:rPr>
          <w:rFonts w:asciiTheme="minorEastAsia" w:hAnsiTheme="minorEastAsia" w:eastAsiaTheme="minorEastAsia" w:cstheme="minorEastAsia"/>
          <w:b/>
          <w:color w:val="auto"/>
          <w:szCs w:val="24"/>
          <w:highlight w:val="none"/>
          <w:u w:val="single"/>
        </w:rPr>
      </w:pPr>
      <w:bookmarkStart w:id="252" w:name="_Toc392345943"/>
      <w:bookmarkStart w:id="253" w:name="_Toc144974533"/>
      <w:bookmarkStart w:id="254" w:name="_Toc152045565"/>
      <w:bookmarkStart w:id="255" w:name="_Toc1522"/>
      <w:bookmarkStart w:id="256" w:name="_Toc229646747"/>
      <w:bookmarkStart w:id="257" w:name="_Toc152042341"/>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52042342"/>
      <w:bookmarkStart w:id="259" w:name="_Toc229646748"/>
      <w:bookmarkStart w:id="260" w:name="_Toc152045566"/>
      <w:bookmarkStart w:id="261" w:name="_Toc144974534"/>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53"/>
        <w:spacing w:line="440" w:lineRule="exact"/>
        <w:rPr>
          <w:rFonts w:asciiTheme="minorEastAsia" w:hAnsiTheme="minorEastAsia" w:eastAsiaTheme="minorEastAsia" w:cstheme="minorEastAsia"/>
          <w:b/>
          <w:color w:val="auto"/>
          <w:szCs w:val="24"/>
          <w:highlight w:val="none"/>
        </w:rPr>
      </w:pPr>
      <w:bookmarkStart w:id="262" w:name="_Toc27286"/>
      <w:bookmarkStart w:id="263" w:name="_Toc413488678"/>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52"/>
        <w:spacing w:line="440" w:lineRule="exact"/>
        <w:rPr>
          <w:rFonts w:asciiTheme="minorEastAsia" w:hAnsiTheme="minorEastAsia" w:eastAsiaTheme="minorEastAsia" w:cstheme="minorEastAsia"/>
          <w:color w:val="auto"/>
          <w:sz w:val="24"/>
          <w:szCs w:val="24"/>
          <w:highlight w:val="none"/>
        </w:rPr>
      </w:pPr>
      <w:bookmarkStart w:id="264" w:name="_Toc31997"/>
      <w:bookmarkStart w:id="265" w:name="_Toc392345944"/>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53"/>
        <w:spacing w:line="440" w:lineRule="exact"/>
        <w:rPr>
          <w:rFonts w:asciiTheme="minorEastAsia" w:hAnsiTheme="minorEastAsia" w:eastAsiaTheme="minorEastAsia" w:cstheme="minorEastAsia"/>
          <w:b/>
          <w:color w:val="auto"/>
          <w:szCs w:val="24"/>
          <w:highlight w:val="none"/>
        </w:rPr>
      </w:pPr>
      <w:bookmarkStart w:id="266" w:name="_Toc229646749"/>
      <w:bookmarkStart w:id="267" w:name="_Toc8962"/>
      <w:bookmarkStart w:id="268" w:name="_Toc152045567"/>
      <w:bookmarkStart w:id="269" w:name="_Toc392345945"/>
      <w:bookmarkStart w:id="270" w:name="_Toc144974535"/>
      <w:bookmarkStart w:id="271" w:name="_Toc152042343"/>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229646750"/>
      <w:bookmarkStart w:id="273" w:name="_Toc152045568"/>
      <w:bookmarkStart w:id="274" w:name="_Toc144974536"/>
      <w:bookmarkStart w:id="275" w:name="_Toc152042344"/>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53"/>
        <w:spacing w:line="440" w:lineRule="exact"/>
        <w:rPr>
          <w:rFonts w:asciiTheme="minorEastAsia" w:hAnsiTheme="minorEastAsia" w:eastAsiaTheme="minorEastAsia" w:cstheme="minorEastAsia"/>
          <w:b/>
          <w:color w:val="auto"/>
          <w:szCs w:val="24"/>
          <w:highlight w:val="none"/>
        </w:rPr>
      </w:pPr>
      <w:bookmarkStart w:id="276" w:name="_Toc32437"/>
      <w:bookmarkStart w:id="277" w:name="_Toc392345946"/>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229646751"/>
      <w:bookmarkStart w:id="279" w:name="_Toc144974537"/>
      <w:bookmarkStart w:id="280" w:name="_Toc152045569"/>
      <w:bookmarkStart w:id="281" w:name="_Toc152042345"/>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，公示期为3日(截止日为国家法定休假日的，自动顺延至法定休假日后的第1个工作日）。</w:t>
      </w:r>
    </w:p>
    <w:bookmarkEnd w:id="278"/>
    <w:bookmarkEnd w:id="279"/>
    <w:bookmarkEnd w:id="280"/>
    <w:bookmarkEnd w:id="281"/>
    <w:p>
      <w:pPr>
        <w:pStyle w:val="53"/>
        <w:spacing w:line="440" w:lineRule="exact"/>
        <w:rPr>
          <w:rFonts w:asciiTheme="minorEastAsia" w:hAnsiTheme="minorEastAsia" w:eastAsiaTheme="minorEastAsia" w:cstheme="minorEastAsia"/>
          <w:b/>
          <w:color w:val="auto"/>
          <w:szCs w:val="24"/>
          <w:highlight w:val="none"/>
        </w:rPr>
      </w:pPr>
      <w:bookmarkStart w:id="282" w:name="_Toc296602458"/>
      <w:bookmarkStart w:id="283" w:name="_Toc246996955"/>
      <w:bookmarkStart w:id="284" w:name="_Toc4618"/>
      <w:bookmarkStart w:id="285" w:name="_Toc247085726"/>
      <w:bookmarkStart w:id="286" w:name="_Toc246996212"/>
      <w:bookmarkStart w:id="287" w:name="_Toc179632586"/>
      <w:bookmarkStart w:id="288" w:name="_Toc392345947"/>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9"/>
        <w:ind w:firstLine="480"/>
        <w:rPr>
          <w:rFonts w:asciiTheme="minorEastAsia" w:hAnsiTheme="minorEastAsia" w:eastAsiaTheme="minorEastAsia" w:cstheme="minorEastAsia"/>
          <w:color w:val="auto"/>
          <w:sz w:val="24"/>
          <w:szCs w:val="24"/>
          <w:highlight w:val="none"/>
        </w:rPr>
      </w:pPr>
      <w:bookmarkStart w:id="289" w:name="_Toc246996956"/>
      <w:bookmarkStart w:id="290" w:name="_Toc246996213"/>
      <w:bookmarkStart w:id="291" w:name="_Toc296602459"/>
      <w:bookmarkStart w:id="292" w:name="_Toc247085727"/>
      <w:bookmarkStart w:id="293" w:name="_Toc179632587"/>
      <w:bookmarkStart w:id="294" w:name="_Toc392345948"/>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53"/>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152045570"/>
      <w:bookmarkStart w:id="297" w:name="_Toc179632588"/>
      <w:bookmarkStart w:id="298" w:name="_Toc296602460"/>
      <w:bookmarkStart w:id="299" w:name="_Toc246996957"/>
      <w:bookmarkStart w:id="300" w:name="_Toc144974538"/>
      <w:bookmarkStart w:id="301" w:name="_Toc247085728"/>
      <w:bookmarkStart w:id="302" w:name="_Toc152042346"/>
      <w:bookmarkStart w:id="303" w:name="_Toc246996214"/>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53"/>
        <w:spacing w:line="440" w:lineRule="exact"/>
        <w:rPr>
          <w:rFonts w:asciiTheme="minorEastAsia" w:hAnsiTheme="minorEastAsia" w:eastAsiaTheme="minorEastAsia" w:cstheme="minorEastAsia"/>
          <w:b/>
          <w:color w:val="auto"/>
          <w:szCs w:val="24"/>
          <w:highlight w:val="none"/>
        </w:rPr>
      </w:pPr>
      <w:bookmarkStart w:id="304" w:name="_Toc392345949"/>
      <w:bookmarkStart w:id="305" w:name="_Toc32528"/>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52"/>
        <w:spacing w:line="440" w:lineRule="exact"/>
        <w:rPr>
          <w:rFonts w:asciiTheme="minorEastAsia" w:hAnsiTheme="minorEastAsia" w:eastAsiaTheme="minorEastAsia" w:cstheme="minorEastAsia"/>
          <w:color w:val="auto"/>
          <w:sz w:val="24"/>
          <w:szCs w:val="24"/>
          <w:highlight w:val="none"/>
        </w:rPr>
      </w:pPr>
      <w:bookmarkStart w:id="306" w:name="_Toc323711786"/>
      <w:bookmarkStart w:id="307" w:name="_Toc392345950"/>
      <w:bookmarkStart w:id="308" w:name="_Toc144974539"/>
      <w:bookmarkStart w:id="309" w:name="_Toc152045571"/>
      <w:bookmarkStart w:id="310" w:name="_Toc152042347"/>
      <w:bookmarkStart w:id="311" w:name="_Toc24179"/>
      <w:bookmarkStart w:id="312" w:name="_Toc245036638"/>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53"/>
        <w:spacing w:line="440" w:lineRule="exact"/>
        <w:rPr>
          <w:rFonts w:asciiTheme="minorEastAsia" w:hAnsiTheme="minorEastAsia" w:eastAsiaTheme="minorEastAsia" w:cstheme="minorEastAsia"/>
          <w:b/>
          <w:color w:val="auto"/>
          <w:szCs w:val="24"/>
          <w:highlight w:val="none"/>
        </w:rPr>
      </w:pPr>
      <w:bookmarkStart w:id="313" w:name="_Toc17490"/>
      <w:bookmarkStart w:id="314" w:name="_Toc323711787"/>
      <w:bookmarkStart w:id="315" w:name="_Toc322615435"/>
      <w:bookmarkStart w:id="316" w:name="_Toc245036639"/>
      <w:bookmarkStart w:id="317" w:name="_Toc319407873"/>
      <w:bookmarkStart w:id="318" w:name="_Toc152042348"/>
      <w:bookmarkStart w:id="319" w:name="_Toc392345951"/>
      <w:bookmarkStart w:id="320" w:name="_Toc144974540"/>
      <w:bookmarkStart w:id="321" w:name="_Toc319408108"/>
      <w:bookmarkStart w:id="322" w:name="_Toc152045572"/>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w:t>
      </w:r>
      <w:r>
        <w:rPr>
          <w:rFonts w:asciiTheme="minorEastAsia" w:hAnsiTheme="minorEastAsia" w:eastAsiaTheme="minorEastAsia" w:cstheme="minorEastAsia"/>
          <w:color w:val="auto"/>
          <w:sz w:val="24"/>
          <w:szCs w:val="24"/>
          <w:highlight w:val="none"/>
        </w:rPr>
        <w:t>3个的</w:t>
      </w:r>
      <w:r>
        <w:rPr>
          <w:rFonts w:hint="eastAsia" w:asciiTheme="minorEastAsia" w:hAnsiTheme="minorEastAsia" w:eastAsiaTheme="minorEastAsia" w:cstheme="minorEastAsia"/>
          <w:color w:val="auto"/>
          <w:sz w:val="24"/>
          <w:szCs w:val="24"/>
          <w:highlight w:val="none"/>
        </w:rPr>
        <w:t>。</w:t>
      </w:r>
    </w:p>
    <w:p>
      <w:pPr>
        <w:pStyle w:val="53"/>
        <w:spacing w:line="440" w:lineRule="exact"/>
        <w:rPr>
          <w:rFonts w:asciiTheme="minorEastAsia" w:hAnsiTheme="minorEastAsia" w:eastAsiaTheme="minorEastAsia" w:cstheme="minorEastAsia"/>
          <w:b/>
          <w:color w:val="auto"/>
          <w:szCs w:val="24"/>
          <w:highlight w:val="none"/>
        </w:rPr>
      </w:pPr>
      <w:bookmarkStart w:id="323" w:name="_Toc319407874"/>
      <w:bookmarkStart w:id="324" w:name="_Toc392345952"/>
      <w:bookmarkStart w:id="325" w:name="_Toc152045573"/>
      <w:bookmarkStart w:id="326" w:name="_Toc319408109"/>
      <w:bookmarkStart w:id="327" w:name="_Toc245036640"/>
      <w:bookmarkStart w:id="328" w:name="_Toc152042349"/>
      <w:bookmarkStart w:id="329" w:name="_Toc322615436"/>
      <w:bookmarkStart w:id="330" w:name="_Toc25234"/>
      <w:bookmarkStart w:id="331" w:name="_Toc144974541"/>
      <w:bookmarkStart w:id="332" w:name="_Toc323711788"/>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52"/>
        <w:spacing w:line="440" w:lineRule="exact"/>
        <w:rPr>
          <w:rFonts w:asciiTheme="minorEastAsia" w:hAnsiTheme="minorEastAsia" w:eastAsiaTheme="minorEastAsia" w:cstheme="minorEastAsia"/>
          <w:color w:val="auto"/>
          <w:sz w:val="24"/>
          <w:szCs w:val="24"/>
          <w:highlight w:val="none"/>
        </w:rPr>
      </w:pPr>
      <w:bookmarkStart w:id="333" w:name="_Toc392345953"/>
      <w:bookmarkStart w:id="334" w:name="_Toc144974542"/>
      <w:bookmarkStart w:id="335" w:name="_Toc152045574"/>
      <w:bookmarkStart w:id="336" w:name="_Toc17513"/>
      <w:bookmarkStart w:id="337" w:name="_Toc152042350"/>
      <w:bookmarkStart w:id="338" w:name="_Toc323711789"/>
      <w:bookmarkStart w:id="339" w:name="_Toc245036641"/>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53"/>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152045575"/>
      <w:bookmarkStart w:id="342" w:name="_Toc144974543"/>
      <w:bookmarkStart w:id="343" w:name="_Toc319408111"/>
      <w:bookmarkStart w:id="344" w:name="_Toc322615438"/>
      <w:bookmarkStart w:id="345" w:name="_Toc9358"/>
      <w:bookmarkStart w:id="346" w:name="_Toc319407876"/>
      <w:bookmarkStart w:id="347" w:name="_Toc323711790"/>
      <w:bookmarkStart w:id="348" w:name="_Toc152042351"/>
      <w:bookmarkStart w:id="349" w:name="_Toc245036642"/>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53"/>
        <w:spacing w:line="440" w:lineRule="exact"/>
        <w:rPr>
          <w:rFonts w:asciiTheme="minorEastAsia" w:hAnsiTheme="minorEastAsia" w:eastAsiaTheme="minorEastAsia" w:cstheme="minorEastAsia"/>
          <w:b/>
          <w:color w:val="auto"/>
          <w:szCs w:val="24"/>
          <w:highlight w:val="none"/>
        </w:rPr>
      </w:pPr>
      <w:bookmarkStart w:id="350" w:name="_Toc245036643"/>
      <w:bookmarkStart w:id="351" w:name="_Toc319407877"/>
      <w:bookmarkStart w:id="352" w:name="_Toc152042352"/>
      <w:bookmarkStart w:id="353" w:name="_Toc152045576"/>
      <w:bookmarkStart w:id="354" w:name="_Toc392345955"/>
      <w:bookmarkStart w:id="355" w:name="_Toc322615439"/>
      <w:bookmarkStart w:id="356" w:name="_Toc144974544"/>
      <w:bookmarkStart w:id="357" w:name="_Toc214"/>
      <w:bookmarkStart w:id="358" w:name="_Toc319408112"/>
      <w:bookmarkStart w:id="359" w:name="_Toc323711791"/>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53"/>
        <w:spacing w:line="440" w:lineRule="exact"/>
        <w:rPr>
          <w:rFonts w:asciiTheme="minorEastAsia" w:hAnsiTheme="minorEastAsia" w:eastAsiaTheme="minorEastAsia" w:cstheme="minorEastAsia"/>
          <w:b/>
          <w:color w:val="auto"/>
          <w:szCs w:val="24"/>
          <w:highlight w:val="none"/>
        </w:rPr>
      </w:pPr>
      <w:bookmarkStart w:id="360" w:name="_Toc245036644"/>
      <w:bookmarkStart w:id="361" w:name="_Toc392345956"/>
      <w:bookmarkStart w:id="362" w:name="_Toc319408113"/>
      <w:bookmarkStart w:id="363" w:name="_Toc319407878"/>
      <w:bookmarkStart w:id="364" w:name="_Toc144974545"/>
      <w:bookmarkStart w:id="365" w:name="_Toc322615440"/>
      <w:bookmarkStart w:id="366" w:name="_Toc152042353"/>
      <w:bookmarkStart w:id="367" w:name="_Toc3266"/>
      <w:bookmarkStart w:id="368" w:name="_Toc323711792"/>
      <w:bookmarkStart w:id="369" w:name="_Toc152045577"/>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53"/>
        <w:spacing w:line="440" w:lineRule="exact"/>
        <w:rPr>
          <w:rFonts w:asciiTheme="minorEastAsia" w:hAnsiTheme="minorEastAsia" w:eastAsiaTheme="minorEastAsia" w:cstheme="minorEastAsia"/>
          <w:b/>
          <w:color w:val="auto"/>
          <w:szCs w:val="24"/>
          <w:highlight w:val="none"/>
        </w:rPr>
      </w:pPr>
      <w:bookmarkStart w:id="370" w:name="_Toc245036645"/>
      <w:bookmarkStart w:id="371" w:name="_Toc152045578"/>
      <w:bookmarkStart w:id="372" w:name="_Toc319407879"/>
      <w:bookmarkStart w:id="373" w:name="_Toc322615441"/>
      <w:bookmarkStart w:id="374" w:name="_Toc480"/>
      <w:bookmarkStart w:id="375" w:name="_Toc392345957"/>
      <w:bookmarkStart w:id="376" w:name="_Toc323711793"/>
      <w:bookmarkStart w:id="377" w:name="_Toc152042354"/>
      <w:bookmarkStart w:id="378" w:name="_Toc319408114"/>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53"/>
        <w:spacing w:line="440" w:lineRule="exact"/>
        <w:rPr>
          <w:rFonts w:asciiTheme="minorEastAsia" w:hAnsiTheme="minorEastAsia" w:eastAsiaTheme="minorEastAsia" w:cstheme="minorEastAsia"/>
          <w:b/>
          <w:color w:val="auto"/>
          <w:szCs w:val="24"/>
          <w:highlight w:val="none"/>
        </w:rPr>
      </w:pPr>
      <w:bookmarkStart w:id="381" w:name="_Toc152045579"/>
      <w:bookmarkStart w:id="382" w:name="_Toc392345958"/>
      <w:bookmarkStart w:id="383" w:name="_Toc322615442"/>
      <w:bookmarkStart w:id="384" w:name="_Toc319408115"/>
      <w:bookmarkStart w:id="385" w:name="_Toc323711794"/>
      <w:bookmarkStart w:id="386" w:name="_Toc152042356"/>
      <w:bookmarkStart w:id="387" w:name="_Toc245036646"/>
      <w:bookmarkStart w:id="388" w:name="_Toc319407880"/>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296602466"/>
      <w:bookmarkStart w:id="391" w:name="_Toc179632597"/>
      <w:bookmarkStart w:id="392" w:name="_Toc246996966"/>
      <w:bookmarkStart w:id="393" w:name="_Toc246996223"/>
      <w:bookmarkStart w:id="394" w:name="_Toc357955317"/>
      <w:bookmarkStart w:id="395" w:name="_Toc247085737"/>
      <w:bookmarkStart w:id="396" w:name="_Toc323711795"/>
      <w:bookmarkStart w:id="397" w:name="_Toc144974547"/>
      <w:bookmarkStart w:id="398" w:name="_Toc152045580"/>
      <w:bookmarkStart w:id="399" w:name="_Toc245036647"/>
      <w:bookmarkStart w:id="400" w:name="_Toc392345959"/>
      <w:bookmarkStart w:id="401" w:name="_Toc152042357"/>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53"/>
        <w:spacing w:line="440" w:lineRule="exact"/>
        <w:rPr>
          <w:rFonts w:asciiTheme="minorEastAsia" w:hAnsiTheme="minorEastAsia" w:eastAsiaTheme="minorEastAsia" w:cstheme="minorEastAsia"/>
          <w:b/>
          <w:bCs/>
          <w:color w:val="auto"/>
          <w:szCs w:val="24"/>
          <w:highlight w:val="none"/>
        </w:rPr>
      </w:pPr>
      <w:bookmarkStart w:id="402" w:name="_Toc576"/>
      <w:r>
        <w:rPr>
          <w:rFonts w:hint="eastAsia" w:asciiTheme="minorEastAsia" w:hAnsiTheme="minorEastAsia" w:eastAsiaTheme="minorEastAsia" w:cstheme="minorEastAsia"/>
          <w:b/>
          <w:bCs/>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b/>
          <w:bCs/>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3711796"/>
      <w:bookmarkStart w:id="404" w:name="_Toc322615444"/>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3711797"/>
      <w:bookmarkStart w:id="406" w:name="_Toc322615445"/>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4"/>
        <w:ind w:firstLine="482"/>
        <w:rPr>
          <w:rFonts w:asciiTheme="minorEastAsia" w:hAnsiTheme="minorEastAsia" w:eastAsiaTheme="minorEastAsia" w:cstheme="minorEastAsia"/>
          <w:color w:val="auto"/>
          <w:sz w:val="24"/>
          <w:szCs w:val="24"/>
          <w:highlight w:val="none"/>
        </w:rPr>
      </w:pPr>
      <w:bookmarkStart w:id="407" w:name="_Toc21652"/>
      <w:bookmarkStart w:id="408" w:name="_Toc413527432"/>
      <w:bookmarkStart w:id="409" w:name="_Toc323711800"/>
      <w:bookmarkStart w:id="410" w:name="_Toc184635081"/>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4"/>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3" w:type="default"/>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履约保证金为中标金额的2%，应在合同签订后15日内缴纳。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33"/>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招标代理：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pStyle w:val="4"/>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spacing w:line="240" w:lineRule="auto"/>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spacing w:line="240" w:lineRule="auto"/>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spacing w:line="240" w:lineRule="auto"/>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w:t>
      </w: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人的单数。</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spacing w:line="240" w:lineRule="auto"/>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spacing w:line="240" w:lineRule="auto"/>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spacing w:line="240" w:lineRule="auto"/>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spacing w:line="24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color w:val="auto"/>
          <w:highlight w:val="none"/>
        </w:rPr>
      </w:pPr>
      <w:r>
        <w:rPr>
          <w:rFonts w:hint="eastAsia" w:asciiTheme="minorEastAsia" w:hAnsiTheme="minorEastAsia" w:eastAsiaTheme="minorEastAsia" w:cstheme="minorEastAsia"/>
          <w:b/>
          <w:color w:val="auto"/>
          <w:sz w:val="24"/>
          <w:szCs w:val="24"/>
          <w:highlight w:val="none"/>
        </w:rPr>
        <w:t>（二）资信、技术评审（满分5</w:t>
      </w:r>
      <w:r>
        <w:rPr>
          <w:rFonts w:hint="eastAsia" w:asciiTheme="minorEastAsia" w:hAnsiTheme="minorEastAsia" w:eastAsiaTheme="minorEastAsia" w:cstheme="minorEastAsia"/>
          <w:b/>
          <w:color w:val="auto"/>
          <w:sz w:val="24"/>
          <w:szCs w:val="24"/>
          <w:highlight w:val="none"/>
          <w:lang w:val="en-US" w:eastAsia="zh-CN"/>
        </w:rPr>
        <w:t>0</w:t>
      </w:r>
      <w:r>
        <w:rPr>
          <w:rFonts w:hint="eastAsia" w:asciiTheme="minorEastAsia" w:hAnsiTheme="minorEastAsia" w:eastAsiaTheme="minorEastAsia" w:cstheme="minorEastAsia"/>
          <w:b/>
          <w:color w:val="auto"/>
          <w:sz w:val="24"/>
          <w:szCs w:val="24"/>
          <w:highlight w:val="none"/>
        </w:rPr>
        <w:t>分）</w:t>
      </w:r>
    </w:p>
    <w:tbl>
      <w:tblPr>
        <w:tblStyle w:val="33"/>
        <w:tblpPr w:leftFromText="180" w:rightFromText="180" w:vertAnchor="text" w:horzAnchor="page" w:tblpX="1093" w:tblpY="298"/>
        <w:tblOverlap w:val="never"/>
        <w:tblW w:w="99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694"/>
        <w:gridCol w:w="1443"/>
        <w:gridCol w:w="2127"/>
        <w:gridCol w:w="5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37" w:type="dxa"/>
            <w:gridSpan w:val="2"/>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条款号</w:t>
            </w:r>
          </w:p>
        </w:tc>
        <w:tc>
          <w:tcPr>
            <w:tcW w:w="2127" w:type="dxa"/>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评审因素</w:t>
            </w:r>
          </w:p>
        </w:tc>
        <w:tc>
          <w:tcPr>
            <w:tcW w:w="5660" w:type="dxa"/>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137" w:type="dxa"/>
            <w:gridSpan w:val="2"/>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27" w:type="dxa"/>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分值构成</w:t>
            </w:r>
          </w:p>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（总分5</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5660" w:type="dxa"/>
            <w:shd w:val="clear" w:color="000000" w:fill="FFFFFF"/>
            <w:tcMar>
              <w:left w:w="108" w:type="dxa"/>
              <w:right w:w="108" w:type="dxa"/>
            </w:tcMar>
            <w:vAlign w:val="center"/>
          </w:tcPr>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A=资信部分评审：</w:t>
            </w:r>
            <w:r>
              <w:rPr>
                <w:rFonts w:hint="eastAsia" w:ascii="宋体" w:hAnsi="宋体" w:eastAsia="宋体" w:cs="宋体"/>
                <w:color w:val="auto"/>
                <w:sz w:val="24"/>
                <w:szCs w:val="24"/>
                <w:highlight w:val="none"/>
                <w:u w:val="single"/>
              </w:rPr>
              <w:t xml:space="preserve">  1</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w:t>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B=技术部分评审：</w:t>
            </w:r>
            <w:r>
              <w:rPr>
                <w:rFonts w:hint="eastAsia" w:ascii="宋体" w:hAnsi="宋体" w:eastAsia="宋体" w:cs="宋体"/>
                <w:color w:val="auto"/>
                <w:sz w:val="24"/>
                <w:szCs w:val="24"/>
                <w:highlight w:val="none"/>
                <w:u w:val="single"/>
              </w:rPr>
              <w:t xml:space="preserve">  40  </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restart"/>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43" w:type="dxa"/>
            <w:vMerge w:val="restart"/>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资信部分</w:t>
            </w:r>
          </w:p>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w:t>
            </w: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c>
          <w:tcPr>
            <w:tcW w:w="5660"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投标人具有IS09001质量管理体系认证、ISO20000信息技术服务管理体系认证证书、ISO27001信息安全管理体系认证证书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每个得0.5分，最高得1.5分</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2.投标人具有电子与智能化专业承包一级资质证书得1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注：投标文件中须提供有效认证证书复制件</w:t>
            </w:r>
            <w:r>
              <w:rPr>
                <w:rFonts w:hint="eastAsia" w:ascii="宋体" w:hAnsi="宋体" w:eastAsia="宋体" w:cs="宋体"/>
                <w:color w:val="auto"/>
                <w:sz w:val="24"/>
                <w:szCs w:val="24"/>
                <w:highlight w:val="none"/>
                <w:lang w:val="en-US" w:eastAsia="zh-CN"/>
              </w:rPr>
              <w:t>加盖投标人公章，否则不得分</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投标人业绩</w:t>
            </w:r>
          </w:p>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tc>
        <w:tc>
          <w:tcPr>
            <w:tcW w:w="5660"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2018年1月1日以来，完成过单项合同金额300万元（含）以上600万元以下的水利工程自动化</w:t>
            </w:r>
            <w:r>
              <w:rPr>
                <w:rFonts w:hint="eastAsia" w:ascii="宋体" w:hAnsi="宋体" w:cs="宋体"/>
                <w:color w:val="auto"/>
                <w:sz w:val="24"/>
                <w:szCs w:val="24"/>
                <w:highlight w:val="none"/>
                <w:lang w:eastAsia="zh-CN"/>
              </w:rPr>
              <w:t>或信息化项目</w:t>
            </w:r>
            <w:r>
              <w:rPr>
                <w:rFonts w:hint="eastAsia" w:ascii="宋体" w:hAnsi="宋体" w:eastAsia="宋体" w:cs="宋体"/>
                <w:color w:val="auto"/>
                <w:sz w:val="24"/>
                <w:szCs w:val="24"/>
                <w:highlight w:val="none"/>
              </w:rPr>
              <w:t>业绩的，每个业绩得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分；完成过单项合同金额600万元（含）以上的水利工程自动化</w:t>
            </w:r>
            <w:r>
              <w:rPr>
                <w:rFonts w:hint="eastAsia" w:ascii="宋体" w:hAnsi="宋体" w:cs="宋体"/>
                <w:color w:val="auto"/>
                <w:sz w:val="24"/>
                <w:szCs w:val="24"/>
                <w:highlight w:val="none"/>
                <w:lang w:eastAsia="zh-CN"/>
              </w:rPr>
              <w:t>或信息化项目</w:t>
            </w:r>
            <w:r>
              <w:rPr>
                <w:rFonts w:hint="eastAsia" w:ascii="宋体" w:hAnsi="宋体" w:eastAsia="宋体" w:cs="宋体"/>
                <w:color w:val="auto"/>
                <w:sz w:val="24"/>
                <w:szCs w:val="24"/>
                <w:highlight w:val="none"/>
              </w:rPr>
              <w:t>业绩的，每个业绩得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分。本小项最多提供两个业绩，最多得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业绩证明材料：须提供中标通知书、合同、验收证书（报告），三者证明材料缺一不可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且材料中的施工单位名称须与本次投标的投标人名称一致。时间以验收证书（报告）为准。上述资料投标文件中提供原件的复制件。</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注：①施工总承包中的分包业绩或工程总承包中的分包业绩、②工程总承包业绩、③联合体业绩、 ④PPP模式中的业绩，以上①②③④种情况的业绩均不予认可。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项目团队人员</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5660"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1.项目负责人具有自动化或信息化相关高级及以上技术职称的，得0.5分；</w:t>
            </w:r>
          </w:p>
          <w:p>
            <w:pPr>
              <w:keepNext w:val="0"/>
              <w:keepLines w:val="0"/>
              <w:pageBreakBefore w:val="0"/>
              <w:kinsoku/>
              <w:wordWrap/>
              <w:overflowPunct/>
              <w:topLinePunct w:val="0"/>
              <w:autoSpaceDE/>
              <w:autoSpaceDN/>
              <w:bidi w:val="0"/>
              <w:adjustRightInd/>
              <w:snapToGrid/>
              <w:spacing w:line="24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技术负责人</w:t>
            </w:r>
            <w:r>
              <w:rPr>
                <w:rFonts w:hint="eastAsia" w:ascii="宋体" w:hAnsi="宋体" w:eastAsia="宋体" w:cs="宋体"/>
                <w:color w:val="auto"/>
                <w:sz w:val="24"/>
                <w:szCs w:val="24"/>
                <w:highlight w:val="none"/>
              </w:rPr>
              <w:t>具有信息系统项目管理师</w:t>
            </w:r>
            <w:r>
              <w:rPr>
                <w:rFonts w:hint="eastAsia" w:ascii="宋体" w:hAnsi="宋体" w:eastAsia="宋体" w:cs="宋体"/>
                <w:color w:val="auto"/>
                <w:sz w:val="24"/>
                <w:szCs w:val="24"/>
                <w:highlight w:val="none"/>
                <w:lang w:val="en-US" w:eastAsia="zh-CN"/>
              </w:rPr>
              <w:t>高级</w:t>
            </w:r>
            <w:r>
              <w:rPr>
                <w:rFonts w:hint="eastAsia" w:ascii="宋体" w:hAnsi="宋体" w:cs="宋体"/>
                <w:color w:val="auto"/>
                <w:sz w:val="24"/>
                <w:szCs w:val="24"/>
                <w:highlight w:val="none"/>
                <w:lang w:val="en-US" w:eastAsia="zh-CN"/>
              </w:rPr>
              <w:t>证书</w:t>
            </w:r>
            <w:r>
              <w:rPr>
                <w:rFonts w:hint="eastAsia" w:ascii="宋体" w:hAnsi="宋体" w:eastAsia="宋体" w:cs="宋体"/>
                <w:color w:val="auto"/>
                <w:sz w:val="24"/>
                <w:szCs w:val="24"/>
                <w:highlight w:val="none"/>
                <w:lang w:val="en-US" w:eastAsia="zh-CN"/>
              </w:rPr>
              <w:t>的，得0.5分。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3.项目团队成员</w:t>
            </w:r>
            <w:r>
              <w:rPr>
                <w:rFonts w:hint="eastAsia" w:ascii="宋体" w:hAnsi="宋体" w:cs="宋体"/>
                <w:color w:val="auto"/>
                <w:sz w:val="24"/>
                <w:szCs w:val="24"/>
                <w:highlight w:val="none"/>
                <w:lang w:val="en-US" w:eastAsia="zh-CN"/>
              </w:rPr>
              <w:t>（除项目负责人和技术负责人之外的人员）</w:t>
            </w:r>
            <w:r>
              <w:rPr>
                <w:rFonts w:hint="eastAsia" w:ascii="宋体" w:hAnsi="宋体" w:eastAsia="宋体" w:cs="宋体"/>
                <w:color w:val="auto"/>
                <w:sz w:val="24"/>
                <w:szCs w:val="24"/>
                <w:highlight w:val="none"/>
              </w:rPr>
              <w:t>具有系统集成项目管理工程师、软件设计</w:t>
            </w:r>
            <w:r>
              <w:rPr>
                <w:rFonts w:hint="eastAsia" w:ascii="宋体" w:hAnsi="宋体" w:eastAsia="宋体" w:cs="宋体"/>
                <w:color w:val="auto"/>
                <w:sz w:val="24"/>
                <w:szCs w:val="24"/>
                <w:highlight w:val="none"/>
                <w:lang w:val="en-US" w:eastAsia="zh-CN"/>
              </w:rPr>
              <w:t>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系统架构设计师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IT服务工程师、</w:t>
            </w:r>
            <w:r>
              <w:rPr>
                <w:rFonts w:hint="eastAsia" w:ascii="宋体" w:hAnsi="宋体" w:eastAsia="宋体" w:cs="宋体"/>
                <w:color w:val="auto"/>
                <w:sz w:val="24"/>
                <w:szCs w:val="24"/>
                <w:highlight w:val="none"/>
                <w:lang w:val="en-US" w:eastAsia="zh-CN"/>
              </w:rPr>
              <w:t>注册电气工程师、</w:t>
            </w:r>
            <w:r>
              <w:rPr>
                <w:rFonts w:hint="eastAsia" w:ascii="宋体" w:hAnsi="宋体" w:eastAsia="宋体" w:cs="宋体"/>
                <w:color w:val="auto"/>
                <w:sz w:val="24"/>
                <w:szCs w:val="24"/>
                <w:highlight w:val="none"/>
              </w:rPr>
              <w:t>注册信息安全工程师CISP每类得0.5分，最高得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分。(一人多证，不重复计算，最多得0.5分。)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注：以上所列技术队伍须为投标人在职员工，投标时须提供证书复制件及缴费期限包含</w:t>
            </w:r>
            <w:r>
              <w:rPr>
                <w:rFonts w:hint="eastAsia" w:ascii="宋体" w:hAnsi="宋体" w:eastAsia="宋体" w:cs="宋体"/>
                <w:color w:val="auto"/>
                <w:sz w:val="24"/>
                <w:szCs w:val="24"/>
                <w:highlight w:val="none"/>
                <w:lang w:eastAsia="zh-CN"/>
              </w:rPr>
              <w:t>2023年</w:t>
            </w:r>
            <w:r>
              <w:rPr>
                <w:rFonts w:hint="eastAsia" w:ascii="宋体" w:hAnsi="宋体" w:eastAsia="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月至2023年0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rPr>
              <w:t>的投标人所属社保机构养老保险交纳清单或证明（缴费单位和投标人名称必须一致，并加盖社保缴费证明专用章）。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restart"/>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43" w:type="dxa"/>
            <w:vMerge w:val="restart"/>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技术部分评分标准（B=40分）</w:t>
            </w: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技术参数指标响应情况</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（20分）</w:t>
            </w:r>
          </w:p>
        </w:tc>
        <w:tc>
          <w:tcPr>
            <w:tcW w:w="5660"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根据所投产品的详细技术参数进行打分。招标文件技术参数要求提供证明资料的未能提供或提供的证明资料不符合要求的，则视为不满足。</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根据各投标人所投设备性能以及技术参数和设备质量对招标文件各项基本要求（招标工程量清单及技术要求中</w:t>
            </w:r>
            <w:r>
              <w:rPr>
                <w:rFonts w:hint="eastAsia" w:ascii="宋体" w:hAnsi="宋体" w:eastAsia="宋体" w:cs="宋体"/>
                <w:color w:val="auto"/>
                <w:sz w:val="24"/>
                <w:szCs w:val="24"/>
                <w:highlight w:val="none"/>
              </w:rPr>
              <w:t>各项</w:t>
            </w:r>
            <w:r>
              <w:rPr>
                <w:rFonts w:hint="eastAsia" w:ascii="宋体" w:hAnsi="宋体" w:eastAsia="宋体" w:cs="宋体"/>
                <w:color w:val="auto"/>
                <w:sz w:val="24"/>
                <w:szCs w:val="24"/>
                <w:highlight w:val="none"/>
                <w:lang w:val="zh-CN"/>
              </w:rPr>
              <w:t>条款）的逐项响应、承诺等方面情况由评委进行评议评分，投标人所投设备完全满足招标文件技术规范及要求的，得</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分。有负偏离情况的，评标委员会将根据该技术参数的负偏离对所投标设备的使用影响程度进行以下扣分：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技术参数中标注 “▲”号的指标，每负偏离一项扣1分；</w:t>
            </w:r>
            <w:r>
              <w:rPr>
                <w:rFonts w:hint="eastAsia" w:ascii="宋体" w:hAnsi="宋体" w:eastAsia="宋体" w:cs="宋体"/>
                <w:color w:val="auto"/>
                <w:sz w:val="24"/>
                <w:szCs w:val="24"/>
                <w:highlight w:val="none"/>
              </w:rPr>
              <w:t>其他指标，</w:t>
            </w:r>
            <w:r>
              <w:rPr>
                <w:rFonts w:hint="eastAsia" w:ascii="宋体" w:hAnsi="宋体" w:eastAsia="宋体" w:cs="宋体"/>
                <w:color w:val="auto"/>
                <w:sz w:val="24"/>
                <w:szCs w:val="24"/>
                <w:highlight w:val="none"/>
                <w:lang w:val="zh-CN"/>
              </w:rPr>
              <w:t>每负偏离一项扣</w:t>
            </w:r>
            <w:r>
              <w:rPr>
                <w:rFonts w:hint="eastAsia" w:ascii="宋体" w:hAnsi="宋体" w:eastAsia="宋体" w:cs="宋体"/>
                <w:color w:val="auto"/>
                <w:sz w:val="24"/>
                <w:szCs w:val="24"/>
                <w:highlight w:val="none"/>
              </w:rPr>
              <w:t>0.5</w:t>
            </w:r>
            <w:r>
              <w:rPr>
                <w:rFonts w:hint="eastAsia" w:ascii="宋体" w:hAnsi="宋体" w:eastAsia="宋体" w:cs="宋体"/>
                <w:color w:val="auto"/>
                <w:sz w:val="24"/>
                <w:szCs w:val="24"/>
                <w:highlight w:val="none"/>
                <w:lang w:val="zh-CN"/>
              </w:rPr>
              <w:t>分，扣完为止。</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(2)正偏离不加分。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项目实施方案</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rPr>
              <w:t>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1、施工方案内容完整，编制规范统一、齐全，施工方案和技术措施科学、合理，有针对性，满足施工要求。优得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分，良得2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分，一般得1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-0分。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2、制定本项目总体安装、调试、验收方案，</w:t>
            </w:r>
            <w:r>
              <w:rPr>
                <w:rFonts w:hint="eastAsia" w:ascii="宋体" w:hAnsi="宋体" w:eastAsia="宋体" w:cs="宋体"/>
                <w:color w:val="auto"/>
                <w:sz w:val="24"/>
                <w:szCs w:val="24"/>
                <w:highlight w:val="none"/>
                <w:lang w:val="zh-CN" w:eastAsia="zh-CN"/>
              </w:rPr>
              <w:t>根据方案的完整性、合理性、可行性等方面经行综合评审，</w:t>
            </w:r>
            <w:r>
              <w:rPr>
                <w:rFonts w:hint="eastAsia" w:ascii="宋体" w:hAnsi="宋体" w:eastAsia="宋体" w:cs="宋体"/>
                <w:color w:val="auto"/>
                <w:sz w:val="24"/>
                <w:szCs w:val="24"/>
                <w:highlight w:val="none"/>
                <w:lang w:val="zh-CN"/>
              </w:rPr>
              <w:t>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分，良得2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分，一般得1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项目进度控制</w:t>
            </w:r>
            <w:r>
              <w:rPr>
                <w:rFonts w:hint="eastAsia" w:ascii="宋体" w:hAnsi="宋体" w:eastAsia="宋体" w:cs="宋体"/>
                <w:color w:val="auto"/>
                <w:sz w:val="24"/>
                <w:szCs w:val="24"/>
                <w:highlight w:val="none"/>
                <w:lang w:val="zh-CN" w:eastAsia="zh-CN"/>
              </w:rPr>
              <w:t>措施（</w:t>
            </w:r>
            <w:r>
              <w:rPr>
                <w:rFonts w:hint="eastAsia" w:ascii="宋体" w:hAnsi="宋体" w:eastAsia="宋体" w:cs="宋体"/>
                <w:color w:val="auto"/>
                <w:sz w:val="24"/>
                <w:szCs w:val="24"/>
                <w:highlight w:val="none"/>
                <w:lang w:val="en-US" w:eastAsia="zh-CN"/>
              </w:rPr>
              <w:t>2分）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根据本项目的具体情况制定详细的实施计划，包括设备采购、安装、调试等方面的进度控制措施，根据相应措施的全面性、合理性等方面经行综合评审，</w:t>
            </w:r>
            <w:r>
              <w:rPr>
                <w:rFonts w:hint="eastAsia" w:ascii="宋体" w:hAnsi="宋体" w:eastAsia="宋体" w:cs="宋体"/>
                <w:color w:val="auto"/>
                <w:sz w:val="24"/>
                <w:szCs w:val="24"/>
                <w:highlight w:val="none"/>
                <w:lang w:val="en-US" w:eastAsia="zh-CN"/>
              </w:rPr>
              <w:t>优</w:t>
            </w:r>
            <w:r>
              <w:rPr>
                <w:rFonts w:hint="eastAsia" w:ascii="宋体" w:hAnsi="宋体" w:eastAsia="宋体" w:cs="宋体"/>
                <w:color w:val="auto"/>
                <w:sz w:val="24"/>
                <w:szCs w:val="24"/>
                <w:highlight w:val="none"/>
                <w:lang w:val="zh-CN"/>
              </w:rPr>
              <w:t>得</w:t>
            </w: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en-US" w:eastAsia="zh-CN"/>
              </w:rPr>
              <w:t>良</w:t>
            </w:r>
            <w:r>
              <w:rPr>
                <w:rFonts w:hint="eastAsia" w:ascii="宋体" w:hAnsi="宋体" w:eastAsia="宋体" w:cs="宋体"/>
                <w:color w:val="auto"/>
                <w:sz w:val="24"/>
                <w:szCs w:val="24"/>
                <w:highlight w:val="none"/>
                <w:lang w:val="zh-CN"/>
              </w:rPr>
              <w:t>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en-US" w:eastAsia="zh-CN"/>
              </w:rPr>
              <w:t>一般的0.6-0分</w:t>
            </w:r>
            <w:r>
              <w:rPr>
                <w:rFonts w:hint="eastAsia" w:ascii="宋体" w:hAnsi="宋体" w:eastAsia="宋体" w:cs="宋体"/>
                <w:color w:val="auto"/>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项目质量控制措施（</w:t>
            </w:r>
            <w:r>
              <w:rPr>
                <w:rFonts w:hint="eastAsia" w:ascii="宋体" w:hAnsi="宋体" w:eastAsia="宋体" w:cs="宋体"/>
                <w:color w:val="auto"/>
                <w:sz w:val="24"/>
                <w:szCs w:val="24"/>
                <w:highlight w:val="none"/>
                <w:lang w:val="en-US" w:eastAsia="zh-CN"/>
              </w:rPr>
              <w:t>3分）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根据本项目的具体情况制定详细质量控制措施，</w:t>
            </w:r>
            <w:r>
              <w:rPr>
                <w:rFonts w:hint="eastAsia" w:ascii="宋体" w:hAnsi="宋体" w:eastAsia="宋体" w:cs="宋体"/>
                <w:color w:val="auto"/>
                <w:sz w:val="24"/>
                <w:szCs w:val="24"/>
                <w:highlight w:val="none"/>
                <w:lang w:val="zh-CN"/>
              </w:rPr>
              <w:t>包括但不限于</w:t>
            </w:r>
            <w:r>
              <w:rPr>
                <w:rFonts w:hint="eastAsia" w:ascii="宋体" w:hAnsi="宋体" w:eastAsia="宋体" w:cs="宋体"/>
                <w:color w:val="auto"/>
                <w:sz w:val="24"/>
                <w:szCs w:val="24"/>
                <w:highlight w:val="none"/>
                <w:lang w:val="zh-CN" w:eastAsia="zh-CN"/>
              </w:rPr>
              <w:t>设备的选择、安装调试过程中的保护</w:t>
            </w:r>
            <w:r>
              <w:rPr>
                <w:rFonts w:hint="eastAsia" w:ascii="宋体" w:hAnsi="宋体" w:eastAsia="宋体" w:cs="宋体"/>
                <w:color w:val="auto"/>
                <w:sz w:val="24"/>
                <w:szCs w:val="24"/>
                <w:highlight w:val="none"/>
                <w:lang w:val="zh-CN"/>
              </w:rPr>
              <w:t>、质量检测手段</w:t>
            </w:r>
            <w:r>
              <w:rPr>
                <w:rFonts w:hint="eastAsia" w:ascii="宋体" w:hAnsi="宋体" w:eastAsia="宋体" w:cs="宋体"/>
                <w:color w:val="auto"/>
                <w:sz w:val="24"/>
                <w:szCs w:val="24"/>
                <w:highlight w:val="none"/>
                <w:lang w:val="zh-CN" w:eastAsia="zh-CN"/>
              </w:rPr>
              <w:t>等内容，根据质量控制措施的全面性、科学性、可行性等方面经行综合评审，</w:t>
            </w:r>
            <w:r>
              <w:rPr>
                <w:rFonts w:hint="eastAsia" w:ascii="宋体" w:hAnsi="宋体" w:eastAsia="宋体" w:cs="宋体"/>
                <w:color w:val="auto"/>
                <w:sz w:val="24"/>
                <w:szCs w:val="24"/>
                <w:highlight w:val="none"/>
                <w:lang w:val="zh-CN"/>
              </w:rPr>
              <w:t>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分，良得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分，一般得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培训方案</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根据投标人提供的培训方案的可行性及合理性进行</w:t>
            </w:r>
            <w:r>
              <w:rPr>
                <w:rFonts w:hint="eastAsia" w:ascii="宋体" w:hAnsi="宋体" w:eastAsia="宋体" w:cs="宋体"/>
                <w:color w:val="auto"/>
                <w:sz w:val="24"/>
                <w:szCs w:val="24"/>
                <w:highlight w:val="none"/>
                <w:lang w:val="en-US" w:eastAsia="zh-CN"/>
              </w:rPr>
              <w:t>综合</w:t>
            </w:r>
            <w:r>
              <w:rPr>
                <w:rFonts w:hint="eastAsia" w:ascii="宋体" w:hAnsi="宋体" w:eastAsia="宋体" w:cs="宋体"/>
                <w:color w:val="auto"/>
                <w:sz w:val="24"/>
                <w:szCs w:val="24"/>
                <w:highlight w:val="none"/>
                <w:lang w:val="zh-CN"/>
              </w:rPr>
              <w:t>打分，</w:t>
            </w:r>
            <w:r>
              <w:rPr>
                <w:rFonts w:hint="eastAsia" w:ascii="宋体" w:hAnsi="宋体" w:eastAsia="宋体" w:cs="宋体"/>
                <w:color w:val="auto"/>
                <w:sz w:val="24"/>
                <w:szCs w:val="24"/>
                <w:highlight w:val="none"/>
                <w:lang w:val="en-US" w:eastAsia="zh-CN"/>
              </w:rPr>
              <w:t>优</w:t>
            </w:r>
            <w:r>
              <w:rPr>
                <w:rFonts w:hint="eastAsia" w:ascii="宋体" w:hAnsi="宋体" w:eastAsia="宋体" w:cs="宋体"/>
                <w:color w:val="auto"/>
                <w:sz w:val="24"/>
                <w:szCs w:val="24"/>
                <w:highlight w:val="none"/>
                <w:lang w:val="zh-CN"/>
              </w:rPr>
              <w:t>得</w:t>
            </w: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en-US" w:eastAsia="zh-CN"/>
              </w:rPr>
              <w:t>良</w:t>
            </w:r>
            <w:r>
              <w:rPr>
                <w:rFonts w:hint="eastAsia" w:ascii="宋体" w:hAnsi="宋体" w:eastAsia="宋体" w:cs="宋体"/>
                <w:color w:val="auto"/>
                <w:sz w:val="24"/>
                <w:szCs w:val="24"/>
                <w:highlight w:val="none"/>
                <w:lang w:val="zh-CN"/>
              </w:rPr>
              <w:t>得</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val="zh-CN"/>
              </w:rPr>
              <w:t>-0.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分，</w:t>
            </w:r>
            <w:r>
              <w:rPr>
                <w:rFonts w:hint="eastAsia" w:ascii="宋体" w:hAnsi="宋体" w:eastAsia="宋体" w:cs="宋体"/>
                <w:color w:val="auto"/>
                <w:sz w:val="24"/>
                <w:szCs w:val="24"/>
                <w:highlight w:val="none"/>
                <w:lang w:val="en-US" w:eastAsia="zh-CN"/>
              </w:rPr>
              <w:t>一般的0.6-0分</w:t>
            </w:r>
            <w:r>
              <w:rPr>
                <w:rFonts w:hint="eastAsia" w:ascii="宋体" w:hAnsi="宋体" w:eastAsia="宋体" w:cs="宋体"/>
                <w:color w:val="auto"/>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line="240" w:lineRule="auto"/>
              <w:jc w:val="center"/>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延期质保</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投标人承诺质保期在原3年质保期的基础上追加质保期限的，每增加1年得1分，最多得2分。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注：投标人延期质保的承诺书格式自拟。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694"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1443" w:type="dxa"/>
            <w:vMerge w:val="continue"/>
            <w:shd w:val="clear" w:color="000000" w:fill="FFFFFF"/>
            <w:tcMar>
              <w:left w:w="108" w:type="dxa"/>
              <w:right w:w="108" w:type="dxa"/>
            </w:tcMar>
            <w:vAlign w:val="center"/>
          </w:tcPr>
          <w:p>
            <w:pPr>
              <w:spacing w:after="200" w:line="240" w:lineRule="auto"/>
              <w:jc w:val="left"/>
              <w:rPr>
                <w:rFonts w:hint="eastAsia" w:ascii="宋体" w:hAnsi="宋体" w:eastAsia="宋体" w:cs="宋体"/>
                <w:color w:val="auto"/>
                <w:sz w:val="24"/>
                <w:szCs w:val="24"/>
                <w:highlight w:val="none"/>
              </w:rPr>
            </w:pPr>
          </w:p>
        </w:tc>
        <w:tc>
          <w:tcPr>
            <w:tcW w:w="2127" w:type="dxa"/>
            <w:shd w:val="clear" w:color="000000" w:fill="FFFFFF"/>
            <w:tcMar>
              <w:left w:w="108" w:type="dxa"/>
              <w:right w:w="108" w:type="dxa"/>
            </w:tcMar>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售后服务</w:t>
            </w:r>
            <w:r>
              <w:rPr>
                <w:rFonts w:hint="eastAsia" w:ascii="宋体" w:hAnsi="宋体" w:cs="宋体"/>
                <w:color w:val="auto"/>
                <w:sz w:val="24"/>
                <w:szCs w:val="24"/>
                <w:highlight w:val="none"/>
                <w:lang w:val="en-US" w:eastAsia="zh-CN"/>
              </w:rPr>
              <w:t>方案</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分）</w:t>
            </w:r>
          </w:p>
        </w:tc>
        <w:tc>
          <w:tcPr>
            <w:tcW w:w="5660" w:type="dxa"/>
            <w:shd w:val="clear" w:color="000000" w:fill="FFFFFF"/>
            <w:tcMar>
              <w:left w:w="108" w:type="dxa"/>
              <w:right w:w="108" w:type="dxa"/>
            </w:tcMar>
            <w:vAlign w:val="top"/>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为保证售后服务时效性（</w:t>
            </w:r>
            <w:r>
              <w:rPr>
                <w:rFonts w:hint="eastAsia" w:ascii="宋体" w:hAnsi="宋体" w:eastAsia="宋体" w:cs="宋体"/>
                <w:color w:val="auto"/>
                <w:sz w:val="24"/>
                <w:szCs w:val="24"/>
                <w:highlight w:val="none"/>
                <w:lang w:val="en-US" w:eastAsia="zh-CN"/>
              </w:rPr>
              <w:t>原则上要求</w:t>
            </w:r>
            <w:r>
              <w:rPr>
                <w:rFonts w:hint="eastAsia" w:ascii="宋体" w:hAnsi="宋体" w:eastAsia="宋体" w:cs="宋体"/>
                <w:color w:val="auto"/>
                <w:sz w:val="24"/>
                <w:szCs w:val="24"/>
                <w:highlight w:val="none"/>
                <w:lang w:val="zh-CN"/>
              </w:rPr>
              <w:t>故障半小时达到用户现场），项目维修或保养的及时性，投标</w:t>
            </w:r>
            <w:r>
              <w:rPr>
                <w:rFonts w:hint="eastAsia" w:ascii="宋体" w:hAnsi="宋体" w:cs="宋体"/>
                <w:color w:val="auto"/>
                <w:sz w:val="24"/>
                <w:szCs w:val="24"/>
                <w:highlight w:val="none"/>
                <w:lang w:val="en-US" w:eastAsia="zh-CN"/>
              </w:rPr>
              <w:t>人</w:t>
            </w:r>
            <w:r>
              <w:rPr>
                <w:rFonts w:hint="eastAsia" w:ascii="宋体" w:hAnsi="宋体" w:eastAsia="宋体" w:cs="宋体"/>
                <w:color w:val="auto"/>
                <w:sz w:val="24"/>
                <w:szCs w:val="24"/>
                <w:highlight w:val="none"/>
                <w:lang w:val="zh-CN"/>
              </w:rPr>
              <w:t>需提供本地化的服务</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val="zh-CN"/>
              </w:rPr>
              <w:t>根据投标人的售后服务方案情况，包括人员情况、及时到达现场</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zh-CN"/>
              </w:rPr>
              <w:t>时间响应</w:t>
            </w:r>
            <w:r>
              <w:rPr>
                <w:rFonts w:hint="eastAsia" w:ascii="宋体" w:hAnsi="宋体" w:cs="宋体"/>
                <w:color w:val="auto"/>
                <w:sz w:val="24"/>
                <w:szCs w:val="24"/>
                <w:highlight w:val="none"/>
                <w:lang w:val="en-US" w:eastAsia="zh-CN"/>
              </w:rPr>
              <w:t>情况</w:t>
            </w:r>
            <w:r>
              <w:rPr>
                <w:rFonts w:hint="eastAsia" w:ascii="宋体" w:hAnsi="宋体" w:eastAsia="宋体" w:cs="宋体"/>
                <w:color w:val="auto"/>
                <w:sz w:val="24"/>
                <w:szCs w:val="24"/>
                <w:highlight w:val="none"/>
                <w:lang w:val="zh-CN"/>
              </w:rPr>
              <w:t>、运维服务专业化水平</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质保期满后的售后服务保障等情况</w:t>
            </w:r>
            <w:r>
              <w:rPr>
                <w:rFonts w:hint="eastAsia" w:ascii="宋体" w:hAnsi="宋体" w:eastAsia="宋体" w:cs="宋体"/>
                <w:color w:val="auto"/>
                <w:sz w:val="24"/>
                <w:szCs w:val="24"/>
                <w:highlight w:val="none"/>
                <w:lang w:val="zh-CN"/>
              </w:rPr>
              <w:t>进行综合评分,优得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分，良得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分，一般得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-0分。</w:t>
            </w:r>
          </w:p>
        </w:tc>
      </w:tr>
    </w:tbl>
    <w:p>
      <w:pPr>
        <w:adjustRightInd w:val="0"/>
        <w:snapToGrid w:val="0"/>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由评标委员会全体成员负责对投标文件的技术标部分采用记名方式各自评分。如发现某个单项的评分超出了规定的分值范围的，则该张评分表无效。此项评分为：从评标专家的有效评分中扣除一个最高总分和一个最低总分后的算术平均值（保留小数2位）</w:t>
      </w:r>
      <w:r>
        <w:rPr>
          <w:rFonts w:hint="eastAsia" w:asciiTheme="minorEastAsia" w:hAnsiTheme="minorEastAsia" w:eastAsiaTheme="minorEastAsia" w:cstheme="minorEastAsia"/>
          <w:color w:val="auto"/>
          <w:sz w:val="24"/>
          <w:szCs w:val="24"/>
          <w:highlight w:val="none"/>
          <w:lang w:eastAsia="zh-CN"/>
        </w:rPr>
        <w:t>。</w:t>
      </w:r>
    </w:p>
    <w:p>
      <w:pPr>
        <w:adjustRightInd w:val="0"/>
        <w:snapToGrid w:val="0"/>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2、投标资格证明中的业绩可以作为资信部分计分业绩</w:t>
      </w:r>
      <w:r>
        <w:rPr>
          <w:rFonts w:hint="eastAsia" w:asciiTheme="minorEastAsia" w:hAnsiTheme="minorEastAsia" w:eastAsiaTheme="minorEastAsia" w:cstheme="minorEastAsia"/>
          <w:color w:val="auto"/>
          <w:sz w:val="24"/>
          <w:szCs w:val="24"/>
          <w:highlight w:val="none"/>
          <w:lang w:eastAsia="zh-CN"/>
        </w:rPr>
        <w:t>。</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w:t>
      </w:r>
      <w:r>
        <w:rPr>
          <w:rFonts w:hint="eastAsia" w:asciiTheme="minorEastAsia" w:hAnsiTheme="minorEastAsia" w:eastAsiaTheme="minorEastAsia" w:cstheme="minorEastAsia"/>
          <w:b/>
          <w:color w:val="auto"/>
          <w:sz w:val="24"/>
          <w:szCs w:val="24"/>
          <w:highlight w:val="none"/>
          <w:lang w:val="en-US" w:eastAsia="zh-CN"/>
        </w:rPr>
        <w:t>50</w:t>
      </w:r>
      <w:r>
        <w:rPr>
          <w:rFonts w:hint="eastAsia" w:asciiTheme="minorEastAsia" w:hAnsiTheme="minorEastAsia" w:eastAsiaTheme="minorEastAsia" w:cstheme="minorEastAsia"/>
          <w:b/>
          <w:color w:val="auto"/>
          <w:sz w:val="24"/>
          <w:szCs w:val="24"/>
          <w:highlight w:val="none"/>
        </w:rPr>
        <w:t>分）</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（1）本次招标项目招标人设置最高上限价，最高上限价为</w:t>
      </w:r>
      <w:r>
        <w:rPr>
          <w:rFonts w:hint="eastAsia" w:asciiTheme="minorEastAsia" w:hAnsiTheme="minorEastAsia" w:eastAsiaTheme="minorEastAsia" w:cstheme="minorEastAsia"/>
          <w:color w:val="auto"/>
          <w:sz w:val="24"/>
          <w:szCs w:val="24"/>
          <w:highlight w:val="none"/>
          <w:lang w:val="en-US" w:eastAsia="zh-CN"/>
        </w:rPr>
        <w:t>784</w:t>
      </w:r>
      <w:r>
        <w:rPr>
          <w:rFonts w:hint="eastAsia" w:asciiTheme="minorEastAsia" w:hAnsiTheme="minorEastAsia" w:eastAsiaTheme="minorEastAsia" w:cstheme="minorEastAsia"/>
          <w:color w:val="auto"/>
          <w:sz w:val="24"/>
          <w:szCs w:val="24"/>
          <w:highlight w:val="none"/>
        </w:rPr>
        <w:t>万元，超过上限价的作废标处理。</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（2）评标基准价：进入评分范围的投标评标价的算术平均值为评标基准价（投标评标价在5个及以上时，去除一个最高价和一个最低价）。</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A：当评标基准价小于投标报价时：商务标得分=</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-(投标报价-评标基准价）/评标基准价×100×</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B：当评标基准价大于投标报价时：商务标得分=</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-(评标基准价-投标报价）/评标基准价×100×</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C：当评标基准价等于投标报价时，即商务分得满分</w:t>
      </w:r>
      <w:r>
        <w:rPr>
          <w:rFonts w:hint="eastAsia" w:asciiTheme="minorEastAsia" w:hAnsiTheme="minorEastAsia" w:eastAsiaTheme="minorEastAsia" w:cstheme="minorEastAsia"/>
          <w:color w:val="auto"/>
          <w:sz w:val="24"/>
          <w:szCs w:val="24"/>
          <w:highlight w:val="none"/>
          <w:lang w:val="en-US" w:eastAsia="zh-CN"/>
        </w:rPr>
        <w:t>50</w:t>
      </w:r>
      <w:r>
        <w:rPr>
          <w:rFonts w:hint="eastAsia" w:asciiTheme="minorEastAsia" w:hAnsiTheme="minorEastAsia" w:eastAsiaTheme="minorEastAsia" w:cstheme="minorEastAsia"/>
          <w:color w:val="auto"/>
          <w:sz w:val="24"/>
          <w:szCs w:val="24"/>
          <w:highlight w:val="none"/>
        </w:rPr>
        <w:t>分。</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（3）商务标得分保留二位小数，小数点后第三位四舍五入。</w:t>
      </w:r>
    </w:p>
    <w:p>
      <w:pPr>
        <w:adjustRightInd w:val="0"/>
        <w:snapToGrid w:val="0"/>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8" w:name="_Toc152042387"/>
      <w:bookmarkStart w:id="419" w:name="_Toc152045609"/>
      <w:bookmarkStart w:id="420" w:name="_Toc392345963"/>
      <w:bookmarkStart w:id="421" w:name="_Toc144974577"/>
      <w:bookmarkStart w:id="422" w:name="_Toc229646768"/>
    </w:p>
    <w:p>
      <w:pPr>
        <w:rPr>
          <w:rFonts w:asciiTheme="minorEastAsia" w:hAnsiTheme="minorEastAsia" w:eastAsiaTheme="minorEastAsia" w:cstheme="minorEastAsia"/>
          <w:color w:val="auto"/>
          <w:sz w:val="24"/>
          <w:szCs w:val="24"/>
          <w:highlight w:val="none"/>
        </w:rPr>
      </w:pPr>
    </w:p>
    <w:p>
      <w:pPr>
        <w:pStyle w:val="11"/>
        <w:rPr>
          <w:rFonts w:asciiTheme="minorEastAsia" w:hAnsiTheme="minorEastAsia" w:eastAsiaTheme="minorEastAsia" w:cstheme="minorEastAsia"/>
          <w:color w:val="auto"/>
          <w:highlight w:val="none"/>
        </w:rPr>
      </w:pPr>
    </w:p>
    <w:p>
      <w:pPr>
        <w:rPr>
          <w:color w:val="auto"/>
          <w:highlight w:val="none"/>
        </w:rPr>
      </w:pPr>
    </w:p>
    <w:p>
      <w:pPr>
        <w:rPr>
          <w:rFonts w:hint="eastAsia"/>
          <w:color w:val="auto"/>
          <w:highlight w:val="none"/>
        </w:rPr>
      </w:pPr>
      <w:bookmarkStart w:id="423" w:name="_Toc2565"/>
      <w:r>
        <w:rPr>
          <w:rFonts w:hint="eastAsia"/>
          <w:color w:val="auto"/>
          <w:highlight w:val="none"/>
        </w:rPr>
        <w:br w:type="page"/>
      </w:r>
    </w:p>
    <w:p>
      <w:pPr>
        <w:pStyle w:val="2"/>
        <w:rPr>
          <w:color w:val="auto"/>
          <w:highlight w:val="none"/>
        </w:rPr>
      </w:pPr>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406074420"/>
      <w:bookmarkStart w:id="425" w:name="_Toc18320"/>
      <w:bookmarkStart w:id="426" w:name="_Toc297017781"/>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w:t>
      </w:r>
      <w:r>
        <w:rPr>
          <w:rFonts w:hint="eastAsia"/>
          <w:color w:val="auto"/>
          <w:szCs w:val="21"/>
          <w:highlight w:val="none"/>
          <w:u w:val="single"/>
        </w:rPr>
        <w:t xml:space="preserve">绍兴市上虞舜惠水利工程有限公司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rPr>
          <w:b/>
          <w:bCs/>
          <w:color w:val="auto"/>
          <w:szCs w:val="21"/>
          <w:highlight w:val="none"/>
        </w:rPr>
      </w:pPr>
    </w:p>
    <w:p>
      <w:pPr>
        <w:spacing w:line="360" w:lineRule="auto"/>
        <w:ind w:firstLine="420" w:firstLineChars="200"/>
        <w:rPr>
          <w:snapToGrid w:val="0"/>
          <w:color w:val="auto"/>
          <w:szCs w:val="21"/>
          <w:highlight w:val="none"/>
        </w:rPr>
      </w:pPr>
      <w:r>
        <w:rPr>
          <w:rFonts w:hint="eastAsia"/>
          <w:snapToGrid w:val="0"/>
          <w:color w:val="auto"/>
          <w:szCs w:val="21"/>
          <w:highlight w:val="none"/>
        </w:rPr>
        <w:t>甲方作为招标人对所需的</w:t>
      </w:r>
      <w:r>
        <w:rPr>
          <w:rFonts w:hint="eastAsia"/>
          <w:color w:val="auto"/>
          <w:szCs w:val="21"/>
          <w:highlight w:val="none"/>
          <w:u w:val="single"/>
          <w:lang w:eastAsia="zh-CN"/>
        </w:rPr>
        <w:t>绍兴市上虞区虞东河湖综合整治工程七标段—自动化安装项目</w:t>
      </w:r>
      <w:r>
        <w:rPr>
          <w:rFonts w:hint="eastAsia"/>
          <w:snapToGrid w:val="0"/>
          <w:color w:val="auto"/>
          <w:szCs w:val="21"/>
          <w:highlight w:val="none"/>
        </w:rPr>
        <w:t>进行招标（招标编号：         ）。经甲方定标确定为该供应商（乙方）。甲乙双方同意按照下面的条款和条件，签署本合同。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lang w:eastAsia="zh-CN"/>
        </w:rPr>
        <w:t>绍兴市上虞区虞东河湖综合整治工程七标段—自动化安装项目</w:t>
      </w:r>
      <w:r>
        <w:rPr>
          <w:rFonts w:hint="eastAsia"/>
          <w:color w:val="auto"/>
          <w:szCs w:val="21"/>
          <w:highlight w:val="none"/>
          <w:u w:val="single"/>
        </w:rPr>
        <w:t>。</w:t>
      </w:r>
    </w:p>
    <w:p>
      <w:pPr>
        <w:pStyle w:val="12"/>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绍兴市上虞区。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color w:val="auto"/>
          <w:szCs w:val="21"/>
          <w:highlight w:val="none"/>
          <w:u w:val="single"/>
          <w:lang w:eastAsia="zh-CN"/>
        </w:rPr>
        <w:t>绍兴市上虞区虞东河湖综合整治工程七标段—自动化安装项目</w:t>
      </w:r>
      <w:r>
        <w:rPr>
          <w:rFonts w:hint="eastAsia"/>
          <w:color w:val="auto"/>
          <w:szCs w:val="21"/>
          <w:highlight w:val="none"/>
          <w:u w:val="single"/>
        </w:rPr>
        <w:t>，包括整个工程的自动化安装（基础感知设施、水情自动测报系统、工程安全监测系统、计算机监控系统流量监测系统、管理控制中心、图像安防系统、出入口道闸系统、门禁管理系统、文化宣传大屏、通信网络、网络安全、软件平台业务（数据资源体系、应用支撑体系、业务应用体系等）），具体详见</w:t>
      </w:r>
      <w:r>
        <w:rPr>
          <w:rFonts w:hint="eastAsia"/>
          <w:color w:val="auto"/>
          <w:szCs w:val="21"/>
          <w:highlight w:val="none"/>
          <w:u w:val="single"/>
          <w:lang w:eastAsia="zh-CN"/>
        </w:rPr>
        <w:t>工程量清单及施工图</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70"/>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70"/>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70"/>
        <w:spacing w:line="360" w:lineRule="auto"/>
        <w:ind w:firstLine="630" w:firstLineChars="300"/>
        <w:rPr>
          <w:rFonts w:ascii="宋体" w:hAnsi="宋体" w:cs="宋体"/>
          <w:color w:val="auto"/>
          <w:highlight w:val="none"/>
        </w:rPr>
      </w:pPr>
      <w:r>
        <w:rPr>
          <w:rFonts w:hint="eastAsia" w:ascii="宋体" w:hAnsi="宋体" w:cs="宋体"/>
          <w:color w:val="auto"/>
          <w:highlight w:val="none"/>
        </w:rPr>
        <w:t>总工期</w:t>
      </w:r>
      <w:r>
        <w:rPr>
          <w:rFonts w:hint="eastAsia" w:ascii="宋体" w:hAnsi="宋体" w:cs="宋体"/>
          <w:color w:val="auto"/>
          <w:highlight w:val="none"/>
          <w:lang w:val="en-US" w:eastAsia="zh-CN"/>
        </w:rPr>
        <w:t>9</w:t>
      </w:r>
      <w:r>
        <w:rPr>
          <w:rFonts w:hint="eastAsia" w:ascii="宋体" w:hAnsi="宋体" w:cs="宋体"/>
          <w:color w:val="auto"/>
          <w:highlight w:val="none"/>
        </w:rPr>
        <w:t>0日历天。</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11"/>
        <w:spacing w:line="360" w:lineRule="auto"/>
        <w:ind w:firstLine="630" w:firstLineChars="300"/>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合格。</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w:t>
      </w:r>
      <w:r>
        <w:rPr>
          <w:rFonts w:hint="eastAsia"/>
          <w:color w:val="auto"/>
          <w:szCs w:val="21"/>
          <w:highlight w:val="none"/>
          <w:lang w:val="en-US" w:eastAsia="zh-CN"/>
        </w:rPr>
        <w:t>单价</w:t>
      </w:r>
      <w:r>
        <w:rPr>
          <w:rFonts w:hint="eastAsia"/>
          <w:color w:val="auto"/>
          <w:szCs w:val="21"/>
          <w:highlight w:val="none"/>
        </w:rPr>
        <w:t>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12"/>
        <w:spacing w:line="360" w:lineRule="auto"/>
        <w:ind w:firstLineChars="200"/>
        <w:rPr>
          <w:color w:val="auto"/>
          <w:sz w:val="21"/>
          <w:szCs w:val="21"/>
          <w:highlight w:val="none"/>
        </w:rPr>
      </w:pPr>
      <w:r>
        <w:rPr>
          <w:rFonts w:hint="eastAsia"/>
          <w:color w:val="auto"/>
          <w:sz w:val="21"/>
          <w:szCs w:val="21"/>
          <w:highlight w:val="none"/>
        </w:rPr>
        <w:t>本项目釆用固定</w:t>
      </w:r>
      <w:r>
        <w:rPr>
          <w:rFonts w:hint="eastAsia"/>
          <w:color w:val="auto"/>
          <w:sz w:val="21"/>
          <w:szCs w:val="21"/>
          <w:highlight w:val="none"/>
          <w:lang w:val="en-US" w:eastAsia="zh-CN"/>
        </w:rPr>
        <w:t>单价</w:t>
      </w:r>
      <w:r>
        <w:rPr>
          <w:rFonts w:hint="eastAsia"/>
          <w:color w:val="auto"/>
          <w:sz w:val="21"/>
          <w:szCs w:val="21"/>
          <w:highlight w:val="none"/>
        </w:rPr>
        <w:t>方式承包，工程量清单中的工程量、清单描述若与图纸及答疑不一致时，以图纸及答疑为准并须满足各专业的功能要求，由乙方自行复核计算，</w:t>
      </w:r>
      <w:r>
        <w:rPr>
          <w:rFonts w:hint="eastAsia"/>
          <w:color w:val="auto"/>
          <w:sz w:val="21"/>
          <w:szCs w:val="21"/>
          <w:highlight w:val="none"/>
          <w:lang w:val="en-US" w:eastAsia="zh-CN"/>
        </w:rPr>
        <w:t>经甲方认可后工程量按实结算</w:t>
      </w:r>
      <w:r>
        <w:rPr>
          <w:rFonts w:hint="eastAsia"/>
          <w:color w:val="auto"/>
          <w:sz w:val="21"/>
          <w:szCs w:val="21"/>
          <w:highlight w:val="none"/>
        </w:rPr>
        <w:t>。</w:t>
      </w:r>
      <w:r>
        <w:rPr>
          <w:rFonts w:hint="eastAsia"/>
          <w:color w:val="auto"/>
          <w:sz w:val="21"/>
          <w:szCs w:val="21"/>
          <w:highlight w:val="none"/>
          <w:lang w:val="en-US" w:eastAsia="zh-CN"/>
        </w:rPr>
        <w:t>若相应设备未在清单中目录中的，经甲方认可后按市场价签证。</w:t>
      </w:r>
      <w:r>
        <w:rPr>
          <w:rFonts w:hint="eastAsia"/>
          <w:color w:val="auto"/>
          <w:sz w:val="21"/>
          <w:szCs w:val="21"/>
          <w:highlight w:val="none"/>
        </w:rPr>
        <w:t>甲方有权增减工作范围，该费用应予以增减。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12"/>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12"/>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12"/>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12"/>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本合同在乙方向甲方提交全部履约保证金后，且经甲乙双方法定代表人或授权代表签字并加盖公章之日起生效。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合同一式8份，正2份（甲、乙各1份），副本6份（甲、乙各3份）。</w:t>
      </w:r>
    </w:p>
    <w:p>
      <w:pPr>
        <w:spacing w:line="360" w:lineRule="auto"/>
        <w:ind w:firstLine="210"/>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绍兴市上虞舜惠水利工程有限公司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rPr>
          <w:b/>
          <w:color w:val="auto"/>
          <w:szCs w:val="21"/>
          <w:highlight w:val="none"/>
        </w:rPr>
      </w:pPr>
      <w:bookmarkStart w:id="427" w:name="_Toc406074421"/>
      <w:bookmarkStart w:id="428" w:name="_Toc297017782"/>
      <w:r>
        <w:rPr>
          <w:rFonts w:hint="eastAsia"/>
          <w:b/>
          <w:color w:val="auto"/>
          <w:szCs w:val="21"/>
          <w:highlight w:val="none"/>
        </w:rPr>
        <w:br w:type="page"/>
      </w:r>
    </w:p>
    <w:p>
      <w:pPr>
        <w:spacing w:line="360" w:lineRule="auto"/>
        <w:jc w:val="center"/>
        <w:outlineLvl w:val="1"/>
        <w:rPr>
          <w:b/>
          <w:color w:val="auto"/>
          <w:szCs w:val="21"/>
          <w:highlight w:val="none"/>
        </w:rPr>
      </w:pPr>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rPr>
          <w:color w:val="auto"/>
          <w:szCs w:val="21"/>
          <w:highlight w:val="none"/>
        </w:rPr>
      </w:pPr>
      <w:r>
        <w:rPr>
          <w:rFonts w:hint="eastAsia"/>
          <w:color w:val="auto"/>
          <w:szCs w:val="21"/>
          <w:highlight w:val="none"/>
        </w:rPr>
        <w:t>1、合同产品的名称、技术规范和数量应与中标通知书、招标文件及被甲方接受的规格性能偏离表相一致。</w:t>
      </w:r>
    </w:p>
    <w:p>
      <w:pPr>
        <w:spacing w:line="360" w:lineRule="auto"/>
        <w:ind w:firstLine="420" w:firstLineChars="20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3.4乙方保证所提供的设备在正确安装、正常使用和维护保养的情况下，具有使甲方满意的使用性能和使用寿命。</w:t>
      </w:r>
    </w:p>
    <w:p>
      <w:pPr>
        <w:spacing w:line="360" w:lineRule="auto"/>
        <w:ind w:firstLine="420" w:firstLineChars="20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产品的质量保证期为甲方使用产品之日起至少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5.1甲乙双方的任何一方对合同内容提出修改，均应以书面形式通知其他方，并达成由双方签署的合同修改书。</w:t>
      </w:r>
    </w:p>
    <w:p>
      <w:pPr>
        <w:spacing w:line="360" w:lineRule="auto"/>
        <w:ind w:firstLine="420" w:firstLineChars="200"/>
        <w:rPr>
          <w:color w:val="auto"/>
          <w:szCs w:val="21"/>
          <w:highlight w:val="none"/>
        </w:rPr>
      </w:pPr>
      <w:r>
        <w:rPr>
          <w:rFonts w:hint="eastAsia"/>
          <w:color w:val="auto"/>
          <w:szCs w:val="21"/>
          <w:highlight w:val="none"/>
        </w:rPr>
        <w:t>5.2除非甲方对设备的型号、规格和涉及价格因素的技术参数和配套件提出修改，乙方不得对合同价格提出修改要求。</w:t>
      </w:r>
    </w:p>
    <w:p>
      <w:pPr>
        <w:spacing w:line="360" w:lineRule="auto"/>
        <w:ind w:firstLine="315" w:firstLineChars="15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同意的前提下，降价处理。乙方承担调换、退货发生的一切费用和甲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2）乙方在接到甲方通知后，2小时内派人赴现场处理设备质量问题。质保期内乙方须安排专业维保人员驻场，驻场人员数量及资质须满足甲方需求并获得书面审批。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3）在产品质量保证期内，由于甲方保管不善或使用不当造成设备短缺、故障或损坏，由甲方负责。但乙方保证及时给予补齐或修复。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除不可抗拒力外，如乙方发生不能按期交货或提供服务；甲方发生中途退货等情况，应及时以书面形式通知对方，并按照合同专用条款承担违约或赔偿责任。</w:t>
      </w:r>
    </w:p>
    <w:p>
      <w:pPr>
        <w:spacing w:line="360" w:lineRule="auto"/>
        <w:ind w:firstLine="315" w:firstLineChars="15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rPr>
        <w:t>各</w:t>
      </w:r>
      <w:r>
        <w:rPr>
          <w:rFonts w:hint="eastAsia"/>
          <w:color w:val="auto"/>
          <w:szCs w:val="21"/>
          <w:highlight w:val="none"/>
        </w:rPr>
        <w:t>方应通过友好协商，妥善解决。如通过协商仍不能解决时，</w:t>
      </w:r>
      <w:r>
        <w:rPr>
          <w:rFonts w:hint="eastAsia" w:ascii="宋体" w:hAnsi="宋体" w:cs="宋体"/>
          <w:color w:val="auto"/>
          <w:szCs w:val="21"/>
          <w:highlight w:val="none"/>
        </w:rPr>
        <w:t>可向项目所在人民法院申请调解或处理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争议费用除裁决机构另有裁决外</w:t>
      </w:r>
      <w:r>
        <w:rPr>
          <w:rFonts w:hint="eastAsia"/>
          <w:color w:val="auto"/>
          <w:szCs w:val="21"/>
          <w:highlight w:val="none"/>
        </w:rPr>
        <w:t>，由败诉方承担。</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在裁决期间</w:t>
      </w:r>
      <w:r>
        <w:rPr>
          <w:rFonts w:hint="eastAsia"/>
          <w:color w:val="auto"/>
          <w:szCs w:val="21"/>
          <w:highlight w:val="none"/>
        </w:rPr>
        <w:t>，除争议部分外，本合同其他部分应继续执行。</w:t>
      </w:r>
    </w:p>
    <w:p>
      <w:pPr>
        <w:spacing w:line="360" w:lineRule="auto"/>
        <w:ind w:firstLine="315" w:firstLineChars="15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17297"/>
      <w:bookmarkStart w:id="434" w:name="_Toc297017783"/>
      <w:bookmarkStart w:id="435" w:name="_Toc406074422"/>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lang w:val="en-US" w:eastAsia="zh-CN"/>
        </w:rPr>
        <w:t>9</w:t>
      </w:r>
      <w:r>
        <w:rPr>
          <w:rFonts w:hint="eastAsia"/>
          <w:color w:val="auto"/>
          <w:szCs w:val="21"/>
          <w:highlight w:val="none"/>
          <w:u w:val="single"/>
        </w:rPr>
        <w:t xml:space="preserve">0 </w:t>
      </w:r>
      <w:r>
        <w:rPr>
          <w:rFonts w:hint="eastAsia"/>
          <w:color w:val="auto"/>
          <w:szCs w:val="21"/>
          <w:highlight w:val="none"/>
        </w:rPr>
        <w:t xml:space="preserve"> 天。</w:t>
      </w:r>
      <w:r>
        <w:rPr>
          <w:rFonts w:hint="eastAsia" w:ascii="宋体" w:hAnsi="宋体" w:cs="宋体"/>
          <w:color w:val="auto"/>
          <w:szCs w:val="21"/>
          <w:highlight w:val="none"/>
        </w:rPr>
        <w:t>自</w:t>
      </w:r>
      <w:r>
        <w:rPr>
          <w:rFonts w:hint="eastAsia"/>
          <w:color w:val="auto"/>
          <w:szCs w:val="21"/>
          <w:highlight w:val="none"/>
        </w:rPr>
        <w:t>甲方发出书面排产通知日（即开工报告）开始计算工期。</w:t>
      </w:r>
    </w:p>
    <w:p>
      <w:pPr>
        <w:numPr>
          <w:ilvl w:val="0"/>
          <w:numId w:val="3"/>
        </w:numPr>
        <w:snapToGrid w:val="0"/>
        <w:spacing w:line="360" w:lineRule="auto"/>
        <w:rPr>
          <w:color w:val="auto"/>
          <w:szCs w:val="21"/>
          <w:highlight w:val="none"/>
        </w:rPr>
      </w:pPr>
      <w:r>
        <w:rPr>
          <w:rFonts w:hint="eastAsia"/>
          <w:color w:val="auto"/>
          <w:szCs w:val="21"/>
          <w:highlight w:val="none"/>
        </w:rPr>
        <w:t>交货方式</w:t>
      </w:r>
    </w:p>
    <w:p>
      <w:pPr>
        <w:snapToGrid w:val="0"/>
        <w:spacing w:line="360" w:lineRule="auto"/>
        <w:ind w:firstLine="630" w:firstLineChars="300"/>
        <w:rPr>
          <w:color w:val="auto"/>
          <w:szCs w:val="21"/>
          <w:highlight w:val="none"/>
        </w:rPr>
      </w:pPr>
      <w:r>
        <w:rPr>
          <w:rFonts w:hint="eastAsia"/>
          <w:color w:val="auto"/>
          <w:szCs w:val="21"/>
          <w:highlight w:val="none"/>
          <w:u w:val="single"/>
        </w:rPr>
        <w:t xml:space="preserve">  </w:t>
      </w:r>
      <w:r>
        <w:rPr>
          <w:rFonts w:hint="eastAsia"/>
          <w:color w:val="auto"/>
          <w:szCs w:val="21"/>
          <w:highlight w:val="none"/>
          <w:u w:val="single"/>
          <w:lang w:eastAsia="zh-CN"/>
        </w:rPr>
        <w:t>绍兴市上虞区虞东河湖综合整治工程七标段—自动化安装项目</w:t>
      </w:r>
      <w:r>
        <w:rPr>
          <w:rFonts w:hint="eastAsia"/>
          <w:color w:val="auto"/>
          <w:szCs w:val="21"/>
          <w:highlight w:val="none"/>
          <w:u w:val="single"/>
        </w:rPr>
        <w:t xml:space="preserve">  </w:t>
      </w:r>
      <w:r>
        <w:rPr>
          <w:rFonts w:hint="eastAsia"/>
          <w:color w:val="auto"/>
          <w:szCs w:val="21"/>
          <w:highlight w:val="none"/>
        </w:rPr>
        <w:t>项目现场交货。乙方将设备运抵工地现场并初验合格的日期为交货日期。甲方可以要求乙方根据工程进度要求分批交货但不再额外增加其他费用。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w:t>
      </w:r>
      <w:r>
        <w:rPr>
          <w:rFonts w:hint="eastAsia"/>
          <w:color w:val="auto"/>
          <w:szCs w:val="21"/>
          <w:highlight w:val="none"/>
          <w:u w:val="single"/>
          <w:lang w:eastAsia="zh-CN"/>
        </w:rPr>
        <w:t>绍兴市上虞区虞东河湖综合整治工程七标段—自动化安装项目</w:t>
      </w:r>
      <w:r>
        <w:rPr>
          <w:rFonts w:hint="eastAsia"/>
          <w:color w:val="auto"/>
          <w:szCs w:val="21"/>
          <w:highlight w:val="none"/>
          <w:u w:val="single"/>
        </w:rPr>
        <w:t xml:space="preserve">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乙方在设备发运前10天，需将准备发运的设备名称、规格、数量、包装箱件数、每件包装箱的尺码、毛重及对货物的卸车、贮存的特殊要求以传真的形式通知甲方，以便接货。甲方只协助乙方接货。</w:t>
      </w:r>
      <w:r>
        <w:rPr>
          <w:rFonts w:hint="eastAsia"/>
          <w:color w:val="auto"/>
          <w:szCs w:val="21"/>
          <w:highlight w:val="none"/>
          <w:lang w:eastAsia="zh-CN"/>
        </w:rPr>
        <w:t>卸</w:t>
      </w:r>
      <w:r>
        <w:rPr>
          <w:rFonts w:hint="eastAsia"/>
          <w:color w:val="auto"/>
          <w:szCs w:val="21"/>
          <w:highlight w:val="none"/>
        </w:rPr>
        <w:t>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71"/>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71"/>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rPr>
        <w:t>15日内</w:t>
      </w:r>
      <w:r>
        <w:rPr>
          <w:rFonts w:hint="eastAsia"/>
          <w:color w:val="auto"/>
          <w:sz w:val="21"/>
          <w:szCs w:val="21"/>
          <w:highlight w:val="none"/>
        </w:rPr>
        <w:t>，</w:t>
      </w:r>
      <w:r>
        <w:rPr>
          <w:rFonts w:hint="eastAsia" w:ascii="宋体" w:hAnsi="宋体" w:cs="宋体"/>
          <w:color w:val="auto"/>
          <w:sz w:val="21"/>
          <w:szCs w:val="21"/>
          <w:highlight w:val="none"/>
        </w:rPr>
        <w:t>甲方向乙方</w:t>
      </w:r>
      <w:r>
        <w:rPr>
          <w:rFonts w:hint="eastAsia"/>
          <w:color w:val="auto"/>
          <w:sz w:val="21"/>
          <w:szCs w:val="21"/>
          <w:highlight w:val="none"/>
        </w:rPr>
        <w:t>支付合同总价的</w:t>
      </w:r>
      <w:r>
        <w:rPr>
          <w:rFonts w:hint="eastAsia"/>
          <w:color w:val="auto"/>
          <w:sz w:val="21"/>
          <w:szCs w:val="21"/>
          <w:highlight w:val="none"/>
          <w:lang w:val="en-US" w:eastAsia="zh-CN"/>
        </w:rPr>
        <w:t>2</w:t>
      </w:r>
      <w:r>
        <w:rPr>
          <w:rFonts w:hint="eastAsia"/>
          <w:color w:val="auto"/>
          <w:sz w:val="21"/>
          <w:szCs w:val="21"/>
          <w:highlight w:val="none"/>
        </w:rPr>
        <w:t>0%的预付款。预付款与合同履行同步进行，预付款支付进程不得影响合同的履行</w:t>
      </w:r>
      <w:r>
        <w:rPr>
          <w:rFonts w:hint="eastAsia" w:ascii="宋体" w:hAnsi="宋体" w:cs="宋体"/>
          <w:color w:val="auto"/>
          <w:sz w:val="21"/>
          <w:szCs w:val="21"/>
          <w:highlight w:val="none"/>
        </w:rPr>
        <w:t>，乙方不得以预付款支付问题停止合同的履行</w:t>
      </w:r>
      <w:r>
        <w:rPr>
          <w:rFonts w:hint="eastAsia"/>
          <w:color w:val="auto"/>
          <w:sz w:val="21"/>
          <w:szCs w:val="21"/>
          <w:highlight w:val="none"/>
        </w:rPr>
        <w:t>。</w:t>
      </w:r>
    </w:p>
    <w:p>
      <w:pPr>
        <w:pStyle w:val="71"/>
        <w:numPr>
          <w:ilvl w:val="0"/>
          <w:numId w:val="4"/>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71"/>
        <w:adjustRightInd w:val="0"/>
        <w:snapToGrid w:val="0"/>
        <w:spacing w:before="0"/>
        <w:ind w:firstLine="420"/>
        <w:rPr>
          <w:color w:val="auto"/>
          <w:sz w:val="21"/>
          <w:szCs w:val="21"/>
          <w:highlight w:val="none"/>
        </w:rPr>
      </w:pPr>
      <w:r>
        <w:rPr>
          <w:rFonts w:hint="eastAsia"/>
          <w:color w:val="auto"/>
          <w:sz w:val="21"/>
          <w:szCs w:val="21"/>
          <w:highlight w:val="none"/>
        </w:rPr>
        <w:t>第2次付款：工程全部完工、所有设备安装、调试完成，支付至签约合同价的70%。</w:t>
      </w:r>
    </w:p>
    <w:p>
      <w:pPr>
        <w:pStyle w:val="71"/>
        <w:adjustRightInd w:val="0"/>
        <w:snapToGrid w:val="0"/>
        <w:spacing w:before="0"/>
        <w:ind w:firstLine="420"/>
        <w:rPr>
          <w:color w:val="auto"/>
          <w:sz w:val="21"/>
          <w:szCs w:val="21"/>
          <w:highlight w:val="none"/>
        </w:rPr>
      </w:pPr>
      <w:r>
        <w:rPr>
          <w:rFonts w:hint="eastAsia"/>
          <w:color w:val="auto"/>
          <w:sz w:val="21"/>
          <w:szCs w:val="21"/>
          <w:highlight w:val="none"/>
        </w:rPr>
        <w:t>第3次付款：经过</w:t>
      </w:r>
      <w:r>
        <w:rPr>
          <w:rFonts w:hint="eastAsia"/>
          <w:color w:val="auto"/>
          <w:sz w:val="21"/>
          <w:szCs w:val="21"/>
          <w:highlight w:val="none"/>
          <w:lang w:val="en-US" w:eastAsia="zh-CN"/>
        </w:rPr>
        <w:t>二个月的</w:t>
      </w:r>
      <w:r>
        <w:rPr>
          <w:rFonts w:hint="eastAsia"/>
          <w:color w:val="auto"/>
          <w:sz w:val="21"/>
          <w:szCs w:val="21"/>
          <w:highlight w:val="none"/>
        </w:rPr>
        <w:t>试运行</w:t>
      </w:r>
      <w:r>
        <w:rPr>
          <w:rFonts w:hint="eastAsia"/>
          <w:color w:val="auto"/>
          <w:sz w:val="21"/>
          <w:szCs w:val="21"/>
          <w:highlight w:val="none"/>
          <w:lang w:val="en-US" w:eastAsia="zh-CN"/>
        </w:rPr>
        <w:t>并</w:t>
      </w:r>
      <w:r>
        <w:rPr>
          <w:rFonts w:hint="eastAsia"/>
          <w:color w:val="auto"/>
          <w:sz w:val="21"/>
          <w:szCs w:val="21"/>
          <w:highlight w:val="none"/>
        </w:rPr>
        <w:t>通过</w:t>
      </w:r>
      <w:r>
        <w:rPr>
          <w:rFonts w:hint="eastAsia"/>
          <w:color w:val="auto"/>
          <w:sz w:val="21"/>
          <w:szCs w:val="21"/>
          <w:highlight w:val="none"/>
          <w:lang w:val="en-US" w:eastAsia="zh-CN"/>
        </w:rPr>
        <w:t>甲方</w:t>
      </w:r>
      <w:r>
        <w:rPr>
          <w:rFonts w:hint="eastAsia"/>
          <w:color w:val="auto"/>
          <w:sz w:val="21"/>
          <w:szCs w:val="21"/>
          <w:highlight w:val="none"/>
        </w:rPr>
        <w:t>验收并按</w:t>
      </w:r>
      <w:r>
        <w:rPr>
          <w:rFonts w:hint="eastAsia"/>
          <w:color w:val="auto"/>
          <w:sz w:val="21"/>
          <w:szCs w:val="21"/>
          <w:highlight w:val="none"/>
          <w:lang w:val="en-US" w:eastAsia="zh-CN"/>
        </w:rPr>
        <w:t>甲</w:t>
      </w:r>
      <w:r>
        <w:rPr>
          <w:rFonts w:hint="eastAsia"/>
          <w:color w:val="auto"/>
          <w:sz w:val="21"/>
          <w:szCs w:val="21"/>
          <w:highlight w:val="none"/>
        </w:rPr>
        <w:t>方要求移交所有资料后15天内支付至合同总价的85%，并退还履约保证金。</w:t>
      </w:r>
    </w:p>
    <w:p>
      <w:pPr>
        <w:pStyle w:val="71"/>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第4次付款：</w:t>
      </w:r>
      <w:r>
        <w:rPr>
          <w:rFonts w:hint="eastAsia"/>
          <w:color w:val="auto"/>
          <w:sz w:val="21"/>
          <w:szCs w:val="21"/>
          <w:highlight w:val="none"/>
        </w:rPr>
        <w:t>审计结算完成且资料齐全移交甲</w:t>
      </w:r>
      <w:r>
        <w:rPr>
          <w:rFonts w:hint="eastAsia"/>
          <w:color w:val="auto"/>
          <w:sz w:val="21"/>
          <w:szCs w:val="21"/>
          <w:highlight w:val="none"/>
          <w:lang w:val="en-US" w:eastAsia="zh-CN"/>
        </w:rPr>
        <w:t>方</w:t>
      </w:r>
      <w:r>
        <w:rPr>
          <w:rFonts w:hint="eastAsia"/>
          <w:color w:val="auto"/>
          <w:sz w:val="21"/>
          <w:szCs w:val="21"/>
          <w:highlight w:val="none"/>
        </w:rPr>
        <w:t>后，支付至结算价的9</w:t>
      </w:r>
      <w:r>
        <w:rPr>
          <w:rFonts w:hint="eastAsia"/>
          <w:color w:val="auto"/>
          <w:sz w:val="21"/>
          <w:szCs w:val="21"/>
          <w:highlight w:val="none"/>
          <w:lang w:val="en-US" w:eastAsia="zh-CN"/>
        </w:rPr>
        <w:t>8</w:t>
      </w:r>
      <w:r>
        <w:rPr>
          <w:rFonts w:hint="eastAsia"/>
          <w:color w:val="auto"/>
          <w:sz w:val="21"/>
          <w:szCs w:val="21"/>
          <w:highlight w:val="none"/>
        </w:rPr>
        <w:t>.5%。</w:t>
      </w:r>
    </w:p>
    <w:p>
      <w:pPr>
        <w:pStyle w:val="71"/>
        <w:adjustRightInd w:val="0"/>
        <w:snapToGrid w:val="0"/>
        <w:spacing w:before="0"/>
        <w:ind w:firstLine="420"/>
        <w:rPr>
          <w:color w:val="auto"/>
          <w:sz w:val="21"/>
          <w:szCs w:val="21"/>
          <w:highlight w:val="none"/>
        </w:rPr>
      </w:pPr>
      <w:r>
        <w:rPr>
          <w:rFonts w:hint="eastAsia"/>
          <w:color w:val="auto"/>
          <w:sz w:val="21"/>
          <w:szCs w:val="21"/>
          <w:highlight w:val="none"/>
        </w:rPr>
        <w:t>第5次付款：余款</w:t>
      </w:r>
      <w:r>
        <w:rPr>
          <w:rFonts w:hint="eastAsia"/>
          <w:color w:val="auto"/>
          <w:sz w:val="21"/>
          <w:szCs w:val="21"/>
          <w:highlight w:val="none"/>
          <w:lang w:val="en-US" w:eastAsia="zh-CN"/>
        </w:rPr>
        <w:t>1</w:t>
      </w:r>
      <w:r>
        <w:rPr>
          <w:rFonts w:hint="eastAsia"/>
          <w:color w:val="auto"/>
          <w:sz w:val="21"/>
          <w:szCs w:val="21"/>
          <w:highlight w:val="none"/>
        </w:rPr>
        <w:t>.5%（不计利息）作为保修金，在保修期满缺陷修复完成并经甲方最终验收合格、甲乙</w:t>
      </w:r>
      <w:r>
        <w:rPr>
          <w:rFonts w:hint="eastAsia"/>
          <w:color w:val="auto"/>
          <w:sz w:val="21"/>
          <w:szCs w:val="21"/>
          <w:highlight w:val="none"/>
          <w:lang w:val="en-US" w:eastAsia="zh-CN"/>
        </w:rPr>
        <w:t>双</w:t>
      </w:r>
      <w:r>
        <w:rPr>
          <w:rFonts w:hint="eastAsia"/>
          <w:color w:val="auto"/>
          <w:sz w:val="21"/>
          <w:szCs w:val="21"/>
          <w:highlight w:val="none"/>
        </w:rPr>
        <w:t>方完成最终结算后28天内一次性付清经结算后的剩余尾款。</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w:t>
      </w:r>
      <w:r>
        <w:rPr>
          <w:rFonts w:hint="eastAsia" w:ascii="宋体" w:eastAsia="宋体"/>
          <w:color w:val="auto"/>
          <w:sz w:val="21"/>
          <w:szCs w:val="21"/>
          <w:highlight w:val="none"/>
          <w:lang w:val="en-US" w:eastAsia="zh-CN"/>
        </w:rPr>
        <w:t>单价</w:t>
      </w:r>
      <w:r>
        <w:rPr>
          <w:rFonts w:hint="eastAsia" w:ascii="宋体" w:eastAsia="宋体"/>
          <w:color w:val="auto"/>
          <w:sz w:val="21"/>
          <w:szCs w:val="21"/>
          <w:highlight w:val="none"/>
        </w:rPr>
        <w:t>一次性包死，</w:t>
      </w:r>
      <w:r>
        <w:rPr>
          <w:rFonts w:hint="eastAsia" w:ascii="宋体" w:eastAsia="宋体"/>
          <w:color w:val="auto"/>
          <w:sz w:val="21"/>
          <w:szCs w:val="21"/>
          <w:highlight w:val="none"/>
          <w:lang w:val="en-US" w:eastAsia="zh-CN"/>
        </w:rPr>
        <w:t>工程量按实</w:t>
      </w:r>
      <w:r>
        <w:rPr>
          <w:rFonts w:hint="eastAsia" w:ascii="宋体" w:eastAsia="宋体"/>
          <w:color w:val="auto"/>
          <w:sz w:val="21"/>
          <w:szCs w:val="21"/>
          <w:highlight w:val="none"/>
        </w:rPr>
        <w:t>调整。甲方有权增减工作范围，该费用应予以增减。</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10.2未经甲方同意，乙方不得擅自更改或换用投标产品的零部件或配件，否则，乙方承担由此发生的费用，并赔偿甲方的有关损失，延误的供货日期不予顺延。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在第一批设备供货之前，甲方、监理单位等相关单位到乙方的设备制造厂进行样品审核，乙方应积极配合并对甲方的工作提供方便并承担相关费用。</w:t>
      </w:r>
    </w:p>
    <w:p>
      <w:pPr>
        <w:pStyle w:val="12"/>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72"/>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w:t>
      </w:r>
    </w:p>
    <w:p>
      <w:pPr>
        <w:snapToGrid w:val="0"/>
        <w:spacing w:line="360" w:lineRule="auto"/>
        <w:ind w:firstLine="422" w:firstLineChars="20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12.1合同所订的货物到达甲方后，乙方应在收到甲方通知后2天内，及时派人前往设备交货地点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可以要求乙方或具有检测资质的第三方用专用仪器进行测试，乙方应负责测试和调试所需的人员、工具、材料、仪器及检测费用等一切费用，并填写测试报告交由</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存档。如需</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派有关人员配合，乙方应在设备安装调试前一周提出需配合工作人员的工种、人数等计划书交与</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，以便</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提前</w:t>
      </w:r>
      <w:r>
        <w:rPr>
          <w:rFonts w:hint="eastAsia" w:ascii="宋体" w:eastAsia="宋体"/>
          <w:color w:val="auto"/>
          <w:sz w:val="21"/>
          <w:szCs w:val="21"/>
          <w:highlight w:val="none"/>
          <w:lang w:eastAsia="zh-CN"/>
        </w:rPr>
        <w:t>做好准备</w:t>
      </w:r>
      <w:r>
        <w:rPr>
          <w:rFonts w:hint="eastAsia" w:ascii="宋体" w:eastAsia="宋体"/>
          <w:color w:val="auto"/>
          <w:sz w:val="21"/>
          <w:szCs w:val="21"/>
          <w:highlight w:val="none"/>
        </w:rPr>
        <w:t>，确保整个工程顺利进行。</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在投标时应提供验收大纲和验收标准供甲方参考，经甲方确认后，作为验收的依据。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13.2设备到达现场后，乙方派人到现场与甲方一起开箱初步</w:t>
      </w:r>
      <w:r>
        <w:rPr>
          <w:rFonts w:hint="eastAsia"/>
          <w:color w:val="auto"/>
          <w:szCs w:val="21"/>
          <w:highlight w:val="none"/>
          <w:lang w:eastAsia="zh-CN"/>
        </w:rPr>
        <w:t>验收</w:t>
      </w:r>
      <w:r>
        <w:rPr>
          <w:rFonts w:hint="eastAsia"/>
          <w:color w:val="auto"/>
          <w:szCs w:val="21"/>
          <w:highlight w:val="none"/>
        </w:rPr>
        <w:t>。乙方负责本合同项目所在地政府主管部门（技术质量监督局或卫生管理部门）的备案以及办理所需相关手续(如有)；本项目必须满足消防要求，最终应配合甲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双方对设备共同进行验收，乙方自行承担第三方检验费用（第三方检测单位须甲方及相关验收主管部门认可）。达到验收标准后，甲方在验收合格后七日内完成设备交接，并在《产品交付报告》上签字。《产品交付报告》一式两份，双方各执一份。同时乙方向甲方提供《设备合格证》、《设备使用说明书》、《检验报告》等技术文件。</w:t>
      </w:r>
    </w:p>
    <w:p>
      <w:pPr>
        <w:snapToGrid w:val="0"/>
        <w:spacing w:line="360" w:lineRule="auto"/>
        <w:ind w:firstLine="422" w:firstLineChars="20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w:t>
      </w:r>
      <w:r>
        <w:rPr>
          <w:rFonts w:hint="eastAsia"/>
          <w:b/>
          <w:bCs/>
          <w:color w:val="auto"/>
          <w:szCs w:val="21"/>
          <w:highlight w:val="none"/>
        </w:rPr>
        <w:t>质量保证期为使用产品之日起至少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color w:val="auto"/>
          <w:szCs w:val="21"/>
          <w:highlight w:val="none"/>
        </w:rPr>
        <w:t>。质保期内如无问题，则在质保期满时，由甲方提交质保期验收报告，验收由甲方签字认可。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36个月</w:t>
      </w:r>
      <w:r>
        <w:rPr>
          <w:rFonts w:hint="eastAsia" w:ascii="宋体" w:hAnsi="宋体" w:cs="宋体"/>
          <w:b/>
          <w:bCs/>
          <w:color w:val="auto"/>
          <w:szCs w:val="21"/>
          <w:highlight w:val="none"/>
          <w:u w:val="single"/>
        </w:rPr>
        <w:t>（具体时间以投标文件为准）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14.3如设备在质保期后发生故障，乙方在收到甲方的书面维修通知后，应即时给予响应。在质保期内的工作应包括对所有设备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w:t>
      </w:r>
      <w:r>
        <w:rPr>
          <w:rFonts w:hint="eastAsia"/>
          <w:color w:val="auto"/>
          <w:szCs w:val="21"/>
          <w:highlight w:val="none"/>
          <w:lang w:eastAsia="zh-CN"/>
        </w:rPr>
        <w:t>作为</w:t>
      </w:r>
      <w:r>
        <w:rPr>
          <w:rFonts w:hint="eastAsia"/>
          <w:color w:val="auto"/>
          <w:szCs w:val="21"/>
          <w:highlight w:val="none"/>
        </w:rPr>
        <w:t>合同的一部分。</w:t>
      </w:r>
    </w:p>
    <w:p>
      <w:pPr>
        <w:pStyle w:val="72"/>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w:t>
      </w:r>
      <w:r>
        <w:rPr>
          <w:rFonts w:hint="eastAsia" w:ascii="宋体" w:eastAsia="宋体"/>
          <w:color w:val="auto"/>
          <w:sz w:val="21"/>
          <w:szCs w:val="21"/>
          <w:highlight w:val="none"/>
          <w:lang w:val="en-US" w:eastAsia="zh-CN"/>
        </w:rPr>
        <w:t>甲方及主管部门</w:t>
      </w:r>
      <w:r>
        <w:rPr>
          <w:rFonts w:hint="eastAsia" w:ascii="宋体" w:eastAsia="宋体"/>
          <w:color w:val="auto"/>
          <w:sz w:val="21"/>
          <w:szCs w:val="21"/>
          <w:highlight w:val="none"/>
        </w:rPr>
        <w:t>监督人员依法实施的检查和监督，承包方在所属现场在施工期间，所发生的一切安全问题和治安问题由承包方负责。</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15.3乙方在实施过程中如发生质量事故责任全部自行承担，及时报告甲方。做到及时查清事故原因，分清事故责任，并采取有效的补救措施。一般质量事故的处理方案应送</w:t>
      </w:r>
      <w:r>
        <w:rPr>
          <w:rFonts w:hint="eastAsia" w:ascii="宋体" w:eastAsia="宋体"/>
          <w:color w:val="auto"/>
          <w:sz w:val="21"/>
          <w:szCs w:val="21"/>
          <w:highlight w:val="none"/>
          <w:lang w:eastAsia="zh-CN"/>
        </w:rPr>
        <w:t>甲方</w:t>
      </w:r>
      <w:r>
        <w:rPr>
          <w:rFonts w:hint="eastAsia" w:ascii="宋体" w:eastAsia="宋体"/>
          <w:color w:val="auto"/>
          <w:sz w:val="21"/>
          <w:szCs w:val="21"/>
          <w:highlight w:val="none"/>
        </w:rPr>
        <w:t>共同研究实施；重大质量事故的处理按国家相关条例执行。</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72"/>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color w:val="auto"/>
          <w:szCs w:val="21"/>
          <w:highlight w:val="none"/>
        </w:rPr>
      </w:pPr>
      <w:r>
        <w:rPr>
          <w:rFonts w:hint="eastAsia"/>
          <w:color w:val="auto"/>
          <w:szCs w:val="21"/>
          <w:highlight w:val="none"/>
        </w:rPr>
        <w:t>16.1合同约定工期节点的，每逾期一天，乙方按2000元/天向甲方支付违约金；逾期超过 30天的，甲方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rPr>
        <w:t>甲方没收全部的履约保证金并乙方承担所有的违约责任并承担由此造成的甲方的全部损失。</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16.2乙方交付的货品不能满足招标文件及合同主要技术标准及质量要求的，应按照要求更换、重做、修理直至按照甲方的要求退货并每发生一次</w:t>
      </w:r>
      <w:r>
        <w:rPr>
          <w:color w:val="auto"/>
          <w:szCs w:val="21"/>
          <w:highlight w:val="none"/>
        </w:rPr>
        <w:t>，</w:t>
      </w:r>
      <w:r>
        <w:rPr>
          <w:rFonts w:hint="eastAsia"/>
          <w:color w:val="auto"/>
          <w:szCs w:val="21"/>
          <w:highlight w:val="none"/>
        </w:rPr>
        <w:t>乙方应向甲方支付违约金</w:t>
      </w:r>
      <w:r>
        <w:rPr>
          <w:rFonts w:hint="eastAsia"/>
          <w:color w:val="auto"/>
          <w:szCs w:val="21"/>
          <w:highlight w:val="none"/>
          <w:lang w:val="en-US" w:eastAsia="zh-CN"/>
        </w:rPr>
        <w:t>5000</w:t>
      </w:r>
      <w:r>
        <w:rPr>
          <w:rFonts w:hint="eastAsia"/>
          <w:color w:val="auto"/>
          <w:szCs w:val="21"/>
          <w:highlight w:val="none"/>
        </w:rPr>
        <w:t>元，累计发生</w:t>
      </w:r>
      <w:r>
        <w:rPr>
          <w:rFonts w:hint="eastAsia"/>
          <w:color w:val="auto"/>
          <w:szCs w:val="21"/>
          <w:highlight w:val="none"/>
          <w:lang w:val="en-US" w:eastAsia="zh-CN"/>
        </w:rPr>
        <w:t>3</w:t>
      </w:r>
      <w:r>
        <w:rPr>
          <w:rFonts w:hint="eastAsia"/>
          <w:color w:val="auto"/>
          <w:szCs w:val="21"/>
          <w:highlight w:val="none"/>
        </w:rPr>
        <w:t>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甲方有权解除本合同</w:t>
      </w:r>
      <w:r>
        <w:rPr>
          <w:color w:val="auto"/>
          <w:szCs w:val="21"/>
          <w:highlight w:val="none"/>
        </w:rPr>
        <w:t>、</w:t>
      </w:r>
      <w:r>
        <w:rPr>
          <w:rFonts w:hint="eastAsia"/>
          <w:color w:val="auto"/>
          <w:szCs w:val="21"/>
          <w:highlight w:val="none"/>
        </w:rPr>
        <w:t>甲方有权没收全部的履约保证金</w:t>
      </w:r>
      <w:r>
        <w:rPr>
          <w:color w:val="auto"/>
          <w:szCs w:val="21"/>
          <w:highlight w:val="none"/>
        </w:rPr>
        <w:t>，</w:t>
      </w:r>
      <w:r>
        <w:rPr>
          <w:rFonts w:hint="eastAsia"/>
          <w:color w:val="auto"/>
          <w:szCs w:val="21"/>
          <w:highlight w:val="none"/>
        </w:rPr>
        <w:t>乙方承担全部的违约责任并乙方应承担因此造成的甲方的所有损失</w:t>
      </w:r>
      <w:r>
        <w:rPr>
          <w:color w:val="auto"/>
          <w:szCs w:val="21"/>
          <w:highlight w:val="none"/>
        </w:rPr>
        <w:t>。</w:t>
      </w:r>
      <w:r>
        <w:rPr>
          <w:rFonts w:hint="eastAsia"/>
          <w:color w:val="auto"/>
          <w:szCs w:val="21"/>
          <w:highlight w:val="none"/>
        </w:rPr>
        <w:t>因此造成交货逾期的，每逾期一天，乙方按2000元/天向甲方支付违约金；逾期超过30天的，甲方有权解除合同，要求乙方退还已收款项并向甲方支付本合同总价款5％的违约金。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16.3乙方接受甲方对供货期调整的要求，具体方式为：甲方提前十五天发出有甲方代表签发的书面通知，乙方进行书面确认后即可执行</w:t>
      </w:r>
      <w:r>
        <w:rPr>
          <w:rFonts w:hint="eastAsia"/>
          <w:bCs/>
          <w:color w:val="auto"/>
          <w:szCs w:val="21"/>
          <w:highlight w:val="none"/>
        </w:rPr>
        <w:t>，</w:t>
      </w:r>
      <w:r>
        <w:rPr>
          <w:rFonts w:hint="eastAsia"/>
          <w:color w:val="auto"/>
          <w:szCs w:val="21"/>
          <w:highlight w:val="none"/>
        </w:rPr>
        <w:t>对此甲方不承担违约责任。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甲方发出</w:t>
      </w:r>
      <w:r>
        <w:rPr>
          <w:rFonts w:hint="eastAsia"/>
          <w:color w:val="auto"/>
          <w:szCs w:val="21"/>
          <w:highlight w:val="none"/>
        </w:rPr>
        <w:t>书面要求其改正之日起30日内仍未采取有效措施并体现效果的，甲方有权解除本合同，并书面通知乙方，由此造成的经济损失，甲方有权在给乙方的任何款项中先行提取补偿，不足部分乙方仍应予以赔偿。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16.5因乙方原因解除本合同时，乙方应向甲方支付签约合同价款</w:t>
      </w:r>
      <w:r>
        <w:rPr>
          <w:rFonts w:hint="eastAsia"/>
          <w:bCs/>
          <w:color w:val="auto"/>
          <w:szCs w:val="21"/>
          <w:highlight w:val="none"/>
        </w:rPr>
        <w:t>20</w:t>
      </w:r>
      <w:r>
        <w:rPr>
          <w:rFonts w:hint="eastAsia"/>
          <w:color w:val="auto"/>
          <w:szCs w:val="21"/>
          <w:highlight w:val="none"/>
        </w:rPr>
        <w:t>%的违约金，且甲方有权决定是否接受属于乙方在现场的一切设施、设备、材料使用于本工程，并乙方应承担由此造成的甲方的全部损失。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.6未经甲方书面同意，乙方将本合同的权利、义务以任何形式全部或部分让与他人的，甲方有权解除本合同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%向甲方支付违约金，并赔偿由此造成的甲方的全部损失。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16.7本合同中所有乙方应支付给甲方的违约金，乙方在收到书面通知后未及时支付的，甲方有权在应付乙方的任何款项中扣除。</w:t>
      </w:r>
    </w:p>
    <w:p>
      <w:pPr>
        <w:pStyle w:val="12"/>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上虞区虞东河湖综合整治工程七标整体验收不合格，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乙方应向甲方支付违约金</w:t>
      </w:r>
      <w:r>
        <w:rPr>
          <w:rFonts w:hint="eastAsia"/>
          <w:color w:val="auto"/>
          <w:szCs w:val="21"/>
          <w:highlight w:val="none"/>
          <w:lang w:val="en-US" w:eastAsia="zh-CN"/>
        </w:rPr>
        <w:t>10000</w:t>
      </w:r>
      <w:r>
        <w:rPr>
          <w:rFonts w:hint="eastAsia"/>
          <w:color w:val="auto"/>
          <w:szCs w:val="21"/>
          <w:highlight w:val="none"/>
        </w:rPr>
        <w:t>元，如造成甲方损失的</w:t>
      </w:r>
      <w:r>
        <w:rPr>
          <w:color w:val="auto"/>
          <w:szCs w:val="21"/>
          <w:highlight w:val="none"/>
        </w:rPr>
        <w:t>，</w:t>
      </w:r>
      <w:r>
        <w:rPr>
          <w:rFonts w:hint="eastAsia"/>
          <w:color w:val="auto"/>
          <w:szCs w:val="21"/>
          <w:highlight w:val="none"/>
        </w:rPr>
        <w:t>甲方有权全额向乙方追索且甲方有权视情形解除本合同。</w:t>
      </w:r>
    </w:p>
    <w:p>
      <w:pPr>
        <w:snapToGrid w:val="0"/>
        <w:spacing w:line="380" w:lineRule="exact"/>
        <w:ind w:firstLine="422" w:firstLineChars="200"/>
        <w:rPr>
          <w:b/>
          <w:color w:val="auto"/>
          <w:szCs w:val="21"/>
          <w:highlight w:val="none"/>
        </w:rPr>
      </w:pPr>
      <w:r>
        <w:rPr>
          <w:rFonts w:hint="eastAsia"/>
          <w:b/>
          <w:color w:val="auto"/>
          <w:szCs w:val="21"/>
          <w:highlight w:val="none"/>
        </w:rPr>
        <w:t>18、售后服务</w:t>
      </w:r>
    </w:p>
    <w:p>
      <w:pPr>
        <w:snapToGrid w:val="0"/>
        <w:spacing w:line="380" w:lineRule="exact"/>
        <w:ind w:firstLine="420" w:firstLineChars="200"/>
        <w:rPr>
          <w:rFonts w:hint="eastAsia"/>
          <w:color w:val="auto"/>
          <w:szCs w:val="21"/>
          <w:highlight w:val="none"/>
        </w:rPr>
      </w:pPr>
      <w:r>
        <w:rPr>
          <w:rFonts w:hint="eastAsia"/>
          <w:color w:val="auto"/>
          <w:szCs w:val="21"/>
          <w:highlight w:val="none"/>
        </w:rPr>
        <w:t>18.1乙方应按法律、行政法规或国家关于设备质量保修的有关规定，对交付甲方使用的设备在质量保修期内承担质量保修责任。</w:t>
      </w:r>
    </w:p>
    <w:p>
      <w:pPr>
        <w:snapToGrid w:val="0"/>
        <w:spacing w:line="380" w:lineRule="exact"/>
        <w:ind w:firstLine="420" w:firstLineChars="200"/>
        <w:rPr>
          <w:color w:val="auto"/>
          <w:szCs w:val="21"/>
          <w:highlight w:val="none"/>
        </w:rPr>
      </w:pPr>
      <w:r>
        <w:rPr>
          <w:rFonts w:hint="eastAsia"/>
          <w:color w:val="auto"/>
          <w:szCs w:val="21"/>
          <w:highlight w:val="none"/>
        </w:rPr>
        <w:t>18.2无论在质量保证期内还是质量保证期满后，一旦设备发生故障，而甲方无法自行排除时，在接到甲方通知后，乙方须在甲方书面通知后2小时内赶到现场维修并及时提供备品、备件，并于4小时内完成维修，质保期内乙方须安排专业维保人员驻场，驻场人员数量及资质须满足甲方需求并获得书面审批，人员未到场一天，扣500元/天，未能按要求完成修复的，扣1000 元/天。</w:t>
      </w:r>
    </w:p>
    <w:p>
      <w:pPr>
        <w:snapToGrid w:val="0"/>
        <w:spacing w:line="380" w:lineRule="exact"/>
        <w:ind w:firstLine="420" w:firstLineChars="200"/>
        <w:rPr>
          <w:color w:val="auto"/>
          <w:szCs w:val="21"/>
          <w:highlight w:val="none"/>
        </w:rPr>
      </w:pPr>
      <w:r>
        <w:rPr>
          <w:rFonts w:hint="eastAsia"/>
          <w:color w:val="auto"/>
          <w:szCs w:val="21"/>
          <w:highlight w:val="none"/>
        </w:rPr>
        <w:t>18.3每个维修项目完成后，经甲方或设备管理方验收并签字后，方为该维修项目本次维修完毕。</w:t>
      </w:r>
    </w:p>
    <w:p>
      <w:pPr>
        <w:snapToGrid w:val="0"/>
        <w:spacing w:line="380" w:lineRule="exact"/>
        <w:ind w:firstLine="420" w:firstLineChars="200"/>
        <w:rPr>
          <w:color w:val="auto"/>
          <w:szCs w:val="21"/>
          <w:highlight w:val="none"/>
        </w:rPr>
      </w:pPr>
      <w:r>
        <w:rPr>
          <w:rFonts w:hint="eastAsia"/>
          <w:color w:val="auto"/>
          <w:szCs w:val="21"/>
          <w:highlight w:val="none"/>
        </w:rPr>
        <w:t>18.4乙方未按本合同约定到场维修或未按约定时间维修完毕的，甲方有权委派他方处理，处理结果由甲方或管理方签字认可后即生效，不再经由乙方确认（甲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乙方应向甲方支付违约金</w:t>
      </w:r>
      <w:r>
        <w:rPr>
          <w:color w:val="auto"/>
          <w:szCs w:val="21"/>
          <w:highlight w:val="none"/>
        </w:rPr>
        <w:t>1000</w:t>
      </w:r>
      <w:r>
        <w:rPr>
          <w:rFonts w:hint="eastAsia"/>
          <w:color w:val="auto"/>
          <w:szCs w:val="21"/>
          <w:highlight w:val="none"/>
        </w:rPr>
        <w:t>元。</w:t>
      </w:r>
    </w:p>
    <w:p>
      <w:pPr>
        <w:tabs>
          <w:tab w:val="left" w:pos="1800"/>
        </w:tabs>
        <w:spacing w:line="380" w:lineRule="exact"/>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或其他方责任，在接到通知后，均遵守上述时间性要求不问理由地进行维修，并在维修过程中与甲方及管理方共同取证，以判断责任原因，不属乙方责任的，由责任方向乙方支付材料及人工费用。</w:t>
      </w:r>
    </w:p>
    <w:p>
      <w:pPr>
        <w:tabs>
          <w:tab w:val="left" w:pos="1800"/>
        </w:tabs>
        <w:spacing w:line="380" w:lineRule="exact"/>
        <w:ind w:left="210" w:leftChars="100"/>
        <w:rPr>
          <w:color w:val="auto"/>
          <w:szCs w:val="21"/>
          <w:highlight w:val="none"/>
        </w:rPr>
      </w:pPr>
      <w:r>
        <w:rPr>
          <w:rFonts w:hint="eastAsia"/>
          <w:color w:val="auto"/>
          <w:szCs w:val="21"/>
          <w:highlight w:val="none"/>
        </w:rPr>
        <w:t xml:space="preserve">  18.6乙方免费培训甲方或甲方指定的操作、管理人员，经培训合格后能上岗操作。</w:t>
      </w:r>
    </w:p>
    <w:p>
      <w:pPr>
        <w:pStyle w:val="11"/>
        <w:rPr>
          <w:color w:val="auto"/>
          <w:szCs w:val="21"/>
          <w:highlight w:val="none"/>
        </w:rPr>
      </w:pPr>
    </w:p>
    <w:p>
      <w:pPr>
        <w:rPr>
          <w:color w:val="auto"/>
          <w:szCs w:val="21"/>
          <w:highlight w:val="none"/>
        </w:rPr>
      </w:pPr>
      <w:r>
        <w:rPr>
          <w:rFonts w:hint="eastAsia"/>
          <w:color w:val="auto"/>
          <w:szCs w:val="21"/>
          <w:highlight w:val="none"/>
        </w:rPr>
        <w:br w:type="page"/>
      </w:r>
    </w:p>
    <w:p>
      <w:pPr>
        <w:pStyle w:val="4"/>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：绍兴市上虞舜惠水利工程有限公司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lang w:eastAsia="zh-CN"/>
        </w:rPr>
        <w:t>绍兴市上虞区虞东河湖综合整治工程七标段—自动化安装项目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绍兴市上虞舜惠水利工程有限公司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4"/>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绍兴市上虞舜惠水利工程有限公司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w:t>
      </w:r>
    </w:p>
    <w:p>
      <w:pPr>
        <w:tabs>
          <w:tab w:val="left" w:pos="4500"/>
          <w:tab w:val="left" w:pos="4680"/>
        </w:tabs>
        <w:spacing w:line="360" w:lineRule="auto"/>
        <w:ind w:firstLine="4200" w:firstLineChars="2000"/>
        <w:rPr>
          <w:color w:val="auto"/>
          <w:szCs w:val="21"/>
          <w:highlight w:val="none"/>
        </w:rPr>
      </w:pPr>
      <w:r>
        <w:rPr>
          <w:rFonts w:hint="eastAsia"/>
          <w:color w:val="auto"/>
          <w:szCs w:val="21"/>
          <w:highlight w:val="none"/>
        </w:rPr>
        <w:t>年     月     日</w:t>
      </w:r>
    </w:p>
    <w:p>
      <w:pPr>
        <w:spacing w:line="360" w:lineRule="auto"/>
        <w:rPr>
          <w:color w:val="auto"/>
          <w:szCs w:val="21"/>
          <w:highlight w:val="none"/>
        </w:rPr>
        <w:sectPr>
          <w:footerReference r:id="rId4"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lang w:eastAsia="zh-CN"/>
        </w:rPr>
        <w:t>绍兴市上虞区虞东河湖综合整治工程七标段—自动化安装项目</w:t>
      </w:r>
      <w:r>
        <w:rPr>
          <w:rFonts w:hint="eastAsia"/>
          <w:color w:val="auto"/>
          <w:szCs w:val="21"/>
          <w:highlight w:val="none"/>
        </w:rPr>
        <w:t>供货合同的实施过程中创造安全、高效的环境，切实搞好本项目的安全管理工作，</w:t>
      </w:r>
      <w:r>
        <w:rPr>
          <w:rFonts w:hint="eastAsia"/>
          <w:color w:val="auto"/>
          <w:szCs w:val="21"/>
          <w:highlight w:val="none"/>
          <w:u w:val="single"/>
        </w:rPr>
        <w:t xml:space="preserve"> 绍兴市上虞舜惠水利工程有限公司 </w:t>
      </w:r>
      <w:r>
        <w:rPr>
          <w:rFonts w:hint="eastAsia"/>
          <w:color w:val="auto"/>
          <w:szCs w:val="21"/>
          <w:highlight w:val="none"/>
        </w:rPr>
        <w:t>（以下简称“甲方”）与</w:t>
      </w:r>
      <w:r>
        <w:rPr>
          <w:rFonts w:hint="eastAsia"/>
          <w:color w:val="auto"/>
          <w:szCs w:val="21"/>
          <w:highlight w:val="none"/>
          <w:u w:val="single"/>
        </w:rPr>
        <w:t xml:space="preserve">       </w:t>
      </w:r>
      <w:r>
        <w:rPr>
          <w:rFonts w:hint="eastAsia"/>
          <w:color w:val="auto"/>
          <w:szCs w:val="21"/>
          <w:highlight w:val="none"/>
        </w:rPr>
        <w:t>（以下简称“乙方”）特此签订安全生产合同如下：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w:t>
      </w:r>
      <w:r>
        <w:rPr>
          <w:rFonts w:hint="eastAsia"/>
          <w:color w:val="auto"/>
          <w:szCs w:val="21"/>
          <w:highlight w:val="none"/>
          <w:lang w:val="en-US" w:eastAsia="zh-CN"/>
        </w:rPr>
        <w:t>2</w:t>
      </w:r>
      <w:r>
        <w:rPr>
          <w:rFonts w:hint="eastAsia"/>
          <w:color w:val="auto"/>
          <w:szCs w:val="21"/>
          <w:highlight w:val="none"/>
        </w:rPr>
        <w:t>份，甲、乙方各1份；副本</w:t>
      </w:r>
      <w:r>
        <w:rPr>
          <w:rFonts w:hint="eastAsia"/>
          <w:color w:val="auto"/>
          <w:szCs w:val="21"/>
          <w:highlight w:val="none"/>
          <w:lang w:val="en-US" w:eastAsia="zh-CN"/>
        </w:rPr>
        <w:t>6</w:t>
      </w:r>
      <w:r>
        <w:rPr>
          <w:rFonts w:hint="eastAsia"/>
          <w:color w:val="auto"/>
          <w:szCs w:val="21"/>
          <w:highlight w:val="none"/>
        </w:rPr>
        <w:t>份，甲方3份，乙方3份。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ind w:firstLine="420" w:firstLineChars="200"/>
        <w:rPr>
          <w:color w:val="auto"/>
          <w:szCs w:val="21"/>
          <w:highlight w:val="none"/>
        </w:rPr>
      </w:pPr>
      <w:r>
        <w:rPr>
          <w:rFonts w:hint="eastAsia"/>
          <w:color w:val="auto"/>
          <w:szCs w:val="21"/>
          <w:highlight w:val="none"/>
        </w:rPr>
        <w:t>甲方：                                       乙方：</w:t>
      </w:r>
    </w:p>
    <w:p>
      <w:pPr>
        <w:spacing w:line="360" w:lineRule="auto"/>
        <w:ind w:firstLine="420" w:firstLineChars="200"/>
        <w:rPr>
          <w:color w:val="auto"/>
          <w:szCs w:val="21"/>
          <w:highlight w:val="none"/>
          <w:u w:val="single"/>
        </w:rPr>
      </w:pPr>
      <w:r>
        <w:rPr>
          <w:rFonts w:hint="eastAsia"/>
          <w:color w:val="auto"/>
          <w:szCs w:val="21"/>
          <w:highlight w:val="none"/>
          <w:u w:val="single"/>
        </w:rPr>
        <w:t xml:space="preserve"> 绍兴市上虞舜惠水利工程有限公司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ind w:firstLine="420" w:firstLineChars="200"/>
        <w:rPr>
          <w:color w:val="auto"/>
          <w:szCs w:val="21"/>
          <w:highlight w:val="none"/>
        </w:rPr>
      </w:pPr>
      <w:r>
        <w:rPr>
          <w:rFonts w:hint="eastAsia"/>
          <w:color w:val="auto"/>
          <w:szCs w:val="21"/>
          <w:highlight w:val="none"/>
        </w:rPr>
        <w:t>法定代表人或                                 法定代表人或</w:t>
      </w:r>
    </w:p>
    <w:p>
      <w:pPr>
        <w:spacing w:line="360" w:lineRule="auto"/>
        <w:ind w:firstLine="420" w:firstLineChars="200"/>
        <w:rPr>
          <w:color w:val="auto"/>
          <w:szCs w:val="21"/>
          <w:highlight w:val="none"/>
        </w:rPr>
      </w:pPr>
      <w:r>
        <w:rPr>
          <w:rFonts w:hint="eastAsia"/>
          <w:color w:val="auto"/>
          <w:szCs w:val="21"/>
          <w:highlight w:val="none"/>
        </w:rPr>
        <w:t>其委托代理人：（签字）                       其委托代理人：（签字）</w:t>
      </w:r>
    </w:p>
    <w:p>
      <w:pPr>
        <w:spacing w:line="360" w:lineRule="auto"/>
        <w:ind w:firstLine="420" w:firstLineChars="200"/>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12"/>
        <w:spacing w:line="360" w:lineRule="auto"/>
        <w:ind w:firstLine="210"/>
        <w:rPr>
          <w:color w:val="auto"/>
          <w:sz w:val="21"/>
          <w:szCs w:val="21"/>
          <w:highlight w:val="none"/>
        </w:rPr>
      </w:pPr>
    </w:p>
    <w:p>
      <w:pPr>
        <w:spacing w:line="360" w:lineRule="auto"/>
        <w:rPr>
          <w:color w:val="auto"/>
          <w:szCs w:val="21"/>
          <w:highlight w:val="none"/>
        </w:rPr>
      </w:pPr>
    </w:p>
    <w:p>
      <w:pPr>
        <w:pStyle w:val="12"/>
        <w:spacing w:line="360" w:lineRule="auto"/>
        <w:ind w:firstLine="210"/>
        <w:rPr>
          <w:color w:val="auto"/>
          <w:sz w:val="21"/>
          <w:szCs w:val="21"/>
          <w:highlight w:val="none"/>
        </w:rPr>
      </w:pPr>
    </w:p>
    <w:p>
      <w:pPr>
        <w:spacing w:line="360" w:lineRule="auto"/>
        <w:rPr>
          <w:color w:val="auto"/>
          <w:szCs w:val="21"/>
          <w:highlight w:val="none"/>
        </w:rPr>
      </w:pPr>
    </w:p>
    <w:p>
      <w:pPr>
        <w:pStyle w:val="12"/>
        <w:spacing w:line="360" w:lineRule="auto"/>
        <w:ind w:firstLine="210"/>
        <w:rPr>
          <w:color w:val="auto"/>
          <w:sz w:val="21"/>
          <w:szCs w:val="21"/>
          <w:highlight w:val="none"/>
        </w:rPr>
      </w:pPr>
    </w:p>
    <w:p>
      <w:pPr>
        <w:spacing w:line="360" w:lineRule="auto"/>
        <w:rPr>
          <w:color w:val="auto"/>
          <w:szCs w:val="21"/>
          <w:highlight w:val="none"/>
        </w:rPr>
      </w:pPr>
    </w:p>
    <w:p>
      <w:pPr>
        <w:pStyle w:val="12"/>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1"/>
        <w:rPr>
          <w:b/>
          <w:color w:val="auto"/>
          <w:szCs w:val="21"/>
          <w:highlight w:val="none"/>
        </w:rPr>
      </w:pPr>
    </w:p>
    <w:p>
      <w:pPr>
        <w:rPr>
          <w:color w:val="auto"/>
          <w:highlight w:val="none"/>
        </w:rPr>
      </w:pPr>
    </w:p>
    <w:p>
      <w:pPr>
        <w:rPr>
          <w:b/>
          <w:color w:val="auto"/>
          <w:szCs w:val="21"/>
          <w:highlight w:val="none"/>
        </w:rPr>
      </w:pPr>
    </w:p>
    <w:p>
      <w:pPr>
        <w:pStyle w:val="12"/>
        <w:ind w:firstLine="341"/>
        <w:rPr>
          <w:b/>
          <w:color w:val="auto"/>
          <w:szCs w:val="21"/>
          <w:highlight w:val="none"/>
        </w:rPr>
      </w:pPr>
    </w:p>
    <w:p>
      <w:pPr>
        <w:rPr>
          <w:b/>
          <w:color w:val="auto"/>
          <w:szCs w:val="21"/>
          <w:highlight w:val="none"/>
        </w:rPr>
      </w:pPr>
    </w:p>
    <w:p>
      <w:pPr>
        <w:pStyle w:val="12"/>
        <w:ind w:firstLine="340"/>
        <w:rPr>
          <w:color w:val="auto"/>
          <w:highlight w:val="none"/>
        </w:rPr>
      </w:pPr>
    </w:p>
    <w:p>
      <w:pPr>
        <w:rPr>
          <w:color w:val="auto"/>
          <w:highlight w:val="none"/>
        </w:rPr>
      </w:pPr>
    </w:p>
    <w:p>
      <w:pPr>
        <w:tabs>
          <w:tab w:val="left" w:pos="4500"/>
          <w:tab w:val="left" w:pos="4680"/>
        </w:tabs>
        <w:spacing w:line="360" w:lineRule="auto"/>
        <w:rPr>
          <w:b/>
          <w:color w:val="auto"/>
          <w:szCs w:val="21"/>
          <w:highlight w:val="none"/>
        </w:rPr>
      </w:pPr>
    </w:p>
    <w:p>
      <w:pPr>
        <w:rPr>
          <w:b/>
          <w:color w:val="auto"/>
          <w:szCs w:val="21"/>
          <w:highlight w:val="none"/>
        </w:rPr>
      </w:pPr>
      <w:r>
        <w:rPr>
          <w:rFonts w:hint="eastAsia"/>
          <w:b/>
          <w:color w:val="auto"/>
          <w:szCs w:val="21"/>
          <w:highlight w:val="none"/>
        </w:rPr>
        <w:br w:type="page"/>
      </w: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宋体" w:hAnsi="宋体" w:cs="宋体"/>
          <w:b/>
          <w:bCs/>
          <w:color w:val="auto"/>
          <w:szCs w:val="21"/>
          <w:highlight w:val="none"/>
        </w:rPr>
      </w:pPr>
      <w:bookmarkStart w:id="442" w:name="_Toc30226"/>
      <w:r>
        <w:rPr>
          <w:rFonts w:hint="eastAsia" w:ascii="宋体" w:hAnsi="宋体" w:cs="宋体"/>
          <w:b/>
          <w:bCs/>
          <w:color w:val="auto"/>
          <w:szCs w:val="21"/>
          <w:highlight w:val="none"/>
        </w:rPr>
        <w:t>质 量 保 修 书</w:t>
      </w:r>
      <w:bookmarkEnd w:id="442"/>
    </w:p>
    <w:p>
      <w:pPr>
        <w:spacing w:line="360" w:lineRule="auto"/>
        <w:ind w:firstLine="211"/>
        <w:rPr>
          <w:rFonts w:ascii="宋体" w:hAnsi="宋体" w:cs="宋体"/>
          <w:b/>
          <w:color w:val="auto"/>
          <w:szCs w:val="21"/>
          <w:highlight w:val="none"/>
        </w:rPr>
      </w:pPr>
      <w:r>
        <w:rPr>
          <w:rFonts w:hint="eastAsia" w:ascii="宋体" w:hAnsi="宋体" w:cs="宋体"/>
          <w:b/>
          <w:color w:val="auto"/>
          <w:szCs w:val="21"/>
          <w:highlight w:val="none"/>
        </w:rPr>
        <w:t>甲方（招标人）：</w:t>
      </w:r>
      <w:r>
        <w:rPr>
          <w:rFonts w:hint="eastAsia"/>
          <w:color w:val="auto"/>
          <w:szCs w:val="21"/>
          <w:highlight w:val="none"/>
          <w:u w:val="single"/>
        </w:rPr>
        <w:t>绍兴市上虞舜惠水利工程有限公司</w:t>
      </w:r>
      <w:r>
        <w:rPr>
          <w:rFonts w:hint="eastAsia" w:ascii="宋体" w:hAnsi="宋体" w:cs="宋体"/>
          <w:b/>
          <w:color w:val="auto"/>
          <w:highlight w:val="none"/>
          <w:u w:val="single"/>
        </w:rPr>
        <w:t xml:space="preserve">                        </w:t>
      </w:r>
    </w:p>
    <w:p>
      <w:pPr>
        <w:spacing w:line="360" w:lineRule="auto"/>
        <w:ind w:firstLine="211"/>
        <w:rPr>
          <w:rFonts w:ascii="宋体" w:hAnsi="宋体" w:cs="宋体"/>
          <w:b/>
          <w:color w:val="auto"/>
          <w:szCs w:val="21"/>
          <w:highlight w:val="none"/>
          <w:u w:val="single"/>
        </w:rPr>
      </w:pPr>
      <w:r>
        <w:rPr>
          <w:rFonts w:hint="eastAsia" w:ascii="宋体" w:hAnsi="宋体" w:cs="宋体"/>
          <w:b/>
          <w:color w:val="auto"/>
          <w:szCs w:val="21"/>
          <w:highlight w:val="none"/>
        </w:rPr>
        <w:t>乙方（供应商）：</w:t>
      </w:r>
      <w:r>
        <w:rPr>
          <w:rFonts w:hint="eastAsia" w:ascii="宋体" w:hAnsi="宋体" w:cs="宋体"/>
          <w:b/>
          <w:color w:val="auto"/>
          <w:highlight w:val="none"/>
          <w:u w:val="single"/>
        </w:rPr>
        <w:t xml:space="preserve">                        </w:t>
      </w:r>
    </w:p>
    <w:p>
      <w:pPr>
        <w:pStyle w:val="18"/>
        <w:spacing w:line="360" w:lineRule="auto"/>
        <w:ind w:firstLine="211"/>
        <w:rPr>
          <w:rFonts w:hAnsi="宋体" w:cs="宋体"/>
          <w:b/>
          <w:color w:val="auto"/>
          <w:highlight w:val="none"/>
          <w:u w:val="single"/>
        </w:rPr>
      </w:pPr>
    </w:p>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为保证</w:t>
      </w:r>
      <w:r>
        <w:rPr>
          <w:rFonts w:hint="eastAsia" w:ascii="宋体" w:hAnsi="宋体" w:cs="宋体"/>
          <w:b/>
          <w:color w:val="auto"/>
          <w:highlight w:val="none"/>
          <w:u w:val="single"/>
        </w:rPr>
        <w:t xml:space="preserve"> </w:t>
      </w:r>
      <w:r>
        <w:rPr>
          <w:rFonts w:hint="eastAsia"/>
          <w:color w:val="auto"/>
          <w:szCs w:val="21"/>
          <w:highlight w:val="none"/>
          <w:u w:val="single"/>
          <w:lang w:eastAsia="zh-CN"/>
        </w:rPr>
        <w:t>绍兴市上虞区虞东河湖综合整治工程七标段—自动化安装项目在</w:t>
      </w:r>
      <w:r>
        <w:rPr>
          <w:rFonts w:hint="eastAsia" w:ascii="宋体" w:hAnsi="宋体" w:cs="宋体"/>
          <w:color w:val="auto"/>
          <w:szCs w:val="21"/>
          <w:highlight w:val="none"/>
        </w:rPr>
        <w:t>合理使用期限内正常使用，各方经协商一致签订本质量保修书。乙方在质量保修期内按照有关管理规定及约定承担工程及设备质量保修责任。</w:t>
      </w:r>
    </w:p>
    <w:p>
      <w:pPr>
        <w:spacing w:line="360" w:lineRule="auto"/>
        <w:ind w:firstLine="211"/>
        <w:rPr>
          <w:rFonts w:ascii="宋体" w:hAnsi="宋体" w:cs="宋体"/>
          <w:b/>
          <w:color w:val="auto"/>
          <w:szCs w:val="21"/>
          <w:highlight w:val="none"/>
        </w:rPr>
      </w:pPr>
      <w:r>
        <w:rPr>
          <w:rFonts w:hint="eastAsia" w:ascii="宋体" w:hAnsi="宋体" w:cs="宋体"/>
          <w:b/>
          <w:color w:val="auto"/>
          <w:szCs w:val="21"/>
          <w:highlight w:val="none"/>
        </w:rPr>
        <w:t>一、质量保修范围和内容</w:t>
      </w:r>
    </w:p>
    <w:p>
      <w:pPr>
        <w:spacing w:line="360" w:lineRule="auto"/>
        <w:ind w:firstLine="420" w:firstLineChars="200"/>
        <w:rPr>
          <w:rFonts w:ascii="宋体" w:hAnsi="宋体" w:cs="宋体"/>
          <w:color w:val="auto"/>
          <w:szCs w:val="21"/>
          <w:highlight w:val="none"/>
          <w:u w:val="single"/>
        </w:rPr>
      </w:pPr>
      <w:r>
        <w:rPr>
          <w:rFonts w:hint="eastAsia" w:ascii="宋体" w:hAnsi="宋体" w:cs="宋体"/>
          <w:color w:val="auto"/>
          <w:szCs w:val="21"/>
          <w:highlight w:val="none"/>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highlight w:val="none"/>
          <w:u w:val="single"/>
        </w:rPr>
        <w:t>合同约定范围的所有项目及变更增加项目。</w:t>
      </w:r>
    </w:p>
    <w:p>
      <w:pPr>
        <w:spacing w:line="360" w:lineRule="auto"/>
        <w:ind w:firstLine="211"/>
        <w:rPr>
          <w:rFonts w:ascii="宋体" w:hAnsi="宋体" w:cs="宋体"/>
          <w:b/>
          <w:color w:val="auto"/>
          <w:szCs w:val="21"/>
          <w:highlight w:val="none"/>
        </w:rPr>
      </w:pPr>
      <w:r>
        <w:rPr>
          <w:rFonts w:hint="eastAsia" w:ascii="宋体" w:hAnsi="宋体" w:cs="宋体"/>
          <w:b/>
          <w:color w:val="auto"/>
          <w:szCs w:val="21"/>
          <w:highlight w:val="none"/>
        </w:rPr>
        <w:t>二、质量保修期</w:t>
      </w:r>
    </w:p>
    <w:p>
      <w:pPr>
        <w:spacing w:line="360" w:lineRule="auto"/>
        <w:ind w:firstLine="525" w:firstLineChars="250"/>
        <w:rPr>
          <w:rFonts w:ascii="宋体" w:hAnsi="宋体" w:cs="宋体"/>
          <w:color w:val="auto"/>
          <w:szCs w:val="21"/>
          <w:highlight w:val="none"/>
        </w:rPr>
      </w:pPr>
      <w:r>
        <w:rPr>
          <w:rFonts w:hint="eastAsia" w:ascii="宋体" w:hAnsi="宋体" w:cs="宋体"/>
          <w:color w:val="auto"/>
          <w:szCs w:val="21"/>
          <w:highlight w:val="none"/>
        </w:rPr>
        <w:t>质量保修期为：工程经竣工验收合格并移交甲方使用产品之日起算     个月或    年（质保期优惠的，在此基础上顺延，优惠期满才视为质量保修期满）。</w:t>
      </w:r>
    </w:p>
    <w:p>
      <w:pPr>
        <w:spacing w:line="360" w:lineRule="auto"/>
        <w:ind w:firstLine="210"/>
        <w:rPr>
          <w:rFonts w:ascii="宋体" w:hAnsi="宋体" w:cs="宋体"/>
          <w:b/>
          <w:color w:val="auto"/>
          <w:szCs w:val="21"/>
          <w:highlight w:val="none"/>
        </w:rPr>
      </w:pPr>
      <w:r>
        <w:rPr>
          <w:rFonts w:hint="eastAsia" w:ascii="宋体" w:hAnsi="宋体" w:cs="宋体"/>
          <w:b/>
          <w:color w:val="auto"/>
          <w:szCs w:val="21"/>
          <w:highlight w:val="none"/>
        </w:rPr>
        <w:t>三、质量保修责任</w:t>
      </w:r>
    </w:p>
    <w:p>
      <w:pPr>
        <w:spacing w:line="360" w:lineRule="auto"/>
        <w:ind w:firstLine="504" w:firstLineChars="240"/>
        <w:rPr>
          <w:rFonts w:ascii="宋体" w:hAnsi="宋体" w:cs="宋体"/>
          <w:color w:val="auto"/>
          <w:szCs w:val="21"/>
          <w:highlight w:val="none"/>
        </w:rPr>
      </w:pPr>
      <w:r>
        <w:rPr>
          <w:rFonts w:hint="eastAsia" w:ascii="宋体" w:hAnsi="宋体" w:cs="宋体"/>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宋体" w:hAnsi="宋体" w:cs="宋体"/>
          <w:color w:val="auto"/>
          <w:szCs w:val="21"/>
          <w:highlight w:val="none"/>
        </w:rPr>
      </w:pPr>
      <w:r>
        <w:rPr>
          <w:rFonts w:hint="eastAsia" w:ascii="宋体" w:hAnsi="宋体" w:cs="宋体"/>
          <w:color w:val="auto"/>
          <w:szCs w:val="21"/>
          <w:highlight w:val="none"/>
        </w:rPr>
        <w:t>2．属于保修范围、内容的项目，乙方应当在接到保修通知起</w:t>
      </w:r>
      <w:r>
        <w:rPr>
          <w:rFonts w:hint="eastAsia" w:ascii="宋体" w:hAnsi="宋体" w:cs="宋体"/>
          <w:bCs/>
          <w:color w:val="auto"/>
          <w:szCs w:val="21"/>
          <w:highlight w:val="none"/>
        </w:rPr>
        <w:t>2小时内</w:t>
      </w:r>
      <w:r>
        <w:rPr>
          <w:rFonts w:hint="eastAsia" w:ascii="宋体" w:hAnsi="宋体" w:cs="宋体"/>
          <w:color w:val="auto"/>
          <w:szCs w:val="21"/>
          <w:highlight w:val="none"/>
        </w:rPr>
        <w:t>赶到现场进行维修，并提供不间断的服务直到结束。质保期内乙方须安排专业维保人员驻场，驻场人员数量及资质须满足甲方需求并获得书面审批。</w:t>
      </w:r>
    </w:p>
    <w:p>
      <w:pPr>
        <w:spacing w:line="360" w:lineRule="auto"/>
        <w:ind w:firstLine="525" w:firstLineChars="250"/>
        <w:rPr>
          <w:rFonts w:ascii="宋体" w:hAnsi="宋体" w:cs="宋体"/>
          <w:color w:val="auto"/>
          <w:szCs w:val="21"/>
          <w:highlight w:val="none"/>
        </w:rPr>
      </w:pPr>
      <w:r>
        <w:rPr>
          <w:rFonts w:hint="eastAsia" w:ascii="宋体" w:hAnsi="宋体" w:cs="宋体"/>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宋体" w:hAnsi="宋体" w:cs="宋体"/>
          <w:color w:val="auto"/>
          <w:szCs w:val="21"/>
          <w:highlight w:val="none"/>
        </w:rPr>
      </w:pPr>
      <w:r>
        <w:rPr>
          <w:rFonts w:hint="eastAsia" w:ascii="宋体" w:hAnsi="宋体" w:cs="宋体"/>
          <w:color w:val="auto"/>
          <w:szCs w:val="21"/>
          <w:highlight w:val="none"/>
        </w:rPr>
        <w:t xml:space="preserve">4. 乙方不在约定期限内派人保修的，甲方可以委托他人修理，由此产生的费用从质量保修金内扣除。 </w:t>
      </w:r>
    </w:p>
    <w:p>
      <w:pPr>
        <w:spacing w:line="360" w:lineRule="auto"/>
        <w:ind w:firstLine="495" w:firstLineChars="236"/>
        <w:rPr>
          <w:rFonts w:ascii="宋体" w:hAnsi="宋体" w:cs="宋体"/>
          <w:color w:val="auto"/>
          <w:szCs w:val="21"/>
          <w:highlight w:val="none"/>
        </w:rPr>
      </w:pPr>
      <w:r>
        <w:rPr>
          <w:rFonts w:hint="eastAsia" w:ascii="宋体" w:hAnsi="宋体" w:cs="宋体"/>
          <w:color w:val="auto"/>
          <w:szCs w:val="21"/>
          <w:highlight w:val="none"/>
        </w:rPr>
        <w:t>5. 每次维修及维保好后，乙方需一式两份报告给甲方，包括故障原因，解决措施（或维保内容），完成修理（或维保）所费时间及恢复正常运行日期。</w:t>
      </w:r>
    </w:p>
    <w:p>
      <w:pPr>
        <w:spacing w:line="360" w:lineRule="auto"/>
        <w:ind w:firstLine="495" w:firstLineChars="236"/>
        <w:rPr>
          <w:rFonts w:ascii="宋体" w:hAnsi="宋体" w:cs="宋体"/>
          <w:color w:val="auto"/>
          <w:szCs w:val="21"/>
          <w:highlight w:val="none"/>
        </w:rPr>
      </w:pPr>
      <w:r>
        <w:rPr>
          <w:rFonts w:hint="eastAsia" w:ascii="宋体" w:hAnsi="宋体" w:cs="宋体"/>
          <w:color w:val="auto"/>
          <w:szCs w:val="21"/>
          <w:highlight w:val="none"/>
        </w:rPr>
        <w:t>6. 乙方如未按上述要求履行保修义务，每违反一次，从质量保修金中扣除违约金壹仟元整（1000元）；</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7、在质保期结束时，须由专业工程师对设备进行另一次测试，任何故障须由乙方自费解决并取得甲方的同意。</w:t>
      </w:r>
    </w:p>
    <w:p>
      <w:pPr>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宋体" w:hAnsi="宋体" w:cs="宋体"/>
          <w:color w:val="auto"/>
          <w:szCs w:val="21"/>
          <w:highlight w:val="none"/>
        </w:rPr>
      </w:pPr>
      <w:r>
        <w:rPr>
          <w:rFonts w:hint="eastAsia" w:ascii="宋体" w:hAnsi="宋体" w:cs="宋体"/>
          <w:color w:val="auto"/>
          <w:szCs w:val="21"/>
          <w:highlight w:val="none"/>
        </w:rPr>
        <w:t xml:space="preserve">  9、保修费用由乙方承担。</w:t>
      </w:r>
    </w:p>
    <w:p>
      <w:pPr>
        <w:spacing w:line="360" w:lineRule="auto"/>
        <w:ind w:firstLine="498" w:firstLineChars="236"/>
        <w:rPr>
          <w:rFonts w:ascii="宋体" w:hAnsi="宋体" w:cs="宋体"/>
          <w:b/>
          <w:color w:val="auto"/>
          <w:szCs w:val="21"/>
          <w:highlight w:val="none"/>
        </w:rPr>
      </w:pPr>
      <w:r>
        <w:rPr>
          <w:rFonts w:hint="eastAsia" w:ascii="宋体" w:hAnsi="宋体" w:cs="宋体"/>
          <w:b/>
          <w:color w:val="auto"/>
          <w:szCs w:val="21"/>
          <w:highlight w:val="none"/>
        </w:rPr>
        <w:t>四、质量保修金的支付</w:t>
      </w:r>
    </w:p>
    <w:p>
      <w:pPr>
        <w:spacing w:line="360" w:lineRule="auto"/>
        <w:ind w:firstLine="210"/>
        <w:rPr>
          <w:rFonts w:ascii="宋体" w:hAnsi="宋体" w:cs="宋体"/>
          <w:color w:val="auto"/>
          <w:szCs w:val="21"/>
          <w:highlight w:val="none"/>
          <w:u w:val="single"/>
        </w:rPr>
      </w:pPr>
      <w:r>
        <w:rPr>
          <w:rFonts w:hint="eastAsia" w:ascii="宋体" w:hAnsi="宋体" w:cs="宋体"/>
          <w:color w:val="auto"/>
          <w:szCs w:val="21"/>
          <w:highlight w:val="none"/>
        </w:rPr>
        <w:t>本项目质量保修金为结算总价款的</w:t>
      </w:r>
      <w:r>
        <w:rPr>
          <w:rFonts w:hint="eastAsia" w:ascii="宋体" w:hAnsi="宋体" w:cs="宋体"/>
          <w:color w:val="auto"/>
          <w:szCs w:val="21"/>
          <w:highlight w:val="none"/>
          <w:u w:val="single"/>
          <w:lang w:val="en-US" w:eastAsia="zh-CN"/>
        </w:rPr>
        <w:t>1</w:t>
      </w:r>
      <w:r>
        <w:rPr>
          <w:rFonts w:hint="eastAsia" w:ascii="宋体" w:hAnsi="宋体" w:cs="宋体"/>
          <w:color w:val="auto"/>
          <w:szCs w:val="21"/>
          <w:highlight w:val="none"/>
          <w:u w:val="single"/>
        </w:rPr>
        <w:t xml:space="preserve">.5 </w:t>
      </w:r>
      <w:r>
        <w:rPr>
          <w:rFonts w:hint="eastAsia" w:ascii="宋体" w:hAnsi="宋体" w:cs="宋体"/>
          <w:color w:val="auto"/>
          <w:szCs w:val="21"/>
          <w:highlight w:val="none"/>
        </w:rPr>
        <w:t>%，在工程竣工结算时一次性扣留。质量保修金返还时</w:t>
      </w:r>
      <w:r>
        <w:rPr>
          <w:rFonts w:hint="eastAsia" w:ascii="宋体" w:hAnsi="宋体" w:cs="宋体"/>
          <w:color w:val="auto"/>
          <w:szCs w:val="21"/>
          <w:highlight w:val="none"/>
          <w:u w:val="single"/>
        </w:rPr>
        <w:t>不计银行利息。</w:t>
      </w:r>
    </w:p>
    <w:p>
      <w:pPr>
        <w:spacing w:line="360" w:lineRule="auto"/>
        <w:ind w:firstLine="413" w:firstLineChars="196"/>
        <w:rPr>
          <w:rFonts w:ascii="宋体" w:hAnsi="宋体" w:cs="宋体"/>
          <w:b/>
          <w:color w:val="auto"/>
          <w:szCs w:val="21"/>
          <w:highlight w:val="none"/>
        </w:rPr>
      </w:pPr>
      <w:r>
        <w:rPr>
          <w:rFonts w:hint="eastAsia" w:ascii="宋体" w:hAnsi="宋体" w:cs="宋体"/>
          <w:b/>
          <w:color w:val="auto"/>
          <w:szCs w:val="21"/>
          <w:highlight w:val="none"/>
        </w:rPr>
        <w:t>五、质量保修金的返还</w:t>
      </w:r>
    </w:p>
    <w:p>
      <w:pPr>
        <w:spacing w:line="360" w:lineRule="auto"/>
        <w:ind w:firstLine="495" w:firstLineChars="236"/>
        <w:rPr>
          <w:rFonts w:ascii="宋体" w:hAnsi="宋体" w:cs="宋体"/>
          <w:color w:val="auto"/>
          <w:szCs w:val="21"/>
          <w:highlight w:val="none"/>
          <w:u w:val="single"/>
        </w:rPr>
      </w:pPr>
      <w:r>
        <w:rPr>
          <w:rFonts w:hint="eastAsia" w:ascii="宋体" w:hAnsi="宋体" w:cs="宋体"/>
          <w:color w:val="auto"/>
          <w:szCs w:val="21"/>
          <w:highlight w:val="none"/>
          <w:u w:val="single"/>
        </w:rPr>
        <w:t>质量保修期满后，经甲方组织验收，如合同约定范围的所有项目及变更增加项目无任何产品质量问题或故障，甲方在扣除相应的维修保养违约金和相应赔偿金（如有）后，30日历天内返还剩余质量保修金（不计息）。</w:t>
      </w:r>
    </w:p>
    <w:p>
      <w:pPr>
        <w:spacing w:line="360" w:lineRule="auto"/>
        <w:ind w:firstLine="413" w:firstLineChars="196"/>
        <w:rPr>
          <w:rFonts w:ascii="宋体" w:hAnsi="宋体" w:cs="宋体"/>
          <w:b/>
          <w:color w:val="auto"/>
          <w:szCs w:val="21"/>
          <w:highlight w:val="none"/>
        </w:rPr>
      </w:pPr>
      <w:r>
        <w:rPr>
          <w:rFonts w:hint="eastAsia" w:ascii="宋体" w:hAnsi="宋体" w:cs="宋体"/>
          <w:b/>
          <w:color w:val="auto"/>
          <w:szCs w:val="21"/>
          <w:highlight w:val="none"/>
        </w:rPr>
        <w:t>六、其他</w:t>
      </w:r>
    </w:p>
    <w:p>
      <w:pPr>
        <w:spacing w:line="360" w:lineRule="auto"/>
        <w:ind w:firstLine="210"/>
        <w:rPr>
          <w:rFonts w:ascii="宋体" w:hAnsi="宋体" w:cs="宋体"/>
          <w:color w:val="auto"/>
          <w:szCs w:val="21"/>
          <w:highlight w:val="none"/>
          <w:u w:val="single"/>
        </w:rPr>
      </w:pPr>
      <w:r>
        <w:rPr>
          <w:rFonts w:hint="eastAsia" w:ascii="宋体" w:hAnsi="宋体" w:cs="宋体"/>
          <w:color w:val="auto"/>
          <w:szCs w:val="21"/>
          <w:highlight w:val="none"/>
        </w:rPr>
        <w:t>各方约定的其他工程质量保修事项：</w:t>
      </w:r>
      <w:r>
        <w:rPr>
          <w:rFonts w:hint="eastAsia" w:ascii="宋体" w:hAnsi="宋体" w:cs="宋体"/>
          <w:color w:val="auto"/>
          <w:szCs w:val="21"/>
          <w:highlight w:val="none"/>
          <w:u w:val="single"/>
        </w:rPr>
        <w:t xml:space="preserve"> 按有关规定执行。</w:t>
      </w:r>
    </w:p>
    <w:p>
      <w:pPr>
        <w:rPr>
          <w:rFonts w:ascii="宋体" w:hAnsi="宋体" w:cs="宋体"/>
          <w:color w:val="auto"/>
          <w:szCs w:val="21"/>
          <w:highlight w:val="none"/>
        </w:rPr>
      </w:pPr>
    </w:p>
    <w:p>
      <w:pPr>
        <w:tabs>
          <w:tab w:val="left" w:pos="5040"/>
        </w:tabs>
        <w:spacing w:line="360" w:lineRule="auto"/>
        <w:ind w:firstLine="420" w:firstLineChars="200"/>
        <w:rPr>
          <w:color w:val="auto"/>
          <w:szCs w:val="21"/>
          <w:highlight w:val="none"/>
        </w:rPr>
      </w:pPr>
      <w:r>
        <w:rPr>
          <w:rFonts w:hint="eastAsia"/>
          <w:color w:val="auto"/>
          <w:szCs w:val="21"/>
          <w:highlight w:val="none"/>
        </w:rPr>
        <w:t>甲方：                                       乙方：</w:t>
      </w:r>
    </w:p>
    <w:p>
      <w:pPr>
        <w:spacing w:line="360" w:lineRule="auto"/>
        <w:ind w:firstLine="420" w:firstLineChars="200"/>
        <w:rPr>
          <w:color w:val="auto"/>
          <w:szCs w:val="21"/>
          <w:highlight w:val="none"/>
          <w:u w:val="single"/>
        </w:rPr>
      </w:pPr>
      <w:r>
        <w:rPr>
          <w:rFonts w:hint="eastAsia"/>
          <w:color w:val="auto"/>
          <w:szCs w:val="21"/>
          <w:highlight w:val="none"/>
          <w:u w:val="single"/>
        </w:rPr>
        <w:t xml:space="preserve"> 绍兴市上虞舜惠水利工程有限公司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ind w:firstLine="420" w:firstLineChars="200"/>
        <w:rPr>
          <w:color w:val="auto"/>
          <w:szCs w:val="21"/>
          <w:highlight w:val="none"/>
        </w:rPr>
      </w:pPr>
      <w:r>
        <w:rPr>
          <w:rFonts w:hint="eastAsia"/>
          <w:color w:val="auto"/>
          <w:szCs w:val="21"/>
          <w:highlight w:val="none"/>
        </w:rPr>
        <w:t>法定代表人或                                 法定代表人或</w:t>
      </w:r>
    </w:p>
    <w:p>
      <w:pPr>
        <w:spacing w:line="360" w:lineRule="auto"/>
        <w:ind w:firstLine="420" w:firstLineChars="200"/>
        <w:rPr>
          <w:color w:val="auto"/>
          <w:szCs w:val="21"/>
          <w:highlight w:val="none"/>
        </w:rPr>
      </w:pPr>
      <w:r>
        <w:rPr>
          <w:rFonts w:hint="eastAsia"/>
          <w:color w:val="auto"/>
          <w:szCs w:val="21"/>
          <w:highlight w:val="none"/>
        </w:rPr>
        <w:t>其委托代理人：（签字）                       其委托代理人：（签字）</w:t>
      </w:r>
    </w:p>
    <w:p>
      <w:pPr>
        <w:spacing w:line="360" w:lineRule="auto"/>
        <w:ind w:firstLine="420" w:firstLineChars="200"/>
        <w:rPr>
          <w:color w:val="auto"/>
          <w:szCs w:val="21"/>
          <w:highlight w:val="none"/>
        </w:rPr>
      </w:pPr>
      <w:r>
        <w:rPr>
          <w:rFonts w:hint="eastAsia"/>
          <w:color w:val="auto"/>
          <w:szCs w:val="21"/>
          <w:highlight w:val="none"/>
        </w:rPr>
        <w:t>日期：     年   月   日                      日期：    年   月   日</w:t>
      </w:r>
    </w:p>
    <w:p>
      <w:pPr>
        <w:pStyle w:val="31"/>
        <w:shd w:val="clear" w:color="auto" w:fill="FFFFFF"/>
        <w:spacing w:before="0" w:beforeAutospacing="0" w:after="0" w:afterAutospacing="0" w:line="360" w:lineRule="auto"/>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pPr>
        <w:pStyle w:val="31"/>
        <w:shd w:val="clear" w:color="auto" w:fill="FFFFFF"/>
        <w:spacing w:before="0" w:beforeAutospacing="0" w:after="0" w:afterAutospacing="0" w:line="360" w:lineRule="auto"/>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　　　　　  </w:t>
      </w:r>
    </w:p>
    <w:p>
      <w:pPr>
        <w:pStyle w:val="31"/>
        <w:shd w:val="clear" w:color="auto" w:fill="FFFFFF"/>
        <w:spacing w:before="0" w:beforeAutospacing="0" w:after="0" w:afterAutospacing="0" w:line="360" w:lineRule="auto"/>
        <w:ind w:firstLine="420" w:firstLineChars="200"/>
        <w:rPr>
          <w:rFonts w:ascii="宋体" w:hAnsi="宋体" w:cs="宋体"/>
          <w:color w:val="auto"/>
          <w:sz w:val="21"/>
          <w:szCs w:val="21"/>
          <w:highlight w:val="none"/>
        </w:rPr>
      </w:pPr>
    </w:p>
    <w:p>
      <w:pPr>
        <w:pStyle w:val="31"/>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2"/>
        <w:rPr>
          <w:color w:val="auto"/>
          <w:highlight w:val="none"/>
        </w:rPr>
      </w:pPr>
      <w:r>
        <w:rPr>
          <w:rFonts w:hint="eastAsia"/>
          <w:color w:val="auto"/>
          <w:highlight w:val="none"/>
        </w:rPr>
        <w:t>第五章  图纸</w:t>
      </w: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tbl>
      <w:tblPr>
        <w:tblStyle w:val="33"/>
        <w:tblW w:w="9397" w:type="dxa"/>
        <w:tblInd w:w="0" w:type="dxa"/>
        <w:tblLayout w:type="fixed"/>
        <w:tblCellMar>
          <w:top w:w="0" w:type="dxa"/>
          <w:left w:w="10" w:type="dxa"/>
          <w:bottom w:w="0" w:type="dxa"/>
          <w:right w:w="10" w:type="dxa"/>
        </w:tblCellMar>
      </w:tblPr>
      <w:tblGrid>
        <w:gridCol w:w="889"/>
        <w:gridCol w:w="2569"/>
        <w:gridCol w:w="2582"/>
        <w:gridCol w:w="1119"/>
        <w:gridCol w:w="1271"/>
        <w:gridCol w:w="967"/>
      </w:tblGrid>
      <w:tr>
        <w:tblPrEx>
          <w:tblCellMar>
            <w:top w:w="0" w:type="dxa"/>
            <w:left w:w="10" w:type="dxa"/>
            <w:bottom w:w="0" w:type="dxa"/>
            <w:right w:w="10" w:type="dxa"/>
          </w:tblCellMar>
        </w:tblPrEx>
        <w:trPr>
          <w:trHeight w:val="615"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615"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水情自动测报系统</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HD11930104S-ZDH01</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安全监测系统</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HD11930104S-ZDH02</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计算机监控系统</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HD11930104S-ZDH03</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图像安防系统</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w:t>
            </w:r>
            <w:r>
              <w:rPr>
                <w:rFonts w:hint="eastAsia" w:asciiTheme="minorEastAsia" w:hAnsiTheme="minorEastAsia" w:eastAsiaTheme="minorEastAsia" w:cstheme="minorEastAsia"/>
                <w:color w:val="auto"/>
                <w:sz w:val="24"/>
                <w:szCs w:val="24"/>
                <w:highlight w:val="none"/>
                <w:lang w:val="en-US" w:eastAsia="zh-CN"/>
              </w:rPr>
              <w:t>4</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管理控制中心</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w:t>
            </w:r>
            <w:r>
              <w:rPr>
                <w:rFonts w:hint="eastAsia" w:asciiTheme="minorEastAsia" w:hAnsiTheme="minorEastAsia" w:eastAsiaTheme="minorEastAsia" w:cstheme="minorEastAsia"/>
                <w:color w:val="auto"/>
                <w:sz w:val="24"/>
                <w:szCs w:val="24"/>
                <w:highlight w:val="none"/>
                <w:lang w:val="en-US" w:eastAsia="zh-CN"/>
              </w:rPr>
              <w:t>5</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软件平台</w:t>
            </w: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HD11930104S-ZDH0</w:t>
            </w:r>
            <w:r>
              <w:rPr>
                <w:rFonts w:hint="eastAsia" w:asciiTheme="minorEastAsia" w:hAnsiTheme="minorEastAsia" w:eastAsiaTheme="minorEastAsia" w:cstheme="minorEastAsia"/>
                <w:color w:val="auto"/>
                <w:sz w:val="24"/>
                <w:szCs w:val="24"/>
                <w:highlight w:val="none"/>
                <w:lang w:val="en-US" w:eastAsia="zh-CN"/>
              </w:rPr>
              <w:t>6</w:t>
            </w: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2023.6</w:t>
            </w: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313"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322" w:hRule="atLeast"/>
        </w:trPr>
        <w:tc>
          <w:tcPr>
            <w:tcW w:w="88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256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p>
        </w:tc>
        <w:tc>
          <w:tcPr>
            <w:tcW w:w="2582"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rPr>
                <w:rFonts w:asciiTheme="minorEastAsia" w:hAnsiTheme="minorEastAsia" w:eastAsiaTheme="minorEastAsia" w:cstheme="minorEastAsia"/>
                <w:color w:val="auto"/>
                <w:sz w:val="24"/>
                <w:szCs w:val="24"/>
                <w:highlight w:val="none"/>
              </w:rPr>
            </w:pPr>
          </w:p>
        </w:tc>
        <w:tc>
          <w:tcPr>
            <w:tcW w:w="11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127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c>
          <w:tcPr>
            <w:tcW w:w="96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pPr>
              <w:snapToGrid w:val="0"/>
              <w:jc w:val="center"/>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20" w:lineRule="auto"/>
        <w:ind w:firstLine="48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招标人提供由浙江省水利水电勘测设计院提供的</w:t>
      </w:r>
      <w:r>
        <w:rPr>
          <w:rFonts w:hint="eastAsia" w:asciiTheme="minorEastAsia" w:hAnsiTheme="minorEastAsia" w:eastAsiaTheme="minorEastAsia" w:cstheme="minorEastAsia"/>
          <w:b/>
          <w:bCs/>
          <w:color w:val="auto"/>
          <w:sz w:val="24"/>
          <w:szCs w:val="24"/>
          <w:highlight w:val="none"/>
          <w:lang w:eastAsia="zh-CN"/>
        </w:rPr>
        <w:t>绍兴市上虞区虞东河湖综合整治工程七标段—自动化安装项目</w:t>
      </w:r>
      <w:r>
        <w:rPr>
          <w:rFonts w:hint="eastAsia" w:asciiTheme="minorEastAsia" w:hAnsiTheme="minorEastAsia" w:eastAsiaTheme="minorEastAsia" w:cstheme="minorEastAsia"/>
          <w:b/>
          <w:bCs/>
          <w:color w:val="auto"/>
          <w:sz w:val="24"/>
          <w:szCs w:val="24"/>
          <w:highlight w:val="none"/>
        </w:rPr>
        <w:t>图纸（电子版），请各投标人</w:t>
      </w:r>
      <w:r>
        <w:rPr>
          <w:rFonts w:hint="eastAsia" w:asciiTheme="minorEastAsia" w:hAnsiTheme="minorEastAsia" w:eastAsiaTheme="minorEastAsia" w:cstheme="minorEastAsia"/>
          <w:b/>
          <w:bCs/>
          <w:color w:val="auto"/>
          <w:sz w:val="24"/>
          <w:szCs w:val="24"/>
          <w:highlight w:val="none"/>
          <w:lang w:eastAsia="zh-CN"/>
        </w:rPr>
        <w:t>在登陆</w:t>
      </w:r>
      <w:r>
        <w:rPr>
          <w:rFonts w:hint="eastAsia" w:asciiTheme="minorEastAsia" w:hAnsiTheme="minorEastAsia" w:eastAsiaTheme="minorEastAsia" w:cstheme="minorEastAsia"/>
          <w:b/>
          <w:bCs/>
          <w:color w:val="auto"/>
          <w:sz w:val="24"/>
          <w:szCs w:val="24"/>
          <w:highlight w:val="none"/>
        </w:rPr>
        <w:t>绍兴公共资源交易网交易平台后在“其他资料”中领取下载电子版图纸。</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rPr>
          <w:color w:val="auto"/>
          <w:highlight w:val="none"/>
        </w:rPr>
      </w:pPr>
      <w:bookmarkStart w:id="443" w:name="_Toc19145"/>
      <w:r>
        <w:rPr>
          <w:rFonts w:hint="eastAsia"/>
          <w:color w:val="auto"/>
          <w:highlight w:val="none"/>
        </w:rPr>
        <w:br w:type="page"/>
      </w:r>
    </w:p>
    <w:p>
      <w:pPr>
        <w:pStyle w:val="2"/>
        <w:rPr>
          <w:color w:val="auto"/>
          <w:highlight w:val="none"/>
        </w:rPr>
      </w:pPr>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12"/>
        <w:numPr>
          <w:ilvl w:val="0"/>
          <w:numId w:val="5"/>
        </w:numPr>
        <w:ind w:firstLine="281"/>
        <w:jc w:val="center"/>
        <w:rPr>
          <w:b/>
          <w:bCs/>
          <w:color w:val="auto"/>
          <w:sz w:val="28"/>
          <w:szCs w:val="28"/>
          <w:highlight w:val="none"/>
        </w:rPr>
      </w:pPr>
      <w:r>
        <w:rPr>
          <w:rFonts w:hint="eastAsia"/>
          <w:b/>
          <w:bCs/>
          <w:color w:val="auto"/>
          <w:sz w:val="28"/>
          <w:szCs w:val="28"/>
          <w:highlight w:val="none"/>
        </w:rPr>
        <w:t>技术要求</w:t>
      </w:r>
    </w:p>
    <w:p>
      <w:pPr>
        <w:pStyle w:val="13"/>
        <w:ind w:left="0"/>
        <w:rPr>
          <w:color w:val="auto"/>
          <w:highlight w:val="none"/>
        </w:rPr>
        <w:sectPr>
          <w:footerReference r:id="rId5" w:type="default"/>
          <w:pgSz w:w="11907" w:h="16840"/>
          <w:pgMar w:top="1418" w:right="1134" w:bottom="1418" w:left="1134" w:header="680" w:footer="680" w:gutter="0"/>
          <w:cols w:space="720" w:num="1"/>
          <w:docGrid w:linePitch="271" w:charSpace="0"/>
        </w:sectPr>
      </w:pPr>
    </w:p>
    <w:p>
      <w:pPr>
        <w:pStyle w:val="93"/>
        <w:rPr>
          <w:bCs/>
          <w:color w:val="auto"/>
          <w:highlight w:val="none"/>
        </w:rPr>
      </w:pPr>
      <w:r>
        <w:rPr>
          <w:rFonts w:hint="eastAsia"/>
          <w:color w:val="auto"/>
          <w:highlight w:val="none"/>
        </w:rPr>
        <w:t>一般规定与规范</w:t>
      </w:r>
    </w:p>
    <w:p>
      <w:pPr>
        <w:pStyle w:val="96"/>
        <w:rPr>
          <w:color w:val="auto"/>
          <w:highlight w:val="none"/>
        </w:rPr>
      </w:pPr>
      <w:r>
        <w:rPr>
          <w:rFonts w:hint="eastAsia"/>
          <w:color w:val="auto"/>
          <w:highlight w:val="none"/>
        </w:rPr>
        <w:t>通则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本技术条款适用于本篇招标文件中所需求货物的功能设计、结构、性能、安装和试验等方面的技术要求。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本技术条款提出的是最低限度的技术要求，并未对一切技术细节做出规定，也未充分引述有关标准和规范的条文，承包人应提供符合本规范书和工业标准的优质产品。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承包人对供货范围内的成套系统设备（含辅助系统及设备、附件等）负有全责，包括分包（或对外采购）的产品。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在设备设计、制造和安装中所涉及的各项规程，规范和标准应遵循现行最新版本的标准。本技术规范书所引用的标准若与投标人所执行的标准发生矛盾时，按较严格的标准执行。如果本技术规范书前后有不一致和与合同有矛盾之处，则以更有利于设备安全运行、工程质量的原则，由发包人确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设备采用的专利技术费用均被认为已含在设备报价中，承包人应保证发包人不承担相关设备专利的一切责任。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对进口设备和原材料必须有制造所属国商会出具的原产地证明和海关报关单。如在使用过程中发现有虚假行为，必须免费进行更换，并承担相应损失。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承包人提供的设备的操作界面、菜单、其它显示内容及相关随机资料均应为中文。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如果投标人没有以书面形式对本规范书的条文提出异议，则意味着投标人提供的设备（系统）完全符合本技术规范书的要求。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本技术规范经承包人和发包人双方确认后作为订货合同的技术附件，与合同正文具有同等的法律效力。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本技术规范未尽事宜，由承包人和发包人双方协商确定。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相互协调和完善的设计。任何元件或装置，如果招标文件中未专门提到，但它对于一套完整的和性能良好的系统又是必不可少的，或者对于稳定运行，或者对于改善设备运行都是必要的话，那么这些元件或装置，也应由承包人提供，其费用应包括在总价中。</w:t>
      </w:r>
    </w:p>
    <w:p>
      <w:pPr>
        <w:pStyle w:val="96"/>
        <w:rPr>
          <w:bCs/>
          <w:color w:val="auto"/>
          <w:highlight w:val="none"/>
        </w:rPr>
      </w:pPr>
      <w:r>
        <w:rPr>
          <w:rFonts w:hint="eastAsia"/>
          <w:color w:val="auto"/>
          <w:highlight w:val="none"/>
        </w:rPr>
        <w:t>工程概述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绍兴市上虞区虞东河湖综合整治工程建设内容包括皂李湖筑堤建闸、白马湖引水隧洞、六湖清淤整治工程以及皂李湖进排河道、盖南河起始河段以及白马湖~东西泊等河道整治工程。工程实施后，将提高虞东片防洪排涝能力，提升虞东片水域的水环境品质，并为虞东片水域保护明确管理范围。因此，本工程的建设任务为防洪排涝和改善水生态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包含5座新建水闸（皂李湖河节制闸1、皂李湖河节制闸2、皂李湖～白马湖连接隧洞进口节制闸、皂李湖～白马湖连接隧洞出口套闸、白马湖～东西泊连接隧洞进口节制闸）。本工程皂李湖河节制闸1、皂李湖河节制闸2主要功能为参与分洪排涝，其他3座水闸主要功能为连通湖水，改善水质；另外，根据该区域规划，5座水闸具有通航功能，便于景区游船的通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皂李湖河节制闸1主要用电负荷为1台工作闸门启闭机，采用固定卷扬式启闭机，电动机功率4.5kW。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皂李湖河节制闸2主要用电负荷为3台工作闸门启闭机，均采用固定卷扬式启闭机，单台电动机功率4.5kW。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皂李湖～白马湖连接隧洞进口节制闸主要用电负荷为1台工作闸门启闭机，采用固定卷扬式启闭机，电动机功率7.5kW。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皂李湖～白马湖连接隧洞出口套闸，上闸首、下闸首主要用电负荷均为1台工作闸门启闭机，采用固定卷扬式启闭机，电动机功率7.5kW。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白马湖～东西泊连接隧洞进口节制闸主要用电负荷为1台工作闸门启闭机，采用固定卷扬式启闭机，电动机功率7.5kW。</w:t>
      </w:r>
    </w:p>
    <w:p>
      <w:pPr>
        <w:pStyle w:val="96"/>
        <w:rPr>
          <w:bCs/>
          <w:color w:val="auto"/>
          <w:highlight w:val="none"/>
        </w:rPr>
      </w:pPr>
      <w:r>
        <w:rPr>
          <w:rFonts w:hint="eastAsia"/>
          <w:color w:val="auto"/>
          <w:highlight w:val="none"/>
        </w:rPr>
        <w:t>工作范围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承包人应承担本工程自动化系统结构及软、硬件的设计，负责软件开发及所有设备元器件的配置、材料采购、制造、出厂前的预装配和试验、包装、运输、交货、现场技术指导、安装、系统集成及装配、现场试验、联调试运行和验收（上述内容要根据清单分别到各建筑物工地），编制和提交工程设计和系统运行相关的全部图纸、资料等；完成与其它供货商的设备之间连接部分的设计、制造的协调工作以及数据通道的开通工作，并完全符合合同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承包人承担本工程自动化系统建设对本工程其他标段（如土建、电气等）牵头衔接的角色（包括但不限于计划对接、分工界面划分、相关标段实施进展跟踪、跨标段衔接问题的梳理等事宜），组织相关对接协调工作，保障整体建设内容有序开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本标段从工程总体自动化系统建设需求出发，综合考虑本工程运行期各类监测、监控系统，明确统一系统框架，进行工程信息采集与交互管理、数据资源管理以及基础应用支撑建设，搭建工程统一采集与交互和数据管理模型框架，支持本工程水情自动测报、流量监测、工程安全监测、计算机监控、图像安防等系统的数据集成及统一管理，并兼容主流的数据存储方式，同时满足水利厅、水利部等政府部门的数据中心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本标段包括数据资源体系、应用支撑体系、数字化管理平台、数字化应用场景、移动应用等数字化业务应用软件功能开发，承包人具体软件开发须做好项目资料收集处理、详细需求分析和系统设计工作，包括系统框架和界面设计在内的系统建设方案应征求发包人意见，发包人同意后实施，并做好系统总体整合集成及调试等工作。本次招标相关应用系统建设均包含数据采集或收集、数据处理及整编入库、分析计算相关建模等，承包人报价时须统一考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承包人应提供相互协调和完善的设计。与本标段建设内容相关的任何元件或装置，如果招标文件中未专门提到，但它对于单一系统功能实现或一套完整的和性能良好的工程数字化系统又是必不可少的，或者对于系统稳定运行，改善工程数字化系统运行品质都是必要的话，那么这些元件、装置、软件产品或服务等，也应由承包人提供，含在投标总价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6）承包人应成套供给合同要求的所有设备及设备安装、试验、拆卸和重新组装所必需的专用工具、专用设备、配件、特殊安装、检验和试验用材料和其他设备。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承包人不仅仅负责本工程自动化系统相关的所有软、硬件的采购，同时还负责进行装配、部署、调试、以及相关配套工程的施工。承包人最终提交给发包人的成果是已经完成调试、消缺的，可以直接使用的完整的自动化系统建设成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8）承包人所有提供的成果材料都应有中文版本；相关图纸、文本、报告、 说明、软件详细说明文档（至少包含带逻辑关系的流程图、数据库表结构）等成果，应及时提供给发包人及设计单位等。所有按规定提交的图纸和资料，向承包人提供3份，向工程设计单位提交1份。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承包人应成套供给合同要求的所有设备及设备安装、试验、拆卸和重新组装所必需的专用工具、专用设备、配件、特殊安装、检验和试验用材料和其他设备。合同设备供货及服务范围内的设备间连接线包括所用光缆（含熔接及跳线）、网络连接线（含接头）及其系统设备到通信设备间的连线、电源电缆等。本合同设备安装运行、维护所必须的零部件和材料、工器具及易损件等备品备件均属供货范围。</w:t>
      </w:r>
    </w:p>
    <w:p>
      <w:pPr>
        <w:pStyle w:val="96"/>
        <w:rPr>
          <w:bCs/>
          <w:color w:val="auto"/>
          <w:highlight w:val="none"/>
        </w:rPr>
      </w:pPr>
      <w:r>
        <w:rPr>
          <w:rFonts w:hint="eastAsia"/>
          <w:color w:val="auto"/>
          <w:highlight w:val="none"/>
        </w:rPr>
        <w:t>计量单位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除有特殊规定外，设计图样、技术条件与其它资料的计量单位均采用国际单位制（SI）。</w:t>
      </w:r>
    </w:p>
    <w:p>
      <w:pPr>
        <w:pStyle w:val="96"/>
        <w:rPr>
          <w:bCs/>
          <w:color w:val="auto"/>
          <w:highlight w:val="none"/>
        </w:rPr>
      </w:pPr>
      <w:r>
        <w:rPr>
          <w:rFonts w:hint="eastAsia"/>
          <w:color w:val="auto"/>
          <w:highlight w:val="none"/>
        </w:rPr>
        <w:t>交通运输及通讯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1）飞机场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最近的飞机场是杭州萧山机场。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2）铁路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最近的火车站为</w:t>
      </w:r>
      <w:r>
        <w:rPr>
          <w:rFonts w:hint="eastAsia" w:ascii="宋体" w:hAnsi="宋体" w:cs="宋体"/>
          <w:color w:val="auto"/>
          <w:szCs w:val="21"/>
          <w:highlight w:val="none"/>
          <w:lang w:val="en-US" w:eastAsia="zh-CN" w:bidi="ar"/>
        </w:rPr>
        <w:t>绍兴东</w:t>
      </w:r>
      <w:r>
        <w:rPr>
          <w:rFonts w:hint="eastAsia" w:ascii="宋体" w:hAnsi="宋体" w:cs="宋体"/>
          <w:color w:val="auto"/>
          <w:szCs w:val="21"/>
          <w:highlight w:val="none"/>
          <w:lang w:bidi="ar"/>
        </w:rPr>
        <w:t>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3）公路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公路直达各建筑物，对外交通便利。</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净空高度和沿途桥涵等由承包人现场踏勘和调查。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4）通讯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工地现场采用电话联系。</w:t>
      </w:r>
    </w:p>
    <w:p>
      <w:pPr>
        <w:pStyle w:val="96"/>
        <w:rPr>
          <w:bCs/>
          <w:color w:val="auto"/>
          <w:highlight w:val="none"/>
        </w:rPr>
      </w:pPr>
      <w:r>
        <w:rPr>
          <w:rFonts w:hint="eastAsia"/>
          <w:color w:val="auto"/>
          <w:highlight w:val="none"/>
        </w:rPr>
        <w:t>标志、包装、装卸、运输与储存</w:t>
      </w:r>
    </w:p>
    <w:p>
      <w:pPr>
        <w:pStyle w:val="98"/>
        <w:rPr>
          <w:bCs/>
          <w:color w:val="auto"/>
          <w:highlight w:val="none"/>
        </w:rPr>
      </w:pPr>
      <w:r>
        <w:rPr>
          <w:rFonts w:hint="eastAsia"/>
          <w:color w:val="auto"/>
          <w:highlight w:val="none"/>
        </w:rPr>
        <w:t>标志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设备铭牌可选用耐腐蚀的不锈钢或铜质材料制造。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铭牌安放在运行人员容易看到的地方。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铭牌上刻有耐磨损的下列内容（但不限于此）：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制造厂名称、设备型号、设备名称、主要技术参数、出厂检验编码、出厂日期编码。</w:t>
      </w:r>
    </w:p>
    <w:p>
      <w:pPr>
        <w:pStyle w:val="98"/>
        <w:rPr>
          <w:bCs/>
          <w:color w:val="auto"/>
          <w:highlight w:val="none"/>
        </w:rPr>
      </w:pPr>
      <w:r>
        <w:rPr>
          <w:rFonts w:hint="eastAsia"/>
          <w:color w:val="auto"/>
          <w:highlight w:val="none"/>
        </w:rPr>
        <w:t>包装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设备分类装箱并遵循适于运输，便于安装和查找的原则。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包装箱外壁有明显的文字说明，如：设备名称、用途及运输、储存安全注意事项等。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包装箱内附带下列文件（但不限于此）：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装箱单；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产品使用说明书；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产品检验合格证书；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产品出厂试验报告等。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各种包装应能确保各零部件在运输过程中不致遭到损坏、丢失、变形、受潮和腐蚀。</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包装箱上应有明显的包装储运图示标志（按GB/T191）。</w:t>
      </w:r>
    </w:p>
    <w:p>
      <w:pPr>
        <w:pStyle w:val="98"/>
        <w:rPr>
          <w:bCs/>
          <w:color w:val="auto"/>
          <w:highlight w:val="none"/>
        </w:rPr>
      </w:pPr>
      <w:r>
        <w:rPr>
          <w:rFonts w:hint="eastAsia"/>
          <w:color w:val="auto"/>
          <w:highlight w:val="none"/>
        </w:rPr>
        <w:t>装卸和运输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所有部件经妥善包装或装箱后，在运输过程中尚应采取其它防护措施，以免散失损坏或被盗。</w:t>
      </w:r>
    </w:p>
    <w:p>
      <w:pPr>
        <w:pStyle w:val="98"/>
        <w:rPr>
          <w:bCs/>
          <w:color w:val="auto"/>
          <w:highlight w:val="none"/>
        </w:rPr>
      </w:pPr>
      <w:r>
        <w:rPr>
          <w:rFonts w:hint="eastAsia"/>
          <w:color w:val="auto"/>
          <w:highlight w:val="none"/>
        </w:rPr>
        <w:t>储存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承包人应根据包装箱内所装物品的特性，提供安全保存方法的说明。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承包人所供的备品备件及专用工具亦应有安全储存方法的说明。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设备制造完成并通过试验后应及时包装，确保其不受污损。</w:t>
      </w:r>
    </w:p>
    <w:p>
      <w:pPr>
        <w:pStyle w:val="96"/>
        <w:rPr>
          <w:bCs/>
          <w:color w:val="auto"/>
          <w:highlight w:val="none"/>
        </w:rPr>
      </w:pPr>
      <w:r>
        <w:rPr>
          <w:rFonts w:hint="eastAsia"/>
          <w:color w:val="auto"/>
          <w:highlight w:val="none"/>
        </w:rPr>
        <w:t>总体技术要求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1）系统可选用SOA（Service-Oriented Architecture）面向服务的架构，系统集成架构要能够适应业务变化和未来发展需求，满足系统架构中各层分步实施的建设要求。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2）系统架构中可选用遵循业界标准、开放成熟的中间件搭建应用支撑平台，屏蔽复杂的底层技术，实现技术层面的统一布局，实现应用系统间互联互通与数据交换，可适应未来业务发展与变化。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3）遵循已有标准规范，包括数据交换、设计开发、文档管理、系统集成等。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4）系统开发应建立在成熟的开发技术基础之上，采用先进的开发技术，并且应当具备二次开发能力。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5）系统应对数据和应用的安全性作充分考虑，提供较完善的数据加密及访问控制，提供日志跟踪与统计分析功能。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6）提供完备的系统管理手段，确保整个应用系统安全可靠的运行；确保系统不间断运行。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7）易用性要求，人机界面应友好，符合用户操作习惯和业务要求，便于使用。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8）软件功能要满足模块化开发要求，功能开发采用模块化的开发模式，保障后续系统平台功能的可扩展性。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9）接口及协议的要满足开放性要求，项目承建方保障系统接口与协议对外开放，并需明确做出承诺，为后续一体化平台扩展奠定基础。</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10）本项目通讯及数据接口转换相关设备及程序不进行单列，在项目中默认纳入整体实施内容。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11）投标人需根据本工程整体网络安全及布设的相关要求，明确各区域（控制区、管理区）各应用系统数据同步及交换模式，并保障不同区域部署的应用系统的正常运行。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12）在签订合同之后，招标人保留对本技术规格书提出补充要求和修改的权力，投标人应承诺予以配合。如提出修改，具体项目和条件由投标人与招标人商定。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13）投标人提供技术文档所使用的度量衡单位除技术规格中另有规定外，应统一用公制单位。</w:t>
      </w:r>
    </w:p>
    <w:p>
      <w:pPr>
        <w:pStyle w:val="96"/>
        <w:rPr>
          <w:bCs/>
          <w:color w:val="auto"/>
          <w:highlight w:val="none"/>
        </w:rPr>
      </w:pPr>
      <w:r>
        <w:rPr>
          <w:rFonts w:hint="eastAsia"/>
          <w:color w:val="auto"/>
          <w:highlight w:val="none"/>
        </w:rPr>
        <w:t>相关系统边界及配合要求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本标段是建设服务于绍兴市上虞区虞东河湖综合整治工程的工程自动化系统。</w:t>
      </w:r>
    </w:p>
    <w:p>
      <w:pPr>
        <w:pStyle w:val="98"/>
        <w:rPr>
          <w:bCs/>
          <w:color w:val="auto"/>
          <w:highlight w:val="none"/>
        </w:rPr>
      </w:pPr>
      <w:r>
        <w:rPr>
          <w:rFonts w:hint="eastAsia"/>
          <w:color w:val="auto"/>
          <w:highlight w:val="none"/>
        </w:rPr>
        <w:t>与其他标段的界面划分与配合要求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本标段在实施过程中需要与多个标段相互配合，最终完成本标段建设内容，主要有（但不限于）：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1）本项目工程安全监测仪器设备已随主体工程完成安装埋设，本标段主要完成工程安全监测系统数据汇聚，并通过工程管理区网络接入工程安全监测工作站。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本次招标相关硬件设备取电连网，须与本工程相关电气工程实施标段做好衔接，其中本标段视频监视系统、广播信号系统及计算机监控系统相关设备取电连网所需电缆光纤已在本标段列支，需考虑与其他标段做好衔接。</w:t>
      </w:r>
    </w:p>
    <w:p>
      <w:pPr>
        <w:pStyle w:val="98"/>
        <w:rPr>
          <w:bCs/>
          <w:color w:val="auto"/>
          <w:highlight w:val="none"/>
        </w:rPr>
      </w:pPr>
      <w:r>
        <w:rPr>
          <w:rFonts w:hint="eastAsia"/>
          <w:color w:val="auto"/>
          <w:highlight w:val="none"/>
        </w:rPr>
        <w:t>与外部系统的界面划分与配合要求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本工程数字化管理平台，根据建设要求需做好与水利行业相关业务系统包括但不限于省水平台相关建设成果、省水利监管平台与省水利运管平台相关建设成果、上虞区水平台等外部系统的衔接整合工作，建立数据共享、业务协同机制，实现数据的互联互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2）本标段系统相关工程数据格式，应符合省水管平台数据格式要求，应能满足相关数据上传上报需求。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3）本标段系统应具备与水利、防汛等相关部门进行远程会商的功能。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4）为了响应政策关于推进信创号召，减少信息安全事故发生风险，本标段系统相关硬件设备和软件部署用云资源应符合信创要求，达到应用的国产化要求。同时，本项目中各子系统应用软件均能解决信创软硬件设备基础环境的兼容性、性能等问题。</w:t>
      </w:r>
    </w:p>
    <w:p>
      <w:pPr>
        <w:pStyle w:val="96"/>
        <w:rPr>
          <w:bCs/>
          <w:color w:val="auto"/>
          <w:highlight w:val="none"/>
        </w:rPr>
      </w:pPr>
      <w:r>
        <w:rPr>
          <w:rFonts w:hint="eastAsia"/>
          <w:color w:val="auto"/>
          <w:highlight w:val="none"/>
        </w:rPr>
        <w:t>标准规范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除非另行规定，所有的设备、材料和工艺均应达到国家标准，或者根据情况等同于或高于技术规格书中指定的标准执行。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为便于检验和测试，要求承包人将标准的复印件交监理工程师作为检验和测试时的依据。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在本规定中引用的标准和规范，应是在投标截止日期之前30天内尚在通用的或最新版本标准。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设备的设计、制造、测试及安装可选用适合于该项目的相应质量标准，技术标准、试验规程以及在技术规格书中规定的任何其它标准。应参照下列标准和规范（不限于）的最新版本（含修改部分）的要求执行。如果几种规范和标准适用于同一种情况，则应遵循最为严格的规范。这些标准应包括但不限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《计算机软件需求说明编制指南》（GB 9385）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《中华人民共和国计算机信息系统安全保护条例》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《计算机信息系统保密管理暂行规定》（国保发[1998]1号）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《计算机软件产品开发文件编制指南》（GB/T 8567）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《计算机信息系统安全保护等级划分准则》（GB/T17859）</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《信息技术、安全技术、信息技术安全性评估准则》(GB/T 18336)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《信息技术、开放系统互联、互联高层安全模型》（GB/T9387）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《信息技术、开放系统互联、应用层结构》（GB/T 17176）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《信息技术、开放系统互联、开放系统安全框架》（ISO 10181）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《信息技术、开放系统互联、通用高层安全》（GB/T 18237）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《计算机场地通用规范》（GB/T 2887）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《电子计算机机房设计规范》（GB 50174）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《信息技术软件生存周期过程》（GB/T 8566）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《信息技术软件生存周期过程指南》（GB/Z 18493）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《计算机软件测试文件编制规范》（GB/T 9386）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《计算机软件配置管理计划规范》（GB/T 12505）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《软件文档管理指南》（GB/T 16680）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《计算机软件质量保证管理计划规范》（GB/T 12504）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《信息技术软件包质量要求和测试》（GB/T 17544）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《信息技术及软件完整性级别》（GB/T 18492）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《计算机软件可靠性和可维护性管理》（GB/T 14394）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《信息技术软件产品评价质量特性及其使用指南》（GB/T 18905）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《软件工程产品评价》（GB/T 18905）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《水文自动测报系统规范》（SL61）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《水利信息系统初步设计报告编制规定》（SL/Z332）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《水利水电工程水情自动测报系统设计规定》（DL/T5051）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《水利水电工程通信设计技术规程》（DL/T5080）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《水利水电工程水文自动测报系统设计规范》（SL566）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《水文情报预报规范》（GB/T22482）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《水文基础设施建设及技术装备标准》（SL276）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《安全防范视频监控联网系统信息传输、交换、控制技术要求》（GB/T28181）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《水闸工程管理设计规范》（SL170）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《入侵报警系统工程设计规范》（GB50394）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《安全防范工程技术规范》（GB50348）</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工业控制计算机系统验收大纲（JB/T5234）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安全防范工程程序与要求（GA/T75）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安全防范系统通用图形符号（GB/T74）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数据通信基本型控制规程（GB3453）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数据终端（DTE）和数据电路终端设备（DCE 之间的接口定义）（GB3454）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IEEE802.3 网络技术标准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水电工程水情自动测报系统技术规范（NB/T35003）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水利水电工程通信设计技术规范（SL517）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水利水电工程水文自动测报系统设计规范（SL566）</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水文情报预报规范（GB/T22482）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水闸设计规范（SL265）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安全防范视频监控联网系统信息传输、交换、控制技术要求（GB/T28181）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电力系统调度自动化设计技术规程（DL/5003）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民用闭路监视电视系统工程技术规范（GB50198）</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安全防范工程技术规范（GB50348）</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全国水利信息化规划（“金水工程”规划）（水利部发布）。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《关于全面推行水利工程标准化管理的意见》（浙政办发〔2016〕4 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《全面推进水利工程标准化管理实施方案（2016~2020 年）》（浙水科[2016]1 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《浙江省水利工程标准化运行管理平台建设导则和技术要求（试行）》；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《浙江省大中型水闸工程运行管理规程》（2019 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水利信息化顶层设计（水利部）；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电力、机械、水利等行业颁发的有关技术要求及规定。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所有螺丝、螺母、螺栓、螺杆和有关管件的螺纹应使用GB标准。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设备制造可选用先进的工艺，以保证各种运行情况下运行可靠。所有部件的结构、尺寸和材料应做到在各种应力下不产生扭曲和过量磨损。零部件应有良好的互换性和便于安装及检修。</w:t>
      </w:r>
    </w:p>
    <w:p>
      <w:pPr>
        <w:rPr>
          <w:rFonts w:ascii="宋体" w:hAnsi="宋体" w:cs="宋体"/>
          <w:b/>
          <w:bCs/>
          <w:color w:val="auto"/>
          <w:kern w:val="2"/>
          <w:szCs w:val="21"/>
          <w:highlight w:val="none"/>
        </w:rPr>
        <w:sectPr>
          <w:type w:val="continuous"/>
          <w:pgSz w:w="11907" w:h="16840"/>
          <w:pgMar w:top="1701" w:right="1417" w:bottom="1418" w:left="1701" w:header="1304" w:footer="1134" w:gutter="0"/>
          <w:cols w:space="720" w:num="1"/>
          <w:docGrid w:type="lines" w:linePitch="527" w:charSpace="0"/>
        </w:sectPr>
      </w:pPr>
    </w:p>
    <w:p>
      <w:pPr>
        <w:pStyle w:val="93"/>
        <w:rPr>
          <w:bCs/>
          <w:color w:val="auto"/>
          <w:highlight w:val="none"/>
        </w:rPr>
      </w:pPr>
      <w:r>
        <w:rPr>
          <w:rFonts w:hint="eastAsia"/>
          <w:color w:val="auto"/>
          <w:highlight w:val="none"/>
        </w:rPr>
        <w:t>基础感知</w:t>
      </w:r>
    </w:p>
    <w:p>
      <w:pPr>
        <w:pStyle w:val="96"/>
        <w:rPr>
          <w:bCs/>
          <w:color w:val="auto"/>
          <w:highlight w:val="none"/>
        </w:rPr>
      </w:pPr>
      <w:r>
        <w:rPr>
          <w:rFonts w:hint="eastAsia"/>
          <w:color w:val="auto"/>
          <w:highlight w:val="none"/>
        </w:rPr>
        <w:t>水情自动测报系统</w:t>
      </w:r>
    </w:p>
    <w:p>
      <w:pPr>
        <w:pStyle w:val="98"/>
        <w:rPr>
          <w:bCs/>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观测数据作为水利工程运行管理的基础数据，在多元基础感知体系中是必不可少的。水情自动测报系统将水位和雨量数据集中采集、上报和存储，并经过系统处理，基本上可以全面了解管理流域内的水文特征，为防汛、防台预警和调度等提供坚实可靠的基础数据。水情自动测报系统实时传递水雨情信息为各级防汛指挥部门汛期调度提供了可靠的数据，为调度决策提供了依据。</w:t>
      </w:r>
    </w:p>
    <w:p>
      <w:pPr>
        <w:pStyle w:val="98"/>
        <w:rPr>
          <w:bCs/>
          <w:color w:val="auto"/>
          <w:highlight w:val="none"/>
        </w:rPr>
      </w:pPr>
      <w:r>
        <w:rPr>
          <w:rFonts w:hint="eastAsia"/>
          <w:color w:val="auto"/>
          <w:highlight w:val="none"/>
        </w:rPr>
        <w:t>点位布置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水情自动测报系统中水位监测站等硬件设备布置在现地，中心站则布置在虞东河湖管理控制中心，与其他办公设备共同构成水情自动测报系统，为江河流域及水资源合理利用等方面的运行调度决策提供科学依据。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目前工程附近有小越、白马湖等雨量观测站，观测资料条件较好，有较好的代表性。本工程水情自动测报系统在皂李湖、白马湖、小越湖、孔家岙泊、东泊和西泊等六湖泊增设水位遥测站，以便更好地掌握水情变化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为了解工程运行过程中的引水量，在皂李湖~白马湖输水隧洞引渠设置流量监测断面。</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4"/>
        <w:gridCol w:w="3924"/>
        <w:gridCol w:w="1891"/>
        <w:gridCol w:w="2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序号</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建设位置</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遥测站类别</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1</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皂李湖</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2</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白马湖</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3</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小越湖</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4</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孔家岙泊</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5</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东泊</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6</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西泊</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7</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color w:val="auto"/>
                <w:sz w:val="21"/>
                <w:szCs w:val="21"/>
                <w:highlight w:val="none"/>
              </w:rPr>
            </w:pPr>
            <w:r>
              <w:rPr>
                <w:rFonts w:hAnsi="宋体" w:cs="宋体"/>
                <w:color w:val="auto"/>
                <w:sz w:val="21"/>
                <w:szCs w:val="21"/>
                <w:highlight w:val="none"/>
              </w:rPr>
              <w:t>梁湖枢纽</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水位、雨量</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数据接入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8</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color w:val="auto"/>
                <w:sz w:val="21"/>
                <w:szCs w:val="21"/>
                <w:highlight w:val="none"/>
              </w:rPr>
            </w:pPr>
            <w:r>
              <w:rPr>
                <w:rFonts w:hAnsi="宋体" w:cs="宋体"/>
                <w:color w:val="auto"/>
                <w:sz w:val="21"/>
                <w:szCs w:val="21"/>
                <w:highlight w:val="none"/>
              </w:rPr>
              <w:t>皂湖</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水位</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数据接入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9</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color w:val="auto"/>
                <w:sz w:val="21"/>
                <w:szCs w:val="21"/>
                <w:highlight w:val="none"/>
              </w:rPr>
            </w:pPr>
            <w:r>
              <w:rPr>
                <w:rFonts w:hAnsi="宋体" w:cs="宋体"/>
                <w:color w:val="auto"/>
                <w:sz w:val="21"/>
                <w:szCs w:val="21"/>
                <w:highlight w:val="none"/>
              </w:rPr>
              <w:t>白马湖</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雨量</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数据接入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10</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color w:val="auto"/>
                <w:sz w:val="21"/>
                <w:szCs w:val="21"/>
                <w:highlight w:val="none"/>
              </w:rPr>
            </w:pPr>
            <w:r>
              <w:rPr>
                <w:rFonts w:hAnsi="宋体" w:cs="宋体"/>
                <w:color w:val="auto"/>
                <w:sz w:val="21"/>
                <w:szCs w:val="21"/>
                <w:highlight w:val="none"/>
              </w:rPr>
              <w:t>小越</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雨量</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数据接入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11</w:t>
            </w:r>
          </w:p>
        </w:tc>
        <w:tc>
          <w:tcPr>
            <w:tcW w:w="2179"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color w:val="auto"/>
                <w:sz w:val="21"/>
                <w:szCs w:val="21"/>
                <w:highlight w:val="none"/>
              </w:rPr>
              <w:t>皂李湖~白马湖输水隧洞引渠</w:t>
            </w:r>
          </w:p>
        </w:tc>
        <w:tc>
          <w:tcPr>
            <w:tcW w:w="1050"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流量</w:t>
            </w:r>
          </w:p>
        </w:tc>
        <w:tc>
          <w:tcPr>
            <w:tcW w:w="1208" w:type="pct"/>
            <w:tcBorders>
              <w:top w:val="single" w:color="auto" w:sz="4" w:space="0"/>
              <w:left w:val="nil"/>
              <w:bottom w:val="single" w:color="auto" w:sz="4" w:space="0"/>
              <w:right w:val="single" w:color="auto" w:sz="4" w:space="0"/>
            </w:tcBorders>
            <w:shd w:val="clear" w:color="auto" w:fill="auto"/>
            <w:vAlign w:val="center"/>
          </w:tcPr>
          <w:p>
            <w:pPr>
              <w:pStyle w:val="86"/>
              <w:keepNext w:val="0"/>
              <w:widowControl/>
              <w:snapToGrid w:val="0"/>
              <w:spacing w:after="0" w:line="240" w:lineRule="auto"/>
              <w:ind w:firstLine="0" w:firstLineChars="0"/>
              <w:jc w:val="center"/>
              <w:rPr>
                <w:rFonts w:hint="default" w:hAnsi="宋体" w:cs="宋体"/>
                <w:bCs/>
                <w:color w:val="auto"/>
                <w:sz w:val="21"/>
                <w:szCs w:val="21"/>
                <w:highlight w:val="none"/>
              </w:rPr>
            </w:pPr>
            <w:r>
              <w:rPr>
                <w:rFonts w:hAnsi="宋体" w:cs="宋体"/>
                <w:bCs/>
                <w:color w:val="auto"/>
                <w:sz w:val="21"/>
                <w:szCs w:val="21"/>
                <w:highlight w:val="none"/>
              </w:rPr>
              <w:t>新建</w:t>
            </w:r>
          </w:p>
        </w:tc>
      </w:tr>
    </w:tbl>
    <w:p>
      <w:pPr>
        <w:pStyle w:val="98"/>
        <w:rPr>
          <w:bCs/>
          <w:color w:val="auto"/>
          <w:highlight w:val="none"/>
        </w:rPr>
      </w:pPr>
      <w:r>
        <w:rPr>
          <w:rFonts w:hint="eastAsia"/>
          <w:color w:val="auto"/>
          <w:highlight w:val="none"/>
        </w:rPr>
        <w:t>总体技术要求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水情自动测报系统应能在RTU的控制下，采集并长期固态存储各测站的水位、雨量、流量、电源电压等信息，并按约定标准向上报送信息。可以接收中心站的指令，完成调整参数、召测、下载历史资料等任务。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本招标文件未列明但实际发生工作所涉及的技术条款，应按照如下规范执行：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1）《水利水电工程标准施工招标文件技术标准和要求（合同技术条款）》（2009年版）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2）《SL 180-2015 水文自动测报系统设备 遥测终端机》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3）《SL 61-2015 水文自动测报系统技术规范》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4）《GB∕T 11828.1-2019 水位测量仪器 第1部分：浮子式水位计》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5）《GBT 11832-2002 翻斗式雨量计》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6）《GB 50179-2015河流流量测验规范》</w:t>
      </w:r>
    </w:p>
    <w:p>
      <w:pPr>
        <w:pStyle w:val="98"/>
        <w:rPr>
          <w:bCs/>
          <w:color w:val="auto"/>
          <w:highlight w:val="none"/>
        </w:rPr>
      </w:pPr>
      <w:r>
        <w:rPr>
          <w:rFonts w:hint="eastAsia"/>
          <w:color w:val="auto"/>
          <w:highlight w:val="none"/>
        </w:rPr>
        <w:t>系统组成要求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水文监测系统主要由遥测站和中心站两部分组成。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遥测站主要配置水位雨量流量传感器、遥测终端RTU、通讯模块、防雷模块、太阳能电源、蓄电池等设备，负责数据的采集、上报。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本系统中的自动测站均采用低功耗设备，按照系统建设设计遥测站电源配置总体能满足 “保证阴雨天条件下连续一个月，遥测站正常工作”。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本系统传感器选型要求：水位计采用雷达式，雨量计采用翻斗式，流量计采用多普勒流速仪。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中心站设在虞东河湖管理控制中心，主要配置数据接监视和接收终端、数据接收和处理软件，负责数据的校验、显示与入库。本系统遥测站与中心站之间优先通过蜂窝数据网络进行通讯，遥测终端支持浙江省防汛通讯平台。</w:t>
      </w:r>
    </w:p>
    <w:p>
      <w:pPr>
        <w:pStyle w:val="98"/>
        <w:rPr>
          <w:bCs/>
          <w:color w:val="auto"/>
          <w:highlight w:val="none"/>
        </w:rPr>
      </w:pPr>
      <w:r>
        <w:rPr>
          <w:rFonts w:hint="eastAsia"/>
          <w:color w:val="auto"/>
          <w:highlight w:val="none"/>
        </w:rPr>
        <w:t>系统功能要求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1）通用功能设计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（1）测站应能存储3个月以上的数据。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（2）应有本地、远程软件下载、参数配置功能。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（3）应有设备故障、异常自动报警功能。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（4）远端测站状态查询/遥调。中心站可监视各遥测站的时钟、电压等设备的运行参数，并且实现预警，可对遥测站的运行模式和参数进行遥调；也可在遥测站现场手动设置各种运行模式和参数。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（5）短信预警。当雨量站的时段雨量超过设定警戒值，或水位站的水位超过警戒水位时，中心站支持自动或手动将该站点的水雨情信息以短信的方式单发或者广播给有关人员的手机上。</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（6）支持短信自动查询。用户向中心站发送查询站点信息的短信，中心站会返回当前该站点的水雨情信息；用户向遥测站发送查询短信，遥测站会返回实时测站信息。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（7）系统时钟同步。系统定时播发时钟同步信号，遥测站可通过授时信息获得时钟校准，以保证所有水情数据采集在时间上保持一致。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2）水位采集监测功能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（1）应能对监测点进行24小时连续在线监测，监测信息采用定时自报或召测工作方式。每日监测次数和工作方式可以本地设置也可以远程设置。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（2）应有将采集的水位信息通过蜂窝数据网络或计算机网络传输到接收中心功能。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3）雨量采集监测功能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（1）雨量数据自动采集。中心站自动采集各站点的实时雨量信息；遥测站自动完成各类雨情信息的采集，按设定策略自报，可定时自报或满足设定条件时自报。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（2）主动雨量数据查询。中心站可随时或定时召测所需遥测站的雨情信息；遥测站自动响应中心站召测指令，按照指令要求上传数据。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（3）标准水雨情数据库存储。中心站按照标准水雨情数据库的统一格式存放水雨情信息；遥测站实现大容量数据固态存储，可现场读取或由中心站指令远程传输；满足浙江省水雨情库对接。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4）流量采集监测功能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（1）应能对断面流速进行24小时连续在线监测，监测信息采用定时自报或召测工作方式。每日监测次数和工作方式可以本地设置也可以远程设置。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（2）应能根据实时采集的流速、水位和水位－面积关系，计算断面流量。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（3）应有将采集的流速、流量和测站状态信息通过蜂窝数据网络或计算机网络传输到接收中心功能。</w:t>
      </w:r>
    </w:p>
    <w:p>
      <w:pPr>
        <w:pStyle w:val="98"/>
        <w:rPr>
          <w:bCs/>
          <w:color w:val="auto"/>
          <w:highlight w:val="none"/>
        </w:rPr>
      </w:pPr>
      <w:r>
        <w:rPr>
          <w:rFonts w:hint="eastAsia"/>
          <w:color w:val="auto"/>
          <w:highlight w:val="none"/>
        </w:rPr>
        <w:t>施工要求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水位站立杆、基础浇筑，流量监测平台等全部水文监测基础设施纳入本标段统一实施。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标段中标人需根据各监测点实际情况，提出必须的水文监测基础设施建设方案，并完成自动监测系统（含成套设备）施工图设计，经由本标段设计单位图审通过，建设单位同意之后，方能开展施工作业。在施工作业期间，应与主体工程设计、施工单位充分协作，做好衔接建设工作，并提供所有设备附件辅材，完成系统的安装调试，使之正常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如果招标文件中未专门提到，但它对于一套完整的和性能良好的水文自动监测设备（含本标段所有设备）等又是必不可少的，或者对于稳定运行，改善自动监测设备（含本标段所有设备）等运行品质都是必要的话，那么这些元件或装置，也应由承包人提供，其费用包含在报价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2）水位站土建设要求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水位站采用杆式安装。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现场浇筑混凝土基础，基础上安装镀锌钢管作为水位计安装支架，支架顶端安装托盘和避雷针。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配套的监测设备箱应与主设备配套，且包含避雷器、安装附件线缆、接头等设备，防雷地网≤10Ω。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3）流量站土建建设要求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本次流量监测传感器采用多普勒超声波流量计，优先采用双垂线底座式安装。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投标人应通过实地勘测，按照工程管理需要确定监测断面，在选定的断面处建造水文测验平台（基础设施）。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安装断面要求为：测流断面河床稳定，无明显冲淤变化，无水草影响；断面水位面积关系稳定；测流断面流态稳定，无回流漩涡，流速分布均匀，层流速分布有规律；含沙量小。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流量监测平台，应在选定的断面垂线位置，将不锈钢定位桩钉入河底并固定牢固，桩上部为安装支架并设有活动关节，活动关节接摆臂，且顺着河流往下游平躺于河底。传感器带保护装置安放于“臂”头。工作时，“臂”平躺在河底，当需要检修时，“臂”可抬出水面进行检修。配套水位计管安置于监测平台附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完成安装后的测流系统应尽可能记录到水位、流速全变幅，且需满足的设计参数为：水位管底部高程和多普勒架子低部高程，比监测断面最近30年最低水位低0.50m，水位管口高程，比监测断面最近30年最高水位高0.5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4）流量监测断面整改基本要求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利用测深仪或者走航式ADCP（投标人自备，下同）对监测断面进行大断面测量，测量断面形状、河宽、水深、水草分布以及流场分布，来确定整改区域以及施工面积及工程量；之后进行水草清理，最后利用走航式ADCP测量流场分布，确认设备安装位置。在该位置适当范围内，铺设一层水泥空心预制板，外围铺洒碎石，使得监测断面均匀，满足设备的安装和正常使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5）流量率定要求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安装完毕后对站点进行流量的率定，1年内率定4次，其中包含高、中、底各级水位，率定有效数据至少达到30组以上。率定过程中收集整理原始断面流速、水位、流向等数据。为流量在线监测仪的率定做基础数据收集工作，对后期率定结果提供原始数据的查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每个水期需走航断面一次，做断面数据修正工作。在水位发生明显变化以及流量平稳时段，增加走航频率，更多收集基础水文数据。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率定成果：提供成果记录表，表格形式需符合《声学多普勒流量测验规范》（SL337-2006）规范定义的表格形式。提供率定报告。</w:t>
      </w:r>
    </w:p>
    <w:p>
      <w:pPr>
        <w:pStyle w:val="98"/>
        <w:rPr>
          <w:bCs/>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投标设备中，水位传感器、雨量传感器、流量传感器、遥测终端等设备需在供货前提供水利部水文仪器及岩土工程仪器质量监督检验测试中心出具的检测报告。</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1）雷达式水位传感器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雷达式水位传感器应符合《水文仪器基本参数及通用技术条件》（GB∕T 15966-2017）检测，推荐品牌为航征、精波、莘海或同档次及以上品牌，主要技术指标不低于：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1）测量范围 ：0-30m；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2</w:t>
      </w:r>
      <w:r>
        <w:rPr>
          <w:rFonts w:hint="eastAsia" w:ascii="宋体" w:hAnsi="宋体" w:cs="宋体"/>
          <w:color w:val="auto"/>
          <w:szCs w:val="21"/>
          <w:highlight w:val="none"/>
          <w:lang w:bidi="ar"/>
        </w:rPr>
        <w:t xml:space="preserve">）分辨力：0.1cm；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3</w:t>
      </w:r>
      <w:r>
        <w:rPr>
          <w:rFonts w:hint="eastAsia" w:ascii="宋体" w:hAnsi="宋体" w:cs="宋体"/>
          <w:color w:val="auto"/>
          <w:szCs w:val="21"/>
          <w:highlight w:val="none"/>
          <w:lang w:bidi="ar"/>
        </w:rPr>
        <w:t>）▲准确度：在0~10m测量范围内，准确度等级1级；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4</w:t>
      </w:r>
      <w:r>
        <w:rPr>
          <w:rFonts w:hint="eastAsia" w:ascii="宋体" w:hAnsi="宋体" w:cs="宋体"/>
          <w:color w:val="auto"/>
          <w:szCs w:val="21"/>
          <w:highlight w:val="none"/>
          <w:lang w:bidi="ar"/>
        </w:rPr>
        <w:t xml:space="preserve">）▲重复性、回差：重复性，回查均为0mm；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5</w:t>
      </w:r>
      <w:r>
        <w:rPr>
          <w:rFonts w:hint="eastAsia" w:ascii="宋体" w:hAnsi="宋体" w:cs="宋体"/>
          <w:color w:val="auto"/>
          <w:szCs w:val="21"/>
          <w:highlight w:val="none"/>
          <w:lang w:bidi="ar"/>
        </w:rPr>
        <w:t xml:space="preserve">）过程连接 ：Gll/2"A螺纹/T型支架／法兰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6</w:t>
      </w:r>
      <w:r>
        <w:rPr>
          <w:rFonts w:hint="eastAsia" w:ascii="宋体" w:hAnsi="宋体" w:cs="宋体"/>
          <w:color w:val="auto"/>
          <w:szCs w:val="21"/>
          <w:highlight w:val="none"/>
          <w:lang w:bidi="ar"/>
        </w:rPr>
        <w:t>）过程温度 ：（-10~50）℃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7</w:t>
      </w:r>
      <w:r>
        <w:rPr>
          <w:rFonts w:hint="eastAsia" w:ascii="宋体" w:hAnsi="宋体" w:cs="宋体"/>
          <w:color w:val="auto"/>
          <w:szCs w:val="21"/>
          <w:highlight w:val="none"/>
          <w:lang w:bidi="ar"/>
        </w:rPr>
        <w:t>）过程压力 ：常压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ascii="宋体" w:hAnsi="宋体" w:cs="宋体"/>
          <w:color w:val="auto"/>
          <w:szCs w:val="21"/>
          <w:highlight w:val="none"/>
          <w:lang w:bidi="ar"/>
        </w:rPr>
        <w:t>8</w:t>
      </w:r>
      <w:r>
        <w:rPr>
          <w:rFonts w:hint="eastAsia" w:ascii="宋体" w:hAnsi="宋体" w:cs="宋体"/>
          <w:color w:val="auto"/>
          <w:szCs w:val="21"/>
          <w:highlight w:val="none"/>
          <w:lang w:bidi="ar"/>
        </w:rPr>
        <w:t xml:space="preserve">）天线材料 ：不锈钢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9）频率范围 ：24-25GHz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w:t>
      </w:r>
      <w:r>
        <w:rPr>
          <w:rFonts w:ascii="宋体" w:hAnsi="宋体" w:cs="宋体"/>
          <w:color w:val="auto"/>
          <w:szCs w:val="21"/>
          <w:highlight w:val="none"/>
          <w:lang w:bidi="ar"/>
        </w:rPr>
        <w:t>0</w:t>
      </w:r>
      <w:r>
        <w:rPr>
          <w:rFonts w:hint="eastAsia" w:ascii="宋体" w:hAnsi="宋体" w:cs="宋体"/>
          <w:color w:val="auto"/>
          <w:szCs w:val="21"/>
          <w:highlight w:val="none"/>
          <w:lang w:bidi="ar"/>
        </w:rPr>
        <w:t>）通讯接口：4-20mA,SDI-12,RS-485，两线制（SDI-12协议）；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w:t>
      </w:r>
      <w:r>
        <w:rPr>
          <w:rFonts w:ascii="宋体" w:hAnsi="宋体" w:cs="宋体"/>
          <w:color w:val="auto"/>
          <w:szCs w:val="21"/>
          <w:highlight w:val="none"/>
          <w:lang w:bidi="ar"/>
        </w:rPr>
        <w:t>1</w:t>
      </w:r>
      <w:r>
        <w:rPr>
          <w:rFonts w:hint="eastAsia" w:ascii="宋体" w:hAnsi="宋体" w:cs="宋体"/>
          <w:color w:val="auto"/>
          <w:szCs w:val="21"/>
          <w:highlight w:val="none"/>
          <w:lang w:bidi="ar"/>
        </w:rPr>
        <w:t>）▲防护等级：IP68；</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w:t>
      </w:r>
      <w:r>
        <w:rPr>
          <w:rFonts w:ascii="宋体" w:hAnsi="宋体" w:cs="宋体"/>
          <w:color w:val="auto"/>
          <w:szCs w:val="21"/>
          <w:highlight w:val="none"/>
          <w:lang w:bidi="ar"/>
        </w:rPr>
        <w:t>2</w:t>
      </w:r>
      <w:r>
        <w:rPr>
          <w:rFonts w:hint="eastAsia" w:ascii="宋体" w:hAnsi="宋体" w:cs="宋体"/>
          <w:color w:val="auto"/>
          <w:szCs w:val="21"/>
          <w:highlight w:val="none"/>
          <w:lang w:bidi="ar"/>
        </w:rPr>
        <w:t>）▲为保证遥测站长时间稳定工作采用低功耗设计，静态值守电流≤0.5mA，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r>
        <w:rPr>
          <w:rFonts w:ascii="宋体" w:hAnsi="宋体" w:cs="宋体"/>
          <w:color w:val="auto"/>
          <w:szCs w:val="21"/>
          <w:highlight w:val="none"/>
          <w:lang w:bidi="ar"/>
        </w:rPr>
        <w:t>3</w:t>
      </w:r>
      <w:r>
        <w:rPr>
          <w:rFonts w:hint="eastAsia" w:ascii="宋体" w:hAnsi="宋体" w:cs="宋体"/>
          <w:color w:val="auto"/>
          <w:szCs w:val="21"/>
          <w:highlight w:val="none"/>
          <w:lang w:bidi="ar"/>
        </w:rPr>
        <w:t>）▲工作电流≤10mA。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3）浮子式水位传感器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浮子式水位传感器用于观测江河、湖泊、水库、水渠、地下水等水体水位的变化，并将这种变化通过机械编码的方式转换为开关数字量输出，可供水文站网、防汛、水资源水环境监测以及相关科研部门进行水位数据的采集、传输、处理、显示、记录和存储等。适用于具有垂直水位测井的水位观测站。推荐品牌为南水、伟思、海河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（1）测量范围：0～40m。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（2）水位变率：＜100cm/min。</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（3）分辨力：1cm。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（4）水位轮启动力矩：＜100g·cm。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（5）测量准确度：≤±2cm或0.2%FS；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（7）格雷码输出：10-13位。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（8）环境温度：-25℃～85℃（测井水体不结冰）。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（9）相对湿度：＜90%（40℃）。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4）翻斗式雨量传感器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翻斗式雨量计应能全天候监测降雨量，推荐品牌为南水、伟思、海河或同档次及以上品牌，主要技术指标不低于：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（1）承雨口径：φ200±0.60mm；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（2）刃口锐角：40°～45°；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（3）仪器分辨力：0.5mm；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（4）雨强范围：0.01mm～4mm/min (允许通过最大雨强8mm/min)；</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（5）测量精度：0.5mm。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5）多普勒流速剖面仪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多普勒流速剖面仪推荐品牌为德希、灵快、智旭或同档次及以上品牌，主要技术指标不低于：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（1）单元尺寸：最小单元尺寸≤0.05m；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（2）测量精度：±0.5%或±1cm/s；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（3）单元层数：最大256层；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（4）盲区：最小0.07m；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（5）流速分辨率：0.001m/s；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（6）流速测量范围：±10m/s(最大流速20m/s)；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（7）温度传感器测量范围：－25℃～75℃；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（8）水平波束角指向角：不大于1.4°；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（9）旁瓣抑制：&gt;60dB，垂直波束指向角不大于3.8°；</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（10）温度传感器测量范围：-25℃~75℃；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（11）温度精度：±0.4度；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（12）姿态传感器精度：±0.5度；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（13）最大发呼频率：20(个/s)；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（14）工作功耗：≤1.5W。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6）遥测终端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遥测终端应支持接入浙江省水文通信应用，且可连接多种传感器，包括水位计、雨量计、风向风速仪等各种水文、气象传感器。遥测终端推荐品牌为语润、天禹、莘海或同档次及以上品牌，主要技术指标不低于：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数据自动上报。遥测站可定时自报或按设定的条件主动上传数据。自动响应中心站召测指令。遥测站响应中心站要求或指令，上传数据。现场全中文显示水雨情数据，包括当前数据、历史数据、系统信息；具有记录功能，可按设定的要求，记录各类数据。大容量数据固态存储，可由中心站远端调用或现场读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（2）现场手动设置各种运行模式和参数；支持支持手机APP及电脑端参数配置；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（3）接受中心站远程设置和控制指令；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（4）全面支持4G全网通通信功能，向下兼容3G/2G通信模式，支持三大运营商。同时根据现场的网络情况，提供灵活的频段锁定功能，保证现场网络通信的可靠；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（5）▲具有手动校时、远程中心站校时及网络自动校时功能，时钟精度30天误差小于1s；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（6）可连接多种传感器，包括水位计、雨量计、风向风速仪等各种水文、气象传感器；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（7）▲支持多种通信方式，如GPRS、以太网、北斗三号等；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（8）太阳能供电，保证在无人值守条件下的长期稳定运行；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（9）可灵活配置的模块化结构，以适应各种不同的需求；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（10）全密封设计，360度无死角防护，防水等级可达IP68，防止由于水进入壳内对设备造成有害影响；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（11）支持浙江水文防汛通信平台，支持水利内网；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（12）电源输入：9-24V DC；</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（13）电源输出：24V  100mA，5V  20mA，3路可控电源输出，除满足传感器电源控制外，可灵活实现下行控制功能；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14）信号采集：2路RS485，1路RS232，可接入各种类型的外部传感器，并可扩展北斗等外部通信模块；2路模拟量采集，可接入标准4-20mA变送器，可配置为各种传感器类型；2路脉冲/开关输入，除接入雨量桶外，还可实现报警监测，用于开箱报警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（15）▲设备同时满足“SZY203-2016《水资源监测设备技术条件》、SZY205-2016《水资源监测设备质量检验》、SZY206-2016《水资源监测数据传输规约》、SL/T427-2021《水资源监测数据传输规约》、DB33T 816—2021《水文通信平台接入技术规范》、SL 180-2015《水文自动测报系统设备遥测终端机》、SL651-2014 《水文监测数据通信规约》”；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（16）▲为保证遥测站长时间稳定工作采用低功耗设计，静态值守电流≤0.01mA；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（17）▲工作电流≤6mA；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（18）设备内置GPS模块，系统定期获取设备的位置信息，并上传平台，从而实现设备位置信息和数据的自动绑定，设备位置的交换将不会影响测站的数据统计；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（19）数据补发：遇到信号问题，基站问题，sim卡问题等情况，系统将暂存采集数据并待网络恢复后自前至后进行逐条补发；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（20）▲产品内置大容量数据存储，固态存储容量≥8GB；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（21）看门狗：内部硬件看门狗，外部硬件看门狗；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（22）工作温度：-40℃至+70℃；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（23）工作湿度：0-95%，不结露；</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（24）平均无故障工作时间：≥50000h；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（25）▲具有可靠的边缘计算能力。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7）北斗通信模块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北斗通信模块推荐品牌为北斗天汇、神州天鸿、北斗星通或同档次及以上品牌，主要技术指标不低于：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（1）接收信号灵敏度：-127.6dBm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（2）发射功率：≥39dBm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（3）载波抑制：≥30dBc</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（4）工作电压：12V~36V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（5）功耗：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待机≤1.5W；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发射≤45W（瞬态功耗≤200mS）。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8）太阳能供电系统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自动遥测站采用12V蓄电池供电，对电源的设计要求是：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电池类别：密封免维护电池或固体电池；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电压：允许变幅－10％-＋20％；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电流：发射机功率5W（GSM）时，应能瞬间提供3A电流；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容量：全部由电池供电时，应能保证设备连续工作30天以上，用太阳能浮充蓄电池供电，保证设备能长期可靠工作，采用不小于70AH蓄电池。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硅太阳能电池是将光能直接转换成电能的半导体器件，具有体积小、可靠性高、寿命长、无环境污染、使用维护方便等特点。它可以单独使用，也可以多个连接起来组成方阵使用，与蓄电池配合可作为直流电源连续使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遥测站太阳能电源系统的设计，由于无人看守，且要求连续不间断供电，考虑计算负载的日用电量、太阳能电池修正系数（考虑灰尘、气候、蓄电池特性）等方面的影响，采用不小于30W的太阳能电池板，其中流量监测站须提供与终端系统相匹配的电池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9）水文数据接收软件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功能：水位、雨量、流量、电压等所有遥测站数据采集，流量积算；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提供数据监视监测，数据管理报表管理，设备参数设定，在线仪器状态监测等功能搭建本地水文采集数据库；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软件形式：C/S结构，支持对外数据共享。</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10）水文管理工作站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水文管理工作站推荐品牌为联想、同方、浪潮或同档次及以上品牌，主要技术指标不低于：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处理器：不低于 10代 i7；</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主频：不小于 1.9GHz；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内存：不小于 16GB；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硬盘容量不小于 1TB+256SSD；</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网卡：双 100/1000M 以太网卡；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含键鼠、24"彩色液晶显示器。</w:t>
      </w:r>
    </w:p>
    <w:p>
      <w:pPr>
        <w:pStyle w:val="96"/>
        <w:rPr>
          <w:bCs/>
          <w:color w:val="auto"/>
          <w:highlight w:val="none"/>
        </w:rPr>
      </w:pPr>
      <w:r>
        <w:rPr>
          <w:rFonts w:hint="eastAsia"/>
          <w:color w:val="auto"/>
          <w:highlight w:val="none"/>
        </w:rPr>
        <w:t>工程安全监测系统</w:t>
      </w:r>
    </w:p>
    <w:p>
      <w:pPr>
        <w:pStyle w:val="98"/>
        <w:rPr>
          <w:bCs/>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工程安全监测的建设目的，是通过数据监测来了解和掌握建筑物的工作状态，以便综合分析工程运行变化情况，指导工程运行管理，改善工程的安全运行条件。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虞东河湖综合整治工程安全监测系统需实现对隧洞、河道护岸、堤防工程和节制闸等主要建筑物的观测。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隧洞监测工作主要包括收敛变形、拱顶下沉、洞口沉降、围岩松动圈监测、支护锚杆受力监测等。河道护岸、堤防工程施工期原位监测布置的项目主要包括地表沉降监测、地表水平位移监测和深层水平位移监测等。本工程节制闸均为3级建筑物，主要监测项目有沉降、水平位移、扬压力、闸下流态、冲刷及淤积等。</w:t>
      </w:r>
    </w:p>
    <w:p>
      <w:pPr>
        <w:pStyle w:val="98"/>
        <w:rPr>
          <w:bCs/>
          <w:color w:val="auto"/>
          <w:highlight w:val="none"/>
        </w:rPr>
      </w:pPr>
      <w:r>
        <w:rPr>
          <w:rFonts w:hint="eastAsia"/>
          <w:color w:val="auto"/>
          <w:highlight w:val="none"/>
        </w:rPr>
        <w:t>建设内容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工程实际情况，前端传感器已由其他标段完成，并通过网络就近接入至工程各节制闸管理房集线箱，本标段主要完成工程安全监测系统的数据汇聚。前端安全监测传感器通过数据转换模块和水工电缆将数据传输至安全监测工作站，并通过安全监测采集软件实现数据自动定时采集、存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工程安全监测仪器设备目前已随主体工程完成安装埋设，并通过网络就近接入至工程各节制闸管理房集线箱。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次项目建设内容主要包括：完成工程安全监测系统数据汇聚，并通过工程管理区网络接入安全监测工作站，为用户提供传感器数据、远程采集、传输、储存、处理及预警信息发送等多种服务。用户可以不受时间、地点限制对安全监测目标进行实时监测、采集、管理和收发预警信息。</w:t>
      </w:r>
    </w:p>
    <w:p>
      <w:pPr>
        <w:pStyle w:val="98"/>
        <w:rPr>
          <w:bCs/>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1）数据采集模块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数据采集模块推荐品牌为基康、南瑞、葛南或同档次及以上品牌，主要技术指标不低于：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传感器接口：通用16通道(可混接振弦式、差阻式、电阻式、485式、4~20mA等，RS485类型仪器供+12V，波特率默认9600bps，其他波特率可设置）。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▲组网通信接口：支持 RS485、4G LTE-FDD/LTE-TDD、蓝牙 BLE5.0、以太网、Lora 以及 WiFi 通讯方式。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其他接口：人工比测接口（支持读数仪和模块采集现场比测）。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数据和参数存储：每通道存储 30000 条数据，当数据存满时自动循环覆盖旧数据；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其他功能：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▲远程控制：应具有远程控制功能，可通过有线和无线方式，使终端和设备进行通信，并从终端远程控制设备；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▲数据补发：应具有数据补发功能，当网络信号较差导致数 据发送失败时，设备可记录时间并在下次上线时补发；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设备电压：DC/AC12V±30%,支持太阳能充电。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平均无故障时间：MTBF&gt;5000小时。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2）安全监测采集软件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含数据采集及监测信息管理、数据图形分析、监测信息数据查询、导出数据及报表，为便于数据采集整编，安全监测采集软件需与数据采集模块同一品牌。</w:t>
      </w:r>
    </w:p>
    <w:p>
      <w:pPr>
        <w:pStyle w:val="96"/>
        <w:rPr>
          <w:color w:val="auto"/>
          <w:highlight w:val="none"/>
        </w:rPr>
      </w:pPr>
      <w:r>
        <w:rPr>
          <w:rFonts w:hint="eastAsia"/>
          <w:color w:val="auto"/>
          <w:highlight w:val="none"/>
        </w:rPr>
        <w:t>计算机监控系统</w:t>
      </w:r>
    </w:p>
    <w:p>
      <w:pPr>
        <w:pStyle w:val="98"/>
        <w:rPr>
          <w:bCs/>
          <w:color w:val="auto"/>
          <w:highlight w:val="none"/>
        </w:rPr>
      </w:pPr>
      <w:r>
        <w:rPr>
          <w:rFonts w:hint="eastAsia"/>
          <w:color w:val="auto"/>
          <w:highlight w:val="none"/>
        </w:rPr>
        <w:t>一般规定与规范</w:t>
      </w:r>
      <w:r>
        <w:rPr>
          <w:color w:val="auto"/>
          <w:highlight w:val="none"/>
        </w:rPr>
        <w:tab/>
      </w:r>
    </w:p>
    <w:p>
      <w:pPr>
        <w:pStyle w:val="100"/>
        <w:rPr>
          <w:color w:val="auto"/>
          <w:highlight w:val="none"/>
        </w:rPr>
      </w:pPr>
      <w:r>
        <w:rPr>
          <w:rFonts w:hint="eastAsia"/>
          <w:color w:val="auto"/>
          <w:highlight w:val="none"/>
        </w:rPr>
        <w:t>承包范围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工作内容包括以下几个主要方面：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1）承包人应负责完成承包范围内计算机监控系统设备的采购、设计、制造、出厂试验、运输、交货、以及现场施工安装、现场试验、试运行、验收等工作。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2）承包人应提供承包范围内必需的备品备件、专用工具等。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承包人应提交承包范围内设备的工厂图纸及资料，产品说明书；完成与工程设计有关的设计协调；接受发包人代表参加工厂检验、见证、目睹和验收试验；对发包人人员的培训服务以及与其它设备承包商之间的工作协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4）合同规定的其它工作。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5）与其它合同有关的配合工作。</w:t>
      </w:r>
    </w:p>
    <w:p>
      <w:pPr>
        <w:autoSpaceDE w:val="0"/>
        <w:autoSpaceDN w:val="0"/>
        <w:adjustRightInd w:val="0"/>
        <w:snapToGrid w:val="0"/>
        <w:spacing w:line="360" w:lineRule="auto"/>
        <w:ind w:firstLine="422" w:firstLineChars="20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本工程计算机监控系统设备由本标段承包人负责采购、安装、调试，其相关的户内电缆穿线管的预埋、屏柜基础槽钢预埋一部分已由土建承包人完成（现场实际情况，土建承包人已完工），剩余户内部分以及所有户外的则需由本标段承包人自行完成；相关的所有电缆由本标段承包人负责。</w:t>
      </w:r>
    </w:p>
    <w:p>
      <w:pPr>
        <w:pStyle w:val="100"/>
        <w:rPr>
          <w:color w:val="auto"/>
          <w:highlight w:val="none"/>
        </w:rPr>
      </w:pPr>
      <w:r>
        <w:rPr>
          <w:rFonts w:hint="eastAsia"/>
          <w:color w:val="auto"/>
          <w:highlight w:val="none"/>
        </w:rPr>
        <w:t>标准及规范</w:t>
      </w:r>
    </w:p>
    <w:p>
      <w:pPr>
        <w:pStyle w:val="102"/>
        <w:rPr>
          <w:color w:val="auto"/>
          <w:highlight w:val="none"/>
        </w:rPr>
      </w:pPr>
      <w:r>
        <w:rPr>
          <w:rFonts w:hint="eastAsia"/>
          <w:color w:val="auto"/>
          <w:highlight w:val="none"/>
        </w:rPr>
        <w:t>下列标准供选用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计算机监控系统设备的设计、制造、试验、包装、运输、安装除应满足本规范规定的要求外，尚须遵照如下规程规范与标准。</w:t>
      </w:r>
      <w:r>
        <w:rPr>
          <w:rFonts w:hint="eastAsia" w:ascii="宋体" w:hAnsi="宋体" w:cs="宋体"/>
          <w:b/>
          <w:bCs/>
          <w:color w:val="auto"/>
          <w:szCs w:val="21"/>
          <w:highlight w:val="none"/>
          <w:lang w:bidi="ar"/>
        </w:rPr>
        <w:t>若这些标准作出修改时，应以修订后的新标准执行。</w:t>
      </w:r>
      <w:r>
        <w:rPr>
          <w:rFonts w:hint="eastAsia" w:ascii="宋体" w:hAnsi="宋体" w:cs="宋体"/>
          <w:color w:val="auto"/>
          <w:szCs w:val="21"/>
          <w:highlight w:val="none"/>
          <w:lang w:bidi="ar"/>
        </w:rPr>
        <w:t>本合同应遵照的主要规程、规范与标准有（不限于此）：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DL/T578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w:t>
      </w:r>
      <w:r>
        <w:rPr>
          <w:rFonts w:hint="eastAsia" w:ascii="宋体" w:hAnsi="宋体" w:cs="宋体"/>
          <w:color w:val="auto"/>
          <w:szCs w:val="21"/>
          <w:highlight w:val="none"/>
          <w:lang w:bidi="ar"/>
        </w:rPr>
        <w:t>水电厂计算机监控系统基本技术条件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NB/T10879</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w:t>
      </w:r>
      <w:r>
        <w:rPr>
          <w:rFonts w:hint="eastAsia" w:ascii="宋体" w:hAnsi="宋体" w:cs="宋体"/>
          <w:color w:val="auto"/>
          <w:szCs w:val="21"/>
          <w:highlight w:val="none"/>
          <w:lang w:bidi="ar"/>
        </w:rPr>
        <w:t>水力发电厂计算机监控系统设计规范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SL612          水利水电工程自动化设计规范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GB/T3482       电子设备雷击试验方法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GB7260         不间断电源设备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GB/T191        包装贮运图示标志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DL/T5137       电测量及电能计量装置设计技术规程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DL/T620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交流电气装置的过电压保护和绝缘配合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GB50150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电气装置安装工程 电气设备交接试验标准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DL/T596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电力设备预防性试验规程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GB/T4205       人机界面标志标识的基本和安全规则 操作规则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GB/T156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标准电压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GB/T762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标准电流等级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GB/T4025       人机界面标志标识的基本和安全规则 指示器和操作器件的编码规则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GB/T4728.1～13  电气简图用图形符号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GB4884          绝缘导线的标记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GB/T4208        外壳防护等级（IP代码）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GB/T3453        数据通信基本型控制规程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GB/T3454        数据终端设备（DTE）和数据电路终接设备（DCE）之间的接口电路定义表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IEEE802.3        网络技术标准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GB/T14598.26    量度继电器和保护装置 第26部分：电磁兼容要求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DL/T459         电力用直流电源设备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GB/T6988.1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电气技术用文件的编制 第1部分：规则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JB/T5777.3       电力系统二次电路用控制及继电保护屏（柜、台）基本试验方法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 xml:space="preserve">JB/T7828    </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继电器及其装置包装贮运技术条件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GB/T7266       电力系统二次回路电气控制台基本尺寸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GB/T7267       电力系统二次回路保护及自动化机柜（屏）基本尺寸系列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GB/T13384      机电产品包装通用技术条件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SL517          水利水电工程通信设计技术规范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DL/T5003       电力系统调度自动化设计规程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DL/T5226       发电厂电力网络计算机监控系统设计技术规程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SL/T803        水利网络安全保护技术规范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 30094</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工业以太网交换机技术规范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GB50174        数据中心设计规范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GB/T50312      综合布线系统工程验收规范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GB4943         信息技术设备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GB9254</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信息技术设备的无线电骚扰限值和测量方法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GB/T21671</w:t>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ab/>
      </w:r>
      <w:r>
        <w:rPr>
          <w:rFonts w:hint="eastAsia" w:ascii="宋体" w:hAnsi="宋体" w:cs="宋体"/>
          <w:color w:val="auto"/>
          <w:kern w:val="2"/>
          <w:szCs w:val="21"/>
          <w:highlight w:val="none"/>
          <w:lang w:bidi="ar"/>
        </w:rPr>
        <w:t xml:space="preserve">  基于以太网技术的局域网（LAN）系统验收测试方法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电力机械两行业颁发的有关技术要求及规定。</w:t>
      </w:r>
    </w:p>
    <w:p>
      <w:pPr>
        <w:pStyle w:val="102"/>
        <w:rPr>
          <w:color w:val="auto"/>
          <w:highlight w:val="none"/>
        </w:rPr>
      </w:pPr>
      <w:r>
        <w:rPr>
          <w:rFonts w:hint="eastAsia"/>
          <w:color w:val="auto"/>
          <w:highlight w:val="none"/>
        </w:rPr>
        <w:t>保证所有螺丝、螺母、螺栓、螺杆和有关管件的螺纹应使用GB或ISO标准。</w:t>
      </w:r>
    </w:p>
    <w:p>
      <w:pPr>
        <w:pStyle w:val="102"/>
        <w:rPr>
          <w:color w:val="auto"/>
          <w:highlight w:val="none"/>
        </w:rPr>
      </w:pPr>
      <w:r>
        <w:rPr>
          <w:rFonts w:hint="eastAsia"/>
          <w:color w:val="auto"/>
          <w:highlight w:val="none"/>
        </w:rPr>
        <w:t>如果承包人采用除上述标准系列列举以外的其它系列标准时，须在投标文件中加以说明，并经工程师同意方能使用。</w:t>
      </w:r>
    </w:p>
    <w:p>
      <w:pPr>
        <w:pStyle w:val="102"/>
        <w:rPr>
          <w:color w:val="auto"/>
          <w:highlight w:val="none"/>
        </w:rPr>
      </w:pPr>
      <w:r>
        <w:rPr>
          <w:rFonts w:hint="eastAsia"/>
          <w:color w:val="auto"/>
          <w:highlight w:val="none"/>
        </w:rPr>
        <w:t>设备制造可选用先进的工艺，以保证各种运行情况下运行可靠。所有部件的结构、尺寸和材料应做到在各种应力下不产生扭曲和过量磨损。零部件应有良好的互换性和便于安装及检修。</w:t>
      </w:r>
    </w:p>
    <w:p>
      <w:pPr>
        <w:pStyle w:val="100"/>
        <w:rPr>
          <w:color w:val="auto"/>
          <w:highlight w:val="none"/>
        </w:rPr>
      </w:pPr>
      <w:r>
        <w:rPr>
          <w:rFonts w:hint="eastAsia"/>
          <w:color w:val="auto"/>
          <w:highlight w:val="none"/>
        </w:rPr>
        <w:t>工作电源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工程可为承包人设备提供下列电源：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三相交流电源 380V±15%，50Hz±4%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单相交流电源 220V±15%，50Hz±4%</w:t>
      </w:r>
    </w:p>
    <w:p>
      <w:pPr>
        <w:pStyle w:val="100"/>
        <w:rPr>
          <w:color w:val="auto"/>
          <w:highlight w:val="none"/>
        </w:rPr>
      </w:pPr>
      <w:r>
        <w:rPr>
          <w:rFonts w:hint="eastAsia"/>
          <w:color w:val="auto"/>
          <w:highlight w:val="none"/>
        </w:rPr>
        <w:t>设备颜色</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柜（屏）壳体颜色均（暂定采用国际流行灰，色标为RAL7035）在设计联络会上确定；采用桔纹漆，使用环氧粉沫静电噴涂工艺，保证粉末具有附着力强，表面硬度大，耐磨，耐冲击，有良好的色泽持久性等特点，并比喷漆机柜有更好的美观性和耐腐蚀性。</w:t>
      </w:r>
    </w:p>
    <w:p>
      <w:pPr>
        <w:pStyle w:val="100"/>
        <w:rPr>
          <w:color w:val="auto"/>
          <w:highlight w:val="none"/>
        </w:rPr>
      </w:pPr>
      <w:r>
        <w:rPr>
          <w:rFonts w:hint="eastAsia"/>
          <w:color w:val="auto"/>
          <w:highlight w:val="none"/>
        </w:rPr>
        <w:t>电气环境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考虑现场环境中可能存在的电磁的、静电的和感应的暂态电压等情况。承包人应负责确保所有硬件在高静电、高噪音环境下的安全运行，并具有足够的抗雷电干扰措施。各处除了混凝土钢结构建筑外没有任何特殊的电磁屏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在连接I/O装置的电源端子、控制电缆、电路和电源发生对地共模干扰或差模干扰时，此装置应有能力正确完成其规定的功能而无输入信号的误解，无错误输出信号或控制，不损坏内部元件。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作为设备的完整部分的任何附加硬件，电路、组件或扩展组件，或为预防正常运行时的干扰或在工厂电路或电源上的感应暂态电压的破坏所要求的特殊电路的设计应由承包人负责。如：屏蔽、缓冲器，旁路元件，暂态抑制器，涌浪放电器或衰减器，这些电路要求能克服环境或电路和电源中产生的感应暂态电压。</w:t>
      </w:r>
    </w:p>
    <w:p>
      <w:pPr>
        <w:pStyle w:val="100"/>
        <w:rPr>
          <w:color w:val="auto"/>
          <w:highlight w:val="none"/>
        </w:rPr>
      </w:pPr>
      <w:r>
        <w:rPr>
          <w:rFonts w:hint="eastAsia"/>
          <w:color w:val="auto"/>
          <w:highlight w:val="none"/>
        </w:rPr>
        <w:t>符合发包人提供的图纸要求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发包人提供的图纸见招标附图。承包人提供的所有计算机监控系统设备应满足招标文件技术参数要求。</w:t>
      </w:r>
    </w:p>
    <w:p>
      <w:pPr>
        <w:pStyle w:val="100"/>
        <w:rPr>
          <w:color w:val="auto"/>
          <w:highlight w:val="none"/>
        </w:rPr>
      </w:pPr>
      <w:r>
        <w:rPr>
          <w:rFonts w:hint="eastAsia"/>
          <w:color w:val="auto"/>
          <w:highlight w:val="none"/>
        </w:rPr>
        <w:t>承包人提供的图纸和资料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向工程师提交下列图纸和资料供审查：合同规定提交的图纸；设备安装、运行及维护说明书；设备技术条件和说明书；产品样本；产品合格证；出厂试验报告；现场试验大纲和程序；本合同文件中提及的其它图纸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正式提交审查的图纸均应由承包人授权代表签署或单位盖章。对于承包人提交的不符合要求的图纸，工程师将不作正式审查或处理，也不将图纸退回承包人，只书面通知承包人不符合要求的图纸名称，并要求承包人修改后重新提交图纸，直至满足招标文件相关条款止。由于重新修改图纸，推迟合同规定的交图时间，影响工程进度时，将认为承包人逾期，并应承担违约罚款。</w:t>
      </w:r>
    </w:p>
    <w:p>
      <w:pPr>
        <w:pStyle w:val="102"/>
        <w:rPr>
          <w:color w:val="auto"/>
          <w:highlight w:val="none"/>
        </w:rPr>
      </w:pPr>
      <w:r>
        <w:rPr>
          <w:rFonts w:hint="eastAsia"/>
          <w:color w:val="auto"/>
          <w:highlight w:val="none"/>
        </w:rPr>
        <w:t>合同生效后15天内，承包人应提供第一次技术联络会上需要审查和讨论的图纸、资料：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计算机监控系统结构图；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硬件配置图及主要设备清单；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各屏体外形、尺寸及安装图；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微机控制台外形和尺寸；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系统软件和应用软件清单和说明；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输入输出I/O定义表；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应用软件流程图、源程序及说明；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画面显示及报表格式；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其它供审查用的软件相关资料。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上述图纸每项提交4套（附图纸清单、注明按合同提交的日期及顺序），并经工程师审查，随图纸再附CAD格式的电子版文件。</w:t>
      </w:r>
    </w:p>
    <w:p>
      <w:pPr>
        <w:pStyle w:val="102"/>
        <w:rPr>
          <w:color w:val="auto"/>
          <w:highlight w:val="none"/>
        </w:rPr>
      </w:pPr>
      <w:r>
        <w:rPr>
          <w:rFonts w:hint="eastAsia"/>
          <w:color w:val="auto"/>
          <w:highlight w:val="none"/>
        </w:rPr>
        <w:t>第一次技术联络会后15天内，承包人应提供经审查、讨论和修改后的图纸、资料：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各屏体的原理图、结构图、配线表、详细设备清单；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输入输出I/O定义表；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画面显示及报表格式；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全部工程使用的图纸和文件；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软件及功能说明资料；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设备清单及技术说明书；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各种软件包的操作、维护手册及最终说明书；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设备安装及运行、操作、维护使用说明书。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上述图纸每项提交4套（附图纸清单、注明按合同提交的日期及顺序），并经工程师审查，随图纸再附CAD格式的电子版文件。</w:t>
      </w:r>
    </w:p>
    <w:p>
      <w:pPr>
        <w:pStyle w:val="102"/>
        <w:rPr>
          <w:color w:val="auto"/>
          <w:highlight w:val="none"/>
        </w:rPr>
      </w:pPr>
      <w:r>
        <w:rPr>
          <w:rFonts w:hint="eastAsia"/>
          <w:color w:val="auto"/>
          <w:highlight w:val="none"/>
        </w:rPr>
        <w:t>随包装箱发运，承包人应提供下述工程施工安装所需的资料：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全部工程使用的图纸和文件；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设备清单及技术说明书；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设备安装及运行、操作、维护使用说明书；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软件及功能说明资料；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各种软件包的操作、维护手册及最终说明书。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所有按规定提交的工厂图纸、安装说明书、操作说明书、产品使用说明书、维修手册等资料及产品的厂内检查及试验记录应按合同和档案管理要求装订成册，向发包人直接提供8套，并加盖本工程专用章。</w:t>
      </w:r>
    </w:p>
    <w:p>
      <w:pPr>
        <w:pStyle w:val="100"/>
        <w:rPr>
          <w:color w:val="auto"/>
          <w:highlight w:val="none"/>
        </w:rPr>
      </w:pPr>
      <w:r>
        <w:rPr>
          <w:rFonts w:hint="eastAsia"/>
          <w:color w:val="auto"/>
          <w:highlight w:val="none"/>
        </w:rPr>
        <w:t>对发包人的培训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承包人应派遣称职合格有丰富经验的指导人员为发包人培训人员提供计算机监控系统操作和维护的培训。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承包人应提供计算机编程培训，主要关于编写、组织和执行所供系统程序的知识，培训完成之后，应具备维护、更新和调整所供软件的能力。软件培训至少应包括以下内容：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计算机操作系统；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实时执行程序；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诊断程序；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数据库的操作与维护；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画面显示和报告生成；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程序开发技术；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应用程序；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软件程序。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上、下位机硬件维护培训，包括承包人推荐的试验装置的使用、主机架硬件试验、组件替换的故障寻迹、I/O外围硬件电子的/电气的/机械的试验组件/模块替换的故障寻迹、固定接线子系统的试验、预防性维护程序及操作和使用承包人提供的用于上、下位机专用硬件诊断的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承包人应提供执行控制台控制功能的操作培训。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承包人应提供使用各工作站计算机和外围设备的计算机操作培训。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承包人应编写培训手册并交由发包人审查同意，该手册针对本工程设备特点进行编制，内容应全面包含测试、操作、维护，以达到培训和指导的作用，每种手册向发包人直接提供4套。</w:t>
      </w:r>
    </w:p>
    <w:p>
      <w:pPr>
        <w:pStyle w:val="100"/>
        <w:rPr>
          <w:color w:val="auto"/>
          <w:highlight w:val="none"/>
        </w:rPr>
      </w:pPr>
      <w:r>
        <w:rPr>
          <w:rFonts w:hint="eastAsia"/>
          <w:color w:val="auto"/>
          <w:highlight w:val="none"/>
        </w:rPr>
        <w:t>现场试验</w:t>
      </w:r>
    </w:p>
    <w:p>
      <w:pPr>
        <w:pStyle w:val="102"/>
        <w:rPr>
          <w:color w:val="auto"/>
          <w:highlight w:val="none"/>
        </w:rPr>
      </w:pPr>
      <w:r>
        <w:rPr>
          <w:rFonts w:hint="eastAsia"/>
          <w:color w:val="auto"/>
          <w:highlight w:val="none"/>
        </w:rPr>
        <w:t>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监控系统安装完毕后，应进行各项现场试验（包括现场安装试验）、试运行和验收试验，以验证设备性能和质量是否符合合同文件的要求。</w:t>
      </w:r>
    </w:p>
    <w:p>
      <w:pPr>
        <w:pStyle w:val="102"/>
        <w:rPr>
          <w:color w:val="auto"/>
          <w:highlight w:val="none"/>
        </w:rPr>
      </w:pPr>
      <w:r>
        <w:rPr>
          <w:rFonts w:hint="eastAsia"/>
          <w:color w:val="auto"/>
          <w:highlight w:val="none"/>
        </w:rPr>
        <w:t>试运行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1）在设备安装完成后，经现场试验检查合格后，应进行试运行，以检验设备技术性能和保证值是否满足和符合合同文件的规定。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2）试运行的试验检查项目、记录内容和成果分析由承包人负责。</w:t>
      </w:r>
    </w:p>
    <w:p>
      <w:pPr>
        <w:pStyle w:val="100"/>
        <w:rPr>
          <w:color w:val="auto"/>
          <w:highlight w:val="none"/>
        </w:rPr>
      </w:pPr>
      <w:r>
        <w:rPr>
          <w:rFonts w:hint="eastAsia"/>
          <w:color w:val="auto"/>
          <w:highlight w:val="none"/>
        </w:rPr>
        <w:t>备品备件</w:t>
      </w:r>
    </w:p>
    <w:p>
      <w:pPr>
        <w:pStyle w:val="102"/>
        <w:rPr>
          <w:color w:val="auto"/>
          <w:highlight w:val="none"/>
        </w:rPr>
      </w:pPr>
      <w:r>
        <w:rPr>
          <w:rFonts w:hint="eastAsia"/>
          <w:color w:val="auto"/>
          <w:highlight w:val="none"/>
        </w:rPr>
        <w:t>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承包人应按招标文件中有关规定提供系统长期安全稳定运行所必备的备品备件，至少包括：全套用于日常维修和保证计算机监控系统正常运行所必须的器件或插件。规定的备品备件价格已包括在投标报价中。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备品备件包装箱上应有明显的标记。保证在规定的条件下，在保存期内不会变质。</w:t>
      </w:r>
    </w:p>
    <w:p>
      <w:pPr>
        <w:pStyle w:val="102"/>
        <w:rPr>
          <w:color w:val="auto"/>
          <w:highlight w:val="none"/>
        </w:rPr>
      </w:pPr>
      <w:r>
        <w:rPr>
          <w:rFonts w:hint="eastAsia"/>
          <w:color w:val="auto"/>
          <w:highlight w:val="none"/>
        </w:rPr>
        <w:t>具体要求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1）合同中规定的有关设备测试、运输、付款期限、质量保证等条件，同样适用于备品备件。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2）所提供的全部备品备件应能与原部件相互替换，其材料、工艺及构造均与原部件相同。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所有备件的包装和处理均应适合于在工地长期贮存，每个备品备件的包装箱上都要清楚地标上名称、产品编号、制造厂、产品型号及其它的说明和用途。提供的每个电子插件应有防静电保护措施。当几个品种的备品备件装在一个箱里时，则应在箱外给出目录，箱内附有详细装箱清单。所有箱子都应标志清楚并进行编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4）备品备件和消耗品应随同设备一起运到工地。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5）承包人应列出所有备品备件和消耗品最近的销售和服务代理人。</w:t>
      </w:r>
    </w:p>
    <w:p>
      <w:pPr>
        <w:autoSpaceDE w:val="0"/>
        <w:autoSpaceDN w:val="0"/>
        <w:adjustRightInd w:val="0"/>
        <w:snapToGrid w:val="0"/>
        <w:spacing w:line="360" w:lineRule="auto"/>
        <w:ind w:firstLine="422" w:firstLineChars="20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6）承包人应提供如下规定的备品备件：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PLC电源模块：每种型号各3个；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继电器：每种型号各3个；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指示灯、熔断器和空气开关：每种型号各3个；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控制、切换开关和按钮：每种型号各3个；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指示仪表：每种型号各3个；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外围设备易损件，实用量的50%（如打印头、磁头等）；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设备屏用智能温湿度控制器（含温湿度探头）3套。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7）投标人推荐的备品备件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投标人应根据对所提供设备的了解及以往类似工程的经验推荐运行3年所需的备品备件，推荐的备品备件应分别列出报价明细（但不进入投标总报价中），并注明“推荐”二字，便于发包人选购。</w:t>
      </w:r>
    </w:p>
    <w:p>
      <w:pPr>
        <w:pStyle w:val="100"/>
        <w:rPr>
          <w:color w:val="auto"/>
          <w:highlight w:val="none"/>
        </w:rPr>
      </w:pPr>
      <w:r>
        <w:rPr>
          <w:rFonts w:hint="eastAsia"/>
          <w:color w:val="auto"/>
          <w:highlight w:val="none"/>
        </w:rPr>
        <w:t>专用工器具</w:t>
      </w:r>
    </w:p>
    <w:p>
      <w:pPr>
        <w:pStyle w:val="102"/>
        <w:rPr>
          <w:color w:val="auto"/>
          <w:highlight w:val="none"/>
        </w:rPr>
      </w:pPr>
      <w:r>
        <w:rPr>
          <w:rFonts w:hint="eastAsia"/>
          <w:color w:val="auto"/>
          <w:highlight w:val="none"/>
        </w:rPr>
        <w:t>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承包人应按招标文件中有关规定提供系统长期安全稳定运行所需的正常维护和保养所需要的专用维修工具和试验设备。其价格已包括在投标报价中。安装、调试和试运行阶段所需的各种工具和消耗品应由承包人提供，不计入本条所列的专业工器具之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2）在本章规定提供的所有工具和仪器所需的内部连接电缆、测量用电缆、探测器、电源线和其它专用工具、仪器的辅助设备应包括在供货范围内。</w:t>
      </w:r>
    </w:p>
    <w:p>
      <w:pPr>
        <w:pStyle w:val="102"/>
        <w:rPr>
          <w:color w:val="auto"/>
          <w:highlight w:val="none"/>
        </w:rPr>
      </w:pPr>
      <w:r>
        <w:rPr>
          <w:rFonts w:hint="eastAsia"/>
          <w:color w:val="auto"/>
          <w:highlight w:val="none"/>
        </w:rPr>
        <w:t>专用工器具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承包人应提供以下专用工具：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1）用于设备日常维修和调试的各种专用试验工具，各1套。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2）专用安装拆卸工具及附件，各1套。</w:t>
      </w:r>
    </w:p>
    <w:p>
      <w:pPr>
        <w:autoSpaceDE w:val="0"/>
        <w:autoSpaceDN w:val="0"/>
        <w:adjustRightInd w:val="0"/>
        <w:snapToGrid w:val="0"/>
        <w:spacing w:line="360" w:lineRule="auto"/>
        <w:ind w:firstLine="420" w:firstLineChars="200"/>
        <w:textAlignment w:val="baseline"/>
        <w:rPr>
          <w:rFonts w:ascii="宋体" w:hAnsi="宋体" w:cs="宋体"/>
          <w:bCs/>
          <w:color w:val="auto"/>
          <w:kern w:val="44"/>
          <w:szCs w:val="21"/>
          <w:highlight w:val="none"/>
        </w:rPr>
      </w:pPr>
      <w:r>
        <w:rPr>
          <w:rFonts w:hint="eastAsia" w:ascii="宋体" w:hAnsi="宋体" w:cs="宋体"/>
          <w:color w:val="auto"/>
          <w:szCs w:val="21"/>
          <w:highlight w:val="none"/>
          <w:lang w:bidi="ar"/>
        </w:rPr>
        <w:t>承包人推荐的工具（不包括上述工具），应注明“推荐”二字分别报价，但报价不</w:t>
      </w:r>
      <w:r>
        <w:rPr>
          <w:rFonts w:hint="eastAsia" w:ascii="宋体" w:hAnsi="宋体" w:cs="宋体"/>
          <w:color w:val="auto"/>
          <w:kern w:val="2"/>
          <w:szCs w:val="21"/>
          <w:highlight w:val="none"/>
          <w:lang w:bidi="ar"/>
        </w:rPr>
        <w:t>进入投标总</w:t>
      </w:r>
      <w:r>
        <w:rPr>
          <w:rFonts w:hint="eastAsia" w:ascii="宋体" w:hAnsi="宋体" w:cs="宋体"/>
          <w:color w:val="auto"/>
          <w:szCs w:val="21"/>
          <w:highlight w:val="none"/>
          <w:lang w:bidi="ar"/>
        </w:rPr>
        <w:t>报</w:t>
      </w:r>
      <w:r>
        <w:rPr>
          <w:rFonts w:hint="eastAsia" w:ascii="宋体" w:hAnsi="宋体" w:cs="宋体"/>
          <w:color w:val="auto"/>
          <w:kern w:val="2"/>
          <w:szCs w:val="21"/>
          <w:highlight w:val="none"/>
          <w:lang w:bidi="ar"/>
        </w:rPr>
        <w:t>价中，目的是供发包人选购。</w:t>
      </w:r>
    </w:p>
    <w:p>
      <w:pPr>
        <w:pStyle w:val="98"/>
        <w:rPr>
          <w:bCs/>
          <w:color w:val="auto"/>
          <w:highlight w:val="none"/>
        </w:rPr>
      </w:pPr>
      <w:r>
        <w:rPr>
          <w:rFonts w:hint="eastAsia"/>
          <w:color w:val="auto"/>
          <w:highlight w:val="none"/>
        </w:rPr>
        <w:t>计算机监控系统配置结构</w:t>
      </w:r>
    </w:p>
    <w:p>
      <w:pPr>
        <w:pStyle w:val="100"/>
        <w:rPr>
          <w:color w:val="auto"/>
          <w:highlight w:val="none"/>
        </w:rPr>
      </w:pPr>
      <w:r>
        <w:rPr>
          <w:rFonts w:hint="eastAsia"/>
          <w:color w:val="auto"/>
          <w:highlight w:val="none"/>
        </w:rPr>
        <w:t>监控系统设计原则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上虞区虞东河湖综合整治工程按照建成后“无人值班（少人值守）”，以计算机监控为主，简易常规控制为辅的原则进行总体设计，并充分注意计算机监控系统与各常规控制设备的协调配合，整个监控系统与机电设备同步投入。常规控制可在主控站与现场控制单元通讯中断（或主控站故障）时作操作备用，它通过电缆直接作用于现地控制单元，现地单元具备运行人员进行常规控制的值班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计算机监控系统高度可靠，其平均故障间隔时间（MTBF）、 平均维修时间（MTTR）及各项可用性指标均达到《水电厂计算机监控系统基本技术条件》（</w:t>
      </w:r>
      <w:r>
        <w:rPr>
          <w:rFonts w:hint="eastAsia" w:ascii="宋体" w:hAnsi="宋体" w:cs="宋体"/>
          <w:color w:val="auto"/>
          <w:kern w:val="2"/>
          <w:szCs w:val="21"/>
          <w:highlight w:val="none"/>
          <w:lang w:bidi="ar"/>
        </w:rPr>
        <w:t>DL/T578</w:t>
      </w:r>
      <w:r>
        <w:rPr>
          <w:rFonts w:hint="eastAsia" w:ascii="宋体" w:hAnsi="宋体" w:cs="宋体"/>
          <w:color w:val="auto"/>
          <w:szCs w:val="21"/>
          <w:highlight w:val="none"/>
          <w:lang w:bidi="ar"/>
        </w:rPr>
        <w:t>）的规定。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在保证整个系统可靠性、实用性和实时性前提下，体现先进性，系统配置和设备选型符合计算机发展迅速的特点，充分利用计算机领域的先进技术，系统达到目前国内先进水平：</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以计算机控制为核心，采用开放式、分布式系统结构，并按照容错设计，不会因一台机器发生故障而引起系统误操作或降低系统性能。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计算机监控系统采用成熟的、可靠的、标准化的硬件、软件、网络结构和汉化系统。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计算机监控系统响应速度快，可靠性和可利用率高，可维护性好。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系统配置和设备选型适应计算机发展迅速的特点，具有先进性和向后兼容性，又能充分保护用户的投资。软件采用模块化、结构化的设计，使系统更能适应功能的增加和规模的扩充。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系统实时性好，抗干扰能力强，适应本工程的现场环境。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监控系统人机接口功能强，操作方便。</w:t>
      </w:r>
    </w:p>
    <w:p>
      <w:pPr>
        <w:pStyle w:val="100"/>
        <w:rPr>
          <w:color w:val="auto"/>
          <w:highlight w:val="none"/>
        </w:rPr>
      </w:pPr>
      <w:r>
        <w:rPr>
          <w:rFonts w:hint="eastAsia"/>
          <w:color w:val="auto"/>
          <w:highlight w:val="none"/>
        </w:rPr>
        <w:t>监控系统设计概述</w:t>
      </w:r>
    </w:p>
    <w:p>
      <w:pPr>
        <w:pStyle w:val="102"/>
        <w:rPr>
          <w:color w:val="auto"/>
          <w:highlight w:val="none"/>
        </w:rPr>
      </w:pPr>
      <w:r>
        <w:rPr>
          <w:rFonts w:hint="eastAsia"/>
          <w:color w:val="auto"/>
          <w:highlight w:val="none"/>
        </w:rPr>
        <w:t>监控系统结构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监控系统均采用分层分布开放式网络结构，分为三层，分别是管理控制中心控制层、水闸集中控制层（控制室工作站）和各现地单元控制层（LCU）。集中控制层与各现地单元控制层间采用自建光纤以太网络通信，根据传输距离选用网络双绞线或光纤，采用星型网络结构；水闸集中控制层与管理控制中心控制层间采用租用光纤以太网络通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计算机监控系统结构图详见招标附图。</w:t>
      </w:r>
    </w:p>
    <w:p>
      <w:pPr>
        <w:pStyle w:val="102"/>
        <w:rPr>
          <w:color w:val="auto"/>
          <w:highlight w:val="none"/>
        </w:rPr>
      </w:pPr>
      <w:r>
        <w:rPr>
          <w:rFonts w:hint="eastAsia"/>
          <w:color w:val="auto"/>
          <w:highlight w:val="none"/>
        </w:rPr>
        <w:t>监控系统的控制操作方式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监控系统控制方式、权限的选择和切换均在现地单元控制层进行，控制权限级别的优先权从高到低的顺序为现地、中控室。优先级控制权选定后可否定或闭锁比其低的次优先级的控制权。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1）控制室控制方式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当控制权切至控制室控制方式时，由集中控制层计算机发出控制、调节命令并送至LCU。</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2）现地控制方式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LCU上设置远方/现地选择开关，当选择现地方式时，能通过LCU的操作界面对设备进行控制和调节，这时远方控制功能被闭锁，仅保留遥测和遥信功能。当选择远方方式时，LCU能接受远方计算机的控制、调节命令，现地界面的操作无效。</w:t>
      </w:r>
    </w:p>
    <w:p>
      <w:pPr>
        <w:pStyle w:val="100"/>
        <w:rPr>
          <w:color w:val="auto"/>
          <w:highlight w:val="none"/>
        </w:rPr>
      </w:pPr>
      <w:r>
        <w:rPr>
          <w:rFonts w:hint="eastAsia"/>
          <w:color w:val="auto"/>
          <w:highlight w:val="none"/>
        </w:rPr>
        <w:t>监控系统配置</w:t>
      </w:r>
    </w:p>
    <w:p>
      <w:pPr>
        <w:pStyle w:val="102"/>
        <w:rPr>
          <w:color w:val="auto"/>
          <w:highlight w:val="none"/>
        </w:rPr>
      </w:pPr>
      <w:r>
        <w:rPr>
          <w:rFonts w:hint="eastAsia"/>
          <w:color w:val="auto"/>
          <w:highlight w:val="none"/>
        </w:rPr>
        <w:t>监控系统硬件配置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计算机监控系统采用开放系统，由各工作站、打印机、各现地LCU单元以及相应的外设构成（详见附图“计算机监控系统结构图”）。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1）主机兼操作员工作站（共5套，以下所列为1套的配置）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（1）工作站功能包括对计算机监控系统的管理，数据库管理，在线及离线计算功能，各图表、曲线的生成，事故故障信号的分析处理等。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站同时供运行值班人员使用，具有图形显示、运行监视和控制功能、发操作控制命令、作定值修改、设定与变更工作方式等功能。所有的操作控制都可以通过鼠标及键盘而实现；通过显示器可以对全站的生产、设备运行状况作实时监视，并取得所需的各种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（2）单套主机兼操作员工作站配置要求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主机兼操作员工作站采用工业控制机，选用DiggCom、Schneider、Emerson或同档次品牌，主要技术指标不低于：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a、CPU          四核处理器3.6GHz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b、内存          16GB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c、硬盘  </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采用1个3.5"1TB SATA接口硬盘，利用率≤50%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d、显卡          2G独立显卡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e、光驱          DVD-RW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f、2个100/1000Mbps以太网卡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g、1台27英寸真彩TFT液晶显示器及适配卡，分辨率≥2K</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h、6个USB 2.0或3.0接口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i、1个工作键盘（104标准键盘）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j、1只鼠标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k、机内电源400W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1、有源音箱1对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m、机内锂电池供电的实时时钟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n、主控站微机应配有一个坚固的通风条件良好的装配箱，此机箱配有400W电源，冷却风扇和可拆洗的空气过滤器。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（3）运行环境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220VAC，50Hz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温度  </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-5℃～+45℃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湿度  </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≤95％ RH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海拔高度      &lt;1000m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耐振能力  </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水平加速度0.25G，垂直加速度0.13G，水平、垂直加速度同时作用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MTBF         ≥50000h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2）工程师兼通信工作站（共5套，以下所列为1套的配置）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置同主机兼操作员工作站。设有经Modem与承包人远程诊断中心通讯的通道，还有向本工程管理控制中心传送远动信息的通道，远动所需的各种信息量直接由通信工作站经光端机发送，规约采用部颁CDT规约，并预留支持X.25或TCP/IP等标准远程数据通讯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3）便携式工作站（1台）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计算机监控系统设备日常维修的控制器编程、系统维修、调试用的便携式工作站（笔记本电脑）1台及编程、调试软件1套，便携式工作站推荐品牌为联想、同方、浪潮或同档次及以上品牌，配置如下：14″液晶显示器；7代CPU；内存容量不小于16GB；固态硬盘容量不小于1T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4）容错服务器（1套）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（1）性能要求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服务器采用4U一体化机箱。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服务器采用部件级冗余的工业标准容错服务器，基于x86架构，全年平均停机时间不超过5分钟，服务器可靠性设计达到99.999%以上，电源、CPU、内存、I/O控制组件均采用冗余配置。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服务器完全采用冗余方式，上下硬件模块部件在同一时钟周期做同样的工作，能够在发生故障时进行及时切换。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发生故障时，对故障模块自动隔离再移除，无故障模块保持在线，接管业务系统继续运行。更换故障模块后，两套模块自动同步，恢复正常运行状态。在灾难性故障（如处理器/芯片组）出现时，数据不丢失。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服务器硬盘，包括操作系统、应用软件和静态数据等均采用镜像（RAID 1）方式保护；同时服务器还具有内存动态数据的镜像保护，保证实时数据的安全性。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▲支持Windows，Linux等主流操作系统；支持中标麒麟，银河麒麟，红旗，普华，凝思，统信等国产操作系统，并提供至少一个国产操作系统使用证明或认证证书。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支持本地或远程管理、全面实时故障管理、性能监视，邮件或微信告警通知。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提供业务应用响应级别实时监控和端口监控功能，不仅在硬件发生故障时容错，在操作系统和应用程序状态异常时也可以实施容错恢复。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▲安全策略：内置平台层安全策略控制，可以根据安全要求对策略进行设置；平台有访问黑白名单设置，可以限制访问的范围，确保安全访问，并且可以与操作系统的安全策略配合实现双重安全保障；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容错服务器硬件模块面板需设置各类故障告警灯，包括系统工作状况、数据同步状态、系统平台是否稳定、储存状态、网络应用、第三方系统软件等故障报警，此项功能需出示相应专利证明或服务器面板照片图例说明。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所有关键部件均可以模块化的方式进行更换，即CPU/内存、I/O设备、电源、主板等出现故障时，均可不停机进行更换。</w:t>
      </w:r>
      <w:r>
        <w:rPr>
          <w:rFonts w:hint="eastAsia" w:ascii="宋体" w:hAnsi="宋体" w:cs="宋体"/>
          <w:color w:val="auto"/>
          <w:szCs w:val="21"/>
          <w:highlight w:val="none"/>
          <w:lang w:bidi="ar"/>
        </w:rPr>
        <w:br w:type="textWrapping"/>
      </w:r>
      <w:r>
        <w:rPr>
          <w:rFonts w:hint="eastAsia" w:ascii="宋体" w:hAnsi="宋体" w:cs="宋体"/>
          <w:color w:val="auto"/>
          <w:szCs w:val="21"/>
          <w:highlight w:val="none"/>
          <w:lang w:bidi="ar"/>
        </w:rPr>
        <w:t xml:space="preserve">   （2）配置要求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采用INEDGE、NEC、HP-NonStop或同档次品牌，要求提供原厂商授权文件及3年原厂硬件质保服务。主要技术指标不低于：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双路双模（每个模块配置2个物理CPU，总共配置4个物理CPU）10C、2.2GHz（逻辑CPU）；</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最少内存配置为2*32GB DDR，最大至少可扩充到1TB或以上（逻辑内存）；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配套操作系统，并配置相应的服务器管理软件；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每个硬件模块采用两块480G SAS接口的SSD固态硬盘作为系统盘，并配置一块SAS 2.4T 10K硬盘作为数据存储用。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RAID：集成RAID控制器，支持Raid0/1/5/10；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网络接口：每模块标配2x 1GBase-T+2x 10GBase-T高速网络端口，采用网卡冗余技术，发生网络端口故障时自动切换到其他物理端口；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扩展槽：每模块支持6xPCIe半高扩展插槽；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管理接口：每模块集成1个带外管理模块，支持IPMI2.0，对外提供1个1000 Mbps RJ45管理网口；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电源：提供冗余800W电源模块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5）现地控制单元（LCU屏）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LCU实现对各闸门的监控。LCU由彩显触摸屏、PLC、通信管理单元、交换机、水位计、出口继电器、空气开关、按钮、信号灯等设备组成。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LC完成所控设备的顺序控制、监视、调节功能，完成数据的采集及预处理功能。LCU配有当地的彩色液晶显示触摸屏，其设计能保证当它与主机系统脱离后仍然能实现对机组进行必要的监视和控制功能，这些功能包括闸门的开、停操作；闸门运行状态及参数的监视，而当其与主机恢复联系后又能自动地服从上位机系统的控制和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中央处理器（CPU）可选用高性能处理器，CPU应不低于傲拓科技公司CPU401-0431、南瑞公司MB80系列CPU721E、国电南自公司SA80C系列80CPU24104。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PLC性能指标要求如下：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▲CPU可选用32位以上工业级微处理器，主频不小于1GHz。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PLC可选用标准CPU，I/O模块需独立配置，CPU本体不可集成IO点，确保整个PLC系统运行稳定、可靠。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如需使用标准SOE模块，不可使用常规DI模块代替SOE模块，事件分辨率为1ms。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▲内置用户内存容量（不包含扩展内存）≥128M，CPU本体应具有内置存储，增加CPU数据存储的安全性、稳定性。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具有强大的处理能力，CPU可以处理大量的I/O点：可支持最大数字量为10000点，最大模拟量为2500点。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在背板电源和用户端电源不断开的情况下，I/O模块、通讯模块及可拆卸端子排支持带电热插拔。</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背板总线支持冗余电源设计。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▲PLC采用冗余电源模块，其中一个损坏时，可以不中断运行。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▲带有独立的串口通信模块，至少支持4路RS485通信接口，支持标准MODBUS RTU协议，可自定义协议与多功能仪表等通信。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控制器的通讯模块、I/O模块及其它特殊功能模块均应与CPU模块严格保持同等的档次、是同一系列的产品。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支持Modbus/TCP协议。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模拟量分辨率为16bit。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可编程控制器应支持LD（梯形图）、ST（结构文本）、IL（指令表）、FBD（功能块图）、SFC（顺序功能图），且编程软件应支持功能块分装，方便程序移植。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集成在编程软件中的PLC仿真器可以在PC上准确地再现目标程序的行为，可脱离硬件进行开发调试。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支持OPC国际标准，便于与第三方组态软件通讯。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CU均采用UPS供电，以保证LCU可靠运行。出口继电器采用强电中间继电器，信号继电器选用GZE系列继电器。LCU屏屏内按钮、信号灯、熔断器和中间继电器等可选用知名品牌产品（ABB、施耐德、西门子），端子排采用ADO绝缘移位端子或魏德米勒或菲尼克斯系列端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每面LCU屏规定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（1）3处水闸（皂李湖河节制闸1、皂李湖～白马湖连接隧洞进口节制闸、白马湖～东西泊连接隧洞进口节制闸）LCU屏（共3套，以下所列为1套的配置）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a、PLC</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开关量输入     64点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开关量输出     16点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模拟量输入     8点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b、液晶触摸屏1套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与PLC同一品牌的真彩TFT液晶触摸屏，不小于12英寸。</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主要技术指标不低于：</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LED背光灯；</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分辨率800×600；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显示亮度300cd/㎡；</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处理器Cortex-A8，600MHz；</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内存128M；</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接口：RS232、RS485、RJ45；</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工作温度：0℃~55℃；</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工作湿度5%~95%；</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防护等级IP65。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通讯管理机1套，实现现地PLC与其它自动化设备（智能仪表、闸门开度仪、触摸屏等设备）的通讯。通讯管理装置具有8个可编程串口，1个以太网口，能够十分方便的实现现地PLC与其它自动化设备的通讯（包含串口的通讯程序编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d、工业交换机1台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现地接入交换机采用集成式一体化工业以太网交换机，其性能指标不低于ORing 3000系列、N-TRON 700系列、Siemens SCALANCE X200系列产品。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具体要求如下：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使用管理型工业以太网交换机，100M电口不少于8个，2个1000M光口；</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符合工业标准及IEEE802.3标准；</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工业标准35mm卡轨式安装，工作温度：-20℃～70℃，工作电压：10～48VDC；</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采用存储-转发技术，支持自动协商功能、自适应全双工/半双工、自适应100Base-TX端口、自适应MDI/MDIX；</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MTBF（平均无故障工作时间）不小于20万小时；</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相对湿度：10%～95%（非凝结）；</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防护等级不低于IP30，全封闭式金属外壳，无需风扇散热（无风扇设计）；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冗余双电源输入，具有电源过载保护功能；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具有网络管理功能，提供网管软件通讯方式对交换机进行监控、故障诊断和趋势图分析的功能；支持RSTP、SNMPV1/V2/V3、IGMP snooping、VLAN、QOS、TRUNKING、MIRRORING、DHCP等功能。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e、雷达水位计2套（带数显仪）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雷达水位计用于测量水闸上、下游侧水位。推荐品牌为精波、航征、莘海或同档次及以上品牌，主要技术指标不低于：</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工作温度：-40℃～+70℃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工作原理：脉冲雷达波测距</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电波频率：26GHz</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发射锥度角：8º</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量程：0～15m</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输出信号：4～20mA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标称精度：±3mm（全量程）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工作电压：24VDC</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防护等级：IP68</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带防雷击、密封接线盒和160m电缆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数显仪参数：</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工作温度：0℃～+50℃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相对湿度：≤90%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控制类型：带四位控制报警</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输入类型：4～20mA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输出类型：4～20mA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变送器配电电源：带DC24V电源输出</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工作电源：AC220V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f、监控屏用智能温湿度控制器（含温湿度传感器及电加热器）1套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g、防雷装置1套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（2）皂李湖河节制闸2 LCU屏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a、PLC</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开关量输入     96点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开关量输出     32点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模拟量输入     8点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b、液晶触摸屏1套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与PLC同一品牌的真彩TFT液晶触摸屏，不小于12英寸。主要技术指标要求同皂李湖河节制闸1 LCU触摸屏完全相同。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通讯管理机1套，实现现地PLC与其它自动化设备（智能仪表、闸门开度仪、触摸屏等设备）的通讯。通讯管理装置具有8个可编程串口，1个以太网口，能够十分方便的实现现地PLC与其它自动化设备的通讯（包含串口的通讯程序编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d、工业交换机1台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现地接入交换机采用集成式一体化工业以太网交换机，其性能指标不低于ORing 3000系列、N-TRON 700系列、Siemens SCALANCE X200系列产品。使用光纤（星网）工业以太网交换机，100M电口不少于8个，2个1000M光口。性能指标要求同皂李湖河节制闸1 LCU中工业交换机完全相同。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e、雷达水位计2套（带数显仪）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用于测量水闸上、下游侧水位。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性能指标要求同皂李湖河节制闸1 LCU中水位计完全相同。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f、监控屏用智能温湿度控制器（含温湿度传感器及电加热器）1套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g、防雷装置1套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（3）皂李湖～白马湖连接隧洞出口套闸LCU（共2套，分别为上闸首LCU、下闸首LCU，以下所列为1套的配置）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a、PLC</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开关量输入     64点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开关量输出     16点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模拟量输入     8点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b、液晶触摸屏1套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与PLC同一品牌的真彩TFT液晶触摸屏，不小于12英寸。主要技术指标要求同皂李湖河节制闸1 LCU触摸屏完全相同。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通讯管理机1套，实现现地PLC与其它自动化设备（智能仪表、闸门开度仪、触摸屏等设备）的通讯。通讯管理装置具有8个可编程串口，1个以太网口，能够十分方便的实现现地PLC与其它自动化设备的通讯（包含串口的通讯程序编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d、工业交换机1台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现地接入交换机采用集成式一体化工业以太网交换机，其性能指标不低于ORing 3000系列、N-TRON 700系列、Siemens SCALANCE X200系列产品。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使用光纤（星网）工业以太网交换机，下闸首要求100M电口不少于8个，2个1000M光口；上闸首要求1000M光口不少于2个，100M电口不少于8个。LCU屏采用单模光纤连接时，相应的光端接线盒、耦合器、光电转换器、单模跳线等应配套提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性能指标要求同皂李湖河节制闸1 LCU中工业交换机完全相同。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e、雷达水位计2套（带数显仪）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用于测量水闸上、下游侧水位。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性能指标要求同皂李湖河节制闸1 LCU中水位计完全相同。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f、监控屏用智能温湿度控制器（含温湿度传感器及电加热器）1套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g、防雷装置1套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h、上闸首LCU中设置1套1kVA的UPS电源装置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4）网络及视频设备屏（共5套，以下所列为1套的配置）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屏体结构及颜色同水闸LCU屏。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网络及视频设备屏内布置计算机监控系统的汇聚交换机、卫星时钟、防火墙等。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（1）汇聚交换机1台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采用可网管模块化工业交换机，其性能指标不低于ORing 9000系列、N-TRON 7900系列、Siemens SCALANCE X300系列产品。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具体要求如下：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使用可网管模块化工业交换机，1000M光口不少于4个，10/100M/1000M电口不少于8个，水闸采用租用专网（控制网）方式与本工程管理控制中心监控系统连接，相应的辅件应配套提供；</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符合工业标准及IEEE802.3标准；</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采用模块化结构设计，提高设备的扩展性和灵活性；</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工业标准19英寸机架式安装，工作温度：-20℃～70℃，工作电压：10～48VDC；</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采用存储-转发技术，支持自动协商功能、自适应全双工/半双工、自适应100Base-TX端口、自适应MDI/MDIX；</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MTBF（平均无故障工作时间）不小于20万小时；</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相对湿度：10%～95%（非凝结）；</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防护等级不低于IP30，全封闭式金属外壳，无需风扇散热（无风扇设计）；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冗余双电源输入，具有电源过载保护功能；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具有网络管理功能，提供网管软件通讯方式对交换机进行监控、故障诊断和趋势图分析的功能；支持RSTP、SNMPV1/V2/V3、IGMP snooping、VLAN、QOS、TRUNKING、MIRRORING、DHCP等功能。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（2）网络型（双网口）卫星同步时钟装置（含GPS/北斗双模天线30m）1套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从烟台恒宇、上海锐呈、上海宽域等品牌产品中选择。由时间同步装置主时钟和从时钟组成。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采用多同步源自适应同步技术，与外同步时钟信号同步精度高，同步精度应优于0.1μs。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支持多路时间源输入，且装备高精度的守时时钟，时间同步装置可接入北斗（BDS）、GPS、PTP、NTP或IRIG-B码等外部同步信号。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可输出满足IRIG Standard 200 IRIG Serial Time Code Formats的IRIG-B（DC）码、交流B码、时分秒脉冲、时间报文信息以及NTP和PTP网络时间同步信息。时间报文输出采用双CPU并行处理技术，串口报文发送时刻为秒的准时延，误差不大于0.2ms；脉冲输出采用脉冲大电流发生电路，使光电隔离空接点能输出高精度的脉冲信号，误差不大于3μ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工业标准19英寸2U机箱，最多可输出72路，支持光纤或电缆级联输入和输出。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基于FPGA技术，采用高精度调频算法和驯服技术，具备频率准确度和守时性能，装置守时精度应不低于55μs/h，采用高精度晶振守时精度应优于1μs/h，采用铷原子晶振守时精度应优于0.1μs/h。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内部时间基准基于FPGA的高精度计时，时间源切换无抖动，能有效识别输入时间源异常，输出信号步进平滑跟随无跳变，采用逐步逼近方式调整，步进不大于200ns/s。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支持NTP v2，v3，v4（RFC1119、1305）和SNTP Simple Network Time Protocol （RFC2030）。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采用彩色LCD，支持时间日期显示、时间源状态显示、频率驯服状态显示、参数查询及配置等。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所有信号输出口均经过光电隔离，电磁抗干扰达到IV级标准；有监视装置运行状态的告警接点输出，包括电源消失告警和装置故障告警；灵活多变的组网模式，适用于双钟互备、主从时钟等方式。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装置运行状态可通过DL/T 634.5104规约上传到调度中心；支持PTP（IEEE Std 1588-2008 V2.0）精密时间同步协议；支持电网频率测量。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支持输入时延补偿、日志存储等，本装置可存储不低于200条事件日志。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主要技术参数如下：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工作温度：-25℃～55℃，工作电压：AC85～265V；</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GPS接收频率：1575.42MHz，北斗接收频率：1561.098MHz；</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GPS接收灵敏度：&lt;163dBw，北斗接收灵敏度：&lt;165dBw；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重新捕获时间&lt;1s，热起动时间&lt;26s，冷启动时间&lt;26s；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1PPS准确度≤0.1μs，1PPS脉宽100ms；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1PPM准确度≤0.1μs，1PPM脉宽100ms；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IRIG-B（DC）准确度≤0.1μs，IRIG-B（AC）准确度≤5μs；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NTP网络时间精度&lt;1ms，PTP网络时间精度&lt;1μs。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（3）网络电缆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单模铠装24芯光纤100米（含熔接、配件及施工等），超五类屏蔽双绞线100米（含接头、配件及施工等）。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5）UPS电源屏（</w:t>
      </w:r>
      <w:r>
        <w:rPr>
          <w:rFonts w:hint="eastAsia" w:ascii="宋体" w:hAnsi="宋体" w:cs="宋体"/>
          <w:color w:val="auto"/>
          <w:kern w:val="2"/>
          <w:szCs w:val="21"/>
          <w:highlight w:val="none"/>
          <w:lang w:bidi="ar"/>
        </w:rPr>
        <w:t>共5套，</w:t>
      </w:r>
      <w:r>
        <w:rPr>
          <w:rFonts w:hint="eastAsia" w:ascii="宋体" w:hAnsi="宋体" w:cs="宋体"/>
          <w:color w:val="auto"/>
          <w:szCs w:val="21"/>
          <w:highlight w:val="none"/>
          <w:lang w:bidi="ar"/>
        </w:rPr>
        <w:t>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UPS电源（带蓄电池），</w:t>
      </w:r>
      <w:r>
        <w:rPr>
          <w:rFonts w:hint="eastAsia" w:ascii="宋体" w:hAnsi="宋体" w:cs="宋体"/>
          <w:color w:val="auto"/>
          <w:kern w:val="2"/>
          <w:szCs w:val="21"/>
          <w:highlight w:val="none"/>
          <w:lang w:bidi="ar"/>
        </w:rPr>
        <w:t>从施耐德、维谛、雷迪司等品牌中选择</w:t>
      </w:r>
      <w:r>
        <w:rPr>
          <w:rFonts w:hint="eastAsia" w:ascii="宋体" w:hAnsi="宋体" w:cs="宋体"/>
          <w:color w:val="auto"/>
          <w:szCs w:val="21"/>
          <w:highlight w:val="none"/>
          <w:lang w:bidi="ar"/>
        </w:rPr>
        <w:t>。主要性能指标参数如下：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额定容量：5kVA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蓄电池额定容量：按持续供电时间不小于3h</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输入电压：AC380V±10%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输入频率：50Hz±5%</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输出电压：AC220V±2%（精度：稳态时不大于±1%，动态时不大于±5%，恢复时间&lt;25ms）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输出效率：≥90％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输出波形：纯正弦波</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输出频率：50Hz±2%（精度：50Hz±0.1%）</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切换时间：0ms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交流正常时可选用交流经稳压和滤波后供电，交流消失时采用直流逆变供电。</w:t>
      </w:r>
    </w:p>
    <w:p>
      <w:pPr>
        <w:widowControl/>
        <w:autoSpaceDE w:val="0"/>
        <w:autoSpaceDN w:val="0"/>
        <w:adjustRightInd w:val="0"/>
        <w:snapToGrid w:val="0"/>
        <w:spacing w:line="360" w:lineRule="auto"/>
        <w:ind w:firstLine="420" w:firstLineChars="200"/>
        <w:jc w:val="left"/>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屏体结构及颜色同LCU屏。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6）打印机（5台）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网络型A3/A4幅面激光打印机，主要用于打印各类文件、报表、信息等，从奔图、得力、联想等品牌产品中选择。</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具体性能参数要求如下：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打印最大幅面：A3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打印分辨率：≮1200×1200dpi</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打印速度：≮24ppm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处理器：460MHz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内存容量：512M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连接方式：USB+有线网络+无线网络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7）计算机控制台（5套，以下所列为1套的配置）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8）双联控制台（1套）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双联控制台为中心运行人员的操作控制台，暂定尺寸4000×1000×800mm（长×宽×高），同时配4张座椅。可放置4台计算机、A3/A4 幅面打印机和电话机等设备，同时控制台还可放置必需的资料等东西。双联控制台要求同控制台。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9）监控装置防雷系统（5套，</w:t>
      </w:r>
      <w:r>
        <w:rPr>
          <w:rFonts w:hint="eastAsia" w:ascii="宋体" w:hAnsi="宋体" w:cs="宋体"/>
          <w:color w:val="auto"/>
          <w:szCs w:val="21"/>
          <w:highlight w:val="none"/>
          <w:lang w:bidi="ar"/>
        </w:rPr>
        <w:t>以下所列为1套的配置</w:t>
      </w:r>
      <w:r>
        <w:rPr>
          <w:rFonts w:hint="eastAsia" w:ascii="宋体" w:hAnsi="宋体" w:cs="宋体"/>
          <w:color w:val="auto"/>
          <w:kern w:val="2"/>
          <w:szCs w:val="21"/>
          <w:highlight w:val="none"/>
          <w:lang w:bidi="ar"/>
        </w:rPr>
        <w: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监控系统需采取防雷措施，必须设置：电源防雷、信号线防雷、室外仪表引入防雷等。基本配置要求如下：</w:t>
      </w:r>
    </w:p>
    <w:tbl>
      <w:tblPr>
        <w:tblStyle w:val="33"/>
        <w:tblW w:w="0" w:type="auto"/>
        <w:jc w:val="center"/>
        <w:tblLayout w:type="autofit"/>
        <w:tblCellMar>
          <w:top w:w="0" w:type="dxa"/>
          <w:left w:w="108" w:type="dxa"/>
          <w:bottom w:w="0" w:type="dxa"/>
          <w:right w:w="108" w:type="dxa"/>
        </w:tblCellMar>
      </w:tblPr>
      <w:tblGrid>
        <w:gridCol w:w="735"/>
        <w:gridCol w:w="2145"/>
        <w:gridCol w:w="3406"/>
        <w:gridCol w:w="720"/>
        <w:gridCol w:w="735"/>
        <w:gridCol w:w="1223"/>
      </w:tblGrid>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名称</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型号及规格</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单位</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数量</w:t>
            </w:r>
          </w:p>
        </w:tc>
        <w:tc>
          <w:tcPr>
            <w:tcW w:w="1223"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备注</w:t>
            </w: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单相电源避雷器</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EPP40S</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组</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电源防雷插座</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EPP10MS-6</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只</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机架式电源防雷插座</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EPPJ10MS-8</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只</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4</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后备保护开关</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EL-SCB40</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只</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5</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信号避雷器</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EPL</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组</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jc w:val="center"/>
        </w:trPr>
        <w:tc>
          <w:tcPr>
            <w:tcW w:w="735"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6</w:t>
            </w:r>
          </w:p>
        </w:tc>
        <w:tc>
          <w:tcPr>
            <w:tcW w:w="214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信号避雷器</w:t>
            </w:r>
          </w:p>
        </w:tc>
        <w:tc>
          <w:tcPr>
            <w:tcW w:w="3406"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EPRJ45</w:t>
            </w:r>
          </w:p>
        </w:tc>
        <w:tc>
          <w:tcPr>
            <w:tcW w:w="720"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组</w:t>
            </w:r>
          </w:p>
        </w:tc>
        <w:tc>
          <w:tcPr>
            <w:tcW w:w="735" w:type="dxa"/>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1223" w:type="dxa"/>
            <w:tcBorders>
              <w:top w:val="single" w:color="auto" w:sz="4" w:space="0"/>
              <w:left w:val="nil"/>
              <w:bottom w:val="single" w:color="auto" w:sz="4" w:space="0"/>
              <w:right w:val="single" w:color="auto" w:sz="4" w:space="0"/>
            </w:tcBorders>
            <w:shd w:val="clear" w:color="auto" w:fill="auto"/>
          </w:tcPr>
          <w:p>
            <w:pPr>
              <w:autoSpaceDE w:val="0"/>
              <w:autoSpaceDN w:val="0"/>
              <w:adjustRightInd w:val="0"/>
              <w:snapToGrid w:val="0"/>
              <w:textAlignment w:val="baseline"/>
              <w:rPr>
                <w:rFonts w:ascii="宋体" w:hAnsi="宋体" w:cs="宋体"/>
                <w:color w:val="auto"/>
                <w:szCs w:val="21"/>
                <w:highlight w:val="none"/>
              </w:rPr>
            </w:pPr>
          </w:p>
        </w:tc>
      </w:tr>
    </w:tbl>
    <w:p>
      <w:pPr>
        <w:autoSpaceDE w:val="0"/>
        <w:autoSpaceDN w:val="0"/>
        <w:adjustRightInd w:val="0"/>
        <w:snapToGrid w:val="0"/>
        <w:spacing w:before="263" w:beforeLines="50"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10）广播预警系统（5套，以下所列为1套的配置）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装设1套专用通航（防汛）广播预警装置，在皂李湖河节制闸1、皂李湖河节制闸2参与防洪排涝时，及时通知和提醒河道周边过往行人、船只注意安全；在水闸通航期间，提醒过往船只遵守通航秩序，维护正常的安全运行，对过往游船等待通过或正在通过水闸时的引导和提醒，做到提前预警、有序过闸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广播预警系统具有报警、扩音喊话及广播等功能，含警报控制软件1套、控制室网络寻呼话筒1台、户外大功率扬声器4台（皂李湖～白马湖连接隧洞出口套闸为5台）、功率放大器1台、线缆、附件以及安装支架等。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广播预警系统可选用SPON、QSNPA、KARY或同档次及以上品牌，具体性能参数要求如下：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（1）网络寻呼话筒</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▲网络寻呼话筒采用IP网络寻呼话筒，具有不小于7寸数字高清显示屏，支持全双工可视对讲，支持全区、分区、指定终端进行喊话广播，支持一键紧急广播，可将广播发送到全部终端；</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电源、功耗     DC12V/2A ，≤10W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网络通讯协议   TCP/IP、UDP、ARP、ICMP、IGMP、HTTP</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网络芯片速率   10/100Mbps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视频传输位率   512Kbps-4Mbps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摄像头         200W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扬声器功放     1.5W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信噪比、频响   ＞85dB、20Hz-18Khz</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接口           1个RJ45网口、1路报警输入、1路报警输出、1路线路输入、1路线路输出、1个USB接口</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工作温度、湿度 0-45℃，≤90％（无结露）</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（2）户外大功率扬声器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采用大功率防水防腐蚀的圆形大口径号角喇叭，具有卓越的语音音质和高效传声特性，传声距离远，适合户外全天侯使用。</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喇叭单元 圆形号筒扬声器</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额定功率    50W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最大功率    70W</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额定电压    100V</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灵敏度      109dB±3dB</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频率响应    380Hz-6.5kHz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（3）功率放大器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功率放大器采用1U机架式安装网络功率放大器，输出功率360W（定压100V）；</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电源           AC100V～240V 50Hz～60Hz</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功耗           &lt;420W </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网络通讯协议   TCP/IP、UDP、ARP、ICMP、IGMP</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网络芯片速率   10/100Mbps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音频采样、位率 8kHz～44.1kHz，16bit，8kbps～320kbps</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接口 1路话筒输入，1路线路输入，1路线路输出，1路报警输入，1路报警输出</w:t>
      </w:r>
    </w:p>
    <w:p>
      <w:pPr>
        <w:autoSpaceDE w:val="0"/>
        <w:autoSpaceDN w:val="0"/>
        <w:adjustRightInd w:val="0"/>
        <w:snapToGrid w:val="0"/>
        <w:spacing w:line="360" w:lineRule="auto"/>
        <w:ind w:firstLine="840" w:firstLineChars="400"/>
        <w:textAlignment w:val="baseline"/>
        <w:rPr>
          <w:color w:val="auto"/>
          <w:highlight w:val="none"/>
        </w:rPr>
      </w:pPr>
      <w:r>
        <w:rPr>
          <w:rFonts w:hint="eastAsia" w:ascii="宋体" w:hAnsi="宋体" w:cs="宋体"/>
          <w:color w:val="auto"/>
          <w:szCs w:val="21"/>
          <w:highlight w:val="none"/>
          <w:lang w:bidi="ar"/>
        </w:rPr>
        <w:t>工作温度、湿度 -10℃～+50℃，≤90%RH(无结霜)</w:t>
      </w:r>
      <w:r>
        <w:rPr>
          <w:rFonts w:hint="eastAsia"/>
          <w:color w:val="auto"/>
          <w:highlight w:val="none"/>
        </w:rPr>
        <w:t xml:space="preserve"> </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提供CCC证书复印件。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（4）警报控制软件</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警报控制软件由工作站软件及节目制作等工具组成；</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系统采用B/S架构，支持跨平台应用，方便维护、升级；</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统一管理系统内所有IP内通设备，包括寻呼话筒，对讲终端，广播终端和接口设备；</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即时显示各类终端运行状态，如登录IP地址、音量、任务状态，可远程调节所有终端音量；</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配置各类终端参数：终端名称、广播权限（操作范围、优先级)、对讲权限（呼叫范围、优先级)、监听权限（监听范围）等；</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具有实时采播和定时采播功能，可通过声卡向指定终端广播音乐或通知；</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文件广播，将服务器中音频文件，向指定终端播放（支持任意多路文件同时广播）；</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定时任务，在设定的时间，向预设的终端播放文件列表内容；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消防广播，当服务器收到终端的触发信号，向指定区域的终端播放紧急疏散语音；</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节目管理，维护系统所需的广播音频文件，便于工作站或终端调用；</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为工作站软件提供数据接口，根据账户授予相应操作权限；</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日志功能，每次呼叫、通话和广播操作均有记录供查询。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11）广播主机（1套）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广播主机可选用IP网络广播主机，布置在管理控制中心，与各水闸广播预警系统联动。广播主机可选用SPON、QSNPA、KARY或同档次及以上品牌，具体性能参数要求如下：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采用17寸工业级加固触摸屏，具有可抽拉隐藏式键盘、滑鼠板，简单易用的触摸屏操控；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标准RJ45网络接口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具有紧急广播按钮及紧急广播话筒，可进行快速的紧急广播和应急演习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标准RJ45网络接口，有以太网口的地方即可接入，支持跨网段和跨路由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CPU：5代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硬盘：120G固态硬盘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内存：8GB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网络通讯协议：TCP、UDP、ARP、ICMP、IGMP</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网络芯片速率：10/100Mbps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音频编码：MP2/MP3/PCM/ADPCM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传输位率：16kbps-192kbps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信噪比/频响：LINE: ≥70dB， MIC: ≥70dB，20Hz-20KHz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接口：2个RJ45网口、6个USB口、1个 DVI接口、1路线路输入、1路线路输出、1路VGA输出、1路话筒输入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含配套广播系统软件。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▲所投产品通过CCC认证，投标提供证书复印件。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▲10.所投产品具有中国质量认证中心颁发的中国节能产品认证证书，提供复印件。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12）语音对讲话筒（1套）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语音对讲话筒可选用IP网络寻呼话筒，布置在管理控制中心，与各水闸广播预警系统联动。语音对讲话筒可选用SPON、QSNPA、KARY或同档次及以上品牌，具体性能参数要求如下：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专业控制台设计，铝合金面板，全金属机身。</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具有7寸数字真彩显示屏，电容式触摸屏，分辨率800*480。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内置3W扬声器和话筒咪头，用于免提通话、接收广播和监听(数字降噪)。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可对全区、分区、个别终端进行广播喊话。</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具有红色紧急按键，支持一键广播到预设分区。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支持来/去/未接电显示功能，具有常用通信电话薄查询功能。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支持U盘或读卡器接入，点播音频文件并通过网络广播到前端设备。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支持Mini SD卡接入，可以升级终端固件程序。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支持触摸屏背景界面自由更换。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内置Flash存储，可以存储音频、配置信息及备份，支持远程修改和升级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标准RJ45接口，有以太网口的地方即可接入，支持跨网段和跨路由。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技术参数：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网络通讯协议 TCP、UDP、ARP、ICMP、IGMP、HTTP、FTP</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网络芯片速率 10/100Mbps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音频编码格式 WAV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音频采样、位率 8khz-44.1kHz，16bit，8kbps-320kbps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信噪比、频响 &gt;90dB、20Hz-16KHz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网络声音延迟 对讲延迟≤30ms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显示语言 中文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工作温度、湿度 -10℃-55℃ ，≤90%（无结露）。</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13）通航信号灯系统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通航信号灯用来指示游船进、出水闸，为航道顺畅提供保障。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由交通信号灯、电缆等组成。交通信号灯设置在水闸通航进、出口处。交通信号灯可以通过计算机监控系统实现预设、控制等，在计算机监控系统退出或信号系统故障时，由人工进行指挥。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主要设备如下：</w:t>
      </w:r>
    </w:p>
    <w:tbl>
      <w:tblPr>
        <w:tblStyle w:val="33"/>
        <w:tblW w:w="5000" w:type="pct"/>
        <w:jc w:val="center"/>
        <w:tblLayout w:type="autofit"/>
        <w:tblCellMar>
          <w:top w:w="0" w:type="dxa"/>
          <w:left w:w="108" w:type="dxa"/>
          <w:bottom w:w="0" w:type="dxa"/>
          <w:right w:w="108" w:type="dxa"/>
        </w:tblCellMar>
      </w:tblPr>
      <w:tblGrid>
        <w:gridCol w:w="837"/>
        <w:gridCol w:w="2109"/>
        <w:gridCol w:w="3359"/>
        <w:gridCol w:w="722"/>
        <w:gridCol w:w="758"/>
        <w:gridCol w:w="1220"/>
      </w:tblGrid>
      <w:tr>
        <w:tblPrEx>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序号</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名称</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型号及规格</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单位</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数量</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备注</w:t>
            </w:r>
          </w:p>
        </w:tc>
      </w:tr>
      <w:tr>
        <w:tblPrEx>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
                <w:color w:val="auto"/>
                <w:szCs w:val="21"/>
                <w:highlight w:val="none"/>
              </w:rPr>
            </w:pPr>
            <w:r>
              <w:rPr>
                <w:rFonts w:hint="eastAsia" w:ascii="宋体" w:hAnsi="宋体" w:cs="宋体"/>
                <w:b/>
                <w:color w:val="auto"/>
                <w:kern w:val="2"/>
                <w:szCs w:val="21"/>
                <w:highlight w:val="none"/>
                <w:lang w:bidi="ar"/>
              </w:rPr>
              <w:t>一</w:t>
            </w:r>
          </w:p>
        </w:tc>
        <w:tc>
          <w:tcPr>
            <w:tcW w:w="4535" w:type="pct"/>
            <w:gridSpan w:val="5"/>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
                <w:color w:val="auto"/>
                <w:szCs w:val="21"/>
                <w:highlight w:val="none"/>
              </w:rPr>
            </w:pPr>
            <w:r>
              <w:rPr>
                <w:rFonts w:hint="eastAsia" w:ascii="宋体" w:hAnsi="宋体" w:cs="宋体"/>
                <w:b/>
                <w:color w:val="auto"/>
                <w:szCs w:val="21"/>
                <w:highlight w:val="none"/>
                <w:lang w:bidi="ar"/>
              </w:rPr>
              <w:t>皂李湖河节制闸1、皂李湖～白马湖连接隧洞进口节制闸、白马湖～东西泊连接隧洞进口节制闸</w:t>
            </w:r>
          </w:p>
        </w:tc>
      </w:tr>
      <w:tr>
        <w:tblPrEx>
          <w:tblCellMar>
            <w:top w:w="0" w:type="dxa"/>
            <w:left w:w="108" w:type="dxa"/>
            <w:bottom w:w="0" w:type="dxa"/>
            <w:right w:w="108" w:type="dxa"/>
          </w:tblCellMar>
        </w:tblPrEx>
        <w:trPr>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通航信号灯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color w:val="auto"/>
                <w:kern w:val="2"/>
                <w:szCs w:val="21"/>
                <w:highlight w:val="none"/>
                <w:lang w:bidi="ar"/>
              </w:rPr>
              <w:t>单套含红灯和绿灯各1只</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手持式电喇叭</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无线电对讲机</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现地手动操作通航信号灯的设备</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项</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r>
              <w:rPr>
                <w:rFonts w:hint="eastAsia" w:ascii="宋体" w:hAnsi="宋体" w:cs="宋体"/>
                <w:color w:val="auto"/>
                <w:kern w:val="2"/>
                <w:szCs w:val="21"/>
                <w:highlight w:val="none"/>
                <w:lang w:bidi="ar"/>
              </w:rPr>
              <w:t>×3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装于LCU屏上</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空气开关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S202M-C10</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接触器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AX09-30-22，AC220V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中间继电器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NX22E-80，AC220V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切换开关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M3SS1-42B-11</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CL2-523Y，AC220V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（6）</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MP1-42R-10，AC220V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（7）</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MP1-42G-10，AC220V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通航方向指示灯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6</w:t>
            </w:r>
            <w:r>
              <w:rPr>
                <w:rFonts w:hint="eastAsia" w:ascii="宋体" w:hAnsi="宋体" w:cs="宋体"/>
                <w:color w:val="auto"/>
                <w:szCs w:val="21"/>
                <w:highlight w:val="none"/>
                <w:lang w:bidi="ar"/>
              </w:rPr>
              <w:t>×3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
                <w:bCs/>
                <w:color w:val="auto"/>
                <w:szCs w:val="21"/>
                <w:highlight w:val="none"/>
              </w:rPr>
            </w:pPr>
            <w:r>
              <w:rPr>
                <w:rFonts w:hint="eastAsia" w:ascii="宋体" w:hAnsi="宋体" w:cs="宋体"/>
                <w:b/>
                <w:bCs/>
                <w:color w:val="auto"/>
                <w:kern w:val="2"/>
                <w:szCs w:val="21"/>
                <w:highlight w:val="none"/>
                <w:lang w:bidi="ar"/>
              </w:rPr>
              <w:t>二</w:t>
            </w:r>
          </w:p>
        </w:tc>
        <w:tc>
          <w:tcPr>
            <w:tcW w:w="4535" w:type="pct"/>
            <w:gridSpan w:val="5"/>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皂李湖河节制闸2</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通航信号灯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color w:val="auto"/>
                <w:kern w:val="2"/>
                <w:szCs w:val="21"/>
                <w:highlight w:val="none"/>
                <w:lang w:bidi="ar"/>
              </w:rPr>
              <w:t>单套含红灯和绿灯各1只</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6</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手持式电喇叭</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无线电对讲机</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现地手动操作通航信号灯的设备</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项</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装于LCU屏上</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空气开关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S202M-C10</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接触器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AX09-30-22，AC220V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12</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中间继电器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NX22E-80，AC220V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13</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切换开关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M3SS1-42B-11</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CL2-523Y，AC220V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（6）</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MP1-42R-10，AC220V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12</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（7）</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MP1-42G-10，AC220V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12</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通航方向指示灯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12</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
                <w:bCs/>
                <w:color w:val="auto"/>
                <w:szCs w:val="21"/>
                <w:highlight w:val="none"/>
              </w:rPr>
            </w:pPr>
            <w:r>
              <w:rPr>
                <w:rFonts w:hint="eastAsia" w:ascii="宋体" w:hAnsi="宋体" w:cs="宋体"/>
                <w:b/>
                <w:bCs/>
                <w:color w:val="auto"/>
                <w:kern w:val="2"/>
                <w:szCs w:val="21"/>
                <w:highlight w:val="none"/>
                <w:lang w:bidi="ar"/>
              </w:rPr>
              <w:t>三</w:t>
            </w:r>
          </w:p>
        </w:tc>
        <w:tc>
          <w:tcPr>
            <w:tcW w:w="4535" w:type="pct"/>
            <w:gridSpan w:val="5"/>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皂李湖～白马湖连接隧洞出口套闸</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bCs/>
                <w:color w:val="auto"/>
                <w:kern w:val="2"/>
                <w:szCs w:val="21"/>
                <w:highlight w:val="none"/>
                <w:lang w:bidi="ar"/>
              </w:rPr>
              <w:t>通航信号灯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bCs/>
                <w:color w:val="auto"/>
                <w:szCs w:val="21"/>
                <w:highlight w:val="none"/>
              </w:rPr>
            </w:pPr>
            <w:r>
              <w:rPr>
                <w:rFonts w:hint="eastAsia" w:ascii="宋体" w:hAnsi="宋体" w:cs="宋体"/>
                <w:color w:val="auto"/>
                <w:kern w:val="2"/>
                <w:szCs w:val="21"/>
                <w:highlight w:val="none"/>
                <w:lang w:bidi="ar"/>
              </w:rPr>
              <w:t>单套含红灯和绿灯各1只</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手持式电喇叭</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无线电对讲机</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现地手动操作通航信号灯的设备</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项</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装于LCU屏上</w:t>
            </w: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空气开关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S202M-C10</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（2）</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接触器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AX09-30-22，AC220V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8</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（3）</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中间继电器</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NX22E-80，AC220V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9</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（4）</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切换开关</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M3SS1-42B-11</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信号灯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CL2-523Y，AC220V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1</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（6）</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MP1-42R-10，AC220V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8</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（7）</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按钮</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szCs w:val="21"/>
                <w:highlight w:val="none"/>
                <w:lang w:bidi="ar"/>
              </w:rPr>
              <w:t>MP1-42G-10，AC220V</w:t>
            </w: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只</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8</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r>
      <w:tr>
        <w:tblPrEx>
          <w:tblCellMar>
            <w:top w:w="0" w:type="dxa"/>
            <w:left w:w="108" w:type="dxa"/>
            <w:bottom w:w="0" w:type="dxa"/>
            <w:right w:w="108" w:type="dxa"/>
          </w:tblCellMar>
        </w:tblPrEx>
        <w:trPr>
          <w:trHeight w:val="311" w:hRule="atLeast"/>
          <w:jc w:val="center"/>
        </w:trPr>
        <w:tc>
          <w:tcPr>
            <w:tcW w:w="465" w:type="pct"/>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5</w:t>
            </w:r>
          </w:p>
        </w:tc>
        <w:tc>
          <w:tcPr>
            <w:tcW w:w="117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通航方向指示灯</w:t>
            </w:r>
          </w:p>
        </w:tc>
        <w:tc>
          <w:tcPr>
            <w:tcW w:w="186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p>
        </w:tc>
        <w:tc>
          <w:tcPr>
            <w:tcW w:w="40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套</w:t>
            </w:r>
          </w:p>
        </w:tc>
        <w:tc>
          <w:tcPr>
            <w:tcW w:w="421"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jc w:val="center"/>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9</w:t>
            </w:r>
          </w:p>
        </w:tc>
        <w:tc>
          <w:tcPr>
            <w:tcW w:w="675" w:type="pct"/>
            <w:tcBorders>
              <w:top w:val="single" w:color="auto" w:sz="4" w:space="0"/>
              <w:left w:val="nil"/>
              <w:bottom w:val="single" w:color="auto" w:sz="4" w:space="0"/>
              <w:right w:val="single" w:color="auto" w:sz="4" w:space="0"/>
            </w:tcBorders>
            <w:shd w:val="clear" w:color="auto" w:fill="auto"/>
            <w:vAlign w:val="center"/>
          </w:tcPr>
          <w:p>
            <w:pPr>
              <w:autoSpaceDE w:val="0"/>
              <w:autoSpaceDN w:val="0"/>
              <w:adjustRightInd w:val="0"/>
              <w:snapToGrid w:val="0"/>
              <w:textAlignment w:val="baseline"/>
              <w:rPr>
                <w:rFonts w:ascii="宋体" w:hAnsi="宋体" w:cs="宋体"/>
                <w:color w:val="auto"/>
                <w:szCs w:val="21"/>
                <w:highlight w:val="none"/>
              </w:rPr>
            </w:pPr>
            <w:r>
              <w:rPr>
                <w:rFonts w:hint="eastAsia" w:ascii="宋体" w:hAnsi="宋体" w:cs="宋体"/>
                <w:color w:val="auto"/>
                <w:kern w:val="2"/>
                <w:szCs w:val="21"/>
                <w:highlight w:val="none"/>
                <w:lang w:bidi="ar"/>
              </w:rPr>
              <w:t>带不锈钢立杆</w:t>
            </w:r>
          </w:p>
        </w:tc>
      </w:tr>
    </w:tbl>
    <w:p>
      <w:pPr>
        <w:pStyle w:val="102"/>
        <w:rPr>
          <w:color w:val="auto"/>
          <w:highlight w:val="none"/>
        </w:rPr>
      </w:pPr>
      <w:r>
        <w:rPr>
          <w:rFonts w:hint="eastAsia"/>
          <w:color w:val="auto"/>
          <w:highlight w:val="none"/>
        </w:rPr>
        <w:t>监控系统软件配置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1）一般要求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推荐采用麒麟或凝思操作系统，能够利用客户/服务器和点对点网络结构等最新技术。该软件也能够支持VM Ware虚拟机（ESX Server）、虚拟化技术和多核心、多处理器的计算机。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软件系统应具备内建的灵活性，允许在规范或用户需求变更时，可以容易地组态和快速地修改。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系统应包括从同一软件供应商提供的按模块化组件方式紧密集成的套件，来完成系统要求的所有功能。该软件系统应该是一个分布式的平台系统，应包括一个分布式的集成开发环境，存储历史数据的实时关系数据库，用于过程可视化的HMI软件，用于查询、分析、报表生成、趋势等功能的数据库客户端工具（该工具可嵌入HMI软件也可独立使用），分布式的报警服务系统，以及与多种PLC或第三方的应用程序进行通信的驱动或组件。还应包括用于Web服务的信息门户网站软件。软件系统的架构必须是先进、完整的，并且拥有足够的灵活性，使单机系统能容易地扩展到具备单一的或冗余设备通信系统和历史数据库的大规模的分布式网络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（1）该系统必须采用体现先进水平的最新网络技术。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（2）该系统必须具备代码重用性，该代码重用应通过面向对象设计方式实现，包括对所有对象的派生和继承等。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（3）该系统必须能够重建系统架构而不影响客户端的应用。这包括重新分配应用到新增的计算机。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（4）该系统必须是不依赖任何特殊硬件的开放式软件。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（5）该系统必须可以支持多种数据通信协议，可以和主流PLC生产厂商的控制设备或任何的开放控制网络通信。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（6）该系统基本组件允许集中或远程的管理及部署。</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（7）该系统必须能够支持一对一或者相互备份的、灵活的冗余架构。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（8）该系统必须能够支持低到128kbps带宽的慢速甚至断续网络。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（9）必须安装简便，部署容易。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（10）该系统必须满足最新虚拟化技术，拥有高可用性以及灾备系统的解决方案。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2）开发环境要求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（1）软件必须提供一个并发的多用户的开发环境，多个开发者在安全许可定义的权限内能同时进行工程的开发。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（2）开发环境应该能够通过使用标准的模板提高代码重复使用的效率，应该在对象模板实例化时继承父模板中定义的属性、关系。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（3）开发环境应该使用应用对象模型的概念。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通过对象模型用来表达现实世界的设备（如闸门等），或者包含信息的对象（如用来读写外部数据的对象，用来读写XML文件的对象等）。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软件应有面向对象的彩色图形显示的制作、编辑功能，并包括全面的动画功能，能将系统过程真实地可视化地反映给操作者。所有的图形编辑功能均可以通过浮动或固定的工具条，下拉式菜单或键盘命令来操作完成。应可以通过简单的鼠标点击切换到运行状态来测试任何画面显示功能。画面编辑器应包括丰富的图库，包含复杂的对象和过程符号，如仪表、按钮、表盘、电动机、闸门、趋势、报警及调节器面板。所有这些复杂的对象均可以修改为任意大小并包含与真实数据或用户命令相关的动画链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软件提供的图形功能必须能够允许用户创建可重用的应用对象模板及图形模板，使用该模板能够派生出若干的同一类的应用对象实例及图形实例，并能动态地修改这些应用对象实例及图形实例所引用的数据链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能够提供一种机制去开发应用对象模板。对象模板应该能够被用来产生可以满足SCADA功能的对应对象的实例。对象模板应该能够层次化的容纳另外的对象模板。对象的编辑应该能够拥有完整的配置界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应用对象应该能够嵌入可视化的图形或图形的对象，并可使嵌入图像对象的属性与应用对象的属性方便的关联。</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开发环境应该能够提供一些基础的模板，这些模板是可以通过一些开发工具包，比如Visual C++和Visual C#等由用户自己开发、生成。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应用对象应该能够允许配置报警子系统，报警子系统可以是条件导向的报警或者事件导向的报警。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应用对象应能对本厂设备和器件进行物理对象的建模，而不应只是用标记名来表示。这包括可以建立复杂的多变量的数据结构。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当生成新的模板或实例时，集成开发环境应能锁定或限制某些属性，使在新生成的模板和实例中这些属性均不可更改。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系统提供的开发环境，可以建立标准模板实现工程代码重用。该模板可用于建立客户定制的新的实例，并保持派生关系。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（4）开发环境应该提供一个集中的数据库，用来存贮模板应用对象，包括对象的层次关系、部署的配置关系以及继承关系，它也应该提供在同一个库中存储和管理可视化对象的选项。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能够具备适当的安全机制，避免被不适当的修改。必须为应用对象提供集中的数据库存放应有的信息，并允许多个开发者同时共享这些对象而且保证任何时候都同时只有一位开发者有权对同一个模板或对象进行修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开发环境提供的对象数据库应该能够被离线配置，对该数据库配置时不能对正在运行的系统造成影响。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（5）开发环境应该利用部署的概念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实例化的应用对象组件应该是被开发环境配置并部署到远程的网络节点上的。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开发环境应该提供可视化的反馈界面，用以监视被部署到远程节点的应用对象。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（6）开发环境的界面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开发环境应该能够提供给用户自定义对象模板或图形工具栏的功能。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开发环境应该能够提供不同的视图，方便用户浏览、配置、管理对象模板与实例的衍生关系、继承关系、逻辑关系。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为了方便与其他应用程序的交互，开发环境应该能够对所管理的对象进行输入或输出的操作，输出为第三方软件能够识别的类型，比如.CSV文件格式（这是一种能够被文本编辑器或者办公软件Excel识别、阅读、编辑的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（8）开发环境应该提供完善的脚本编辑能力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包含在应用对象中的脚本语言应该能够利用.NET技术并能将应用编译为.NET通用语言运行时，脚本应该能够用英文表达的方法编辑和修改。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必须能够提供一种编程语言，可以支持几乎任何数据类型，并可具备用户定义的执行顺序以及数据跟踪。同时能够支持.NET的类库，达到应用功能扩展的目的。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（9）必须能够提供对每一个应用组件的修改历史跟踪，包括登陆的用户名称、时间/日期标签及相关修改内容描述等内容。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（10）开发环境应该能对系统冗余的架构通过简单的配置完成，而不需要用户的编程以及使用复杂的代码。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（11）必须能够配置历史数据库存储数据而不需要另外的工具。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（12）必须有一个分布式报警子系统，支持条件报警、事件报警以及扩展的概要报警。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（13）负责通信的I/O服务器必须能够同时与运行在麒麟或凝思操作系统上基于多种协议（如OPC、DDE）的多个客户端应用进行通信。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（14）必须具备对I/O服务器的远程启动、配置及协议的诊断功能。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（15）必须提供一种远程/集中诊断能力，这种诊断能力应支持对进程、硬件、平台和各个对象的监视，并具有控制运行时执行的能力。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3）运行环境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（1）报警管理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系统中应该有一个专门用于管理报警的服务。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报警系统应该监视操作系统的资源，如CPU的负荷率、内存消耗等。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报警系统应该能够记录如下的报警属性：报警实例、报警返回、报警确认等。报警日志至少应该能够记录以下内容：</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报警事件生成的日期/时间</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报警组</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报警标记名</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报警标记的类型（实型/整型/布尔型）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报警类型（低低、低、高、高高、计数、偏差等）</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操作员、确认报警的节点名、报警优先级等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系统也应该提供报警清除的服务。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（2）通信架构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运行环境应该是一个分布式、点对点的系统架构。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必须包括一个包含多个计算机的模型，该模型实际上具备统一的分布式命名空间而并不需要有任何数据的复制。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所采用的通信架构必须具备无需重新安装软件便可以实现对应用程序的远程重新部署的功能。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应用对象应该可以通过DDE/NETDDE、Suit link或者OPC协议与I/O服务器通信。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（3）系统应该能够提供应用对象属性在线浏览的功能。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（4）故障切换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系统必须能够实现冗余系统的自动切换，同时对冗余系统的状态应能表示和告警。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系统应该能够检测到如下类型的事件：</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PLC通信故障</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I/O通信服务器通信故障</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报警管理器通信故障</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数据存储服务器通信故障</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数据存储服务器磁盘空间的报警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系统应该能够支持通信的冗余。系统应该能够监视与通信服务器的通信状态，以及通信服务器与PLC的通信状态。在与主链路通信失败时能够通过备用的通信链路建立连接。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系统应该能够支持历史数据的冗余。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正常情况下，数据库从一个激活的引擎从对象获取数据，在这个对象因某种原因不能提供数据时，备用的引擎会被激活，继续向数据库提供数据。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如果数据服务器离线或者通信链路丢失，激活的引擎应该能够将对象的数据缓冲储存在本地，在服务器重新上线链路恢复后，再将储存于在本地的缓冲数据转发到历史数据服务器中，并在数据服务器中按照数据的完成时间完成同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如果以上两种情况同时发生，可以假定数据被缓冲储存在本地，在历史数据服务器恢复后，将缓冲数据转发给历史数据服务器。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在发生需要将数据存贮在本地的情况下，数据存贮不应该受到闲置，除非是磁盘空间不足的原因。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（5）系统应该能够提供与分布于现场的设备（如PLC）的通信服务的能力。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（6）系统应该能够与主流的PLC硬件厂商生产的各种主流PLC系统通讯。与PLC的通讯应该支持串口或者现场控制网络。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（7）系统应该能够提供一个通信协议转换的组件，这个组件能够将提供DDE、Suit link或者OPC协议的相互转换。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（8）系统必须是基于发布和订阅的通信机制而不是查询方式，从而使通信量最小化。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（9）系统必须允许对分布式系统的运行状态进行集中的管理和控制。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（10）系统必须能实时操作满足毫秒级的事件响应。并且能以每秒上千数量级的速率来监视和响应大量的异步数据和事件消息。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4）安全机制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（1）开发和运行环境应该可以利用操作系统的安全机制，只有被允许的用户才有权浏览、配置或修改模板及应用对象。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（2）系统的安全机制应该在现场、区域和设备可能的最低一级的底层数据具备数据安全模式。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（3）系统运行时对对象属性值的改变必须遵守安全许可机制。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（4）系统必须可以设定和改变用户、设备和区域的安全设置。在任一对象被限制的属性更改得到许可之前，用户必须登陆以获得相应的权限。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（5）必须能够提供设置和修改安全设定的安全模板。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（6）软件的供应商必须发布一个可以帮助用户保护整个系统的安全指导方针。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（7）系统的安全性机制必须满足21CFR Part 11行业标准。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5）系统维护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供应商应提供软件维护和支持体系，以保证用户在软件的整个工程生命周期内获得软件的全部价值。这种支持体系应规定基本担保范围，并为优先支持和后续软件升级提供延伸保证期。支持服务应能够通过电话、传真、电子邮件或通过技术支持网站提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（1）软件供应商应为产品提供交货后90天的担保。在担保期内，供应商应在正常工作时间内提供支持，应及时解决任何软件错误。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在90天担保期后，用户能够继续通过电话、传真、电子邮件或访问技术支持网站获得技术支持。为了保证用户始终能够使用最新的软件版本、长期担保和技术支持，供应商应在每年收取一定的费用基础上提供延伸支持，使用户有权享受下列各项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软件升级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延伸支持服务应支持用户使用最新的软件版本和版本升级。为了保证为所有用户提供高质量的支持，用户地点的所有软件许可证必须保持为同一个版本。</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优先电话支持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延伸支持服务应包含在正常本地工作时间内的电话支持。电话支持应由软件供应商认证的技术支持工程师提供。在正常工作时间内，当用户打电话寻求支持时，软件供应商的在位人员应提供没有任何限制的电话支持。禁止采用语音邮件技术支持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电子支持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延伸支持服务应包含在正常工作日内为承诺担保支持的用户提供比非担保支持用户更优先的电子邮件支持，并且把用户的电子邮件转发给最近的、经过认证的技术支持中心。电子支持还应包含使用技术服务网页上的高级服务能力。延伸支持服务应允许客户实时查询技术支持数据库中的当前的和过去的问题，以及提交新问题的能力，所提交的新问题应该立即提交给技术支持工程师进行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电子文件下载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延伸支持服务应包含访问安全站点下载电子文件的能力。应允许支持用户从安全站点下载服务包、补丁、更新的I/O服务器以及其它的支持文件。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季度通信和技术支持CD</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在延伸支持服务中，软件供应商应为用户提供季度通信和包括技术札记的技术支持CD。技术支持CD应包含技术札记的综合摘要、技术提示、应用、应用工具、诊断工具、Active X控件、驱动程序、脚本、脚本功能、向导和能够改善应用开发的有益提示。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6）其他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选用目前国内先进或国际流行的正版工控软件，如InTouch、Cimplicity、Wincc或Vijeo citect，包括图形生成、数据库、动态连接、实时报警等功能。如采用其他类型的开发软件，应在投标文件的差异表中明列。</w:t>
      </w:r>
    </w:p>
    <w:p>
      <w:pPr>
        <w:pStyle w:val="100"/>
        <w:rPr>
          <w:color w:val="auto"/>
          <w:highlight w:val="none"/>
        </w:rPr>
      </w:pPr>
      <w:r>
        <w:rPr>
          <w:rFonts w:hint="eastAsia"/>
          <w:color w:val="auto"/>
          <w:highlight w:val="none"/>
        </w:rPr>
        <w:t>计算机监控系统功能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水闸监控应用模块应能迅速可靠、准确有效地完成对水闸的安全监视和控制，以及对整个系统的运行管理，包括历史数据存档、检索；运行报表生成与打印；对外通信管理等。</w:t>
      </w:r>
    </w:p>
    <w:p>
      <w:pPr>
        <w:pStyle w:val="102"/>
        <w:rPr>
          <w:color w:val="auto"/>
          <w:highlight w:val="none"/>
        </w:rPr>
      </w:pPr>
      <w:r>
        <w:rPr>
          <w:rFonts w:hint="eastAsia"/>
          <w:color w:val="auto"/>
          <w:highlight w:val="none"/>
        </w:rPr>
        <w:t>数据采集与处理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1）模拟量的采集与处理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（1）对电量和非电量进行周期采集，越限报警等，对温度量的采集与处理，越复限判断及越限报警，最后经格式化处理后形成实时数据并存入实时数据库。</w:t>
      </w:r>
    </w:p>
    <w:p>
      <w:pPr>
        <w:autoSpaceDE w:val="0"/>
        <w:autoSpaceDN w:val="0"/>
        <w:adjustRightInd w:val="0"/>
        <w:snapToGrid w:val="0"/>
        <w:spacing w:line="360" w:lineRule="auto"/>
        <w:ind w:firstLine="420" w:firstLineChars="200"/>
        <w:textAlignment w:val="baseline"/>
        <w:rPr>
          <w:rFonts w:ascii="宋体" w:hAnsi="宋体" w:cs="宋体"/>
          <w:color w:val="auto"/>
          <w:kern w:val="44"/>
          <w:szCs w:val="21"/>
          <w:highlight w:val="none"/>
        </w:rPr>
      </w:pPr>
      <w:r>
        <w:rPr>
          <w:rFonts w:hint="eastAsia" w:ascii="宋体" w:hAnsi="宋体" w:cs="宋体"/>
          <w:color w:val="auto"/>
          <w:kern w:val="44"/>
          <w:szCs w:val="21"/>
          <w:highlight w:val="none"/>
          <w:lang w:bidi="ar"/>
        </w:rPr>
        <w:t>（2）水闸</w:t>
      </w:r>
      <w:r>
        <w:rPr>
          <w:rFonts w:hint="eastAsia" w:ascii="宋体" w:hAnsi="宋体" w:cs="宋体"/>
          <w:color w:val="auto"/>
          <w:szCs w:val="21"/>
          <w:highlight w:val="none"/>
          <w:lang w:bidi="ar"/>
        </w:rPr>
        <w:t>主要的模拟量是闸门开度、水位等。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2）开关量的采集与处理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（1）对事故信号、断路器分、合的动作信号等中断开关量信号，计算机监控系统应能以中断方式迅速响应这些信号并作出一系列必要的反应及自动操作。中断开关量信号输入为无源接点输入，中断方式接收。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（2）对各类故障信号、电动机运行状态信号，手动/自动方式选择的位置信号等非中断开关量信号，最后经格式化处理后存入实时数据库。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3）开关量输出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特指各类操作指令。计算机在输出这些信号前应进行校验，经判断无误后方可送至执行机构，为保证信号的电气独立性及准确性，开关输出信号也应经光电隔离，接点防抖动处理后发出。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4）信号量值及状态设定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水闸在建设初期所无法采集到的信号，或某些由于设备原因而造成的信号出错以及在必要时要进行人工设定值分析处理的信号量，计算机监控系统应允许运行值班人员和系统操作人员对其进行人工设定，并在处理时把它们与正常采集的信号等同对待，计算机监控系统可以区分它们并给出相应标志。</w:t>
      </w:r>
    </w:p>
    <w:p>
      <w:pPr>
        <w:pStyle w:val="102"/>
        <w:rPr>
          <w:color w:val="auto"/>
          <w:highlight w:val="none"/>
        </w:rPr>
      </w:pPr>
      <w:r>
        <w:rPr>
          <w:rFonts w:hint="eastAsia"/>
          <w:color w:val="auto"/>
          <w:highlight w:val="none"/>
        </w:rPr>
        <w:t>运行监视和事件报警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1）运行实时监视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计算机监控系统可以使运行人员通过显示器对全站各主要设备的运行状态进行实时监视。所有要进行监视的内容包括当前各设备的运行及停运情况，并对各运行参数进行实时显示。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2）参数越复限报警记录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监控系统将对某些参数以及计算数据进行监视。对这些参数量值可预先设定其限制范围，启动相关量分析功能，作故障原因提示。对于一些重要参数要有趋势报警。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3）事故顺序记录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水闸发生事故造成断路器跳闸等情况时，监控系统应立即以中断方式响应并自动显示、记录和打印事故名称及时间；记录和打印相关设备的动作情况，自动推出相关画面，作事故原因分析及提示处理方法，计算机监控系统应能将发生的事故及设备的动作情况按其发生的先后顺序记录下来，且记录的分辨率不超过5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4）故障状态显示记录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计算机监控系统定时扫查各故障状态信号，一旦发生状变将在显示器上即时显示出来，同时记录故障及其发生时间。计算机监控系统对故障状态信号的查询周期不超过2秒。</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5）事故追忆及相关量记录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水闸发生事故时，需对事故发生前后的某些重要参数和相关量进行追忆记录，以供运行人员事后分析。</w:t>
      </w:r>
    </w:p>
    <w:p>
      <w:pPr>
        <w:pStyle w:val="102"/>
        <w:rPr>
          <w:color w:val="auto"/>
          <w:highlight w:val="none"/>
        </w:rPr>
      </w:pPr>
      <w:r>
        <w:rPr>
          <w:rFonts w:hint="eastAsia"/>
          <w:color w:val="auto"/>
          <w:highlight w:val="none"/>
        </w:rPr>
        <w:t>控制与调节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1）控制与调节对象：闸门、启闭机、水闸配电设备以及公用设备等。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2）控制与调节方式：远方/现地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（1）远方方式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当计算机系统正常运行时，控制室值班人员通过主机兼操作员工作站人机接口对设备进行监控，完成自动开、关闸门等。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（2）现地控制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当计算机系统退出运行或通讯中断时，控制室值班人员到机旁现地屏上通过操作键盘或按纽直接向LCU单元发出命令，完成开、关闸门等操作。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（3）统计与制表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对采集的定时数据与检测的事件进行在线计算，打印输出各种运行日志和报表。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（4）人机接口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在曲线显示系统上显示实时图形，使运行人员对全站生产过程进行安全监视，并通过主控站人机接口或PLC面板，运行人员可以在线调整画面，显示数据和状态，修改参数，控制操作等。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（5）画面显示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画面显示是计算机监控系统的主要功能。画面调用将允许自动及召唤方式实现。自动方式指当有事故发生时或进行某些操作时有关画面的自动推出，召唤方式指操作某些功能键或以菜单方式调用所需画面。画面种类包括单线图、棒形图、曲线、各种语句、表格等。要求画面显示清晰稳定，画面结构合理，刷新速度快且操作简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a、单线系统种类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包括电气主接线图等。在这类画面上能实时显示出运行设备的实时状态及某些重要参数的实时值，必要时可通过窗口显示其它有关信息。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b、剖面图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在画面上能实时显示出各闸门的情况，做到形象直观；并能点动弹出各泵组的控制画面。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c、曲线种类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包括运行曲线和各类运行图。计算机监控系统将能够按照运行操作人员的要求自动的组织相应时间区间，并显示在屏幕上。</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d、表格类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包括参数及参数给定值、特性表、定值变更统计表、各类报警信息统计表，操作统计表、各类运行报表、运行日志、操作票等。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e、运行指导类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闸门运行过程监视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当开闸门、关闸门等指令下达后，监控系统能自动显示相应的闸门运行监视画面。画面能以直观的形式实时显示闸门的运行情况，或提示故障部位及原因。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配电系统操作指导</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当前水闸配电系统的运行状态及有关运行方式、操作限制条件的约束，监控系统将能判断某个断路器在当前是否允许操作并给出相应的标志。如果操作允许则提示操作的先后顺序，如果操作不允许则提示原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事故和故障处理指导</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监控系统可在事故或故障产生时，可推出相应的事故和故障处理指导。</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事故处理指导和恢复正常操作指导的对象有：闸门、监控系统本身、配电装置系统、电缆等。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f、设备状态维修的指导</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除了正常地监视各类设备的运行状态外还具备设备的维修指导，例如：根据设备生产厂的指标，统计和累加断路器切断负荷电流的时间和大小乘积，达到指定的参数时给出提示，使设备的维护更科学。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（6）语音报警功能和事故拨通电话远方报警及打入电话查询功能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当需要对重要操作进行提示，以及发生事故或故障时，应能用准确、清晰的语言向有关人员发出报警，实时召唤值班人员。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（7）自诊断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监控系统具备在线自诊断功能，能诊断出系统中的故障，并能定位故障部位。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任何系统网络上的结点发生故障，都可在操作员工作站上给出提示信息，并记入自诊断表中。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（8）远程诊断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监控系统具有远方在线诊断的功能。可通过电话拨号方式连通远方计算机与水闸监控系统，进行远方在线诊断。</w:t>
      </w:r>
    </w:p>
    <w:p>
      <w:pPr>
        <w:pStyle w:val="98"/>
        <w:rPr>
          <w:bCs/>
          <w:color w:val="auto"/>
          <w:highlight w:val="none"/>
        </w:rPr>
      </w:pPr>
      <w:r>
        <w:rPr>
          <w:rFonts w:hint="eastAsia"/>
          <w:color w:val="auto"/>
          <w:highlight w:val="none"/>
        </w:rPr>
        <w:t>计算机监控系统性能指标</w:t>
      </w:r>
    </w:p>
    <w:p>
      <w:pPr>
        <w:pStyle w:val="100"/>
        <w:rPr>
          <w:color w:val="auto"/>
          <w:highlight w:val="none"/>
        </w:rPr>
      </w:pPr>
      <w:r>
        <w:rPr>
          <w:rFonts w:hint="eastAsia"/>
          <w:color w:val="auto"/>
          <w:highlight w:val="none"/>
        </w:rPr>
        <w:t>保证操作安全性措施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为每一功能和操作都提供检查和校核，操作有误时能自动闭锁并产生报警。任何自动和手动操作都可以记录、存贮并做出提示。在人机通信中设操作员控制权口令。按控制层次实现操作闭锁，其优先顺序为：现地控制层第一，控制室控制层第二，管理控制中心层第三。</w:t>
      </w:r>
    </w:p>
    <w:p>
      <w:pPr>
        <w:pStyle w:val="100"/>
        <w:rPr>
          <w:color w:val="auto"/>
          <w:highlight w:val="none"/>
        </w:rPr>
      </w:pPr>
      <w:r>
        <w:rPr>
          <w:rFonts w:hint="eastAsia"/>
          <w:color w:val="auto"/>
          <w:highlight w:val="none"/>
        </w:rPr>
        <w:t>保证通信安全性措施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的设计可以保证信息中的一个错误不会导致系统关键性的故障。主控层和LCU的通信涉及控制信息时，能对响应有效信息或没有响应有效信息有明确肯定的指示，当通信失败时，考虑2～5次重复通信并发出报警信息。</w:t>
      </w:r>
    </w:p>
    <w:p>
      <w:pPr>
        <w:pStyle w:val="100"/>
        <w:rPr>
          <w:color w:val="auto"/>
          <w:highlight w:val="none"/>
        </w:rPr>
      </w:pPr>
      <w:r>
        <w:rPr>
          <w:rFonts w:hint="eastAsia"/>
          <w:color w:val="auto"/>
          <w:highlight w:val="none"/>
        </w:rPr>
        <w:t>保证系统硬件、软件及固件安全性的措施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具有电源故障保护和自动重新启动的功能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初始状态可以预置并进行重新预置有自检能力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检测出故障时能自动报警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设备故障时可以自动切除和自动切换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系统任何单个元件的故障都不会造成生产设备的误动作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系统设计或系统性能应考虑到重载和紧急临界情况</w:t>
      </w:r>
    </w:p>
    <w:p>
      <w:pPr>
        <w:pStyle w:val="100"/>
        <w:rPr>
          <w:color w:val="auto"/>
          <w:highlight w:val="none"/>
        </w:rPr>
      </w:pPr>
      <w:r>
        <w:rPr>
          <w:rFonts w:hint="eastAsia"/>
          <w:color w:val="auto"/>
          <w:highlight w:val="none"/>
        </w:rPr>
        <w:t>网络结构说明、技术指标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本系统采用以太网，通讯传输的介质为光纤和屏蔽双绞线，传输的速率为100/1000Mbit/s，通讯规约为TCP/IP。</w:t>
      </w:r>
    </w:p>
    <w:p>
      <w:pPr>
        <w:pStyle w:val="100"/>
        <w:rPr>
          <w:color w:val="auto"/>
          <w:highlight w:val="none"/>
        </w:rPr>
      </w:pPr>
      <w:r>
        <w:rPr>
          <w:rFonts w:hint="eastAsia"/>
          <w:color w:val="auto"/>
          <w:highlight w:val="none"/>
        </w:rPr>
        <w:t>计算机监控系统的可扩性和可变性</w:t>
      </w:r>
    </w:p>
    <w:p>
      <w:pPr>
        <w:pStyle w:val="102"/>
        <w:rPr>
          <w:color w:val="auto"/>
          <w:highlight w:val="none"/>
        </w:rPr>
      </w:pPr>
      <w:r>
        <w:rPr>
          <w:rFonts w:hint="eastAsia"/>
          <w:color w:val="auto"/>
          <w:highlight w:val="none"/>
        </w:rPr>
        <w:t>系统可扩性的限制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点容量或存储器容量的极限150%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使用的程序、地址、标志或缓冲器的极限150%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数据速率极限100/1000Mbit/s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增添部件时，接口修改或部件重新定位等设计和运行的限制150%</w:t>
      </w:r>
    </w:p>
    <w:p>
      <w:pPr>
        <w:pStyle w:val="102"/>
        <w:rPr>
          <w:color w:val="auto"/>
          <w:highlight w:val="none"/>
        </w:rPr>
      </w:pPr>
      <w:r>
        <w:rPr>
          <w:rFonts w:hint="eastAsia"/>
          <w:color w:val="auto"/>
          <w:highlight w:val="none"/>
        </w:rPr>
        <w:t>系统扩充范围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备用点不少于使用点设备20%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控制层CPU负载和存储器容量应预留的裕度＞50%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现地控制装置、外围设备或系统通信的备用接口20%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通道利用率应留有的裕度50%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CPU平均负载率不超过50%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CPU最大负载率不超过70%</w:t>
      </w:r>
    </w:p>
    <w:p>
      <w:pPr>
        <w:pStyle w:val="102"/>
        <w:rPr>
          <w:color w:val="auto"/>
          <w:highlight w:val="none"/>
        </w:rPr>
      </w:pPr>
      <w:r>
        <w:rPr>
          <w:rFonts w:hint="eastAsia"/>
          <w:color w:val="auto"/>
          <w:highlight w:val="none"/>
        </w:rPr>
        <w:t>监控系统的可变性在保证系统原有功能正常工作、不受改变影响的情况下，说明用户在运行现场对本系统装置中的参数或结构配置改变的可能性，并说明被改变的各点参数或结构配置的限制条件。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系统应允许用户补充、修改被测点的定义、定值、单位、标度及其它数据特征，应允许对前置机重新编址和重新布置，允许用户自行开发画面、打印格式及其它功能。</w:t>
      </w:r>
    </w:p>
    <w:p>
      <w:pPr>
        <w:pStyle w:val="100"/>
        <w:rPr>
          <w:color w:val="auto"/>
          <w:highlight w:val="none"/>
        </w:rPr>
      </w:pPr>
      <w:r>
        <w:rPr>
          <w:rFonts w:hint="eastAsia"/>
          <w:color w:val="auto"/>
          <w:highlight w:val="none"/>
        </w:rPr>
        <w:t>监控系统硬件接口设备特性</w:t>
      </w:r>
    </w:p>
    <w:p>
      <w:pPr>
        <w:pStyle w:val="102"/>
        <w:rPr>
          <w:color w:val="auto"/>
          <w:highlight w:val="none"/>
        </w:rPr>
      </w:pPr>
      <w:r>
        <w:rPr>
          <w:rFonts w:hint="eastAsia"/>
          <w:color w:val="auto"/>
          <w:highlight w:val="none"/>
        </w:rPr>
        <w:t>模拟量输入、输出特性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1）模拟量输入信号接口连接方式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差分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2）模拟量输出信号接口连接方式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差分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3）模拟量输入接口参数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（1）信号范围</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4～20mA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0～10V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（2）输入阻抗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＜250Ω</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＞9MΩ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（3）模数转换分辨率（含符号位）</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≥12位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（4）最大误差（25℃）（从变送器取信号）</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≤±0.25%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（5）共模电压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≥200V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（6）共模抑制比</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≥90dB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（7）常模抑制比</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≥60dB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（8）抗干扰措施</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滤波、隔离、抗浪涌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4）模拟量输出接口参数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（1）信号范围</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4～20mA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0～10V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（2）负载阻抗</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＜500Ω</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＞2000Ω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（3）信号精度</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±0.25%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（4）模数转换分辨率（含符号位）</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12位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（5）响应时间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（6）共模电压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200V</w:t>
      </w:r>
    </w:p>
    <w:p>
      <w:pPr>
        <w:pStyle w:val="102"/>
        <w:rPr>
          <w:color w:val="auto"/>
          <w:highlight w:val="none"/>
        </w:rPr>
      </w:pPr>
      <w:r>
        <w:rPr>
          <w:rFonts w:hint="eastAsia"/>
          <w:color w:val="auto"/>
          <w:highlight w:val="none"/>
        </w:rPr>
        <w:t>数字量、开关量输入输出接口参数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1）数字量、开关量输入接口参数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（1）信号范围</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kern w:val="2"/>
          <w:szCs w:val="21"/>
          <w:highlight w:val="none"/>
          <w:lang w:bidi="ar"/>
        </w:rPr>
        <w:t>5～7</w:t>
      </w:r>
      <w:r>
        <w:rPr>
          <w:rFonts w:hint="eastAsia" w:ascii="宋体" w:hAnsi="宋体" w:cs="宋体"/>
          <w:color w:val="auto"/>
          <w:szCs w:val="21"/>
          <w:highlight w:val="none"/>
          <w:lang w:bidi="ar"/>
        </w:rPr>
        <w:t>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24V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（2）最小变态检测时间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2ms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（3）最大变态检测时间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30ms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（4）接地电阻</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＜4Ω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（5）在工作电压下接点对地电阻</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＜1MΩ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（6）数字信号输入接口抗干扰及防浪涌电压措施：LCU开关量输入采用光隔和浪涌吸收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2）数字量、开关量输出接口参数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（1）信号范围</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0～50mA</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                                 0～30V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（2）信号持续时间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可调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（3）接点开断容量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50W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（4）继电器固有动作时间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5ms</w:t>
      </w:r>
    </w:p>
    <w:p>
      <w:pPr>
        <w:pStyle w:val="102"/>
        <w:rPr>
          <w:color w:val="auto"/>
          <w:highlight w:val="none"/>
        </w:rPr>
      </w:pPr>
      <w:r>
        <w:rPr>
          <w:rFonts w:hint="eastAsia"/>
          <w:color w:val="auto"/>
          <w:highlight w:val="none"/>
        </w:rPr>
        <w:t>脉冲量输入特性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1）信号电压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5V、12V、24V</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2）信号电流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10mA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3）最小变态检测时间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30ms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4）最大计数率</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999999</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5）最小计数范围</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-999999</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6）计数冻结控制方式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由主机给出冻结及清零指令</w:t>
      </w:r>
    </w:p>
    <w:p>
      <w:pPr>
        <w:pStyle w:val="102"/>
        <w:rPr>
          <w:color w:val="auto"/>
          <w:highlight w:val="none"/>
        </w:rPr>
      </w:pPr>
      <w:r>
        <w:rPr>
          <w:rFonts w:hint="eastAsia"/>
          <w:color w:val="auto"/>
          <w:highlight w:val="none"/>
        </w:rPr>
        <w:t>通信接口特性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1）与调度系统的通信接口特性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（1）通信方式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同步或异步串行方式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（2）与本系统同步时钟校正精度±1ms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（3）通信接口设备的误码率</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＜3×10</w:t>
      </w:r>
      <w:r>
        <w:rPr>
          <w:rFonts w:hint="eastAsia" w:ascii="宋体" w:hAnsi="宋体" w:cs="宋体"/>
          <w:color w:val="auto"/>
          <w:szCs w:val="21"/>
          <w:highlight w:val="none"/>
          <w:vertAlign w:val="superscript"/>
          <w:lang w:bidi="ar"/>
        </w:rPr>
        <w:t>-3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（4）接口标准</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EIA/RS-232C或CCITTV.24</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2）以太网的通信接口特性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（1）通信方式</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以太网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（2）接口标准</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IEEE802.3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（3）传输速率</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100/1000Mbps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（4）传输介质</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光纤或双绞线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（5）结点数</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1024</w:t>
      </w:r>
    </w:p>
    <w:p>
      <w:pPr>
        <w:pStyle w:val="102"/>
        <w:rPr>
          <w:color w:val="auto"/>
          <w:highlight w:val="none"/>
        </w:rPr>
      </w:pPr>
      <w:r>
        <w:rPr>
          <w:rFonts w:hint="eastAsia"/>
          <w:color w:val="auto"/>
          <w:highlight w:val="none"/>
        </w:rPr>
        <w:t>用多功能仪表进行交流采样</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1）输入信号</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电压</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0～100V</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电流</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0～5A</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2）输出接口</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RS485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3）规约</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MODBUS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4）被测内容</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 xml:space="preserve">                      V、A、W、Var、cosφ、Hz</w:t>
      </w:r>
    </w:p>
    <w:p>
      <w:pPr>
        <w:pStyle w:val="100"/>
        <w:rPr>
          <w:color w:val="auto"/>
          <w:highlight w:val="none"/>
        </w:rPr>
      </w:pPr>
      <w:r>
        <w:rPr>
          <w:rFonts w:hint="eastAsia"/>
          <w:color w:val="auto"/>
          <w:highlight w:val="none"/>
        </w:rPr>
        <w:t>接地措施</w:t>
      </w:r>
    </w:p>
    <w:p>
      <w:pPr>
        <w:pStyle w:val="102"/>
        <w:rPr>
          <w:color w:val="auto"/>
          <w:highlight w:val="none"/>
        </w:rPr>
      </w:pPr>
      <w:r>
        <w:rPr>
          <w:rFonts w:hint="eastAsia"/>
          <w:color w:val="auto"/>
          <w:highlight w:val="none"/>
        </w:rPr>
        <w:t>接地措施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1）监控系统的接地要求及具体措施</w:t>
      </w:r>
      <w:r>
        <w:rPr>
          <w:rFonts w:hint="eastAsia" w:ascii="宋体" w:hAnsi="宋体" w:cs="宋体"/>
          <w:color w:val="auto"/>
          <w:szCs w:val="21"/>
          <w:highlight w:val="none"/>
          <w:lang w:bidi="ar"/>
        </w:rPr>
        <w:tab/>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监控系统各LCU及在控制室的终端接地使用水闸公用接地网接地，接地电阻不大于1Ω。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2）监控系统所属设备柜内接地总线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（1）断面尺寸</w:t>
      </w:r>
      <w:r>
        <w:rPr>
          <w:rFonts w:hint="eastAsia" w:ascii="宋体" w:hAnsi="宋体" w:cs="宋体"/>
          <w:color w:val="auto"/>
          <w:szCs w:val="21"/>
          <w:highlight w:val="none"/>
          <w:lang w:bidi="ar"/>
        </w:rPr>
        <w:tab/>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接地铜线断面尺寸超过100mm</w:t>
      </w:r>
      <w:r>
        <w:rPr>
          <w:rFonts w:hint="eastAsia" w:ascii="宋体" w:hAnsi="宋体" w:cs="宋体"/>
          <w:color w:val="auto"/>
          <w:szCs w:val="21"/>
          <w:highlight w:val="none"/>
          <w:vertAlign w:val="superscript"/>
          <w:lang w:bidi="ar"/>
        </w:rPr>
        <w:t>2</w:t>
      </w:r>
      <w:r>
        <w:rPr>
          <w:rFonts w:hint="eastAsia" w:ascii="宋体" w:hAnsi="宋体" w:cs="宋体"/>
          <w:color w:val="auto"/>
          <w:szCs w:val="21"/>
          <w:highlight w:val="none"/>
          <w:lang w:bidi="ar"/>
        </w:rPr>
        <w: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（2）安装措施</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ab/>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机柜内有接地铜排，能方便地接到水闸公用接地网。</w:t>
      </w:r>
    </w:p>
    <w:p>
      <w:pPr>
        <w:pStyle w:val="102"/>
        <w:rPr>
          <w:color w:val="auto"/>
          <w:highlight w:val="none"/>
        </w:rPr>
      </w:pPr>
      <w:r>
        <w:rPr>
          <w:rFonts w:hint="eastAsia"/>
          <w:color w:val="auto"/>
          <w:highlight w:val="none"/>
        </w:rPr>
        <w:t>机柜结构对外电磁场的屏蔽措施</w:t>
      </w:r>
      <w:r>
        <w:rPr>
          <w:rFonts w:hint="eastAsia"/>
          <w:color w:val="auto"/>
          <w:highlight w:val="none"/>
        </w:rPr>
        <w:tab/>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屏蔽保护措施满足IEC 529-76标准中IP42防护等级。</w:t>
      </w:r>
    </w:p>
    <w:p>
      <w:pPr>
        <w:pStyle w:val="100"/>
        <w:rPr>
          <w:color w:val="auto"/>
          <w:highlight w:val="none"/>
        </w:rPr>
      </w:pPr>
      <w:r>
        <w:rPr>
          <w:rFonts w:hint="eastAsia"/>
          <w:color w:val="auto"/>
          <w:highlight w:val="none"/>
        </w:rPr>
        <w:t>计算机监控系统的性能及技术指标</w:t>
      </w:r>
    </w:p>
    <w:p>
      <w:pPr>
        <w:pStyle w:val="102"/>
        <w:rPr>
          <w:color w:val="auto"/>
          <w:highlight w:val="none"/>
        </w:rPr>
      </w:pPr>
      <w:r>
        <w:rPr>
          <w:rFonts w:hint="eastAsia"/>
          <w:color w:val="auto"/>
          <w:highlight w:val="none"/>
        </w:rPr>
        <w:t>对系统的一般技术要求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1）现场条件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环境条件：计算机主站设备装设在有空调的中控室内。主控站设备和LCU设备应设计在下列温度和湿度条件下运行。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（1）主控站设备</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湿度                                  10～80％</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温度                                  5～35℃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（2）LCU设备</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湿度                                  l0～95％</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温度                                 -5℃～50℃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2）防振动和冲击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监控系统设备应在振动5～200Hz时，加速度不超过5m/s</w:t>
      </w:r>
      <w:r>
        <w:rPr>
          <w:rFonts w:hint="eastAsia" w:ascii="宋体" w:hAnsi="宋体" w:cs="宋体"/>
          <w:color w:val="auto"/>
          <w:szCs w:val="21"/>
          <w:highlight w:val="none"/>
          <w:vertAlign w:val="superscript"/>
          <w:lang w:bidi="ar"/>
        </w:rPr>
        <w:t>2</w:t>
      </w:r>
      <w:r>
        <w:rPr>
          <w:rFonts w:hint="eastAsia" w:ascii="宋体" w:hAnsi="宋体" w:cs="宋体"/>
          <w:color w:val="auto"/>
          <w:szCs w:val="21"/>
          <w:highlight w:val="none"/>
          <w:lang w:bidi="ar"/>
        </w:rPr>
        <w:t>的条件下长期运行。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3）电气环境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系统应考虑到现场环境中可能存在的电磁、静电和感应暂态电压以及水闸处于多雷击区的特殊情况，并负责确保所有硬件在高静电、高噪声环境下的安全运行，并具有足够的抗雷电干扰措施。暂态电压保护的技术参数和绝缘耐压应满足相关规范的规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4）尘埃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应根据设备不同的安装位置，考虑防尘措施，采用密闭机柜和带过滤器的通风孔。</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5）噪声限制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在中控室的主控站微机及其外设所引起的噪声应小于60db。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6）设备电源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各水闸由UPS电源为各工作站、LCU屏提供50Hz交流220V的电源，交流电压变化范围-10％～+15％。</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7）设备的接地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计算机监控系统设备和水闸内其它设备共用同一公共接地网，不考虑采用单独的接地网。LCU屏内的弱电设备逻辑地采用一点接地的方式与公共接地网连接，因此，要求LCU屏内的弱电设备接地铜排可选用绝缘子与壳体隔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水闸接地系统的接地电阻值不大于1Ω。</w:t>
      </w:r>
    </w:p>
    <w:p>
      <w:pPr>
        <w:pStyle w:val="102"/>
        <w:rPr>
          <w:color w:val="auto"/>
          <w:highlight w:val="none"/>
        </w:rPr>
      </w:pPr>
      <w:r>
        <w:rPr>
          <w:rFonts w:hint="eastAsia"/>
          <w:color w:val="auto"/>
          <w:highlight w:val="none"/>
        </w:rPr>
        <w:t>系统性能保证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1）状态和报警点采集周期                    ≤2s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2）模拟量采集周期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（1）电量                                  ≤1s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（2）非电量                                ≤2s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3）事件顺序记录点分辨率                    ＜5ms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4）现地控制级接收控制指令到开始执行的时间  ＜1s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5）时钟同步精度                            ±1ms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6）平均故障间隔时间（MTBF）</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（1）计算机监控系统                         ＞10000h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（2）主控级计算机（含磁盘）                 ＞17000h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（3）现地控制单元                           ＞17000h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7）可维护性（MTTR）                       ＞0.5h</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8）计算机监控系统可利用率（A）             ＞99.9%</w:t>
      </w:r>
    </w:p>
    <w:p>
      <w:pPr>
        <w:pStyle w:val="96"/>
        <w:rPr>
          <w:color w:val="auto"/>
          <w:highlight w:val="none"/>
        </w:rPr>
      </w:pPr>
      <w:r>
        <w:rPr>
          <w:rFonts w:hint="eastAsia"/>
          <w:color w:val="auto"/>
          <w:highlight w:val="none"/>
        </w:rPr>
        <w:t>图像安防系统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闸门实现了计算机监控后，人员操作都是在室内远距离进行操作闸门，不能实时查看启闭的情况，不了解闸门周边的环境，容易发生误操作等风险，因此为了确保闸门远程操作的可视性、安全性，实时监视闸门的开度情况，需要在闸门和重要的水利工程附近建设视频监视系统，以确保闸门操作的安全，也可辅助进行定期巡视及安全保卫。同时在管理控制中心管理区域布设出入口道闸系统和人脸门禁系统。</w:t>
      </w:r>
    </w:p>
    <w:p>
      <w:pPr>
        <w:pStyle w:val="98"/>
        <w:rPr>
          <w:bCs/>
          <w:color w:val="auto"/>
          <w:highlight w:val="none"/>
        </w:rPr>
      </w:pPr>
      <w:r>
        <w:rPr>
          <w:rFonts w:hint="eastAsia"/>
          <w:color w:val="auto"/>
          <w:highlight w:val="none"/>
        </w:rPr>
        <w:t>视频监视系统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辅助计算机控制，保障水闸运行以及工作船通行的安全，分别在皂李湖河节制闸1、皂李湖河节制闸2、皂李湖~白马湖连接隧洞进口节制闸、皂李湖~白马湖连接隧洞出口套闸、白马湖隧洞进口节制闸等五座水闸和工程管理控制中心布置图像安防系统，实时监视各水闸内主要设备的运行状况、水位状况以及闸区范围内的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水闸在主要地点设置摄像监视点，如启闭机室、工作闸门、配电室、控制室、户外上下游等（皂李湖~白马湖连接隧洞出口套闸还应在上闸首和下闸首之间的通行区域设置摄像监视点），控制站设在控制室内，便于水闸的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各水闸上下游布设球机，用于监视各孔闸门运行状态，保障运行安全；在各水闸下游侧布设球机，监视下游河道情况，在各水闸的启闭机室和配电室布设球机、控制室布设半球摄像机、柴油发电机房布设防爆球机进行全面监视。总共布置22处球机、22处半球、2处防爆球机和6处全景球机，具体布置清单见下表：</w:t>
      </w:r>
    </w:p>
    <w:tbl>
      <w:tblPr>
        <w:tblStyle w:val="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0"/>
        <w:gridCol w:w="1313"/>
        <w:gridCol w:w="2040"/>
        <w:gridCol w:w="727"/>
        <w:gridCol w:w="729"/>
        <w:gridCol w:w="1020"/>
        <w:gridCol w:w="1023"/>
        <w:gridCol w:w="15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序号</w:t>
            </w:r>
          </w:p>
        </w:tc>
        <w:tc>
          <w:tcPr>
            <w:tcW w:w="128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布置</w:t>
            </w:r>
          </w:p>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位置</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监视对象</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球机</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半球</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防爆球</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全景球</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安装</w:t>
            </w:r>
          </w:p>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280" w:type="dxa"/>
            <w:vMerge w:val="restart"/>
            <w:tcBorders>
              <w:top w:val="nil"/>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皂李湖河</w:t>
            </w:r>
          </w:p>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节制闸1</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水闸上下游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控制室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户内吸顶式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启闭机室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水闸下游河岸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1280" w:type="dxa"/>
            <w:vMerge w:val="restart"/>
            <w:tcBorders>
              <w:top w:val="nil"/>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皂李湖河</w:t>
            </w:r>
          </w:p>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节制闸2</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水闸上下游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控制室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户内吸顶式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启闭机室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配电室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柴油机房</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水闸下游河岸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3</w:t>
            </w:r>
          </w:p>
        </w:tc>
        <w:tc>
          <w:tcPr>
            <w:tcW w:w="1280"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皂李湖~白马湖连接隧洞进口节制闸</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水闸上下游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控制室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户内吸顶式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启闭机室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配电室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闸区出入口</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4</w:t>
            </w:r>
          </w:p>
        </w:tc>
        <w:tc>
          <w:tcPr>
            <w:tcW w:w="1280"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皂李湖~白马湖连接隧洞出口套闸</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水闸上下游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上、下闸连接河岸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控制室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户内吸顶式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启闭机室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配电室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柴油机房</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上闸首隧洞河岸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下闸首下游河岸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变压器房</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闸区出入口</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5</w:t>
            </w:r>
          </w:p>
        </w:tc>
        <w:tc>
          <w:tcPr>
            <w:tcW w:w="1280"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皂李湖~白马湖连接隧洞进口节制闸</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水闸上下游</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控制室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户内吸顶式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启闭机室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配电室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restart"/>
            <w:tcBorders>
              <w:top w:val="nil"/>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6</w:t>
            </w:r>
          </w:p>
        </w:tc>
        <w:tc>
          <w:tcPr>
            <w:tcW w:w="1280" w:type="dxa"/>
            <w:vMerge w:val="restart"/>
            <w:tcBorders>
              <w:top w:val="nil"/>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管理控制中心</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管理区进口</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机房</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中控室</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管理区围栏</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门厅</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1</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户内壁装式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vMerge w:val="continue"/>
            <w:tcBorders>
              <w:top w:val="nil"/>
              <w:left w:val="single" w:color="auto" w:sz="4" w:space="0"/>
              <w:bottom w:val="single" w:color="auto" w:sz="4" w:space="0"/>
              <w:right w:val="single" w:color="auto" w:sz="4" w:space="0"/>
            </w:tcBorders>
            <w:shd w:val="clear" w:color="auto" w:fill="auto"/>
            <w:vAlign w:val="center"/>
          </w:tcPr>
          <w:p>
            <w:pPr>
              <w:snapToGrid w:val="0"/>
              <w:rPr>
                <w:rFonts w:ascii="宋体" w:hAnsi="宋体" w:cs="宋体"/>
                <w:color w:val="auto"/>
                <w:szCs w:val="21"/>
                <w:highlight w:val="none"/>
              </w:rPr>
            </w:pPr>
          </w:p>
        </w:tc>
        <w:tc>
          <w:tcPr>
            <w:tcW w:w="1280" w:type="dxa"/>
            <w:vMerge w:val="continue"/>
            <w:tcBorders>
              <w:top w:val="nil"/>
              <w:left w:val="single" w:color="auto" w:sz="4" w:space="0"/>
              <w:bottom w:val="single" w:color="auto" w:sz="4" w:space="0"/>
              <w:right w:val="single" w:color="auto" w:sz="4" w:space="0"/>
            </w:tcBorders>
            <w:shd w:val="clear" w:color="auto" w:fill="auto"/>
            <w:noWrap/>
            <w:vAlign w:val="center"/>
          </w:tcPr>
          <w:p>
            <w:pPr>
              <w:snapToGrid w:val="0"/>
              <w:rPr>
                <w:rFonts w:ascii="宋体" w:hAnsi="宋体" w:cs="宋体"/>
                <w:color w:val="auto"/>
                <w:szCs w:val="21"/>
                <w:highlight w:val="none"/>
              </w:rPr>
            </w:pP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color w:val="auto"/>
                <w:highlight w:val="none"/>
              </w:rPr>
              <w:t>周边全景</w:t>
            </w: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color w:val="auto"/>
                <w:highlight w:val="none"/>
              </w:rPr>
              <w:t>1</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color w:val="auto"/>
                <w:highlight w:val="none"/>
              </w:rPr>
            </w:pPr>
            <w:r>
              <w:rPr>
                <w:rFonts w:hint="eastAsia" w:ascii="宋体" w:hAnsi="宋体" w:cs="宋体"/>
                <w:color w:val="auto"/>
                <w:highlight w:val="none"/>
              </w:rPr>
              <w:t>户外柱装式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56"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p>
        </w:tc>
        <w:tc>
          <w:tcPr>
            <w:tcW w:w="1280"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合计</w:t>
            </w:r>
          </w:p>
        </w:tc>
        <w:tc>
          <w:tcPr>
            <w:tcW w:w="1989"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p>
        </w:tc>
        <w:tc>
          <w:tcPr>
            <w:tcW w:w="709"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22</w:t>
            </w:r>
          </w:p>
        </w:tc>
        <w:tc>
          <w:tcPr>
            <w:tcW w:w="711"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22</w:t>
            </w:r>
          </w:p>
        </w:tc>
        <w:tc>
          <w:tcPr>
            <w:tcW w:w="99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2</w:t>
            </w:r>
          </w:p>
        </w:tc>
        <w:tc>
          <w:tcPr>
            <w:tcW w:w="99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r>
              <w:rPr>
                <w:rFonts w:hint="eastAsia" w:ascii="宋体" w:hAnsi="宋体" w:cs="宋体"/>
                <w:b/>
                <w:bCs/>
                <w:color w:val="auto"/>
                <w:highlight w:val="none"/>
              </w:rPr>
              <w:t>6</w:t>
            </w:r>
          </w:p>
        </w:tc>
        <w:tc>
          <w:tcPr>
            <w:tcW w:w="154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spacing w:line="240" w:lineRule="auto"/>
              <w:ind w:firstLine="0" w:firstLineChars="0"/>
              <w:rPr>
                <w:rFonts w:ascii="宋体" w:hAnsi="宋体" w:cs="宋体"/>
                <w:b/>
                <w:bCs/>
                <w:color w:val="auto"/>
                <w:highlight w:val="none"/>
              </w:rPr>
            </w:pPr>
          </w:p>
        </w:tc>
      </w:tr>
    </w:tbl>
    <w:p>
      <w:pPr>
        <w:pStyle w:val="100"/>
        <w:rPr>
          <w:color w:val="auto"/>
          <w:highlight w:val="none"/>
        </w:rPr>
      </w:pPr>
      <w:r>
        <w:rPr>
          <w:rFonts w:hint="eastAsia"/>
          <w:color w:val="auto"/>
          <w:highlight w:val="none"/>
        </w:rPr>
        <w:t>视频监视系统功能</w:t>
      </w:r>
    </w:p>
    <w:p>
      <w:pPr>
        <w:pStyle w:val="102"/>
        <w:rPr>
          <w:color w:val="auto"/>
          <w:highlight w:val="none"/>
        </w:rPr>
      </w:pPr>
      <w:r>
        <w:rPr>
          <w:rFonts w:hint="eastAsia"/>
          <w:color w:val="auto"/>
          <w:highlight w:val="none"/>
        </w:rPr>
        <w:t>图像监视功能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系统采用画面分割技术，同一显示器能接受几幅图像信息，画面可任意组合、放大和缩小，并能切换其中任一幅图像；同时具有图像轮巡功能，还可根据要求预设轮巡方案进行操作。</w:t>
      </w:r>
    </w:p>
    <w:p>
      <w:pPr>
        <w:pStyle w:val="102"/>
        <w:rPr>
          <w:color w:val="auto"/>
          <w:highlight w:val="none"/>
        </w:rPr>
      </w:pPr>
      <w:r>
        <w:rPr>
          <w:rFonts w:hint="eastAsia"/>
          <w:color w:val="auto"/>
          <w:highlight w:val="none"/>
        </w:rPr>
        <w:t>摄像机切换和控制功能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对系统中配置的可控摄像机进行全面控制，包含左右、上下、远景/近景、近焦/远焦，预置点控制和预编程观看等，同时通过配置的控制设备实现对摄像机的切换。</w:t>
      </w:r>
    </w:p>
    <w:p>
      <w:pPr>
        <w:pStyle w:val="102"/>
        <w:rPr>
          <w:color w:val="auto"/>
          <w:highlight w:val="none"/>
        </w:rPr>
      </w:pPr>
      <w:r>
        <w:rPr>
          <w:rFonts w:hint="eastAsia"/>
          <w:color w:val="auto"/>
          <w:highlight w:val="none"/>
        </w:rPr>
        <w:t>录像功能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系统能对显示器所显示的图像进行记录和对历史文件进行方便的检索和调用，便于操作人员进行分析，同时通过软件也可满足实现远程网络录像功能。</w:t>
      </w:r>
    </w:p>
    <w:p>
      <w:pPr>
        <w:pStyle w:val="102"/>
        <w:rPr>
          <w:color w:val="auto"/>
          <w:highlight w:val="none"/>
        </w:rPr>
      </w:pPr>
      <w:r>
        <w:rPr>
          <w:rFonts w:hint="eastAsia"/>
          <w:color w:val="auto"/>
          <w:highlight w:val="none"/>
        </w:rPr>
        <w:t>报警功能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软件可对系统中需要设定的报警事件进行快速响应，当发生报警时，能联动相关设备，如启动相应室内现场照明、警报器等，同时进行联动录像；相关设备启动后，在设定的时间内自动关闭，且现场照明在白天（时间段可设）可不打开。以上功能用户可方便的进行自定义设置。同时发生多点报警时，按报警级别高低优先和时间优先的原则显示存储，先上传严重报警点的图像，同等级别的报警按时间优先上传报警点的图像，其它报警点上传报警信息，报警信息不得丢失和误报。</w:t>
      </w:r>
    </w:p>
    <w:p>
      <w:pPr>
        <w:pStyle w:val="102"/>
        <w:rPr>
          <w:color w:val="auto"/>
          <w:highlight w:val="none"/>
        </w:rPr>
      </w:pPr>
      <w:r>
        <w:rPr>
          <w:rFonts w:hint="eastAsia"/>
          <w:color w:val="auto"/>
          <w:highlight w:val="none"/>
        </w:rPr>
        <w:t>用户管理和权限控制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可对用户的功能权限和管辖权限进行设定，当不同优先级的用户同时对同一设备进行操作时应具有协商机制，该部分功能可由用户进行自定义设置。</w:t>
      </w:r>
    </w:p>
    <w:p>
      <w:pPr>
        <w:pStyle w:val="102"/>
        <w:rPr>
          <w:color w:val="auto"/>
          <w:highlight w:val="none"/>
        </w:rPr>
      </w:pPr>
      <w:r>
        <w:rPr>
          <w:rFonts w:hint="eastAsia"/>
          <w:color w:val="auto"/>
          <w:highlight w:val="none"/>
        </w:rPr>
        <w:t>日志功能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户所有重要操作，如登录、控制、退出、报警等，均有操作记录，软件可对操作记录进行查询和统计，应自动生成系统运行日志，可查询及以报表方式打印输出。所有操作记录具有不可删除和不可更改性（除系统管理员）。</w:t>
      </w:r>
    </w:p>
    <w:p>
      <w:pPr>
        <w:pStyle w:val="102"/>
        <w:rPr>
          <w:color w:val="auto"/>
          <w:highlight w:val="none"/>
        </w:rPr>
      </w:pPr>
      <w:r>
        <w:rPr>
          <w:rFonts w:hint="eastAsia"/>
          <w:color w:val="auto"/>
          <w:highlight w:val="none"/>
        </w:rPr>
        <w:t>软件界面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软件具有统一的客户界面，在同一个界面上完成所有系统的所有功能，软件界面友好，并可根据用户要求进行定制，同时也允许用户对软件的界面色彩等基本风格自行调整。</w:t>
      </w:r>
    </w:p>
    <w:p>
      <w:pPr>
        <w:pStyle w:val="102"/>
        <w:rPr>
          <w:color w:val="auto"/>
          <w:highlight w:val="none"/>
        </w:rPr>
      </w:pPr>
      <w:r>
        <w:rPr>
          <w:rFonts w:hint="eastAsia"/>
          <w:color w:val="auto"/>
          <w:highlight w:val="none"/>
        </w:rPr>
        <w:t>系统自维护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软件有容错功能，可防止误操作导致的出错和崩溃，且具有数据备份、恢复以及自诊断、自恢复功能，可实现远程对设备的配置、维护和重新启动的功能，提供在线帮助。</w:t>
      </w:r>
    </w:p>
    <w:p>
      <w:pPr>
        <w:pStyle w:val="102"/>
        <w:rPr>
          <w:color w:val="auto"/>
          <w:highlight w:val="none"/>
        </w:rPr>
      </w:pPr>
      <w:r>
        <w:rPr>
          <w:rFonts w:hint="eastAsia"/>
          <w:color w:val="auto"/>
          <w:highlight w:val="none"/>
        </w:rPr>
        <w:t>设备控制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软件可对系统的各种设备进行全面的控制，包含摄像机、网络硬盘录像机等基本设备，同时软件具有灵活完善的设备配置功能，便于未来其他类型设备及系统的接入。</w:t>
      </w:r>
    </w:p>
    <w:p>
      <w:pPr>
        <w:pStyle w:val="102"/>
        <w:rPr>
          <w:color w:val="auto"/>
          <w:highlight w:val="none"/>
        </w:rPr>
      </w:pPr>
      <w:r>
        <w:rPr>
          <w:rFonts w:hint="eastAsia"/>
          <w:color w:val="auto"/>
          <w:highlight w:val="none"/>
        </w:rPr>
        <w:t>与其他系统的联动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视频监视系统与计算机监控系统等联动，以辅助计算机控制，达到实时监视操作中的设备的目的。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当计算机监控系统操作指令发出，则视频监视系统画面自动切入被操作的画面上，同时相应的画面以嵌入式多窗口形式实时显示在监控系统的显示器上。</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当事故或故障报警出现时，视频监视系统监视画面自动切入相应的设备上。</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2" w:firstLineChars="20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本工程5座水闸和管理控制中心的视频监视系统设备由本标段承包人负责采购、安装、调试，其相关的户内电缆穿线管的预埋、屏柜基础槽钢预埋一部分已由土建承包人完成（现场实际情况，土建承包人已完工），剩余户内部分以及所有户外的则需由本标段承包人自行完成；相关的所有电缆由本标段承包人负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在本工程中，户内外摄像机均采用百万像素球型、低照度功能的日夜型彩色/黑白自动转换摄像机，不需外加光源来进行补光。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承包人需提供承包范围内所有摄像机的安装支架。摄像机至交换机之间的传输距离大于90米时需敷设光纤进行传输，相应光纤收发器由承包人提供。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机应是具有高分辨率、低照度的彩色球驱动器和编程软件组成的相关产品，应用中无图像模糊、传输模糊以及图像失真等现象，在强光、极微弱照度下，图像应保持清晰而不变形；具有防风、防雨、夜视功能。可选用海康威视、大华、英飞拓或同档次产品，并提供厂家授权证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1）高清半球摄像机（共22台）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性能指标不低于以下要求：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具有400万像素 CMOS传感器；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主码流可达到2688x1520@25fps；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红外（激光）摄像机在30米距离下应能探测到目标；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信噪比不小于55dB；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摄像机能够在-30℃～60℃，湿度小于93%环境下稳定工作；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不低于IP66防尘防水等级；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摄像机应能在DC（12±25%）范围内正常工作。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2）高清球型摄像机（共22只）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性能指标不低于以下要求：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摄像机靶面尺寸不小于1/1.8英寸；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支持32倍光学变倍；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内置GPU芯片；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视频输出支持2560×1440@25fps，分辨力不小于1400TVL，红外距离可达150米；</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对人或车辆进入警戒区域后，设备可发出白光警示、声音警示，并启动智能跟踪功能；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镜头采用F1.2大光圈；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支持最低照度可达彩色0.0003Lux，黑白0.0001Lux；</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支持水平手控速度不小于160°/s，垂直速度不小于120°/s，云台定位精度为±0.1°；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水平旋转范围为360°连续旋转，垂直旋转范围为-15°～90°；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支持对镜头前盖玻璃加热，去除玻璃上的冰状和水状附着物；</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需具备智能分析抗干扰功能，当篮球、小狗、树叶等非人或车辆目标经过检测区域时，不会触发报警；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支持快捷配置功能，可在预览画面开启/关闭“快捷配置”页面，对曝光参数、OSD、智能资源分配模式等参数进行配置，并可一键恢复为默认设置；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支持智能红外、透雾、强光抑制、电子防抖、数字降噪、防红外过曝功能；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球机应具备本机存储功能，支持SD卡热插拔，最大支持256GB；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支持区域入侵、越界入侵、徘徊、物品移除、物品遗留、人员聚集、停车、快速移动，并联动报警；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具备较好的防护性能环境适应性，支持IP67，6kV防浪涌，工作温度范围可达-40℃～70℃；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具备较好的电源适应性，电压在AC24V±30%范围内变化时，设备可正常工作。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3）高清防爆球型摄像机（共2台）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性能指标不低于以下要求：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400万22倍防爆球机；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防爆标志：ExdⅡCT6Gb/ExtDA21IP68T80℃；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304不锈钢材质设计，防爆球机散热设计；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采用高性能传感器，图像清晰；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400万像素逐行扫描1/2.8" CMOS；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最大分辨率可达2560×1440；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最低照度：彩色：0.005Lux @（F1.6，AGC ON）；黑白：0.001Lux @（F1.6，AGC ON）；</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支持ICR红外滤片式自动切换；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支持120dB超宽动态、3D降噪；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支持H.265编码；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支持掉电记忆、断网续传；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焦距4.8mm～105.6mm，22倍光学变倍；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支持3D定位，可通过鼠标框选目标以实现目标的快速定位与捕捉；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支持360°水平旋转，垂直方向0°～90°；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支持定时任务、一键守望、一键巡航功能。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4）全景球机（共6只）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性能指标不低于以下要求：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支持GB35114安全加密；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最低照度: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【全景】0.0005 Lux/F1.0（彩色），0.0001 Lux/F1.0（黑白）；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【细节】星光级超低照度，0.0005 Lux/F1.2（彩色），0.0001 Lux/F1.2（黑白），0 Lux with IR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光学变倍: 40倍；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焦距: 【全景】2.8 mm；【细节】6~240 mm；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视场角:</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水平视场角：56.6~1.8度（广角~望远）；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垂直视场角：33.7~1.0度（广角~望远）；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对角线视场角：63.4~2.0度（广角~望远）；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红外照射距离: 250m；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防补光过曝: 支持；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水平范围: 360°；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垂直范围: -15°~90°（自动翻转）；</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水平速度: 水平键控速度：0.1°~210°/s，速度可设；水平预置点速度：240°/s；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垂直速度: 垂直键控速度：0.1°~150°/s，速度可设；垂直预置点速度：200°/s。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5）室外摄像机立杆（共14套）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承包人应提供高4米（暂定）的标准立杆，含安装附件并具有防直击雷的避雷设施以及其他防雷装置如信号避雷器、防雷箱等。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6）全景摄像机立杆（共6套）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承包人应提供高8米（暂定）的标准立杆，含安装附件并具有防直击雷的避雷设施以及其他防雷装置如信号避雷器、防雷箱等。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7）数字硬盘录像机（共5台，以下所列为1套的配置）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安装于各水闸的网络及视频设备屏内，不单独组屏。屏内设组合式摄像机电源变换装置实现摄像机的集中供电，容量由承包人根据需要确定。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16路数字硬盘录像机1台，可选用海康威视、大华、英飞拓等品牌产品。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（1）硬件规格</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1.5U标准机架式；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1个HDMI，1个VGA，异源输出；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4盘位，可满配8TB硬盘；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2个千兆网口；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2个USB2.0接口、1个USB3.0接口；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1个eSATA接口；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报警IO：16进4</w:t>
      </w:r>
      <w:r>
        <w:rPr>
          <w:rFonts w:hint="eastAsia" w:ascii="宋体" w:hAnsi="宋体" w:cs="宋体"/>
          <w:color w:val="auto"/>
          <w:szCs w:val="21"/>
          <w:highlight w:val="none"/>
          <w:lang w:val="en-US" w:eastAsia="zh-CN" w:bidi="ar"/>
        </w:rPr>
        <w:t>出</w:t>
      </w:r>
      <w:r>
        <w:rPr>
          <w:rFonts w:hint="eastAsia" w:ascii="宋体" w:hAnsi="宋体" w:cs="宋体"/>
          <w:color w:val="auto"/>
          <w:szCs w:val="21"/>
          <w:highlight w:val="none"/>
          <w:lang w:bidi="ar"/>
        </w:rPr>
        <w: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（2）软件性能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输入带宽：160M；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16路H.264、H.265</w:t>
      </w:r>
      <w:r>
        <w:rPr>
          <w:rFonts w:hint="eastAsia" w:ascii="宋体" w:hAnsi="宋体" w:cs="宋体"/>
          <w:color w:val="auto"/>
          <w:szCs w:val="21"/>
          <w:highlight w:val="none"/>
          <w:lang w:val="en-US" w:eastAsia="zh-CN" w:bidi="ar"/>
        </w:rPr>
        <w:t>混合</w:t>
      </w:r>
      <w:r>
        <w:rPr>
          <w:rFonts w:hint="eastAsia" w:ascii="宋体" w:hAnsi="宋体" w:cs="宋体"/>
          <w:color w:val="auto"/>
          <w:szCs w:val="21"/>
          <w:highlight w:val="none"/>
          <w:lang w:bidi="ar"/>
        </w:rPr>
        <w:t>接入；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最大支持8×1080P解码；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支持H.264、H.265解码；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Smart 2.0/整机热备/ANR/智能检索/智能回放/车牌检索/人脸检索/热度图/客流量统计/分时段回放/超高倍速回放/双系统备份。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（3）配置</w:t>
      </w:r>
      <w:r>
        <w:rPr>
          <w:rFonts w:hint="eastAsia" w:ascii="宋体" w:hAnsi="宋体" w:cs="宋体"/>
          <w:color w:val="auto"/>
          <w:szCs w:val="21"/>
          <w:highlight w:val="none"/>
          <w:lang w:val="en-US" w:eastAsia="zh-CN" w:bidi="ar"/>
        </w:rPr>
        <w:t>6</w:t>
      </w:r>
      <w:r>
        <w:rPr>
          <w:rFonts w:hint="eastAsia" w:ascii="宋体" w:hAnsi="宋体" w:cs="宋体"/>
          <w:color w:val="auto"/>
          <w:szCs w:val="21"/>
          <w:highlight w:val="none"/>
          <w:lang w:bidi="ar"/>
        </w:rPr>
        <w:t>T硬盘</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采用企业级硬盘，要求选用西部数据、希捷、日立的产品。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具体性能参数要求如下：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容量：</w:t>
      </w:r>
      <w:r>
        <w:rPr>
          <w:rFonts w:hint="eastAsia" w:ascii="宋体" w:hAnsi="宋体" w:cs="宋体"/>
          <w:color w:val="auto"/>
          <w:szCs w:val="21"/>
          <w:highlight w:val="none"/>
          <w:lang w:val="en-US" w:eastAsia="zh-CN" w:bidi="ar"/>
        </w:rPr>
        <w:t>6</w:t>
      </w:r>
      <w:r>
        <w:rPr>
          <w:rFonts w:hint="eastAsia" w:ascii="宋体" w:hAnsi="宋体" w:cs="宋体"/>
          <w:color w:val="auto"/>
          <w:szCs w:val="21"/>
          <w:highlight w:val="none"/>
          <w:lang w:bidi="ar"/>
        </w:rPr>
        <w:t>TB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缓存：256MB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转速：7200RPM</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接口：SATA 6Gb/秒</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平均故障间隔时间：200万小时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8）视频交换机（共5台，以下所列为1台的配置）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安装于各水闸的网络及视频设备屏内，不单独组屏。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采用管理型工业级以太网交换机，其性能指标不低于ORing 9000系列、N-TRON 7900系列、Siemens SCALANCE X300系列产品。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具体要求如下：</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使用管理型工业以太网交换机，1000M光口不少于4个，10/100M电口不少于14个，水闸采用租用专网（管理网）方式与本工程管理区调度中心视频监视系统连接，相应的辅件应配套提供；</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符合工业标准及IEEE802.3标准；</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采用模块化结构设计，提高设备的扩展性和灵活性；</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工业标准19英寸机架式安装，工作温度：-20℃～70℃，工作电压：10～48VDC；</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采用存储-转发技术，支持自动协商功能、自适应全双工/半双工、自适应100Base-TX端口、自适应MDI/MDIX；</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MTBF（平均无故障工作时间）不小于20万小时；</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相对湿度：10%～95%（非凝结）；</w:t>
      </w:r>
    </w:p>
    <w:p>
      <w:pPr>
        <w:autoSpaceDE w:val="0"/>
        <w:autoSpaceDN w:val="0"/>
        <w:adjustRightInd w:val="0"/>
        <w:snapToGrid w:val="0"/>
        <w:spacing w:line="360" w:lineRule="auto"/>
        <w:ind w:firstLine="840" w:firstLineChars="4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防护等级不低于IP30，全封闭式金属外壳，无需风扇散热（无风扇设计）；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冗余双电源输入，具有电源过载保护功能；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    具有网络管理功能，提供网管软件通讯方式对交换机进行监控、故障诊断和趋势图分析的功能；支持RSTP、SNMPV1/V2/V3、IGMP snooping、VLAN、QOS、TRUNKING、MIRRORING、DHCP等功能。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9）视频工作站（共6套，以下所列为1套的配置）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配置同皂李湖河节制闸1计算机监控系统主机兼操作员工作站完全相同。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10）视频综合管理平台（共1套）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视频综合管理平台布置在管理控制中心，具体性能参数要求不低于：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硬件性能：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2U双路标准机架式服务器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CPU：1颗至强系列处理器，核数≥10核，主频≥2.4GHz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内存：16G*2 DDR4，16根内存插槽，最大支持扩展至2TB内存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硬盘：2块1.2T 10K 2.5寸 SAS硬盘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阵列卡：SAS_HBA卡, 支持RAID 0/1/10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PCIE扩展：最大可支持6个PCIE扩展插槽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网口：2个千兆电口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其他接口：1个RJ45管理接口，后置2个USB 3.0接口，前置2个USB2.0接口，1个VGA接口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电源：标配550W（1+1）高效铂金CRPS冗余电源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软件功能：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（1）系统基础包，提供业务应用依赖的基础资源信息及基础服务能力，包括系统基础信息管理、地图应用服务、事件联动应用服务。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监控应用提供视频管理服务，支持编码设备通过海康设备网络SDK协议、海康Ehome协议、海康ISUP5.0协议、GB28181协议、ONVIF协议、大华设备网络SDK协议、萤石协议接入平台，实现视频预览、录像回放、视频上墙、视频事件监控服务能力，并且在网络带宽不足、有流量限制的网络环境下可以通过以图片替代视频的模式提供监控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（2）视频级联应用主要为视频监控业务提供级联服务，专注于平台域间视频联网，基于视频通用标准协议（GB/T28181-2011,GB/T28181-2016）与外域平台互联互通，实现上级平台对下级平台视频资源点位的操作控制。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基础门禁管理通过接入多种门禁设备，利用卡片、人脸、指纹介质，实现人员身份识别、出入管控等智能应用，主要提供门禁权限管理、事件管理、门禁状态查看、门禁远程控制、人员出入记录实时展示、远程呼叫对讲等应用。默认包含50路门禁点授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11）磁盘阵列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磁盘阵列布置在管理控制中心，具体性能参数要求不低于：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机架式/4U 24盘位/1536Mbps接入带宽/64位多核处理器/4GB缓存/2个千兆数据网口/1个千兆管理网口/冗余电源/网络协议：RTSP/ONVIF/PSIA/（GB/T28181）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服务器配置：≥1颗64位多核处理器，≥4GB内存，内存支持扩展到≥256GB，内置SSD固态硬盘，配置≥3个风扇，支持风扇热插拔冗余温控调速风扇。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标配≥2个千兆网口，可增扩≥6个千兆网口，或可增扩≥4个万兆网口或≥6个HDMI接口或≥4个SAS3.0接口；支持≥12级扩展柜级联扩展；可支持12GBSAS扩展口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支持SATA和SAS混插，支持不同品牌的硬盘混插；支持不同大小的硬盘混合使用，可显示硬盘的总容量（各个硬盘容量之和）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配备独立元数据系统、支持元数据系统组成RAID和网络RAID（N+M配置，且M≥8），一组RAID故障时其业务可自动切换至其他网络RAID组</w:t>
      </w:r>
    </w:p>
    <w:p>
      <w:pPr>
        <w:autoSpaceDE w:val="0"/>
        <w:autoSpaceDN w:val="0"/>
        <w:adjustRightInd w:val="0"/>
        <w:snapToGrid w:val="0"/>
        <w:spacing w:line="360" w:lineRule="auto"/>
        <w:ind w:firstLine="408" w:firstLineChars="200"/>
        <w:textAlignment w:val="baseline"/>
        <w:rPr>
          <w:rFonts w:ascii="宋体" w:hAnsi="宋体" w:cs="宋体"/>
          <w:color w:val="auto"/>
          <w:szCs w:val="21"/>
          <w:highlight w:val="none"/>
        </w:rPr>
      </w:pPr>
      <w:r>
        <w:rPr>
          <w:rFonts w:hint="eastAsia" w:ascii="宋体" w:hAnsi="宋体" w:cs="宋体"/>
          <w:color w:val="auto"/>
          <w:spacing w:val="-3"/>
          <w:szCs w:val="21"/>
          <w:highlight w:val="none"/>
          <w:lang w:bidi="ar"/>
        </w:rPr>
        <w:t xml:space="preserve">内置 </w:t>
      </w:r>
      <w:r>
        <w:rPr>
          <w:rFonts w:hint="eastAsia" w:ascii="宋体" w:hAnsi="宋体" w:cs="宋体"/>
          <w:color w:val="auto"/>
          <w:szCs w:val="21"/>
          <w:highlight w:val="none"/>
          <w:lang w:bidi="ar"/>
        </w:rPr>
        <w:t>96T</w:t>
      </w:r>
      <w:r>
        <w:rPr>
          <w:rFonts w:hint="eastAsia" w:ascii="宋体" w:hAnsi="宋体" w:cs="宋体"/>
          <w:color w:val="auto"/>
          <w:spacing w:val="-10"/>
          <w:szCs w:val="21"/>
          <w:highlight w:val="none"/>
          <w:lang w:bidi="ar"/>
        </w:rPr>
        <w:t xml:space="preserve"> 存储容量。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12）线缆</w:t>
      </w:r>
    </w:p>
    <w:tbl>
      <w:tblPr>
        <w:tblStyle w:val="33"/>
        <w:tblW w:w="5000" w:type="pct"/>
        <w:tblInd w:w="8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28" w:type="dxa"/>
          <w:bottom w:w="0" w:type="dxa"/>
          <w:right w:w="28" w:type="dxa"/>
        </w:tblCellMar>
      </w:tblPr>
      <w:tblGrid>
        <w:gridCol w:w="796"/>
        <w:gridCol w:w="4154"/>
        <w:gridCol w:w="945"/>
        <w:gridCol w:w="900"/>
        <w:gridCol w:w="2050"/>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8"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序号</w:t>
            </w:r>
          </w:p>
        </w:tc>
        <w:tc>
          <w:tcPr>
            <w:tcW w:w="2348" w:type="pct"/>
            <w:tcBorders>
              <w:top w:val="single" w:color="auto" w:sz="8"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名      称</w:t>
            </w:r>
          </w:p>
        </w:tc>
        <w:tc>
          <w:tcPr>
            <w:tcW w:w="534" w:type="pct"/>
            <w:tcBorders>
              <w:top w:val="single" w:color="auto" w:sz="8"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单 位</w:t>
            </w:r>
          </w:p>
        </w:tc>
        <w:tc>
          <w:tcPr>
            <w:tcW w:w="509" w:type="pct"/>
            <w:tcBorders>
              <w:top w:val="single" w:color="auto" w:sz="8"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数 量</w:t>
            </w:r>
          </w:p>
        </w:tc>
        <w:tc>
          <w:tcPr>
            <w:tcW w:w="1159" w:type="pct"/>
            <w:tcBorders>
              <w:top w:val="single" w:color="auto" w:sz="8"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一</w:t>
            </w:r>
          </w:p>
        </w:tc>
        <w:tc>
          <w:tcPr>
            <w:tcW w:w="4550" w:type="pct"/>
            <w:gridSpan w:val="4"/>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皂李湖河节制闸1</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超五类屏蔽双绞线</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电源线RVV-1-2×1.5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镀锌水煤气管DN25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二</w:t>
            </w:r>
          </w:p>
        </w:tc>
        <w:tc>
          <w:tcPr>
            <w:tcW w:w="4550" w:type="pct"/>
            <w:gridSpan w:val="4"/>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皂李湖河节制闸2</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单模铠装24芯光纤</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超五类屏蔽双绞线</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电源线RVV-1-2×1.5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4</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镀锌水煤气管DN25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三</w:t>
            </w:r>
          </w:p>
        </w:tc>
        <w:tc>
          <w:tcPr>
            <w:tcW w:w="4550" w:type="pct"/>
            <w:gridSpan w:val="4"/>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皂李湖～白马湖连接隧洞进口节制闸</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超五类屏蔽双绞线</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电源线RVV-1-2×1.5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镀锌水煤气管DN25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四</w:t>
            </w:r>
          </w:p>
        </w:tc>
        <w:tc>
          <w:tcPr>
            <w:tcW w:w="4550" w:type="pct"/>
            <w:gridSpan w:val="4"/>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皂李湖～白马湖连接隧洞出口套闸</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单模铠装24芯光纤</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超五类屏蔽双绞线</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电源线RVV-1-2×1.5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400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4</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镀锌水煤气管DN25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五</w:t>
            </w:r>
          </w:p>
        </w:tc>
        <w:tc>
          <w:tcPr>
            <w:tcW w:w="4550" w:type="pct"/>
            <w:gridSpan w:val="4"/>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白马湖～东西泊连接隧洞进口节制闸</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1</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超五类屏蔽双绞线</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w:t>
            </w:r>
          </w:p>
        </w:tc>
        <w:tc>
          <w:tcPr>
            <w:tcW w:w="2348"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电源线RVV-1-2×1.5</w:t>
            </w:r>
          </w:p>
        </w:tc>
        <w:tc>
          <w:tcPr>
            <w:tcW w:w="534"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6"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6"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454" w:hRule="atLeast"/>
        </w:trPr>
        <w:tc>
          <w:tcPr>
            <w:tcW w:w="450" w:type="pct"/>
            <w:tcBorders>
              <w:top w:val="single" w:color="auto" w:sz="6" w:space="0"/>
              <w:left w:val="single" w:color="auto" w:sz="8" w:space="0"/>
              <w:bottom w:val="single" w:color="auto" w:sz="8"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3</w:t>
            </w:r>
          </w:p>
        </w:tc>
        <w:tc>
          <w:tcPr>
            <w:tcW w:w="2348" w:type="pct"/>
            <w:tcBorders>
              <w:top w:val="single" w:color="auto" w:sz="6" w:space="0"/>
              <w:left w:val="single" w:color="auto" w:sz="6" w:space="0"/>
              <w:bottom w:val="single" w:color="auto" w:sz="8" w:space="0"/>
              <w:right w:val="single" w:color="auto" w:sz="6" w:space="0"/>
            </w:tcBorders>
            <w:shd w:val="clear" w:color="auto" w:fill="auto"/>
            <w:vAlign w:val="center"/>
          </w:tcPr>
          <w:p>
            <w:pPr>
              <w:autoSpaceDE w:val="0"/>
              <w:autoSpaceDN w:val="0"/>
              <w:adjustRightInd w:val="0"/>
              <w:snapToGrid w:val="0"/>
              <w:spacing w:line="360" w:lineRule="auto"/>
              <w:textAlignment w:val="baseline"/>
              <w:rPr>
                <w:rFonts w:ascii="宋体" w:hAnsi="宋体" w:cs="宋体"/>
                <w:color w:val="auto"/>
                <w:szCs w:val="21"/>
                <w:highlight w:val="none"/>
              </w:rPr>
            </w:pPr>
            <w:r>
              <w:rPr>
                <w:rFonts w:hint="eastAsia" w:ascii="宋体" w:hAnsi="宋体" w:cs="宋体"/>
                <w:color w:val="auto"/>
                <w:szCs w:val="21"/>
                <w:highlight w:val="none"/>
                <w:lang w:bidi="ar"/>
              </w:rPr>
              <w:t>镀锌水煤气管DN25</w:t>
            </w:r>
          </w:p>
        </w:tc>
        <w:tc>
          <w:tcPr>
            <w:tcW w:w="534" w:type="pct"/>
            <w:tcBorders>
              <w:top w:val="single" w:color="auto" w:sz="6" w:space="0"/>
              <w:left w:val="single" w:color="auto" w:sz="6" w:space="0"/>
              <w:bottom w:val="single" w:color="auto" w:sz="8"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米</w:t>
            </w:r>
          </w:p>
        </w:tc>
        <w:tc>
          <w:tcPr>
            <w:tcW w:w="509" w:type="pct"/>
            <w:tcBorders>
              <w:top w:val="single" w:color="auto" w:sz="6" w:space="0"/>
              <w:left w:val="single" w:color="auto" w:sz="6" w:space="0"/>
              <w:bottom w:val="single" w:color="auto" w:sz="8" w:space="0"/>
              <w:right w:val="single" w:color="auto" w:sz="6" w:space="0"/>
            </w:tcBorders>
            <w:shd w:val="clear" w:color="auto" w:fill="auto"/>
            <w:vAlign w:val="center"/>
          </w:tcPr>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color w:val="auto"/>
                <w:szCs w:val="21"/>
                <w:highlight w:val="none"/>
                <w:lang w:bidi="ar"/>
              </w:rPr>
              <w:t>200</w:t>
            </w:r>
          </w:p>
        </w:tc>
        <w:tc>
          <w:tcPr>
            <w:tcW w:w="1159" w:type="pct"/>
            <w:tcBorders>
              <w:top w:val="single" w:color="auto" w:sz="6" w:space="0"/>
              <w:left w:val="single" w:color="auto" w:sz="6" w:space="0"/>
              <w:bottom w:val="single" w:color="auto" w:sz="8" w:space="0"/>
              <w:right w:val="single" w:color="auto" w:sz="8" w:space="0"/>
            </w:tcBorders>
            <w:shd w:val="clear" w:color="auto" w:fill="auto"/>
            <w:vAlign w:val="center"/>
          </w:tcPr>
          <w:p>
            <w:pPr>
              <w:autoSpaceDE w:val="0"/>
              <w:autoSpaceDN w:val="0"/>
              <w:adjustRightInd w:val="0"/>
              <w:snapToGrid w:val="0"/>
              <w:spacing w:line="360" w:lineRule="auto"/>
              <w:jc w:val="left"/>
              <w:textAlignment w:val="baseline"/>
              <w:rPr>
                <w:rFonts w:ascii="宋体" w:hAnsi="宋体" w:cs="宋体"/>
                <w:color w:val="auto"/>
                <w:szCs w:val="21"/>
                <w:highlight w:val="none"/>
              </w:rPr>
            </w:pPr>
          </w:p>
        </w:tc>
      </w:tr>
    </w:tbl>
    <w:p>
      <w:pPr>
        <w:pStyle w:val="98"/>
        <w:rPr>
          <w:bCs/>
          <w:color w:val="auto"/>
          <w:highlight w:val="none"/>
        </w:rPr>
      </w:pPr>
      <w:r>
        <w:rPr>
          <w:rFonts w:hint="eastAsia"/>
          <w:color w:val="auto"/>
          <w:highlight w:val="none"/>
        </w:rPr>
        <w:t>出入口道闸系统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出入口道闸系统是专门用于道路上限制机动车行驶的通道出入口管理设备。对于本工程，节制闸作为安全管理的重要防护对象，需杜绝无关车辆进入，对进出车辆进行记录和识别。通过出入口道闸系统来管理车辆的出入，在日常管理中控制非授权人员的车辆进出，做到严进严出，有迹可查。系统通过车牌识别技术对进出工程管理区域的车辆进行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出入口道闸采用车牌识别方式。配合电脑，实行</w:t>
      </w:r>
      <w:r>
        <w:rPr>
          <w:rFonts w:hint="eastAsia" w:ascii="宋体" w:hAnsi="宋体" w:cs="宋体"/>
          <w:color w:val="auto"/>
          <w:szCs w:val="21"/>
          <w:highlight w:val="none"/>
          <w:lang w:eastAsia="zh-CN" w:bidi="ar"/>
        </w:rPr>
        <w:t>自动化</w:t>
      </w:r>
      <w:r>
        <w:rPr>
          <w:rFonts w:hint="eastAsia" w:ascii="宋体" w:hAnsi="宋体" w:cs="宋体"/>
          <w:color w:val="auto"/>
          <w:szCs w:val="21"/>
          <w:highlight w:val="none"/>
          <w:lang w:bidi="ar"/>
        </w:rPr>
        <w:t>管理，有效的解决了传统大门管理的多种不足。</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8"/>
        <w:gridCol w:w="4364"/>
        <w:gridCol w:w="1232"/>
        <w:gridCol w:w="2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ind w:firstLine="0" w:firstLineChars="0"/>
              <w:rPr>
                <w:rFonts w:ascii="宋体" w:hAnsi="宋体" w:cs="宋体"/>
                <w:b/>
                <w:bCs/>
                <w:color w:val="auto"/>
                <w:highlight w:val="none"/>
              </w:rPr>
            </w:pPr>
            <w:r>
              <w:rPr>
                <w:rFonts w:hint="eastAsia" w:ascii="宋体" w:hAnsi="宋体" w:cs="宋体"/>
                <w:b/>
                <w:bCs/>
                <w:color w:val="auto"/>
                <w:highlight w:val="none"/>
              </w:rPr>
              <w:t>序号</w:t>
            </w:r>
          </w:p>
        </w:tc>
        <w:tc>
          <w:tcPr>
            <w:tcW w:w="2423"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b/>
                <w:bCs/>
                <w:color w:val="auto"/>
                <w:highlight w:val="none"/>
              </w:rPr>
            </w:pPr>
            <w:r>
              <w:rPr>
                <w:rFonts w:hint="eastAsia" w:ascii="宋体" w:hAnsi="宋体" w:cs="宋体"/>
                <w:b/>
                <w:bCs/>
                <w:color w:val="auto"/>
                <w:highlight w:val="none"/>
              </w:rPr>
              <w:t>点位</w:t>
            </w:r>
          </w:p>
        </w:tc>
        <w:tc>
          <w:tcPr>
            <w:tcW w:w="684"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b/>
                <w:bCs/>
                <w:color w:val="auto"/>
                <w:highlight w:val="none"/>
              </w:rPr>
            </w:pPr>
            <w:r>
              <w:rPr>
                <w:rFonts w:hint="eastAsia" w:ascii="宋体" w:hAnsi="宋体" w:cs="宋体"/>
                <w:b/>
                <w:bCs/>
                <w:color w:val="auto"/>
                <w:highlight w:val="none"/>
              </w:rPr>
              <w:t>数量</w:t>
            </w:r>
          </w:p>
        </w:tc>
        <w:tc>
          <w:tcPr>
            <w:tcW w:w="1250"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b/>
                <w:bCs/>
                <w:color w:val="auto"/>
                <w:highlight w:val="none"/>
              </w:rPr>
            </w:pPr>
            <w:r>
              <w:rPr>
                <w:rFonts w:hint="eastAsia" w:ascii="宋体" w:hAnsi="宋体" w:cs="宋体"/>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1</w:t>
            </w:r>
          </w:p>
        </w:tc>
        <w:tc>
          <w:tcPr>
            <w:tcW w:w="2423"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皂李湖~白马湖连接隧洞进口节制闸</w:t>
            </w:r>
          </w:p>
        </w:tc>
        <w:tc>
          <w:tcPr>
            <w:tcW w:w="684"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1</w:t>
            </w:r>
          </w:p>
        </w:tc>
        <w:tc>
          <w:tcPr>
            <w:tcW w:w="1250"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2</w:t>
            </w:r>
          </w:p>
        </w:tc>
        <w:tc>
          <w:tcPr>
            <w:tcW w:w="2423"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皂李湖~白马湖连接隧洞出口套闸西侧</w:t>
            </w:r>
          </w:p>
        </w:tc>
        <w:tc>
          <w:tcPr>
            <w:tcW w:w="684"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1</w:t>
            </w:r>
          </w:p>
        </w:tc>
        <w:tc>
          <w:tcPr>
            <w:tcW w:w="1250"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3"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3</w:t>
            </w:r>
          </w:p>
        </w:tc>
        <w:tc>
          <w:tcPr>
            <w:tcW w:w="2423"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皂李湖~白马湖连接隧洞出口套闸东侧</w:t>
            </w:r>
          </w:p>
        </w:tc>
        <w:tc>
          <w:tcPr>
            <w:tcW w:w="684"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r>
              <w:rPr>
                <w:rFonts w:hint="eastAsia" w:ascii="宋体" w:hAnsi="宋体" w:cs="宋体"/>
                <w:color w:val="auto"/>
                <w:highlight w:val="none"/>
              </w:rPr>
              <w:t>1</w:t>
            </w:r>
          </w:p>
        </w:tc>
        <w:tc>
          <w:tcPr>
            <w:tcW w:w="1250" w:type="pct"/>
            <w:tcBorders>
              <w:top w:val="single" w:color="auto" w:sz="4" w:space="0"/>
              <w:left w:val="nil"/>
              <w:bottom w:val="single" w:color="auto" w:sz="4" w:space="0"/>
              <w:right w:val="single" w:color="auto" w:sz="4" w:space="0"/>
            </w:tcBorders>
            <w:shd w:val="clear" w:color="auto" w:fill="auto"/>
            <w:vAlign w:val="center"/>
          </w:tcPr>
          <w:p>
            <w:pPr>
              <w:pStyle w:val="87"/>
              <w:widowControl/>
              <w:ind w:firstLine="0" w:firstLineChars="0"/>
              <w:rPr>
                <w:rFonts w:ascii="宋体" w:hAnsi="宋体" w:cs="宋体"/>
                <w:color w:val="auto"/>
                <w:highlight w:val="none"/>
              </w:rPr>
            </w:pPr>
          </w:p>
        </w:tc>
      </w:tr>
    </w:tbl>
    <w:p>
      <w:pPr>
        <w:pStyle w:val="100"/>
        <w:rPr>
          <w:color w:val="auto"/>
          <w:highlight w:val="none"/>
        </w:rPr>
      </w:pPr>
      <w:r>
        <w:rPr>
          <w:rFonts w:hint="eastAsia"/>
          <w:color w:val="auto"/>
          <w:highlight w:val="none"/>
        </w:rPr>
        <w:t>出入口道闸系统功能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分别在皂李湖~白马湖连接隧洞进口节制闸和皂李湖~白马湖连接隧洞出口套闸布置出入口道闸系统。系统由车辆一体化道闸、出入口控制终端以及中心管理软件构成。出入口管理系统能通过摄像头识别人脸及车辆牌照，控制车辆、人员出入。通过车牌识别技术实现号牌数据对比，确保车辆的进出有据可查，确保车辆的进出可控，加强出入口的高效和安全管理。进出区域的人员均需经过认证后方可通行，可以有效防止未授权人员随意进入管理区域，提升内部安全系数，有效提高电站安保能力和效率。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车辆出入管理系统可在 PC 端切换查看出入口实时监控视频，可以查看远程协助的记录，可按照车牌、协助人员日期等条件搜索，可远程智能控制道闸开、关、停闸，实时检测道闸开、停、关状态；可以设置多级权限功能；具有快速道闸、智能抓拍、补光灯、LED 屏、防砸雷达等功能；支持车型识别，车标识别， 车身颜色识别，子品牌检测等；支持黑、白名单的导入及对比，可直接联动道闸开闸，支持脱机运行；支持按键呼叫求助，可与中控室实时对讲，满足无人值守管理要求。</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分别在皂李湖~白马湖连接隧洞进口节制闸和皂李湖~白马湖连接隧洞出口套闸布置出入口道闸系统。可选用海康威视、捷顺、科拓或同档次产品，具体性能参数要求不低于：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1）一体化道闸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由抓拍机、显示屏、语音对讲模块、语音播报模块、LED补光灯、雷达等组成，包含栅栏杆和不锈钢移门。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最低照度：0.0</w:t>
      </w:r>
      <w:r>
        <w:rPr>
          <w:rFonts w:hint="eastAsia" w:ascii="宋体" w:hAnsi="宋体" w:cs="宋体"/>
          <w:color w:val="auto"/>
          <w:szCs w:val="21"/>
          <w:highlight w:val="none"/>
          <w:lang w:val="en-US" w:eastAsia="zh-CN" w:bidi="ar"/>
        </w:rPr>
        <w:t>0</w:t>
      </w:r>
      <w:r>
        <w:rPr>
          <w:rFonts w:hint="eastAsia" w:ascii="宋体" w:hAnsi="宋体" w:cs="宋体"/>
          <w:color w:val="auto"/>
          <w:szCs w:val="21"/>
          <w:highlight w:val="none"/>
          <w:lang w:bidi="ar"/>
        </w:rPr>
        <w:t>02lx（F=1.5，AGC ON，彩色模式），能基本分辨被摄目标的轮廓特征和色彩。0.0002lx（F=1.5，AGC ON，黑白模式），能基本分辨被摄目标的轮廓特征。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图像分辨率和帧率：最大支持2688×1520（不含字符叠加），帧率在（1～25）fps可调。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功能：发生以下情况之一时应产生本地报警或异地传输报警：（1）当识读到未授权的车辆标识时。（2）当识读到已设定须提示的车辆标识时。（3）当未经正常操作而使出入口挡车器开启时。（4）当通讯发生故障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支持本地存储黑名单，数据可达100000条。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支持对污损以及遮挡面积不超过1/3的车牌进行检测和识别。</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支持大车锁闸功能，当视频判断为大货车过车时道闸不落杆。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支持连续过车模式，连续过车时道闸不落杆。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采用直流电机控制，可以实现抬落杆时间调整，抬落杆速度默认三档可调。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可以实现快速起杆、慢速落杆。最快抬杆速度为0.6s（2米杆）。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道闸上电后，会自动寻找开关到位位置。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通过开关到位信号进行到位判定。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可通过数码管显示当前运行状态，故障时显示故障代码，并可显示参数设置菜单。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道闸同时满足开到位状态、无其他控制开信号、计时到设定时间、防砸线圈上无车条件时，道闸会自动落杆。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断电后，可通过工具手动操作使道闸处于开闸状态；支持断电自动抬杆。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道闸落杆过程中，收到开闸信号，会立即抬杆并运行到开到位状态。道闸开闸过程中，按关按键和停按键应不相应。</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通过毫米波雷达可进行检测车辆和行人。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设备具有遇阻反弹功能，当闸杆下落时，遇到物体阻挡将立即开闸。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防护等级：IP54。</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亮度自适应：当环境照度在最高值≥30000Lx、最低值≤200Lx之间变化时，视频图像均具有尚好的清晰度、层次感和色彩还原度。</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支持大车锁闸功能，当视频判断为大货车过车时道闸不落杆。</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支持连续过车模式，连续过车时道闸不落杆。</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断网下事件记录数最大为100000条，用户数最大为15000条。</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支持增加、编辑、删除用户。支持设置用户权限。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2）出入口控制终端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VGA输出功能：可通过VGA输出进行显示。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HDMI输出功能：可通过HDMI输出进行显示。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报警接入输出：可控制报警输出，并获取报警输入信息。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校时功能：可通过WEB、NTP、客户端软件模块进行校时。可自动对连接的IP摄像机等设备进行校时。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单机模式：能够进行单机收费，单机发卡，单机配置收费规则等。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级联功能：能够支持5个终端同时运行管理独立停车场，无需平台。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内嵌停车场功能：支持内嵌停车场，支持一个大停车场嵌套四个同级内嵌子停车场。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出入口控制机同步功能：能够将黑白名单、收费规格等信息和接入的票箱进行同步。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自定义LED显示文字：在LED的配置界面中，支持配置该LED在空闲时显示的文字，如：“欢迎光临”、“XXX停车场欢迎您！”等。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余位发布功能：根据过车自动计算当前停车场的余位数，自动将余位数发送到对应出入口下的LED显示屏上。</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固定车过期提醒功能：支持声、光、软件三重报警功能，使管理人员和车主都能及时了解包期规则。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收费管理功能：支持收费规则和减免规则的增加、删除、修改功能。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查询结果导出功能：支持通行信息、过车收费信息、场内信息、缴费信息、交接班信息、操作记录信息、行人信息查询结果的导出。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入场匹配与模糊匹配功能：能够实现收费时入场车辆的自动匹配，若无法匹配则系统能自动切换到模糊匹配模式进行模糊匹配。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数据查询功能：支持过车信息、收费信息、缴费信息、操作记录、行人信息、场内信息、卡片信息、交接班信息等多种数据查询。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自定义播报内容：自定义车辆入场和车辆出场的语音播报内容，如入场播报“欢迎光临”，出场播报“一路顺风”等。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白天夜晚语音播报音量自动调节：为防止夜间语音音量大扰民，可配置白天和夜晚播报音量大小。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数据统计功能检验：支持按月、日、年统计收费情况、车流量，支持按交接班统计收费情况。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强制放行规则配置功能：能够进行强制放行规则的增删改操作，配置后能够进行强制规则进行收费。</w:t>
      </w:r>
    </w:p>
    <w:p>
      <w:pPr>
        <w:pStyle w:val="98"/>
        <w:rPr>
          <w:bCs/>
          <w:color w:val="auto"/>
          <w:highlight w:val="none"/>
        </w:rPr>
      </w:pPr>
      <w:r>
        <w:rPr>
          <w:rFonts w:hint="eastAsia"/>
          <w:color w:val="auto"/>
          <w:highlight w:val="none"/>
        </w:rPr>
        <w:t>门禁管理系统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门禁管理系统将人脸识别与电子锁有机结合，进而由人脸识别代替钥匙，配合电脑，实行</w:t>
      </w:r>
      <w:r>
        <w:rPr>
          <w:rFonts w:hint="eastAsia" w:ascii="宋体" w:hAnsi="宋体" w:cs="宋体"/>
          <w:color w:val="auto"/>
          <w:szCs w:val="21"/>
          <w:highlight w:val="none"/>
          <w:lang w:eastAsia="zh-CN" w:bidi="ar"/>
        </w:rPr>
        <w:t>自动化</w:t>
      </w:r>
      <w:r>
        <w:rPr>
          <w:rFonts w:hint="eastAsia" w:ascii="宋体" w:hAnsi="宋体" w:cs="宋体"/>
          <w:color w:val="auto"/>
          <w:szCs w:val="21"/>
          <w:highlight w:val="none"/>
          <w:lang w:bidi="ar"/>
        </w:rPr>
        <w:t>管理，有效的解决了传统门锁的多种不足。门禁管理系统主要是运用人脸识别技术对办公楼的人员出入进行规范化管理，也可作为工作人员日常考勤的辅助工具。相比传统的门禁卡系统，人脸识别门禁基于人的面部特征进行识别，无需带卡，刷脸就可通行，更加方便快捷、安全可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本标段在管理控制中心中控室布设1套门禁管理系统。</w:t>
      </w:r>
    </w:p>
    <w:p>
      <w:pPr>
        <w:pStyle w:val="100"/>
        <w:rPr>
          <w:color w:val="auto"/>
          <w:highlight w:val="none"/>
        </w:rPr>
      </w:pPr>
      <w:r>
        <w:rPr>
          <w:rFonts w:hint="eastAsia"/>
          <w:color w:val="auto"/>
          <w:highlight w:val="none"/>
        </w:rPr>
        <w:t>门禁管理系统功能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门禁管理系统拥有项目所有工作人员的基本资料、日常工作的出入等相关信息，可以给项目提供最真实、最详细的统计资料。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实时监控功能：系统管理人员可以通过微机实时查看每个门区人员的进出情况（计算机屏幕上可以立刻显出当前开启的门号、通过人员的卡号及姓名、读卡和通行是否成功等信息）、每个门区的状态（包括门的开关，各种非正常状态报警等）；也可以在紧急状态远程打开或关闭所有的门区。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权限管理：系统针对不同的受控人员，设置不同的区域活动权限，将人员的活动范围限制在与权限相对应的区域内；对人员出入情况进行实时记录管理。系统可对指定区域分级、分时段的通行权限管理，根据管理人员的职位或工作性质确定其通行级别和允许通行的时段。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动态电子地图功能：以图形的形式显示门禁的状态，比如当前门是开门还是关门状态，或者是门长时间打开而产生的报警状态。拥有权限的管理人员，在电子地图上可对各门点进行直接地开/闭控制。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出入记录查询功能：系统可实时显示、记录所有事件数据；读卡器读卡数据实时传送给计算机，可在控制中心电脑中立即显示；持卡人（姓名、照片等）、事件时间、门点地址、事件类型（进门刷卡记录、按钮开门、无效卡读卡、开门超时、强行开门等）等如实记录且记录不可更改。报警事件发生时，计算机屏幕上会弹出醒目的报警提示框。系统可储存所有的进出记录、状态记录，可按不同的查询条件查询，并生成相应的报表。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异常报警功能：在异常情况下可以实现微机报警或报警器报警，如非法侵入、门超时未关等。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消防报警功能：通过安防综合管理模块和火灾探测器进行关联，制定联动预案；如发生火警时，自动释放相关区域的通道的出入口控制，使内部人员及时外逃且消防人员可以顺利进入实施灭火救援。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与视频监控联动：系统每次刷卡都能联动视频抓拍下刷卡人照片或保存下刷卡时的录像资料，同时可对进出门事件进行视频的联动录像。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门禁系统具备在线、离线和灾害三种模式，分别对应于正常工作、通讯网络故障和灾害三种状况：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在线模式：此模式下系统管理工作站将门禁控制参数和授权信息下发给门禁一体机，门禁一体机根据工作站要求控制门锁开启或关闭，并将相关操作信息全部实时上传至管理工作站。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离线模式：当通讯网络中断时，系统转为离线工作模式，门禁一体机可根据本地存储的门禁参数及权限信息独立工作，并存储脱机时的信息记录。一旦通信恢复，立即将中断时记录的信息上传至工作站。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灾害模式：在火警等紧急情况下，工作站根据消防信号或管理员命令自动进入灾害模式。此模式下，工作站向指定区域或所有门禁设备发出开门指令，便于消防疏散和紧急救灾。也可通过紧急联动按钮，对指定区域或所有门禁进行断电释放。</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1）人脸识别一体机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人脸识别一体机布置在管理控制中心中控室，可选用海康、大华、英飞拓或同档次产品，具体性能参数要求不低于：</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人脸识别一体机</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设备应采用嵌入式 linux 系统。</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应采用 200W 像素双目摄像头，帧率应≥25 帧/s；应支持接入 NVR 设备，实现视频监控录像；</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rPr>
      </w:pPr>
      <w:r>
        <w:rPr>
          <w:rFonts w:hint="eastAsia" w:ascii="宋体" w:hAnsi="宋体" w:cs="宋体"/>
          <w:color w:val="auto"/>
          <w:szCs w:val="21"/>
          <w:highlight w:val="none"/>
        </w:rPr>
        <w:t>应支持双码流技术，主码流和子码流均为 1280×720@25fps 输出；在 IE 浏览器下，视频编码格式具有 H.265、H.264、MPEG-4、MJPEG 设置选项；可将 H.265、H.264 格式设置为Baseline/Mai n/High Profile。</w:t>
      </w:r>
    </w:p>
    <w:p>
      <w:pPr>
        <w:autoSpaceDE w:val="0"/>
        <w:autoSpaceDN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设备离线应支持 10000个用户（用户权限应能配置为管理员）、 10000 张人脸库、 50000 张卡片容量、150000 笔记录存储 、 10000 个密码</w:t>
      </w:r>
      <w:r>
        <w:rPr>
          <w:rFonts w:hint="eastAsia" w:ascii="宋体" w:hAnsi="宋体" w:cs="宋体"/>
          <w:color w:val="auto"/>
          <w:szCs w:val="21"/>
          <w:highlight w:val="none"/>
          <w:lang w:eastAsia="zh-CN"/>
        </w:rPr>
        <w:t>。</w:t>
      </w:r>
    </w:p>
    <w:p>
      <w:pPr>
        <w:pStyle w:val="98"/>
        <w:rPr>
          <w:bCs/>
          <w:color w:val="auto"/>
          <w:highlight w:val="none"/>
        </w:rPr>
      </w:pPr>
      <w:r>
        <w:rPr>
          <w:rFonts w:hint="eastAsia"/>
          <w:color w:val="auto"/>
          <w:highlight w:val="none"/>
        </w:rPr>
        <w:t>移动巡查系统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目前工程主要采用人工巡查方式，在皂李湖河节制闸1、皂李湖河节制闸2、皂李湖~白马湖连接隧洞进口节制闸、皂李湖~白马湖连接隧洞出口套闸、白马湖隧洞进口节制闸等五座水闸分别配置移动巡查终端1台，实现巡查人员、巡查对象的定位和数据上传，为巡查软件平台提供设备支撑。可作为辅助手段实现工程全局的快速巡查及预警，减轻人员负担，提升工程安防能力。</w:t>
      </w:r>
    </w:p>
    <w:p>
      <w:pPr>
        <w:pStyle w:val="100"/>
        <w:rPr>
          <w:color w:val="auto"/>
          <w:highlight w:val="none"/>
        </w:rPr>
      </w:pPr>
      <w:r>
        <w:rPr>
          <w:rFonts w:hint="eastAsia"/>
          <w:color w:val="auto"/>
          <w:highlight w:val="none"/>
        </w:rPr>
        <w:t>移动巡查系统功能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移动巡查系统主要由前端系统、网络传输系统和监控平台组成。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前端系统由移动单兵手持终端（支持 RFID/NFC 识别）、RFID/NFC 电子标签组成。移动单兵内置摄像机，可以通过指纹或者人脸识别管理权限。电子标签固定在巡检区域，比如配电柜上，移动单兵手持终端靠近电子标签时，能自动识别并联动弹出巡检任务，巡检人员根据移动单兵手持终端 APP 上巡检任务的要求逐项检查，并提交照片或视频等内容。传输系统主要是 3G/4G 无线传输网络。控制中心监控平台通过实时服务器，可实现在线人员管理、资源管理、巡检任务管理等功能。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可视化智能巡检系统可将巡检过程、巡检操作通过视频进行记录，实时与控制中心进行双向语音对讲，现场情况通过视频画面可以在控制中心呈现。当巡检任务进行时，巡检地图可以对巡检任务进行状态实时显示，巡检设备信息实时更新，实现巡检任务的</w:t>
      </w:r>
      <w:r>
        <w:rPr>
          <w:rFonts w:hint="eastAsia" w:ascii="宋体" w:hAnsi="宋体" w:cs="宋体"/>
          <w:color w:val="auto"/>
          <w:szCs w:val="21"/>
          <w:highlight w:val="none"/>
          <w:lang w:eastAsia="zh-CN" w:bidi="ar"/>
        </w:rPr>
        <w:t>自动化</w:t>
      </w:r>
      <w:r>
        <w:rPr>
          <w:rFonts w:hint="eastAsia" w:ascii="宋体" w:hAnsi="宋体" w:cs="宋体"/>
          <w:color w:val="auto"/>
          <w:szCs w:val="21"/>
          <w:highlight w:val="none"/>
          <w:lang w:bidi="ar"/>
        </w:rPr>
        <w:t>实时显示。</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1）手持移动巡查仪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CPU型号：第一代骁龙8+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机身内存：512GB</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屏幕分辨率；FHD+ 2616*1212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屏幕刷新率：120Hz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屏幕尺寸：6.74英寸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无线充电：50W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电池容量：4700mAh(typ)</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充电功率：66W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操作系统：系统HarmonyOS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网络支持：3G/2G网络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3G CDMA2000(电信)；3G WCDMA(联通)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4G网络：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4G FDD-LTE；4G TD-LTE</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数据接口:USB；红外；WIFI；蓝牙；NFC；OTG接口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生物识别:屏幕指纹；人脸识别</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后摄主像素:5000万像素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后摄3-tele像素:6400万像素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前摄主像素:1300万像素</w:t>
      </w:r>
    </w:p>
    <w:p>
      <w:pPr>
        <w:pStyle w:val="96"/>
        <w:rPr>
          <w:color w:val="auto"/>
          <w:highlight w:val="none"/>
        </w:rPr>
      </w:pPr>
      <w:r>
        <w:rPr>
          <w:rFonts w:hint="eastAsia"/>
          <w:color w:val="auto"/>
          <w:highlight w:val="none"/>
        </w:rPr>
        <w:t>文化宣传大屏</w:t>
      </w:r>
    </w:p>
    <w:p>
      <w:pPr>
        <w:pStyle w:val="98"/>
        <w:rPr>
          <w:bCs/>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工程现状，结合当地文化宣传需要，在管理房入口处建设一处文化宣传大屏，作为节水教育和美丽河湖宣传的“重要窗口”。文化宣传大屏展示系统包含显示系统、后台播放控制系统、计算机网络系统、配电系统、安装结构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（1）显示系统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显示系统主要由数据分配和扫描单元、显示屏屏体等几部分组成。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数据分配和扫描单元是模块化结构设计，它将显示数据按区域分配到显示屏上，并完成显示数据扫描。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屏是由许多显示单元模组组成，它们分成不同的区域接收数据分配和扫描单元传来的显示数据，以模组化结构显示，以保证系统安全可靠运行。在显示屏正面安装有亮度探测传感系统，它将当前采集的亮度值定时传送到控制计算机，控制计算机根据当前环境亮度和播放的内容调整显示屏的亮度和选择适合的非线性灰度校正数据，以达到最佳观看效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（2）后台播放控制系统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ED控制机是针对专业LED显示系统开发的高性能工业控制机，它除了一台计算机所具有的功能外，还集成了专门针对LED显示系统开发的硬件设备，通过对数据的处理完成了色空间转换、色温调节、对比度处理、亮度调节、轮廓增强处理、降噪、同步换帧、运动补偿、高速图像刷新、逐行视频处理、γ预正等控制功能，从而达到视频信号与各种多媒体信号在LED显示屏上的完美再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（3）计算机网络系统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系统集成的方式规划整个LED显示系统。屏幕控制系统采用开放的计算机局域网络技术，能够将当今许多成熟的数字技术引入大屏幕显示系统，如数据库技术、网络通讯技术、网络互联技术、信息自动化处理技术、接口技术、多媒体技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通过多媒体视频控制技术，可以方便地将多种形式的视频信息源引入计算机网络系统，如广播电视和卫星电视信号、摄像视频信号、录像机VCD视频信号、计算机动画信息等。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（4）配电系统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配电系统具备自动控制功能，控制主机通过控制系统对显示屏完成分步上电，并且及时将系统用电运行情况和故障信息传输给控制中心，以便及时处理。具体技术说明如下：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LED显示屏具有独立的配电系统，配电系统采用三相五线制供电，配电系统保证三相平衡，尽量减少对电网的冲击影响。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系统配电采用放射式和树干式结合的配电方式，能够将因局部电源故障带来的黑屏面积减少到最小。系统配备过流、短路、断路、过压、欠压、温度过高等保护措施，以及相应的故障指示装置。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LED显示系统的设计具备防潮、防尘、防高温、防腐蚀、防燃烧、防静电、抗震动、系统具有烟雾报警和温升报警功能。</w:t>
      </w:r>
    </w:p>
    <w:p>
      <w:pPr>
        <w:pStyle w:val="98"/>
        <w:rPr>
          <w:bCs/>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1）LED显示屏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LED显示屏采用4.9m</w:t>
      </w:r>
      <w:r>
        <w:rPr>
          <w:rFonts w:hint="eastAsia" w:ascii="宋体" w:hAnsi="宋体" w:cs="宋体"/>
          <w:color w:val="auto"/>
          <w:szCs w:val="21"/>
          <w:highlight w:val="none"/>
          <w:vertAlign w:val="superscript"/>
          <w:lang w:bidi="ar"/>
        </w:rPr>
        <w:t>2</w:t>
      </w:r>
      <w:r>
        <w:rPr>
          <w:rFonts w:hint="eastAsia" w:ascii="宋体" w:hAnsi="宋体" w:cs="宋体"/>
          <w:color w:val="auto"/>
          <w:szCs w:val="21"/>
          <w:highlight w:val="none"/>
          <w:lang w:bidi="ar"/>
        </w:rPr>
        <w:t xml:space="preserve">（暂定）的室外全彩高清LED显示大屏，像素点间距应不大于4mm，选用洲明、三思、雷曼、海康威视、大华或同档次及以上品牌，主要技术指标不低于：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像素构成：SMD表贴三合一LED灯，1R1G1B（配色比例R:G:B=3:6:1）；</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显示屏宽不小于2.56米，高不小于1.92米，面积不小于4.91平方米，分辨率不低于640点×480点，偏差范围不超过±3％；</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刷新频率≥3840HZ，换帧频率：50Hz&amp;60Hz，占空比50%；</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平均故障间隔时间（MTBF）：≥100000h，平均故障修复时间（MTTR）：≤5分钟。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内含模组、箱体、电源、控制卡、结构框架及线缆等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2）视频处理器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视频处理器负责对不同的前端信号做高品质的图像处理，并将信号输出至显示单元进行显示，考虑到系统匹配性要求，视频处理器应与LED显示单元同一品牌，主要技术指标不低于：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（1）具有完备的视频输入接口，包括 2 路 CVBS，1 路 VGA，1 路 DVI，1 路HDMI。部分接口支持的输入分辨率最高可达 1920×1200@60Hz；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（2）可根据显示屏分辨率对输入图像进行逐点缩放；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（3）视频源一键切换；可以2路不同画面同显示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（4）提供无缝的快切和淡入淡出的切换效果，以增强并呈现专业品质的演示画面；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（5）画中画的位置、大小等均可调节，可以随心所欲的控制；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（6）画面稳定无闪烁、无扫描线、图像细腻、层次感好；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（7）根据屏幕所用 LED 的不同特性，实施白平衡校准及色域匹配，确保真实色彩还原；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（8）HDMI 音频输入；外置独立音频输入；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（9）支持高位阶视频输入，10bit/8bit；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（10）视频输出带载能力：1280x1024、1440x900，（130 万像素）；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（11）支持新一代逐点校正技术，校正过程快速高效。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3）LED播放软件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显示屏专用管理软件，配合发送、接收、监控以及多功能卡，用户可以方便的实现对LED显示屏的智能配置、参数调节、亮度控制、电源管理、屏体校正以及硬件监控。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4）配电箱</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配电系统采用三相五线制（TN-S系统），输入电压为交流380V±15%，工频50/60HZ。功率10KW。</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配电箱具备远程控制，可在计算机上远程开关屏幕，支持自动延时上电减少对电网冲击，支持多组定时控制。</w:t>
      </w:r>
    </w:p>
    <w:p>
      <w:pPr>
        <w:pStyle w:val="96"/>
        <w:rPr>
          <w:color w:val="auto"/>
          <w:highlight w:val="none"/>
        </w:rPr>
      </w:pPr>
      <w:r>
        <w:rPr>
          <w:rFonts w:hint="eastAsia"/>
          <w:color w:val="auto"/>
          <w:highlight w:val="none"/>
        </w:rPr>
        <w:t>管理控制中心</w:t>
      </w:r>
    </w:p>
    <w:p>
      <w:pPr>
        <w:pStyle w:val="98"/>
        <w:rPr>
          <w:bCs/>
          <w:color w:val="auto"/>
          <w:highlight w:val="none"/>
        </w:rPr>
      </w:pPr>
      <w:r>
        <w:rPr>
          <w:rFonts w:hint="eastAsia"/>
          <w:color w:val="auto"/>
          <w:highlight w:val="none"/>
        </w:rPr>
        <w:t>总体建设要求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适应该区域湖泊生态景观旅游的远景规划，实现水利建设现代化和管理科学化的目标，完成对整个片区内湖泊的综合管理，以方便、实时、全面掌握工程的运行动态，虞东河湖综合整治工程设置管理控制中心，管理控制中心选址定在白马湖附近区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控制中心是本工程的重要组成部分，是整个主控级中最上层的控制中心，也是本工程运行调度指挥的执行机构。在管理控制中心布设大屏显示系统、会商系统和机房工程，满足工程各节点的调度控制、数据汇集处理、视频监控、综合管理等要求。整个管理控制中心建设成一个集调度、值班、监控为一体的综合管理平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总体建设内容：以大屏幕显示系统为主，结合其他辅助设施，实现本地控制、重点区域远程监测、远程控制、应急调度指挥、相关数据信息展示等应用。</w:t>
      </w:r>
    </w:p>
    <w:p>
      <w:pPr>
        <w:autoSpaceDE w:val="0"/>
        <w:autoSpaceDN w:val="0"/>
        <w:adjustRightInd w:val="0"/>
        <w:snapToGrid w:val="0"/>
        <w:spacing w:line="360" w:lineRule="auto"/>
        <w:ind w:firstLine="422" w:firstLineChars="20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管理控制中心装饰装修纳入建筑工程统筹考虑，后期整体布局需与装饰装修做好对接工作，并提相应的要求。</w:t>
      </w:r>
    </w:p>
    <w:p>
      <w:pPr>
        <w:pStyle w:val="98"/>
        <w:rPr>
          <w:bCs/>
          <w:color w:val="auto"/>
          <w:highlight w:val="none"/>
        </w:rPr>
      </w:pPr>
      <w:r>
        <w:rPr>
          <w:rFonts w:hint="eastAsia"/>
          <w:color w:val="auto"/>
          <w:highlight w:val="none"/>
        </w:rPr>
        <w:t>主要实现功能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管理控制中心建成后主要具有以下功能：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1）调度控制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大屏能接收并处理各节点的所有监测、监控数据，并对各监控系统进行远程控制调度。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2）数据汇集与处理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能显示集成汇集各现地节点的所有专业检测监控数据，以数据中心方式实现信息总集成，用于工程实时控制、分析和报表统计等经计算后的处理信息并存入数据库。并为调度指挥决策系统提供数据。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3）综合管理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管理控制中心作为一个综合管理平台，采用一体化管控设计，通过统一的数据采集和数据管理平台，实现不同业务的整体设计，达到资源有限整合、信息高度共享的目标，为工程标准化管理提供支撑手段。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4）视频监视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管理控制中心调用各个现地监控站点的实时和历史监视视频并在管理控制中心大屏进行显示。</w:t>
      </w:r>
    </w:p>
    <w:p>
      <w:pPr>
        <w:pStyle w:val="98"/>
        <w:rPr>
          <w:bCs/>
          <w:color w:val="auto"/>
          <w:highlight w:val="none"/>
        </w:rPr>
      </w:pPr>
      <w:r>
        <w:rPr>
          <w:rFonts w:hint="eastAsia"/>
          <w:color w:val="auto"/>
          <w:highlight w:val="none"/>
        </w:rPr>
        <w:t>大屏显示系统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大屏显示系统是整个控制中心的核心，显示设备主要用于视频图像的展示，以及各种系统设备运行数据展示。大屏显示系统终端播放画面可以分多窗口显示，还可以整幅画面显示，具有灵活多样地显示高分辨率视频图像，其颜色丰富，图像清晰，画面层次感强，动态效果突出等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大屏显示系统采用小间距LED大屏，大屏显示面积为15.6平方米，拟定尺寸为7.8m×2m（可根据实际情况调整）。整个大屏显示系统由LED显示单元、图像拼接处理器、配电箱和大屏控制管理软件及其钢构支架、线缆等相关外围设备组成。</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1）LED显示单元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LED显示单元采用15.6m</w:t>
      </w:r>
      <w:r>
        <w:rPr>
          <w:rFonts w:hint="eastAsia" w:ascii="宋体" w:hAnsi="宋体" w:cs="宋体"/>
          <w:color w:val="auto"/>
          <w:szCs w:val="21"/>
          <w:highlight w:val="none"/>
          <w:vertAlign w:val="superscript"/>
          <w:lang w:bidi="ar"/>
        </w:rPr>
        <w:t>2</w:t>
      </w:r>
      <w:r>
        <w:rPr>
          <w:rFonts w:hint="eastAsia" w:ascii="宋体" w:hAnsi="宋体" w:cs="宋体"/>
          <w:color w:val="auto"/>
          <w:szCs w:val="21"/>
          <w:highlight w:val="none"/>
          <w:lang w:bidi="ar"/>
        </w:rPr>
        <w:t xml:space="preserve">的室内全彩高清LED小间距显示大屏，像素点间距应不大于1.25mm，选用洲明、三思、雷曼、海康威视、大华或同档次及以上品牌，主要技术指标不低于：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封装方式：三合一SMD</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白平衡亮度：600cd/m</w:t>
      </w:r>
      <w:r>
        <w:rPr>
          <w:rFonts w:hint="eastAsia" w:ascii="宋体" w:hAnsi="宋体" w:cs="宋体"/>
          <w:color w:val="auto"/>
          <w:szCs w:val="21"/>
          <w:highlight w:val="none"/>
          <w:vertAlign w:val="superscript"/>
          <w:lang w:bidi="ar"/>
        </w:rPr>
        <w:t>2</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像素密度：6400000点/m</w:t>
      </w:r>
      <w:r>
        <w:rPr>
          <w:rFonts w:hint="eastAsia" w:ascii="宋体" w:hAnsi="宋体" w:cs="宋体"/>
          <w:color w:val="auto"/>
          <w:szCs w:val="21"/>
          <w:highlight w:val="none"/>
          <w:vertAlign w:val="superscript"/>
          <w:lang w:bidi="ar"/>
        </w:rPr>
        <w:t>2</w:t>
      </w:r>
      <w:r>
        <w:rPr>
          <w:rFonts w:hint="eastAsia" w:ascii="宋体" w:hAnsi="宋体" w:cs="宋体"/>
          <w:color w:val="auto"/>
          <w:szCs w:val="21"/>
          <w:highlight w:val="none"/>
          <w:lang w:bidi="ar"/>
        </w:rPr>
        <w: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箱体尺寸：600mm*337.5mm ；箱体为16：9尺寸；</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箱体材料及设计：纯压铸铝（包含后盖）；箱体间无线连接、可实现前后维护；</w:t>
      </w:r>
    </w:p>
    <w:p>
      <w:pPr>
        <w:autoSpaceDE w:val="0"/>
        <w:autoSpaceDN w:val="0"/>
        <w:adjustRightInd w:val="0"/>
        <w:snapToGrid w:val="0"/>
        <w:spacing w:line="360" w:lineRule="auto"/>
        <w:ind w:firstLine="420" w:firstLineChars="200"/>
        <w:textAlignment w:val="baseline"/>
        <w:rPr>
          <w:rFonts w:hint="eastAsia" w:ascii="宋体" w:hAnsi="宋体" w:cs="宋体"/>
          <w:color w:val="auto"/>
          <w:szCs w:val="21"/>
          <w:highlight w:val="none"/>
          <w:lang w:bidi="ar"/>
        </w:rPr>
      </w:pPr>
      <w:r>
        <w:rPr>
          <w:rFonts w:hint="eastAsia" w:ascii="宋体" w:hAnsi="宋体" w:cs="宋体"/>
          <w:color w:val="auto"/>
          <w:szCs w:val="21"/>
          <w:highlight w:val="none"/>
          <w:lang w:bidi="ar"/>
        </w:rPr>
        <w:t>内含模组、箱体、电源、控制卡、结构框架及线缆等。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2）图像拼接处理器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图像拼接处理器是整个大屏显示系统的核心控制部分，负责对不同的前端信号做高品质的图像处理，并将信号输出至显示单元进行显示，可被广泛应用于指挥调度系统、可视化数据中心等各种场景，考虑到系统匹配性要求，图像拼接处理器应与LED显示单元同一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支持市面常见的HDMI、DP、SDI、DVI、VGA和IP视频输入接口；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支持普通的1080P高清输入，支持高达4096×2160@60Hz分辨率的4K输入；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支持DVI、HDMI视频输出模式、千兆网口输出和万兆光纤输出。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输入接口：4路DVI，4路HDMI；输出接口：8路DVI；机架式服务器，预留多路输入、输出插槽方便后期扩容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3）显示屏控制软件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显示屏专用管理软件，配合发送、接收、监控以及多功能卡，用户可以方便的实现对LED显示屏的智能配置、参数调节、亮度控制、电源管理、屏体校正以及硬件监控；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同时具有显示屏管理、拼控管理、信号源管理、现实场景管理调看、矩阵管理、PLC配电箱管理等功能。</w:t>
      </w:r>
    </w:p>
    <w:p>
      <w:pPr>
        <w:autoSpaceDE w:val="0"/>
        <w:autoSpaceDN w:val="0"/>
        <w:adjustRightInd w:val="0"/>
        <w:snapToGrid w:val="0"/>
        <w:spacing w:line="360" w:lineRule="auto"/>
        <w:ind w:firstLine="420" w:firstLineChars="200"/>
        <w:textAlignment w:val="baseline"/>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4）智能配电</w:t>
      </w:r>
      <w:r>
        <w:rPr>
          <w:rFonts w:hint="eastAsia" w:ascii="宋体" w:hAnsi="宋体" w:cs="宋体"/>
          <w:color w:val="auto"/>
          <w:szCs w:val="21"/>
          <w:highlight w:val="none"/>
          <w:lang w:val="en-US" w:eastAsia="zh-CN" w:bidi="ar"/>
        </w:rPr>
        <w:t>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15kw 带PLC 6路开关，单路2.5KW，配电机柜总开关63A，单路开关32A。</w:t>
      </w:r>
    </w:p>
    <w:p>
      <w:pPr>
        <w:pStyle w:val="98"/>
        <w:rPr>
          <w:bCs/>
          <w:color w:val="auto"/>
          <w:highlight w:val="none"/>
        </w:rPr>
      </w:pPr>
      <w:r>
        <w:rPr>
          <w:rFonts w:hint="eastAsia"/>
          <w:color w:val="auto"/>
          <w:highlight w:val="none"/>
        </w:rPr>
        <w:t>会商系统</w:t>
      </w:r>
    </w:p>
    <w:p>
      <w:pPr>
        <w:pStyle w:val="100"/>
        <w:rPr>
          <w:color w:val="auto"/>
          <w:highlight w:val="none"/>
        </w:rPr>
      </w:pPr>
      <w:r>
        <w:rPr>
          <w:rFonts w:hint="eastAsia"/>
          <w:color w:val="auto"/>
          <w:highlight w:val="none"/>
        </w:rPr>
        <w:t>系统概述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会商系统是集本地会议、远程视频互动会议、重点区域监测、应急指挥等多用途为一体的综合性指挥中心。其显示屏布局、摄像头取景位置及会议桌椅、装修风格、灯光照明灯需要符合实际使用需求。本次设计仅考虑硬件配置，灯光、窗帘等相关装修不包含在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会议室定位：以会议系统和显示系统为主，结合其他辅助设施实现远程视频会议及本地会议。本项目完成后，能实现以下功能：高分辨率显示及切换功能、视频会议功能、高质量音频、集中控制等相关功能。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现有场地布局，设计会议人数不少于45人，主要为主会议桌20人及配套后排会议椅子组成。主要配置有：视频会议系统、数字会议及扩声系统、集中控制系统、显示系统及会议桌等组成，此次建设内容只考虑硬件部分。</w:t>
      </w:r>
    </w:p>
    <w:p>
      <w:pPr>
        <w:autoSpaceDE w:val="0"/>
        <w:autoSpaceDN w:val="0"/>
        <w:adjustRightInd w:val="0"/>
        <w:snapToGrid w:val="0"/>
        <w:spacing w:line="360" w:lineRule="auto"/>
        <w:ind w:firstLine="422" w:firstLineChars="200"/>
        <w:textAlignment w:val="baseline"/>
        <w:rPr>
          <w:rFonts w:ascii="宋体" w:hAnsi="宋体" w:cs="宋体"/>
          <w:b/>
          <w:bCs/>
          <w:color w:val="auto"/>
          <w:szCs w:val="21"/>
          <w:highlight w:val="none"/>
        </w:rPr>
      </w:pPr>
      <w:r>
        <w:rPr>
          <w:rFonts w:hint="eastAsia" w:ascii="宋体" w:hAnsi="宋体" w:cs="宋体"/>
          <w:b/>
          <w:bCs/>
          <w:color w:val="auto"/>
          <w:szCs w:val="21"/>
          <w:highlight w:val="none"/>
          <w:lang w:bidi="ar"/>
        </w:rPr>
        <w:t>会商系统装饰装修纳入建筑工程统筹考虑，后期中标单位整体布局需与装饰装修做好对接工作，并提相应的要求。</w:t>
      </w:r>
    </w:p>
    <w:p>
      <w:pPr>
        <w:pStyle w:val="100"/>
        <w:rPr>
          <w:color w:val="auto"/>
          <w:highlight w:val="none"/>
        </w:rPr>
      </w:pPr>
      <w:r>
        <w:rPr>
          <w:rFonts w:hint="eastAsia"/>
          <w:color w:val="auto"/>
          <w:highlight w:val="none"/>
        </w:rPr>
        <w:t>主要设备配置</w:t>
      </w:r>
    </w:p>
    <w:p>
      <w:pPr>
        <w:pStyle w:val="102"/>
        <w:rPr>
          <w:color w:val="auto"/>
          <w:highlight w:val="none"/>
        </w:rPr>
      </w:pPr>
      <w:r>
        <w:rPr>
          <w:rFonts w:hint="eastAsia"/>
          <w:color w:val="auto"/>
          <w:highlight w:val="none"/>
        </w:rPr>
        <w:t>视频会议系统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会商系统主要用于紧急情况下的视频会议以及防汛视频会议。主要设备有视频会议终端及2个高清摄像头，满足与上级管理部门的视频会议的需求。会议主要与上级进行视频会议连接，本地不设置MCU主控端。视频会议系统需要通过专网进行传输，因此需要租用一条会商专用网络进行通讯并与上级视频会商进行级联。视频会议系统主要包含视频会议终端1台、高清摄像头2个、交换机及3年专线费等。视频会议系统可选用能够无缝兼容县、市视频会议系统的产品，可选用视联动力、宝利通、华为或同档次及以上品牌，主要技术指标不低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（1）视频会议终端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具备2路HDMI输入，2路HDMI输出，支持H.264视频编解码协议，支持AAC音频格式的解码；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具备2台显示设备独立画面输出能力；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支持1/4/9/16多画面合屏显示模式；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视频输入输出：2*HDMI Input、2*HDMI Output</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音频输入输出：1*Line Input、2*MIC卡侬 Input、2*HDMI内嵌输入、1*Line Output、2*HDMI内嵌输出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以太网接口：2*RJ45 10/100/1000Mbps自适应网络接口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（2）高清会议摄像头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PTZ高清摄像，1080P60fps视频输出，20倍光学变焦，12倍数字变焦，有效像素：≥200万。</w:t>
      </w:r>
    </w:p>
    <w:p>
      <w:pPr>
        <w:pStyle w:val="102"/>
        <w:rPr>
          <w:color w:val="auto"/>
          <w:highlight w:val="none"/>
        </w:rPr>
      </w:pPr>
      <w:r>
        <w:rPr>
          <w:rFonts w:hint="eastAsia"/>
          <w:color w:val="auto"/>
          <w:highlight w:val="none"/>
        </w:rPr>
        <w:t>数字会议及扩声系统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数字会议及扩声系统可选用SPON、QSNPA、KARY或同档次及以上品牌，主要技术指标详见工程量清单。：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1）数字会议系统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数字会议系统利用简单的网络系统处理和传送数字信号，不仅大幅的改进了音质，也简化了安装和操作。其特点是：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超级音质：采用先进的数字技术，在传输过程中信号的质量和幅度都不会衰减。每一个与会代表都可以听到稳定，纯正的声音，从根本上消除了模拟会议系统的缺陷：干扰，失真，串音等。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安装简便：只须把模块化的会议单元像链条一样地组合起来就可以形成任何形式的会议系统。已经建起的系统还可以加入更多的发言设备，系统具备极好的扩展性。需会议桌生产厂家配合开安装孔。</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数字会议主要用于会议讨论及发言、会议表决并可设置摄像头自动跟踪实现联动等功能。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数字会议系统主要由1台数字会议主机、1个主席单元、19个代表发言单元，主要技术参数如下：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承诺供货前提供3C认证；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系统支持Y型线连接；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具备六路会议单元输出接口，可连接多功能会议单元180台；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通过会议主机前面板导航键盘可对所有会议功能进行集中控制；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频率响应30—20KHz；</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允许同时打开的单元数量1～6个；</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先进先出模式、申请发言模式、声控启动模式、自由讨论模式；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2）扩声系统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根据会商中心的布局及需求，选择合适的音响扩声系统。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扩声系统要求人声效果突出、绝不能出现啸叫反馈、电流等杂声，需采用国内外一流品牌的专业音响、功放机相关的音频处理设备。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主要配置正前方大屏两侧挂一对专业扬声器、中后设置3对补声音响用于补声。并配置相应的功放、调音台、数字音频处理器等相关设备。</w:t>
      </w:r>
    </w:p>
    <w:p>
      <w:pPr>
        <w:pStyle w:val="102"/>
        <w:rPr>
          <w:color w:val="auto"/>
          <w:highlight w:val="none"/>
        </w:rPr>
      </w:pPr>
      <w:r>
        <w:rPr>
          <w:rFonts w:hint="eastAsia"/>
          <w:color w:val="auto"/>
          <w:highlight w:val="none"/>
        </w:rPr>
        <w:t>集中控制系统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集中控制系统可选用SPON、QSNPA、KARY或同档次及以上品牌，主要技术指标详见招标清单。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集中控制系统用简单的方法控制各独立的较复杂的子系统（LED显示显示切换系统、扩声系统、视频会议等多个子系统）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因此为解决以上难题就需要设置一套集中控制系统。在操作室安放专业的无线触摸屏来解决所有的操控难题。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集中控制系统基于IOS系统平台和Android系统平台，支持IPAD/Iphone/Android移动终端，采用app软件格式，根据使用需求可以个性diy编辑界面，控制界面程序支持自定义个性化界面。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通过连接能实现对音视频的切换管理，以及对会议室的硬件进行控制管理，如：空调、灯光、窗帘、大屏、矩阵、远程视频会议、远程摄像会议机、DVD播放机、功放、音响等设备。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设计采用目前市面上性价比最高、技术成熟、功能齐全的中央控制系统产品，根据现场设备和操作的实际情况，定制触控屏界面及功能，实现各种电子设备的集中控制。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集中控制对象主要为以下几点：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1）视频显示切换系统（LED大屏）的控制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大屏开、关机，输入、输出信号源切换等。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2）摄像机的控制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摄像机云台控制等。可以与数字会议系统进行对接，实现摄像跟踪功能，可以对讲话者进行特写。可调并可设置相关预制位。</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3）网络视频会议终端的控制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控制设备开机关机，视频源切换等相关功能。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4）数字音频处理器的控制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拾音、扩声设备的开关机相关音量调节。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5）红外设备的控制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一些带红外遥控的相关设备控制可以通过中控主机红外学习后，摒弃繁琐的遥控器控制，只需通过一台无线触摸屏即可对其统一控制和管理。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6）灯光、空调、窗帘控制并可进行场景切换（需配套相关硬件支持）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灯光、空调、窗帘的开关。并所有相关控制设备可设置场景联动：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如普通会议窗帘打开，空调调整合适温度、灯光开到合适亮度。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视频会议模式，窗帘关闭，空调调整合适温度，大屏开机，视频会议系统打开，灯光调节至会议模式等。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7）其他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其它一些带电可控设备的控制。</w:t>
      </w:r>
    </w:p>
    <w:p>
      <w:pPr>
        <w:pStyle w:val="102"/>
        <w:rPr>
          <w:color w:val="auto"/>
          <w:highlight w:val="none"/>
        </w:rPr>
      </w:pPr>
      <w:r>
        <w:rPr>
          <w:rFonts w:hint="eastAsia"/>
          <w:color w:val="auto"/>
          <w:highlight w:val="none"/>
        </w:rPr>
        <w:t>其他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1）会议桌椅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会商室设置50人左右会议，具体由大型会议桌、后排若干椅子组成。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2）设备操作间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会商室用大屏隔断，后部做一个小型的设备操作间。设备操作间主要分为会议设备区和操控区。设备区配置1个42U机柜，集中有序存放各类会议设备；操控区布置专门的控制台和控制电脑，用于会商音视频设备的实时监视、控制和信号切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3）防雷接地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防雷接地系统主要作用是设备、电源、控制、信号等防雷接地装置。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系统接地应使用公用接地网，综合接地电阻≤4欧姆。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设备操作间接地采用与大楼共用接地系统。设置等电位接地铜排和等电位联结网格。</w:t>
      </w:r>
    </w:p>
    <w:p>
      <w:pPr>
        <w:pStyle w:val="98"/>
        <w:rPr>
          <w:bCs/>
          <w:color w:val="auto"/>
          <w:highlight w:val="none"/>
        </w:rPr>
      </w:pPr>
      <w:r>
        <w:rPr>
          <w:rFonts w:hint="eastAsia"/>
          <w:color w:val="auto"/>
          <w:highlight w:val="none"/>
        </w:rPr>
        <w:t>机房</w:t>
      </w:r>
    </w:p>
    <w:p>
      <w:pPr>
        <w:pStyle w:val="100"/>
        <w:rPr>
          <w:color w:val="auto"/>
          <w:highlight w:val="none"/>
        </w:rPr>
      </w:pPr>
      <w:r>
        <w:rPr>
          <w:rFonts w:hint="eastAsia"/>
          <w:color w:val="auto"/>
          <w:highlight w:val="none"/>
        </w:rPr>
        <w:t>总体建设要求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本项目共设置1个机房：机房与管理控制中心合用，管理控制中心主要设备放机房中。机房主要负责语音、数据等网络、数据核心存储等设备的安放、控制与监管等。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系统由供配电系统（UPS系统、配电柜系统等)、制冷系统、机柜、综合布线系统、安防系统（门禁及视频监控）、防雷接地系统、气体灭火系统等组成。所有系统建设都应符合计算机机房相关等保要求。</w:t>
      </w:r>
    </w:p>
    <w:p>
      <w:pPr>
        <w:autoSpaceDE w:val="0"/>
        <w:autoSpaceDN w:val="0"/>
        <w:adjustRightInd w:val="0"/>
        <w:snapToGrid w:val="0"/>
        <w:spacing w:line="360" w:lineRule="auto"/>
        <w:jc w:val="center"/>
        <w:textAlignment w:val="baseline"/>
        <w:rPr>
          <w:rFonts w:ascii="宋体" w:hAnsi="宋体" w:cs="宋体"/>
          <w:color w:val="auto"/>
          <w:szCs w:val="21"/>
          <w:highlight w:val="none"/>
        </w:rPr>
      </w:pPr>
      <w:r>
        <w:rPr>
          <w:rFonts w:hint="eastAsia" w:ascii="宋体" w:hAnsi="宋体" w:cs="宋体"/>
          <w:snapToGrid w:val="0"/>
          <w:color w:val="auto"/>
          <w:szCs w:val="21"/>
          <w:highlight w:val="none"/>
          <w:lang w:bidi="ar"/>
        </w:rPr>
        <w:drawing>
          <wp:inline distT="0" distB="0" distL="114300" distR="114300">
            <wp:extent cx="4895850" cy="2787015"/>
            <wp:effectExtent l="0" t="0" r="0" b="1333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10"/>
                    <a:stretch>
                      <a:fillRect/>
                    </a:stretch>
                  </pic:blipFill>
                  <pic:spPr>
                    <a:xfrm>
                      <a:off x="0" y="0"/>
                      <a:ext cx="4900758" cy="2789956"/>
                    </a:xfrm>
                    <a:prstGeom prst="rect">
                      <a:avLst/>
                    </a:prstGeom>
                    <a:noFill/>
                    <a:ln w="9525">
                      <a:noFill/>
                    </a:ln>
                  </pic:spPr>
                </pic:pic>
              </a:graphicData>
            </a:graphic>
          </wp:inline>
        </w:drawing>
      </w:r>
      <w:r>
        <w:rPr>
          <w:rFonts w:hint="eastAsia" w:ascii="宋体" w:hAnsi="宋体" w:cs="宋体"/>
          <w:color w:val="auto"/>
          <w:szCs w:val="21"/>
          <w:highlight w:val="none"/>
          <w:lang w:bidi="ar"/>
        </w:rPr>
        <w:t xml:space="preserve"> </w:t>
      </w:r>
    </w:p>
    <w:p>
      <w:pPr>
        <w:pStyle w:val="100"/>
        <w:rPr>
          <w:color w:val="auto"/>
          <w:highlight w:val="none"/>
        </w:rPr>
      </w:pPr>
      <w:r>
        <w:rPr>
          <w:rFonts w:hint="eastAsia"/>
          <w:color w:val="auto"/>
          <w:highlight w:val="none"/>
        </w:rPr>
        <w:t>建设内容及要求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1）供配电系统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供配电系统主要包含共配电柜及UPS组成。机房总功率按20kVA配置，主要供电设备有机柜及管理控制中心控制电脑等主要设备。后备时间不少于2小时。机柜强电布线从UPS配电箱接入。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2）制冷系统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制冷系统主要采用机房专用空调，按总功率</w:t>
      </w:r>
      <w:r>
        <w:rPr>
          <w:rFonts w:ascii="宋体" w:hAnsi="宋体" w:cs="宋体"/>
          <w:color w:val="auto"/>
          <w:szCs w:val="21"/>
          <w:highlight w:val="none"/>
          <w:lang w:bidi="ar"/>
        </w:rPr>
        <w:t>12</w:t>
      </w:r>
      <w:r>
        <w:rPr>
          <w:rFonts w:hint="eastAsia" w:ascii="宋体" w:hAnsi="宋体" w:cs="宋体"/>
          <w:color w:val="auto"/>
          <w:szCs w:val="21"/>
          <w:highlight w:val="none"/>
          <w:lang w:bidi="ar"/>
        </w:rPr>
        <w:t>.5KW考虑。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3）机柜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机柜采用一体化组装式结构设计（大批量可现场组装），机柜静载承重不低于1500公斤，前后透气网孔门、机械门锁；含不少于5块设备固定板。单条PDU不低于4KW，最大输出接口不低于20路。后部专用配电通道设计，实现大容量、免工具快速配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4）机柜布线系统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每个机柜设置2条24口配线架和1台光纤配线架并设置集中配线柜，方便设备联网及跳线。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5）安防系统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安防系统主要包含人脸门禁系统及视频监控系统，用于保障机房的安全。及限制无关人员出入机房等。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6）防雷接地系统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接地系统需满足现行国家标准《建筑电气工程施工质量验收规范》、《建筑物电子信息系统防雷技术规范》等有关规范。要求综合接地电阻≤1欧姆。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7）动环监控系统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动环监控系统的目的是要监测模块内部主要设备的运行情况以及内部环境，提高管理人员的事故处理能力和应变速度，使设备工作在安全的环境之下，并且可以通过各种报警手段把事故隐患消灭于萌芽之中，实现机房维护和管理的少人值守甚至无人值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次动力环境监控系统所涉及的监控范围共分为：UPS电源监控系统、配电监控系统、空调监控系统、环境温湿度监测系统、漏水监测系统、气体灭火监测系统、现场环境监测系统等并需要通过手机短信、电话语音、网络报警信息等方式发送相关报警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8）气体灭火系统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由于IT设备及其它设备本身对消防有特殊要求，必须对这些重要设备做好消防系统，是关系IT设备正常运作及保护的关机所在。机房消防系统应该相对独立并采用气体灭火方式。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9）机房装修要求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机房装修不在本标段供货范围内，中标单位需与机房装修单位做好相应对接工作。</w:t>
      </w:r>
    </w:p>
    <w:p>
      <w:pPr>
        <w:pStyle w:val="100"/>
        <w:rPr>
          <w:color w:val="auto"/>
          <w:highlight w:val="none"/>
        </w:rPr>
      </w:pPr>
      <w:r>
        <w:rPr>
          <w:rFonts w:hint="eastAsia"/>
          <w:color w:val="auto"/>
          <w:highlight w:val="none"/>
        </w:rPr>
        <w:t>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服务：承诺供货前提供所有设备均需提供原厂3年质保。</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2）技术参数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一体化机房设备可选用施耐德、维谛、雷迪司或同档次产品，具体参数详见工程量清单。</w:t>
      </w:r>
    </w:p>
    <w:p>
      <w:pPr>
        <w:pStyle w:val="96"/>
        <w:rPr>
          <w:color w:val="auto"/>
          <w:highlight w:val="none"/>
        </w:rPr>
      </w:pPr>
      <w:r>
        <w:rPr>
          <w:rFonts w:hint="eastAsia"/>
          <w:color w:val="auto"/>
          <w:highlight w:val="none"/>
        </w:rPr>
        <w:t>网络通讯</w:t>
      </w:r>
    </w:p>
    <w:p>
      <w:pPr>
        <w:pStyle w:val="98"/>
        <w:rPr>
          <w:bCs/>
          <w:color w:val="auto"/>
          <w:highlight w:val="none"/>
        </w:rPr>
      </w:pPr>
      <w:r>
        <w:rPr>
          <w:rFonts w:hint="eastAsia"/>
          <w:color w:val="auto"/>
          <w:highlight w:val="none"/>
        </w:rPr>
        <w:t>总体技术要求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鉴于虞东河湖综合整治工程数字化系统建设最终完成时，需采集的信息点密集，分布范围广的特点，结合网络的技术性能以及今后管理维护考虑，在数字化系统建设中，由于视频监视的实时数据量较大且节制闸计算机监控对网络实时性、可靠性要求较高，无线网络传输方式无法满足系统要求，必须采用光缆通讯的方式。水情监测、流量监测和水质监测使用成熟的物理GPRS物联网的方式无线传输。管理控制中心与上级管理部门，建议采用政务专网的方式；管理控制中心与各水闸建议采用租用运营商VPN的方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1）分级要求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第一级：核心节点。设置在管理控制中心；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第二级：区域汇聚节点。设置在闸室、管理控制中心等。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第三级：接入节点。包括现场配套的LCU控制单元、其他监测监控现地单元等。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2）分区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按照横向分区的网络划分原则，即分为内部网络和外部网络。内部网络划分为控制网和管理网，外部网络指外部公共网络环境。控制网和管理网通过强隔离装置隔离，管理网与外部网络通过边界防火墙隔离。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“控制网”承载各节制闸远程计算机监控等实时性要求较高的业务。各个业务之间可选用VLAN进行网络划分，以现实各个业务之间的隔离。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网”承载非生产核心业务，如视频监视系统、工程安全监测系统、工程管理一体化平台系统、视频会议系统等网络带宽要求较高的业务。各个业务之间可选用VLAN进行网络划分，以现实各个业务之间的隔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“外网”指外部公共网络，包括但不限于因特网、政务外网、专线网络。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本工程各分网络分区之间的数据交换设计为只能通过工业网闸等边界安全设备进行严格、有限的进行，各现地站、中控室不得私自跨网络分区进行数据交换，确保信息安全。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3）设备配置总体说明</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（1）计算机监控系统网络、其他监测监控系统网络和配套网络适配器配置详见相关系统设计。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（2）基于相关监测监控系统网络设计情况，在管理控制中心补充配置必要的网络交换、无线设备，满足B/S数字化管理平台系统的正常访问，使得相互协调。相关设施设备投资纳入本章节。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（3）管理控制中心办公网络交换、无线设备配置和投资纳入本章节，网络综合布线（含语音通信）、信息点位布设纳入建筑及装修工程统筹设计和建设。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（4）水闸通过租用专线实现与管理控制中心的互联互通，同时需租用外网专线满足工程管理单位外部网络访问、遥测数据接收、对外数据共享等业务应用需求。相关设施配置和投资纳入本章节。</w:t>
      </w:r>
    </w:p>
    <w:p>
      <w:pPr>
        <w:pStyle w:val="98"/>
        <w:rPr>
          <w:bCs/>
          <w:color w:val="auto"/>
          <w:highlight w:val="none"/>
        </w:rPr>
      </w:pPr>
      <w:r>
        <w:rPr>
          <w:rFonts w:hint="eastAsia"/>
          <w:color w:val="auto"/>
          <w:highlight w:val="none"/>
        </w:rPr>
        <w:t>控制网建设要求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中控室、各水闸闸室等现地监测监控单元等，需建设一张控制网，主要用于闸门计算机监控系统的数据传输。本区网络安全性要求高，同时需充分保证控制网络的可靠性、稳定性、低时延。控制网为保证工控安全，需与外界网络物理隔离，按照专网专用方式建设一张独立的计算机控制专网来承载该类应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该网区网络设计详见计算机监控系统设计。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为满足该网区数据汇聚和跨区数据交换，按需配置交换机数台，投资纳入本章节。</w:t>
      </w:r>
    </w:p>
    <w:p>
      <w:pPr>
        <w:pStyle w:val="98"/>
        <w:rPr>
          <w:bCs/>
          <w:color w:val="auto"/>
          <w:highlight w:val="none"/>
        </w:rPr>
      </w:pPr>
      <w:r>
        <w:rPr>
          <w:rFonts w:hint="eastAsia"/>
          <w:color w:val="auto"/>
          <w:highlight w:val="none"/>
        </w:rPr>
        <w:t>管理网建设要求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1）总体结构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中控室、管理房、机房、各现地视频监控系统等，需建设一张管理网，主要用于视频监控系统的数据传输，远程数据交换、本工程综合管理平台访问等应用。本区网络带宽需求大，网络安全性和实时性要求低于控制专网，但仍然需要与外网隔离，保障内部运行管理数据的安全传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管理网总体采用星型分级拓扑结构，机房作为核心节点，闸室作为区域汇聚节点，各监测单元和工作终端作为接入点。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本区需配备高性能双机冗余核心交换机，提供所有传输流量的高速转发与交换。配备接入交换机数台用于数据分类汇聚，包括工作终端、服务器、各类监测监控系统、外链网络通信等。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3）网络规划</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在实施阶段进一步做好网络规划设计、IP地址规划等工作。根据管理需要，按需划分管理区内部网段、互联网访问网段、政务外网访问网段、终端网段、WIFI网段等不同VLAN功能段。</w:t>
      </w:r>
    </w:p>
    <w:p>
      <w:pPr>
        <w:pStyle w:val="98"/>
        <w:rPr>
          <w:bCs/>
          <w:color w:val="auto"/>
          <w:highlight w:val="none"/>
        </w:rPr>
      </w:pPr>
      <w:r>
        <w:rPr>
          <w:rFonts w:hint="eastAsia"/>
          <w:color w:val="auto"/>
          <w:highlight w:val="none"/>
        </w:rPr>
        <w:t>外网建设要求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1）总体结构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外部网络网主要提供Internet访问服务，政务网访问等，满足各业务部门提供信息发布、数据共享、数据接收等应用。本次建设考虑通过租用专线来满足工程管理房的外网访问需求。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依托管理网区建设，由管理网区专门划分出以供互联网、政务外网使用的VLAN网段。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2）主要设备配置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配置无线控制器、无线AP等网络设备，建设覆盖整个管理房的无线局域网，方便移动设备的外网访问。</w:t>
      </w:r>
    </w:p>
    <w:p>
      <w:pPr>
        <w:pStyle w:val="98"/>
        <w:rPr>
          <w:bCs/>
          <w:color w:val="auto"/>
          <w:highlight w:val="none"/>
        </w:rPr>
      </w:pPr>
      <w:r>
        <w:rPr>
          <w:rFonts w:hint="eastAsia"/>
          <w:color w:val="auto"/>
          <w:highlight w:val="none"/>
        </w:rPr>
        <w:t>专线租赁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1）建设内容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专线租用主要有控制网专线、视频网专线、互联外网专线、政务网专线四大类，具体功能如下：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1、控制网专线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本期项目建设需要把节制闸1、节制闸2、皂李湖隧洞进口节制闸、皂里湖隧洞出口套闸和白马湖隧洞进口节制闸共5座水闸计算机监控系统接入管理控制中心统一管理。因此，每个闸站都需要单独租用一条10M VPN控制网专线、管理控制中心租用一条20M控制网专线来传输数据。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2、视频网专线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为接入5座水闸的视频监控系统，在每个闸站单独租用一条20MVPN视频网专线，管理控制中心租用一条50M视频网专线。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3、互联外网专线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在虞东河湖管理控制中心租用一条200M固定IP专线供日常办公网络使用。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4、政务外网专线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在虞东河湖管理控制中心租用一条200M政务外网专线供业务应用平台运行管理使用。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专线类型：采用mstp、ipran、ptn、VPN、裸光纤等，外网专线应优先采用政企类专线；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单条端到端电路故障率≤3 次/年；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端到端丢包率≤1%（各种包长）； </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端到端时延本地≤15ms，省内≤25ms，跨省≤55ms。</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单条电路年可用率不小于99.9%；</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故障响应时间：＜10分钟，故障响应率：100%。</w:t>
      </w:r>
    </w:p>
    <w:p>
      <w:pPr>
        <w:pStyle w:val="98"/>
        <w:rPr>
          <w:bCs/>
          <w:color w:val="auto"/>
          <w:highlight w:val="none"/>
        </w:rPr>
      </w:pPr>
      <w:r>
        <w:rPr>
          <w:rFonts w:hint="eastAsia"/>
          <w:color w:val="auto"/>
          <w:highlight w:val="none"/>
        </w:rPr>
        <w:t>网络管理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网络管理是指监控、组织和控制网络通信服务以及信息处理所必须的各种活动的总称。其目标是确保计算机网络的持续正常运行，并在计算机网络运行出现异常时能及时响应和排除故障。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投标人应做好相关管理工作，网络管理功能通过网络设备和安全设备内置管理系统实现，管理工作包括以下几个方面：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1）配置管理：对设备和系统进行各类网络参数的定义和设置。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2）故障管理：查找并解决因硬件和软件问题而引起的网络故障。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3）性能管理：使用特定的管理软件和设备对系统运行效率进行监测，通过监测数据的统计分析作为网络系统改进和升级的依据。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4）安全管理：包括数据私有性管理，授权管理，访问控制，加密管理，安全日志管理等。</w:t>
      </w:r>
    </w:p>
    <w:p>
      <w:pPr>
        <w:pStyle w:val="98"/>
        <w:rPr>
          <w:bCs/>
          <w:color w:val="auto"/>
          <w:highlight w:val="none"/>
        </w:rPr>
      </w:pPr>
      <w:r>
        <w:rPr>
          <w:rFonts w:hint="eastAsia"/>
          <w:color w:val="auto"/>
          <w:highlight w:val="none"/>
        </w:rPr>
        <w:t>主要设备技术要求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（1）服务：承诺供货前提供所有设备均需提供原厂3年质保及服务函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（2）产品认证：承诺供货前提供要求提供工信部进网许可证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（3）厂商证明材料：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制造厂商须无行政处罚记录，须具备良好的商业信誉，遵守国家法律、法规。承诺供货前提供提供国家工商总局的国家企业信用信息公示系统上行政处罚信息。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2）招标参数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详见工程量清单</w:t>
      </w:r>
    </w:p>
    <w:p>
      <w:pPr>
        <w:pStyle w:val="96"/>
        <w:rPr>
          <w:bCs/>
          <w:color w:val="auto"/>
          <w:highlight w:val="none"/>
        </w:rPr>
      </w:pPr>
      <w:r>
        <w:rPr>
          <w:rFonts w:hint="eastAsia"/>
          <w:color w:val="auto"/>
          <w:highlight w:val="none"/>
        </w:rPr>
        <w:t>网络安全</w:t>
      </w:r>
    </w:p>
    <w:p>
      <w:pPr>
        <w:pStyle w:val="98"/>
        <w:rPr>
          <w:bCs/>
          <w:color w:val="auto"/>
          <w:highlight w:val="none"/>
        </w:rPr>
      </w:pPr>
      <w:r>
        <w:rPr>
          <w:rFonts w:hint="eastAsia"/>
          <w:color w:val="auto"/>
          <w:highlight w:val="none"/>
        </w:rPr>
        <w:t>总体技术要求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本工程计算机网络层面可分为控制网、管理网和外网。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网与外网通过边界防火墙隔离，控制网和管理网则通过工业网闸隔离。控制网安全设施设备分别部署在工程管理控制中心和各水闸，管理网边界安全设施设备部署在管理控制中心外网出口，云安全设施主要通过租用云服务商相关服务实现，且需符合属地网信管理要求。</w:t>
      </w:r>
    </w:p>
    <w:p>
      <w:pPr>
        <w:pStyle w:val="98"/>
        <w:rPr>
          <w:bCs/>
          <w:color w:val="auto"/>
          <w:highlight w:val="none"/>
        </w:rPr>
      </w:pPr>
      <w:r>
        <w:rPr>
          <w:rFonts w:hint="eastAsia"/>
          <w:color w:val="auto"/>
          <w:highlight w:val="none"/>
        </w:rPr>
        <w:t>控制网安全设备配置要求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控制网主要承载计算机监控系统，与管理网采用物理隔离方式。在配置安全设备时主要考虑控制网、管理网之间的跨区安全防护及数据访问控制，并针对控制网内的实时控制和数据传输的工业控制系统，提供工业网闸、工业防火墙、日志审计、终端防护等安全保护措施。配备如下主要安全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工业网闸：设备支持工业OPC、MODBUS/TCP协议，能实现工业网络环境中不同安全级别网络之间数据安全交换的隔离系统，是控制网与管理网之间唯一交互的安全通道，通过网络隔离装置保障控制网和管理网之间的通信安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工业防火墙：控制网现地站工业网络边界区域防护，可基于白名单的访问控制、工业协议精准识别和深度检测、工控威胁特征快速匹配等技术，对工控应用协议和数据流量进行细粒度控制，识别各类针对工业控制系统的攻击和威胁。防止关键生产数据向外部网络泄露，并防范管理区域的网络攻击影响到现地控制设备。主要部署在管理控制中心、水闸闸站控制网出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3）日志审计：对控制网服务器、网络设备、安全设备日志收集分析，满足《网络安全法》中日志留存6个月要求。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工控主机安全防护：以白名单形式针对工控主机进行安全防护和系统加固的终端安全保护产品。基于内核级防护，实现用户行为记录、可移动设备监视管理、业务应用看门狗、进程监视、异常进程及病毒监视预警、病毒隔离、系统加固等关键安全服务。软件自身具有防卸载、数据完整性保护、系统防破坏等特点。</w:t>
      </w:r>
    </w:p>
    <w:p>
      <w:pPr>
        <w:pStyle w:val="98"/>
        <w:rPr>
          <w:bCs/>
          <w:color w:val="auto"/>
          <w:highlight w:val="none"/>
        </w:rPr>
      </w:pPr>
      <w:r>
        <w:rPr>
          <w:rFonts w:hint="eastAsia"/>
          <w:color w:val="auto"/>
          <w:highlight w:val="none"/>
        </w:rPr>
        <w:t>管理网安全设备配置要求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管理网承载本工程除了控制网及对外信息系统外的其他网络应用，与控制网、外网都需要通信，需配置必要的安全设备。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1）边界防火墙：实现访问控制、漏洞防护、病毒防护、web攻击防护，实现与管理网中外联区域的安全隔离。</w:t>
      </w:r>
    </w:p>
    <w:p>
      <w:pPr>
        <w:pStyle w:val="98"/>
        <w:rPr>
          <w:bCs/>
          <w:color w:val="auto"/>
          <w:highlight w:val="none"/>
        </w:rPr>
      </w:pPr>
      <w:r>
        <w:rPr>
          <w:rFonts w:hint="eastAsia"/>
          <w:color w:val="auto"/>
          <w:highlight w:val="none"/>
        </w:rPr>
        <w:t>云安全技术要求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通过租用云安全服务，实现相关基于云服务器部署的信息系统的信息安全，并符合属地网信管理相关要求和等保要求，包括但不限于：数据安全安全交换、基础云安全服务、SSL VPN服务、数据库审计、日志审计、运维审计、主机杀毒服务等。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人需仔细分析本工程B/S架构软件平台安全态势，深刻领会属地云安全管理最新要求，提出相互协调和完善的云安全服务方案。任何云安全服务或设备，如果招标文件（清单）中未专门提到，但它对于属地网信管理要求或等保要求又是必不可少的，或者对于系统稳定、安全运行都是必要的话，那么这些服务或设备，也应由承包人提供，其费用包含在报价中。</w:t>
      </w:r>
    </w:p>
    <w:p>
      <w:pPr>
        <w:pStyle w:val="98"/>
        <w:rPr>
          <w:bCs/>
          <w:color w:val="auto"/>
          <w:highlight w:val="none"/>
        </w:rPr>
      </w:pPr>
      <w:r>
        <w:rPr>
          <w:rFonts w:hint="eastAsia"/>
          <w:color w:val="auto"/>
          <w:highlight w:val="none"/>
        </w:rPr>
        <w:t>等保测评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本工程应按照省水利厅相关通知，按照等保2.0标准开展网络安全体系建设和通过等级保护测评。本工程安全保护等级建议确定为控制区不低于二级，上云系统二级，具体以属地公安网信管理要求为准。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参照相应等级的保护要求和规范，基于配备的安全设备，投标人需为本工程安全运行建立较为完整的安全体系，满足安全物理环境、安全通信网络、安全区域边界、安全计算环境、安全管理中心的安全技术要求；同时建立对应制度，符合安全管理的要求。中标单位需协助用户单位开展持续安全运维，通过安全预警、安全监控、行为管理、安全加固、安全审计、应急响应等，从事前、事中、事后三个方面进行安全运行维护，确保整套信息化系统的持续安全，满足持续性按需防御的安全需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投标人需通过委托第三方提供等级保护测评服务来完成控制区系统的安全体系建设工作，完成整个系统的定级、备案、建设、整改、测评、检查等一系列等级保护测评与建设工作，响应等级保护中对于安全物理环境、安全通信网络、安全区域边界、安全计算环境、安全管理中心等相关要求，并且建立安全管理制度、安全管理机构、安全管理人员、安全建设管理、安全运维管理相关等级保护管理制度。其中，等保测评工作需委托持有公安部第三研究所发放的“网络安全等级测评与检测评估机构服务认证证书”资质的专业机构对本工程各区系统开展等级保护测评工作，依据《信息系统安全等级保护基本要求》、《信息系统安全等级保护测评要求》、《信息系统安全等级保护测评过程指南》开展等级测评，检测工程管理单位信息系统安全防护是否达到了等级保护要求，按照《信息系统安全等级测评报告模板》出具统一格式的测评报告，并完成整改，通过测评，完成备案。</w:t>
      </w:r>
    </w:p>
    <w:p>
      <w:pPr>
        <w:pStyle w:val="98"/>
        <w:rPr>
          <w:bCs/>
          <w:color w:val="auto"/>
          <w:highlight w:val="none"/>
        </w:rPr>
      </w:pPr>
      <w:r>
        <w:rPr>
          <w:rFonts w:hint="eastAsia"/>
          <w:color w:val="auto"/>
          <w:highlight w:val="none"/>
        </w:rPr>
        <w:t>主要设备技术要求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1）总体要求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服务要求：所有设备供货前均需提供原厂三年质保及服务函，所有设备均需提供3年识别库、特征库、核心软件等的升级。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设备资质要求：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等保要求：选用设备须满足二级等保设备性能要求，投标人设备选型考虑不周不满足要求导致的投资增加由投标人承担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2）技术参数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lang w:bidi="ar"/>
        </w:rPr>
      </w:pPr>
      <w:r>
        <w:rPr>
          <w:rFonts w:hint="eastAsia" w:ascii="宋体" w:hAnsi="宋体" w:cs="宋体"/>
          <w:color w:val="auto"/>
          <w:szCs w:val="21"/>
          <w:highlight w:val="none"/>
          <w:lang w:bidi="ar"/>
        </w:rPr>
        <w:t>网络安全设备可选用启明星辰、天融信、东软或同档次产品，具体参数如下：</w:t>
      </w:r>
    </w:p>
    <w:p>
      <w:pPr>
        <w:widowControl/>
        <w:adjustRightInd w:val="0"/>
        <w:snapToGrid w:val="0"/>
        <w:ind w:firstLine="482"/>
        <w:textAlignment w:val="center"/>
        <w:rPr>
          <w:rFonts w:ascii="宋体" w:hAnsi="宋体"/>
          <w:b/>
          <w:color w:val="auto"/>
          <w:szCs w:val="21"/>
          <w:highlight w:val="none"/>
        </w:rPr>
      </w:pPr>
      <w:r>
        <w:rPr>
          <w:rFonts w:hint="eastAsia" w:ascii="宋体" w:hAnsi="宋体"/>
          <w:b/>
          <w:color w:val="auto"/>
          <w:szCs w:val="21"/>
          <w:highlight w:val="none"/>
        </w:rPr>
        <w:t>（1）工业网闸</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硬件性能要求：</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机箱高度≤2U；内外端双侧液晶屏；内端机≥4个10/100/1000Base-T接口，扩展槽位≥1个；外端机≥4个10/100/1000Base-T接口，扩展槽位≥1个；网络吞吐量≥300Mbps；并发连接数≥4万，延迟5ms，内外端机各8G内存，内外端机各1TB硬盘；</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系统架构：2+1”系统结构，内外端机为TCP/IP网络协议的终点，阻断TCP/IP协议的直接贯通。内外端机之间采用专用硬件和专用协议进行连接，不可编程；</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硬件架构：硬件架构由内端机、外端机、专有隔离硬件三部分组成。内端机和外端机各自具有独立主板、独立总线、独立的存储和运算单元；内端机和外端机之间非网线、USB线、SCSI线等线缆直连，基于光隔离技术专有硬件进行隔离和数据交换。</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cs="宋体"/>
          <w:bCs/>
          <w:color w:val="auto"/>
          <w:kern w:val="0"/>
          <w:sz w:val="21"/>
          <w:szCs w:val="21"/>
          <w:highlight w:val="none"/>
        </w:rPr>
        <w:t>稳定可靠：为保障系统运行的可靠性与稳定性，要求信息安全设备、系统软件的开发、生产符合TL9000-HSV R5.0/5.0标准。</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安全上网功能：支持HTTPS网络传输，并且可在SSL加密通道中分解出正常HTTPS网络应用，屏蔽自由门等各类加密翻墙软件的传输。（提供产品功能演示截图证明）</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文件同步功能：支持文件变动实时同步、定时同步、系统资源空闲智能同步等多种同步方式。支持同步删除和同步覆盖策略配置，并能将同步删除和同步覆盖的文件备份到指定文件夹。</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支持同步删除和同步覆盖策略配置，并能将同步删除和同步覆盖的文件备份到指定文件夹。 （提供产品功能演示截图证明）</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数据库同步功能：设备支持有客户端和无客户端两种数据据库同步方式。无客户端方式无需在用户服务器上安装任何插件，网闸不开放任何服务端口；有客户端方式可提供专用文件同步客户端安装在用户服务器上，提供安全的数据库同步服务。</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支持网闸同侧数据库同步，网闸可旁路部署实现数据库同步</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提供多种主流数据库系统如：ORACLE、SQLSERVER、MYSQL、SYBASE、DB2等之间的同步。支持同构、异构数据库之间的同步，同步可具体设置到字段级别。支持全表复制，支持多种增量同步方式，可分别定义增加、删除、修改的同步方式。支持二进制普通文件、图片、文本文件及BLOB大字段同步。支持数据一对一、一对多、多对多的单向或双向交换和同步。</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视频监控：</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采用复杂对称多处理（RSMP）技术，成倍提升处理能力，使网闸能够满足高并发、高质量、多路视频数据交换要求。</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根据策略配置可以控制视频数据的单向传输。</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内置视频监控模块，提供视频代理功能，兼容主流视频传输及控制协议H.323、H.264、MMS、RTSP、SIP等；至少支持13家视频厂商的流媒体视频平台；支持视频平台级联，基于国标SIP协议提供上下级异构厂商视频厂商的平台级联，完成上级对下级视频平台的视频流调用；支持对平台级联通信过程中的视频信令进行黑白名单控制；支持情景模式，能够设置视频监控允许传输的时间。</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 xml:space="preserve">时间模式：支持TCP应用层数据单向传输的控制，保证TCP应用数据的0 反馈，以满足二次防护对数据传输的安全性需求。 </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内容审查：</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支持灵活的时间控制模式，包括每天循环、指定星期循环、指定日期区间三种控制模式，并可应用于设备安全规则。</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支持文件类型黑白名单过滤；支持关键字过滤，支持关键字数据字典文件导入；支持防病毒功能，支持病毒库升级；采用国内知名厂商病毒库。</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TCP单向反馈无传输：支持TCP应用层数据单向传输的控制，保证TCP应用数据的0 反馈，以满足二次防护对数据传输的安全性需求。 （提供产品功能演示截图证明）；</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管理配置：</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采取三权分立的管理模式，包括系统管理员、安全保密员、安全审计员，用户只能维护操作本类基础管理角色的功能与操作，权限各不交叉。支持多用户权限分配制度，确保合法用户只能做指定的操作。</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管理端通过独立的管理口与网闸内网机相连，策略统一从内端机下发，不允许采用外端机上的任何网络接口进行管理。</w:t>
      </w:r>
    </w:p>
    <w:p>
      <w:pPr>
        <w:widowControl/>
        <w:adjustRightInd w:val="0"/>
        <w:snapToGrid w:val="0"/>
        <w:ind w:firstLine="482"/>
        <w:textAlignment w:val="center"/>
        <w:rPr>
          <w:rFonts w:ascii="宋体" w:hAnsi="宋体"/>
          <w:b/>
          <w:color w:val="auto"/>
          <w:szCs w:val="21"/>
          <w:highlight w:val="none"/>
        </w:rPr>
      </w:pPr>
      <w:r>
        <w:rPr>
          <w:rFonts w:hint="eastAsia" w:ascii="宋体" w:hAnsi="宋体"/>
          <w:b/>
          <w:color w:val="auto"/>
          <w:szCs w:val="21"/>
          <w:highlight w:val="none"/>
        </w:rPr>
        <w:t>（2）VPN防火墙</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性能要求：防火墙吞吐率≥1.6Gbps，并发连接数≥50万；</w:t>
      </w:r>
      <w:r>
        <w:rPr>
          <w:rFonts w:hint="eastAsia" w:ascii="宋体" w:hAnsi="宋体" w:eastAsia="宋体" w:cs="Arial"/>
          <w:bCs/>
          <w:color w:val="auto"/>
          <w:kern w:val="0"/>
          <w:sz w:val="21"/>
          <w:szCs w:val="21"/>
          <w:highlight w:val="none"/>
        </w:rPr>
        <w:t>接口配置：</w:t>
      </w:r>
      <w:r>
        <w:rPr>
          <w:rFonts w:hint="eastAsia" w:ascii="宋体" w:hAnsi="宋体" w:eastAsia="宋体"/>
          <w:bCs/>
          <w:color w:val="auto"/>
          <w:kern w:val="0"/>
          <w:sz w:val="21"/>
          <w:szCs w:val="21"/>
          <w:highlight w:val="none"/>
        </w:rPr>
        <w:t>1U机箱，配置为4个10/100/1000BASE-T接口。</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cs="Arial"/>
          <w:bCs/>
          <w:color w:val="auto"/>
          <w:kern w:val="0"/>
          <w:sz w:val="21"/>
          <w:szCs w:val="21"/>
          <w:highlight w:val="none"/>
        </w:rPr>
        <w:t>要求支持防火墙芯片硬件加速技术，实现硬件资源充分利用，保障设备处理效率；</w:t>
      </w:r>
      <w:r>
        <w:rPr>
          <w:rFonts w:hint="eastAsia" w:ascii="宋体" w:hAnsi="宋体" w:eastAsia="宋体" w:cs="Arial"/>
          <w:bCs/>
          <w:color w:val="auto"/>
          <w:kern w:val="0"/>
          <w:sz w:val="21"/>
          <w:szCs w:val="21"/>
          <w:highlight w:val="none"/>
          <w:lang w:eastAsia="zh-CN"/>
        </w:rPr>
        <w:t>提供第三方证明材料</w:t>
      </w:r>
      <w:r>
        <w:rPr>
          <w:rFonts w:hint="eastAsia" w:ascii="宋体" w:hAnsi="宋体" w:eastAsia="宋体" w:cs="Arial"/>
          <w:bCs/>
          <w:color w:val="auto"/>
          <w:kern w:val="0"/>
          <w:sz w:val="21"/>
          <w:szCs w:val="21"/>
          <w:highlight w:val="none"/>
        </w:rPr>
        <w:t>；</w:t>
      </w:r>
      <w:r>
        <w:rPr>
          <w:rFonts w:hint="eastAsia" w:ascii="宋体" w:hAnsi="宋体" w:eastAsia="宋体"/>
          <w:bCs/>
          <w:color w:val="auto"/>
          <w:kern w:val="0"/>
          <w:sz w:val="21"/>
          <w:szCs w:val="21"/>
          <w:highlight w:val="none"/>
        </w:rPr>
        <w:t xml:space="preserve"> </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稳定可靠：为保证系统软件设计全面性、保密性、完整性，要求招标产品系统遵从行业标准和政府法规，产品符合 CNITSEC-SP-01 测评准则，</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为保障系统运行的可靠性与稳定性，要求信息安全设备、系统软件的开发、生产符合TL9000-HSV R5.0/5.0标准。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媒体业务接入：</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要求支持H.323、SIP等媒体协议，符合GB/T 28181-2016《安全防范视频监控联网系统信息传输、交换、控制技术要求》及TC/OP（XZ）2B-185-2017相关技术要求。</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访问控制：</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一体化安全策略配置，可以通过一条策略实现五元组信息源MAC、域名、地理区域、应用、服务、并发会话、WEB认证、IPS、AV、URL过滤、WAF、邮件安全、数据过滤、审计、防代理、APT等功能配置，简化用户管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为提升运维效率，降低运维成本，要求提供策略分析功能，支持策略命中分析、策略冗余分析、策略冲突检查、策略包含分析，可在WEB界面显示检测结果。</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提供策略查询功能，支持五元组快速查询以及针对策略名、源/目的区域、源/目的地址、服务、对象等条件进行细粒度查询。</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高可靠性：</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负载均衡：支持用户服务器的负载均衡，保证用户关键服务的有效性；防火墙在链路高数据量情况下，可以实现防火墙网络地址转换动态负载均衡，</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冗余备份：支持AS、AA、连接保护等多种设备高可用机制并支集群部署。</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操作系统：可在发生系统故障时，实现系统自动修复。</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widowControl/>
        <w:adjustRightInd w:val="0"/>
        <w:snapToGrid w:val="0"/>
        <w:ind w:firstLine="482"/>
        <w:textAlignment w:val="center"/>
        <w:rPr>
          <w:rFonts w:ascii="宋体" w:hAnsi="宋体"/>
          <w:b/>
          <w:color w:val="auto"/>
          <w:szCs w:val="21"/>
          <w:highlight w:val="none"/>
        </w:rPr>
      </w:pPr>
      <w:r>
        <w:rPr>
          <w:rFonts w:hint="eastAsia" w:ascii="宋体" w:hAnsi="宋体"/>
          <w:b/>
          <w:color w:val="auto"/>
          <w:szCs w:val="21"/>
          <w:highlight w:val="none"/>
        </w:rPr>
        <w:t>（3）日志审计系统</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系统性能：</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日志综合采集处理均值≥15000EPS，处理峰值≥30000EPS，至少支持20日志源授权；</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为保障系统运行的可靠性与稳定性，要求信息安全设备、系统软件的开发、生产符合TL9000-HSV R5.0/5.0标准。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数据采集：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支持安全设备、网络设备、中间件、服务器、数据库、操作系统、业务系统等不少于26类300种日志对象的日志数据采集；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支持Syslog、SNMP Trap、Netflow、JDBC、WMI、FTP、SFTP、SCP、文件等方式进行数据采集；支持通过Agent采集日志数据。</w:t>
      </w:r>
    </w:p>
    <w:p>
      <w:pPr>
        <w:pStyle w:val="91"/>
        <w:adjustRightInd w:val="0"/>
        <w:snapToGrid w:val="0"/>
        <w:ind w:left="480" w:firstLine="420"/>
        <w:textAlignment w:val="center"/>
        <w:rPr>
          <w:rFonts w:ascii="宋体" w:hAnsi="宋体" w:eastAsia="宋体" w:cs="Times New Roman"/>
          <w:bCs/>
          <w:color w:val="auto"/>
          <w:kern w:val="0"/>
          <w:sz w:val="21"/>
          <w:szCs w:val="21"/>
          <w:highlight w:val="none"/>
        </w:rPr>
      </w:pPr>
      <w:r>
        <w:rPr>
          <w:rFonts w:hint="eastAsia" w:ascii="宋体" w:hAnsi="宋体" w:eastAsia="宋体" w:cs="Times New Roman"/>
          <w:bCs/>
          <w:color w:val="auto"/>
          <w:kern w:val="0"/>
          <w:sz w:val="21"/>
          <w:szCs w:val="21"/>
          <w:highlight w:val="none"/>
        </w:rPr>
        <w:t xml:space="preserve">支持对日志流量非常大但是日志重要程度低的syslog类型日志源进行限制接收速率，降低对系统资源的占用，保障重要日志的收集； </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日志归一化处理，将不同设备所产生的不同格式的难以理解的日志数据进行统一格式化处理，提炼出有用信息清晰、明确的展示给管理者；系统内置已支持设备种类清单，提供设备日志外发配置建议指导；支持实时自动刷新每个日志源的实时日志列表，支持在实时日志界面通过选择过滤器来监视所关注的特定类型的日志；支持首页展示日志采集总量统计，可按不同日志源种类分类显示日志总量及大小，并支持导出；支持独立展示每个被采集源最近24小时的日志数量趋势，便于掌握设备的安全事件情况，支持独立展示每个设备日志的最新采集时间，便于了解设备日志的采集状态；</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数据存储：</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对所管理设备的日志原始数据完整存储，支持数据本地集中存储、网络存储；支持根据设备重要程度设置独立设置每个被采集源的日志、报表数据存储时间为1个月、3个月、6个月等参数；支持日志备份功能，支持本地备份方式，支持自动备份和手动备份；支持IPv6日志的全量存储；（提供第三方检测报告）；</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数据查询：</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首页以全国地图、全球地图展示最近24小时日志访问源和访问目的的分布，能根据颜色区分访问来源和访问目的数据量大小，能够通过首页地图快速下钻查询指定区域的日志详细信息；支持实时日志查询，支持历史备份文件导入查询；支持等于、不等于、大于、小于、正则表达式等查询条件；支持多条件组合查询；支持原始日志全文检索；支持为不同类型日志设置不同的查询条件和显示条件；支持在查询结果页面上直接下钻二次查询，快速定位关键日志，还可以返回上次查询条件；</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查询结果可将归一化日志和原始日志同屏对比显示；支持展示日志查询情况，包括查询条件命中数、日志总量等信息；支持查询结果格式化日志、原始日志导出；支持在日志查询结果上针对源IP、目的IP、操作、源端口、目的端口等字段一键快速统计，以饼图方式展示，对于源IP和目的IP（公网地址）还支持以中国地图、世界地图方式展示，在统计图上能够进行点击下钻查询对应条件的日志结果；支持查询结果快速统计，可自定义统计主题规则，支持将多个主题添加为一个统计任务，以分、时、周、月、年定时执行自动统计，将统计结果报表发送到指定邮箱；</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支持基于时间轴展示日志数据分布，能够通过时间轴进行查询分析；（</w:t>
      </w:r>
      <w:r>
        <w:rPr>
          <w:rFonts w:hint="eastAsia" w:ascii="宋体" w:hAnsi="宋体" w:eastAsia="宋体"/>
          <w:bCs/>
          <w:color w:val="auto"/>
          <w:kern w:val="0"/>
          <w:sz w:val="21"/>
          <w:szCs w:val="21"/>
          <w:highlight w:val="none"/>
          <w:lang w:eastAsia="zh-CN"/>
        </w:rPr>
        <w:t>提供产品功能演示截图证明</w:t>
      </w:r>
      <w:r>
        <w:rPr>
          <w:rFonts w:hint="eastAsia" w:ascii="宋体" w:hAnsi="宋体" w:eastAsia="宋体"/>
          <w:bCs/>
          <w:color w:val="auto"/>
          <w:kern w:val="0"/>
          <w:sz w:val="21"/>
          <w:szCs w:val="21"/>
          <w:highlight w:val="none"/>
        </w:rPr>
        <w:t xml:space="preserve">） </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告警管理：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首页展示当日告警情况统计；支持展示当日最新告警TOP10、TOP30和TOP50；内置系统运行相关告警规则，包括检测到新日志源、节点掉线、主动日志源长期不外发日志、存储上限告警、主机认证失败等，可启用/禁用规则；支持安全告警概况、安全告警趋势的统一展示，实时告警可根据级别、规则类型等进行分类；支持实时告警展示，可根据告警规则、告警级别两个维度进行实时告警监视，并可对刷新事件间隔进行设定；支持基于时间轴展示告警数据分布，能够通过时间轴进行查询分析。</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统计报表管理：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系统内置上百种报表模版，支持自动实现智能报表创建，每添加一个日志源，系统自动分析日志源类型进行相应报表创建，无需人工干预，报表和资产一一对应；报表支持基于全国地图、全球地图进行访问源、访问目的追踪。</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支持自定义统计日志数据形成报表，支持统计分析报表以PDF、word、execl等方式导出；支持实时报表、计划报表。</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日志源管理：</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支持对重点日志源的关注设置，并可通过关注列表快速查看重点日志源的状态、当日日志量、采集日志总量、最近接收时间、业务组等基础信息；（</w:t>
      </w:r>
      <w:r>
        <w:rPr>
          <w:rFonts w:hint="eastAsia" w:ascii="宋体" w:hAnsi="宋体" w:eastAsia="宋体"/>
          <w:bCs/>
          <w:color w:val="auto"/>
          <w:kern w:val="0"/>
          <w:sz w:val="21"/>
          <w:szCs w:val="21"/>
          <w:highlight w:val="none"/>
          <w:lang w:eastAsia="zh-CN"/>
        </w:rPr>
        <w:t>提供产品功能演示截图证明</w:t>
      </w:r>
      <w:r>
        <w:rPr>
          <w:rFonts w:hint="eastAsia" w:ascii="宋体" w:hAnsi="宋体" w:eastAsia="宋体"/>
          <w:bCs/>
          <w:color w:val="auto"/>
          <w:kern w:val="0"/>
          <w:sz w:val="21"/>
          <w:szCs w:val="21"/>
          <w:highlight w:val="none"/>
        </w:rPr>
        <w:t>）</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按照日志源名称、IP地址、日志源类型、接受时间及状态等维度对日志源列表进行排序；支持为日志源指定类型、名称、IP地址、以及日志源启停状态等属性信息；支持基于拓扑图的日志源相关数据信息快速查看；支持通过拓扑下钻查看对应日志源的日志、报表、告警数据。</w:t>
      </w:r>
    </w:p>
    <w:p>
      <w:pPr>
        <w:widowControl/>
        <w:adjustRightInd w:val="0"/>
        <w:snapToGrid w:val="0"/>
        <w:ind w:firstLine="482"/>
        <w:textAlignment w:val="center"/>
        <w:rPr>
          <w:rFonts w:ascii="宋体" w:hAnsi="宋体"/>
          <w:b/>
          <w:color w:val="auto"/>
          <w:szCs w:val="21"/>
          <w:highlight w:val="none"/>
        </w:rPr>
      </w:pPr>
      <w:r>
        <w:rPr>
          <w:rFonts w:hint="eastAsia" w:ascii="宋体" w:hAnsi="宋体"/>
          <w:b/>
          <w:color w:val="auto"/>
          <w:szCs w:val="21"/>
          <w:highlight w:val="none"/>
        </w:rPr>
        <w:t>（4）主机安全防护（终端威胁防御系统）</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产品形态：系统支持中/英文界面，系统部署采用C/S架构，管理采用B/S架构，管理员只需通过浏览器登录控制中心，即可对系统进行管理。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支持CentOS7.6及以上版本、Windows server2008R2及以上版本；</w:t>
      </w:r>
    </w:p>
    <w:p>
      <w:pPr>
        <w:pStyle w:val="91"/>
        <w:adjustRightInd w:val="0"/>
        <w:snapToGrid w:val="0"/>
        <w:ind w:left="480" w:firstLine="420"/>
        <w:textAlignment w:val="center"/>
        <w:rPr>
          <w:rFonts w:ascii="宋体" w:hAnsi="宋体" w:eastAsia="宋体" w:cs="Times New Roman"/>
          <w:bCs/>
          <w:color w:val="auto"/>
          <w:kern w:val="0"/>
          <w:sz w:val="21"/>
          <w:szCs w:val="21"/>
          <w:highlight w:val="none"/>
        </w:rPr>
      </w:pPr>
      <w:r>
        <w:rPr>
          <w:rFonts w:hint="eastAsia" w:ascii="宋体" w:hAnsi="宋体" w:eastAsia="宋体"/>
          <w:bCs/>
          <w:color w:val="auto"/>
          <w:kern w:val="0"/>
          <w:sz w:val="21"/>
          <w:szCs w:val="21"/>
          <w:highlight w:val="none"/>
        </w:rPr>
        <w:t>为节省客户资源，客户端安装后至多占用50M硬盘资源，日常内存占用不到50M，有效节省PC/Server资源。</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支持级联部署及管理，可实时查看下级终端威胁及在线情况，上级可对下级灵活分配授权，同时可实现分级管理中心能够通过一级管理中心升级病毒库和客户端版本；</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设置诱饵文件并实时监控，当勒索病毒对该文件进行加密操作时进行拦截。</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系统加固：对系统关键位置进行防护，阻止无文本攻击、流氓软件、广告程序对系统的恶意篡改等行为。从系统文件保护、病毒免疫、进程保护、注册表保护、危险动作拦截、执行防护等多个维度对系统进行防护。（提供产品功能演示截图证明）</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文档检测：持文档检测功能，针对终端存储的word、pdf、ppt、Excel、rtf、txt等文档的名称、内容进行包含关键字检查，对含有指定关键字的文档进行禁止发送、禁止拷贝等管控，消息提醒的同时将文档违规信息上报管理平台。（提供产品功能演示截图证明）</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微隔离策略：支持微隔离策略包括但不限于通过协议（TCP、UDP、ICMP、IGMP、GGP、PUP、IDP、ND、ESP、AH、RDP、GRE、SKIP、RAW），端口号，IP地址、流量方向等配置对终端/终端组之间的访问进行控制。（提供产品功能演示截图证明）</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远程控制，通过管理中心实现对客户端的远程运维；支持对终端内部文件进行全盘扫描、快速扫描，自定义扫描三种扫描能力，同时支持错峰扫描；支持病毒自动隔离备份功能，客户端能自动将病毒文件隔离到本地隔离区，同时支持恢复隔离文件；</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支持文档防泄漏功能，针对终端存储的word、pdf、ppt、Excel、rtf、txt等文档的名称、内容进行包含关键字检查，对含有指定关键字的文档进行禁止发送、禁止拷贝等管控，消息提醒的同时将文档违规信息上报管理平台；（</w:t>
      </w:r>
      <w:r>
        <w:rPr>
          <w:rFonts w:hint="eastAsia" w:ascii="宋体" w:hAnsi="宋体" w:eastAsia="宋体"/>
          <w:bCs/>
          <w:color w:val="auto"/>
          <w:kern w:val="0"/>
          <w:sz w:val="21"/>
          <w:szCs w:val="21"/>
          <w:highlight w:val="none"/>
          <w:lang w:eastAsia="zh-CN"/>
        </w:rPr>
        <w:t>提供产品功能演示截图证明</w:t>
      </w:r>
      <w:r>
        <w:rPr>
          <w:rFonts w:hint="eastAsia" w:ascii="宋体" w:hAnsi="宋体" w:eastAsia="宋体"/>
          <w:bCs/>
          <w:color w:val="auto"/>
          <w:kern w:val="0"/>
          <w:sz w:val="21"/>
          <w:szCs w:val="21"/>
          <w:highlight w:val="none"/>
        </w:rPr>
        <w:t>）</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设备联动：能够与同品牌的防火墙、态势感知和准入实现协同联动。</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实际配置：20个Windows PC客户端防病毒功能授权、3个WindowsServer客户端防病毒功能授权</w:t>
      </w:r>
    </w:p>
    <w:p>
      <w:pPr>
        <w:widowControl/>
        <w:adjustRightInd w:val="0"/>
        <w:snapToGrid w:val="0"/>
        <w:ind w:firstLine="482"/>
        <w:textAlignment w:val="center"/>
        <w:rPr>
          <w:rFonts w:ascii="宋体" w:hAnsi="宋体"/>
          <w:b/>
          <w:color w:val="auto"/>
          <w:szCs w:val="21"/>
          <w:highlight w:val="none"/>
        </w:rPr>
      </w:pPr>
      <w:r>
        <w:rPr>
          <w:rFonts w:hint="eastAsia" w:ascii="宋体" w:hAnsi="宋体"/>
          <w:b/>
          <w:color w:val="auto"/>
          <w:szCs w:val="21"/>
          <w:highlight w:val="none"/>
        </w:rPr>
        <w:t>（5）边界防火墙</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性能要求：防火墙吞吐率≥2.5Gbps，并发连接数≥50万；</w:t>
      </w:r>
      <w:r>
        <w:rPr>
          <w:rFonts w:hint="eastAsia" w:ascii="宋体" w:hAnsi="宋体" w:eastAsia="宋体" w:cs="Arial"/>
          <w:bCs/>
          <w:color w:val="auto"/>
          <w:kern w:val="0"/>
          <w:sz w:val="21"/>
          <w:szCs w:val="21"/>
          <w:highlight w:val="none"/>
        </w:rPr>
        <w:t>接口配置：</w:t>
      </w:r>
      <w:r>
        <w:rPr>
          <w:rFonts w:hint="eastAsia" w:ascii="宋体" w:hAnsi="宋体" w:eastAsia="宋体"/>
          <w:bCs/>
          <w:color w:val="auto"/>
          <w:kern w:val="0"/>
          <w:sz w:val="21"/>
          <w:szCs w:val="21"/>
          <w:highlight w:val="none"/>
        </w:rPr>
        <w:t>1U机箱，配置为6个10/100/1000BASE-T接口。</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cs="Arial"/>
          <w:bCs/>
          <w:color w:val="auto"/>
          <w:kern w:val="0"/>
          <w:sz w:val="21"/>
          <w:szCs w:val="21"/>
          <w:highlight w:val="none"/>
        </w:rPr>
        <w:t>要求支持防火墙芯片硬件加速技术，实现硬件资源充分利用，保障设备处理效率；</w:t>
      </w:r>
      <w:r>
        <w:rPr>
          <w:rFonts w:hint="eastAsia" w:ascii="宋体" w:hAnsi="宋体" w:eastAsia="宋体" w:cs="Arial"/>
          <w:bCs/>
          <w:color w:val="auto"/>
          <w:kern w:val="0"/>
          <w:sz w:val="21"/>
          <w:szCs w:val="21"/>
          <w:highlight w:val="none"/>
          <w:lang w:eastAsia="zh-CN"/>
        </w:rPr>
        <w:t>提供第三方证明材料</w:t>
      </w:r>
      <w:r>
        <w:rPr>
          <w:rFonts w:hint="eastAsia" w:ascii="宋体" w:hAnsi="宋体" w:eastAsia="宋体" w:cs="Arial"/>
          <w:bCs/>
          <w:color w:val="auto"/>
          <w:kern w:val="0"/>
          <w:sz w:val="21"/>
          <w:szCs w:val="21"/>
          <w:highlight w:val="none"/>
        </w:rPr>
        <w:t>；</w:t>
      </w:r>
      <w:r>
        <w:rPr>
          <w:rFonts w:hint="eastAsia" w:ascii="宋体" w:hAnsi="宋体" w:eastAsia="宋体"/>
          <w:bCs/>
          <w:color w:val="auto"/>
          <w:kern w:val="0"/>
          <w:sz w:val="21"/>
          <w:szCs w:val="21"/>
          <w:highlight w:val="none"/>
        </w:rPr>
        <w:t xml:space="preserve"> </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稳定可靠：为保证系统软件设计全面性、保密性、完整性，要求招标产品系统遵从行业标准和政府法规，产品符合 CNITSEC-SP-01 测评准则，</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为保障系统运行的可靠性与稳定性，要求信息安全设备、系统软件的开发、生产符合TL9000-HSV R5.0/5.0标准。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媒体业务接入：</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要求支持H.323、SIP等媒体协议，符合GB/T 28181-2016《安全防范视频监控联网系统信息传输、交换、控制技术要求》及TC/OP（XZ）2B-185-2017相关技术要求。</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访问控制：</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支持一体化安全策略配置，可以通过一条策略实现五元组信息源MAC、域名、地理区域、应用、服务、并发会话、WEB认证、IPS、AV、URL过滤、WAF、邮件安全、数据过滤、审计、防代理、APT等功能配置，简化用户管理；</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为提升运维效率，降低运维成本，要求提供策略分析功能，支持策略命中分析、策略冗余分析、策略冲突检查、策略包含分析，可在WEB界面显示检测结果。</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提供策略查询功能，支持五元组快速查询以及针对策略名、源/目的区域、源/目的地址、服务、对象等条件进行细粒度查询。</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高可靠性：</w:t>
      </w:r>
    </w:p>
    <w:p>
      <w:pPr>
        <w:pStyle w:val="91"/>
        <w:adjustRightInd w:val="0"/>
        <w:snapToGrid w:val="0"/>
        <w:ind w:left="480" w:firstLine="420"/>
        <w:textAlignment w:val="center"/>
        <w:rPr>
          <w:rFonts w:ascii="宋体" w:hAnsi="宋体" w:eastAsia="宋体"/>
          <w:bCs/>
          <w:color w:val="auto"/>
          <w:kern w:val="0"/>
          <w:sz w:val="21"/>
          <w:szCs w:val="21"/>
          <w:highlight w:val="none"/>
        </w:rPr>
      </w:pPr>
      <w:r>
        <w:rPr>
          <w:rFonts w:hint="eastAsia" w:ascii="宋体" w:hAnsi="宋体" w:eastAsia="宋体"/>
          <w:bCs/>
          <w:color w:val="auto"/>
          <w:kern w:val="0"/>
          <w:sz w:val="21"/>
          <w:szCs w:val="21"/>
          <w:highlight w:val="none"/>
        </w:rPr>
        <w:t>负载均衡：支持用户服务器的负载均衡，保证用户关键服务的有效性；防火墙在链路高数据量情况下，可以实现防火墙网络地址转换动态负载均衡，</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pStyle w:val="91"/>
        <w:adjustRightInd w:val="0"/>
        <w:snapToGrid w:val="0"/>
        <w:ind w:left="480" w:firstLine="560"/>
        <w:textAlignment w:val="center"/>
        <w:rPr>
          <w:rFonts w:ascii="宋体" w:hAnsi="宋体" w:eastAsia="宋体"/>
          <w:bCs/>
          <w:color w:val="auto"/>
          <w:kern w:val="0"/>
          <w:sz w:val="21"/>
          <w:szCs w:val="21"/>
          <w:highlight w:val="none"/>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冗余备份：支持AS、AA、连接保护等多种设备高可用机制并支集群部署。</w:t>
      </w:r>
    </w:p>
    <w:p>
      <w:pPr>
        <w:pStyle w:val="91"/>
        <w:adjustRightInd w:val="0"/>
        <w:snapToGrid w:val="0"/>
        <w:ind w:left="480" w:firstLine="560"/>
        <w:textAlignment w:val="center"/>
        <w:rPr>
          <w:bCs/>
          <w:color w:val="auto"/>
          <w:sz w:val="21"/>
          <w:szCs w:val="21"/>
          <w:highlight w:val="none"/>
          <w:lang w:bidi="ar"/>
        </w:rPr>
      </w:pPr>
      <w:r>
        <w:rPr>
          <w:rFonts w:hint="eastAsia" w:ascii="宋体" w:hAnsi="宋体" w:cs="宋体"/>
          <w:color w:val="auto"/>
          <w:szCs w:val="21"/>
          <w:highlight w:val="none"/>
          <w:lang w:bidi="ar"/>
        </w:rPr>
        <w:t>▲</w:t>
      </w:r>
      <w:r>
        <w:rPr>
          <w:rFonts w:hint="eastAsia" w:ascii="宋体" w:hAnsi="宋体" w:eastAsia="宋体"/>
          <w:bCs/>
          <w:color w:val="auto"/>
          <w:kern w:val="0"/>
          <w:sz w:val="21"/>
          <w:szCs w:val="21"/>
          <w:highlight w:val="none"/>
        </w:rPr>
        <w:t>操作系统：可在发生系统故障时，实现系统自动修复。</w:t>
      </w:r>
      <w:r>
        <w:rPr>
          <w:rFonts w:hint="eastAsia" w:ascii="宋体" w:hAnsi="宋体" w:eastAsia="宋体"/>
          <w:bCs/>
          <w:color w:val="auto"/>
          <w:kern w:val="0"/>
          <w:sz w:val="21"/>
          <w:szCs w:val="21"/>
          <w:highlight w:val="none"/>
          <w:lang w:eastAsia="zh-CN"/>
        </w:rPr>
        <w:t>提供第三方证明材料</w:t>
      </w:r>
      <w:r>
        <w:rPr>
          <w:rFonts w:hint="eastAsia" w:ascii="宋体" w:hAnsi="宋体" w:eastAsia="宋体"/>
          <w:bCs/>
          <w:color w:val="auto"/>
          <w:kern w:val="0"/>
          <w:sz w:val="21"/>
          <w:szCs w:val="21"/>
          <w:highlight w:val="none"/>
        </w:rPr>
        <w:t>。</w:t>
      </w:r>
    </w:p>
    <w:p>
      <w:pPr>
        <w:pStyle w:val="93"/>
        <w:rPr>
          <w:bCs/>
          <w:color w:val="auto"/>
          <w:highlight w:val="none"/>
        </w:rPr>
      </w:pPr>
      <w:r>
        <w:rPr>
          <w:rFonts w:hint="eastAsia"/>
          <w:color w:val="auto"/>
          <w:highlight w:val="none"/>
        </w:rPr>
        <w:t>软件平台</w:t>
      </w:r>
    </w:p>
    <w:p>
      <w:pPr>
        <w:pStyle w:val="96"/>
        <w:rPr>
          <w:color w:val="auto"/>
          <w:highlight w:val="none"/>
        </w:rPr>
      </w:pPr>
      <w:r>
        <w:rPr>
          <w:rFonts w:hint="eastAsia"/>
          <w:color w:val="auto"/>
          <w:highlight w:val="none"/>
        </w:rPr>
        <w:t>数据资源体系</w:t>
      </w:r>
    </w:p>
    <w:p>
      <w:pPr>
        <w:pStyle w:val="98"/>
        <w:rPr>
          <w:bCs/>
          <w:color w:val="auto"/>
          <w:highlight w:val="none"/>
        </w:rPr>
      </w:pPr>
      <w:r>
        <w:rPr>
          <w:rFonts w:hint="eastAsia"/>
          <w:color w:val="auto"/>
          <w:highlight w:val="none"/>
        </w:rPr>
        <w:t>数据资源目录梳理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根据国家《政务信息资源目录编制指南》、《浙江省公共数据资源目录编制规范》和上虞区公共数据有关规定等规范和要求，结合管理部门设置和业务划分情况，梳理水利数据资源目录。具体包括以下工作任务：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1、数据资源现状整编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通过对业务、数据和信息化情况的全面调查，掌握整体情况，理清现状数据类型和属性，明确资源数量、状态和来源，形成数据资源初级目录。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2、数据资源细化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将初级目录中的数据资源细化到文档表单和重要指标项；梳理内部、上下级和跨部门的数据资源共享需求，并将需求反映到数据资源目录中，形成统一规范的数据资源目录，为实现数据资源共享交换提供基础支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3、编制数据资源管理责任清单。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明确数据资源的采集、共享、更新、维护的责任单位、责任界定、管理要求以及各个工作环节，确定数据资源管理责任清单，实现数据资源采集、共享、更新、维护的长效机制。</w:t>
      </w:r>
    </w:p>
    <w:p>
      <w:pPr>
        <w:pStyle w:val="98"/>
        <w:rPr>
          <w:bCs/>
          <w:color w:val="auto"/>
          <w:highlight w:val="none"/>
        </w:rPr>
      </w:pPr>
      <w:r>
        <w:rPr>
          <w:rFonts w:hint="eastAsia"/>
          <w:color w:val="auto"/>
          <w:highlight w:val="none"/>
        </w:rPr>
        <w:t>数据前置库建设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按照水利信息资源标准规范和统一数据要求，结合核心业务梳理和水利资源目录梳理成果，开展数据库表结构设计，编制水利数据字典，生成标准数据库脚本。主要包括以下6类：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1、基础库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用于存储变动不频繁的、公用程度高的水利对象的基础信息，如水利工程、监测站点、功能区等对象的基础属性数据，包括名录、特征值、基本信息等。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2、业务库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用于存储随时间变化会产生增量的监测数据、业务数据等，如水雨情、工情等实时监测数据，巡查记录、运行台账等业务数据。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3、主题库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用于存储通过面向某一主题，可跨业务领域定时作业计算的数据分析成果，如统计水位与雨量、统计巡查率等。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4、空间库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用于存储各类水利对象的空间位置数据。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5、交换库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用于存储与外部数据源交换的临时数据，包括数据仓向外部共享的数据和从外部归集的数据。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6、元数据库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用于存储数据资源目录，及其数据的变更记录等。</w:t>
      </w:r>
    </w:p>
    <w:p>
      <w:pPr>
        <w:pStyle w:val="98"/>
        <w:rPr>
          <w:bCs/>
          <w:color w:val="auto"/>
          <w:highlight w:val="none"/>
        </w:rPr>
      </w:pPr>
      <w:r>
        <w:rPr>
          <w:rFonts w:hint="eastAsia"/>
          <w:color w:val="auto"/>
          <w:highlight w:val="none"/>
        </w:rPr>
        <w:t>数据共享与交换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利用省水利数据共享交换平台，开展数据资源目录整理及维护、基础数据管理与维护、数据共享交换等工作。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1、数据资源目录整理及维护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和省级数据资源目录保持统一规范，满足省区县数据一致的要求，采用省级统建数据资源目录管理模块，在省级资源目录的基础上，根据本地的数据情况增加本地的数据资源，继承省级数据资源目录的数据资源信息，并和省级数据仓保持同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2、基础数据管理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仓库建成后，基础数据的更新维护是水利数据管理的重点，需要建立规范的数据更新流程，明确数据维护部门责任，做到“一数一源”。所有数据的更新维护都遵循“按职维护”，数据的更新维护由数据责任部门负责。通过统一的数据管理模块，按照统一的数据标准与格式来进行数据的生产、维护和更新，通过数据审核机制保障数据的准确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采用省级数据仓提供的全省基础数据管理模块，进行省级水利数据仓统一要求的基础数据管理与维护，确保省级统一要求的基础数据按照省级统一要求进行维护管理，保障数据的规范性和有效性。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3、数据共享交换服务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（1）数据服务管理模块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直接采用省级数据服务管理模块，实现数据服务注册、发布、调用、监控的统一管理。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（2）数据服务建设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基于上虞区水利数据仓，建设虞东河湖基础数据共享交换服务，实现与省、市两级水利数据仓的基础数据共享交换，以及与市大数据发展中心的数据共享交换。其中省级水利数据仓中的基础数据共享交换服务，直接使用省级服务即可。业务应用的数据服务在业务应用建设过程中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与省、县（市、区）水利数据仓数据交换。虞东河湖综合数据库通过行业数据归集模块，按既定数据格式和共享需求，推送数据至省级、区级数据仓，同时可向省级申请数据共享授权，将省级、区级数据共享至市水利数据仓，实现水利数据“一数一源、共享交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与上虞区大数据发展中心的共享交换。定义数据同步任务，定期将水利数据仓的数据推送至大数据发展中心的数据平台中；结合水管理平台业务需求，按照公共数据共享交换规定，向公共数据平台提出数据共享需求，实现水利数据仓与公共数据平台共享交换。</w:t>
      </w:r>
    </w:p>
    <w:p>
      <w:pPr>
        <w:pStyle w:val="98"/>
        <w:rPr>
          <w:bCs/>
          <w:color w:val="auto"/>
          <w:highlight w:val="none"/>
        </w:rPr>
      </w:pPr>
      <w:r>
        <w:rPr>
          <w:rFonts w:hint="eastAsia"/>
          <w:color w:val="auto"/>
          <w:highlight w:val="none"/>
        </w:rPr>
        <w:t>数据初始化与汇聚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对数据资源（包括实时数据、基础数据和业务数据）进行初始化和汇聚，包括数据抽取、汇聚、清洗转换、数据编码入库，并将已经汇入省级数据仓的数据资源同步至区级水利数据仓。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1、数据抽取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现有自建业务系统数据抽取。从数字化管理平台、数字水网业务场景等自建业务系统中抽取数据。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2、数据汇聚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完成各种途径数据抽取并同步至汇聚库，确保汇聚库与各数据源数据一致性、及时性。其中汇聚库是数据抽取汇聚过程中一个过渡库，也称暂存库，不参与具体业务数据分析，主要为了辅助抽取和汇聚工作。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3、数据清洗</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按照数据清洗、抽取规则，通过数据清洗工具，并辅以人工判断，完成业务应用系统水利业务数据的清洗、整合。数据清洗是在数据抽取汇聚的基础上，对采集的数据进行清洗、整理、筛选，数据的清洗包括系统自动审核和人工审核两部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4、数据加载入库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将清洗后的数据根据预先设置好数据源和目标对应表，将数据写入到数据仓指定表，为统计分析和决策分析统计打下数据基础。</w:t>
      </w:r>
    </w:p>
    <w:p>
      <w:pPr>
        <w:pStyle w:val="98"/>
        <w:rPr>
          <w:bCs/>
          <w:color w:val="auto"/>
          <w:highlight w:val="none"/>
        </w:rPr>
      </w:pPr>
      <w:r>
        <w:rPr>
          <w:rFonts w:hint="eastAsia"/>
          <w:color w:val="auto"/>
          <w:highlight w:val="none"/>
        </w:rPr>
        <w:t>数据基础维护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根据数据更新的频率、数据来源不同，建立不同数据汇集平台。通过打通数据汇集渠道，为工程数据中心保持“活力”提供持续的数据来源。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1、实时数据采集汇聚入库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统一的数据接口标准，可汇集并共享包括基础信息、实时监测数据、业务数据、空间地理数据及多媒体数据在内的多类数据，对非标准的数据根据标准进行转换。同时保障数据的更新，实现数据汇集共享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2、外部系统数据汇集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（1）数据传输机制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自动化系统的建设需要通过Internet网络采集数据信息，这在内网上难以实现。互联网数据自动采集通道将部署在管理网上，在现有安全保证基础上，配套建设应用系统数据传输同时需考虑加密措施，利用管理网进行数据采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（2）数据搜集整理与录入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数据收集整理与入库是一项重要的基础性工作。数据收集整编与入库需要协同工程水管单位，收集、获取相关数据资料，实现数据整编入库。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1）需要整编的数据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① 历史水雨情数据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历史雨量数据、水位、流量数据等。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② 调度数据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各工程的调度情况。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③ 工程成果数据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工程基本信息、工程照片、工程的文档资料等基础数据。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④ 工程基础数据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工程基本信息、工程特性、安全责任人、安全管理范围线、管理设施、标识标牌、图表图纸等。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⑤ 维修养护数据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各工程的维养项目、设备设施、年度计划等。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⑥ 应急管理数据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各工程的应急预案、防汛物资、险情信息等基础数据。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⑦ 安全监测数据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安全监测点、监测项目、监测数据等。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⑧ 水质监测数据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水质监测点、水质数据等。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2）数据整理要求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汇总各工程数据调查时收集的《工程数据收集整编表》，并进行分门别类整理。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根据《水利信息化技术标准体系—水利工程信息分类与编码》对《工程数据收集整编表》中的数据进行整理，形成能够批量录入的格式。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根据《水利信息化技术标准体系一水利信息存储技术标准编制说明》对收集到的工程图纸、档案文档、音像资料文档进行整理，并建立对照表，形成能够批量录入的格式。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对收集到的空间资料进行分类整理。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形成《工程数据收集整理录入成果》。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3）数据整编入库与更新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① 数据入库资料数据整编入库按照如下步骤进行：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数据整编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根据数据内容确定数据库存储数据库表，并按照标准数据库表结构设计数据导入电子表格（EXCEL格式）。将资料数据按照电子表格要求，填入各个数据项。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数据校核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将填报完成的电子表格数据与原始资料进行核对，确保数据的准确性，提高数据入库质量。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数据入库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利用数据库管理工具，将电子表格数据导入相应的数据库表中。</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Ø</w:t>
      </w:r>
      <w:r>
        <w:rPr>
          <w:rFonts w:hint="eastAsia" w:ascii="宋体" w:hAnsi="宋体" w:cs="宋体"/>
          <w:color w:val="auto"/>
          <w:szCs w:val="21"/>
          <w:highlight w:val="none"/>
          <w:lang w:bidi="ar"/>
        </w:rPr>
        <w:tab/>
      </w:r>
      <w:r>
        <w:rPr>
          <w:rFonts w:hint="eastAsia" w:ascii="宋体" w:hAnsi="宋体" w:cs="宋体"/>
          <w:color w:val="auto"/>
          <w:szCs w:val="21"/>
          <w:highlight w:val="none"/>
          <w:lang w:bidi="ar"/>
        </w:rPr>
        <w:t>数据审核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对入库的资料数据，通过数据中心的数据发布功能，与原始资料进行校对，完成数据入库。</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② 数据更新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数据更新采用定期更新的方式。对新产生的资料数据，按照历史数据的入库方式，完成整编、校核、入库和审核各个过程，实现数据的更新。</w:t>
      </w:r>
    </w:p>
    <w:p>
      <w:pPr>
        <w:pStyle w:val="96"/>
        <w:rPr>
          <w:color w:val="auto"/>
          <w:highlight w:val="none"/>
        </w:rPr>
      </w:pPr>
      <w:r>
        <w:rPr>
          <w:rFonts w:hint="eastAsia"/>
          <w:color w:val="auto"/>
          <w:highlight w:val="none"/>
        </w:rPr>
        <w:t>应用支撑体系</w:t>
      </w:r>
    </w:p>
    <w:p>
      <w:pPr>
        <w:pStyle w:val="98"/>
        <w:rPr>
          <w:bCs/>
          <w:color w:val="auto"/>
          <w:highlight w:val="none"/>
        </w:rPr>
      </w:pPr>
      <w:r>
        <w:rPr>
          <w:rFonts w:hint="eastAsia"/>
          <w:color w:val="auto"/>
          <w:highlight w:val="none"/>
        </w:rPr>
        <w:t>数据报表组件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报表作为一种重要的信息载体，在信息管理过程中起着至关重要的作用，是各种信息系统不可缺少的重要组成部分。信息化常见的展现形式主要有饼图、条状图以及折线图等等。在多数应用系统中图表的展现样式都是固定不可变的，无法在特定环境下灵活的以形式多样的图表或报表展现来满足实际的业务需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由于不同的业务需求，可以通过制定通用的图表绘制组件，实现对指定数据源进行多种图表展现方式的灵活切换，建立完整的基于服务器后台的报表管理组件。同时还可建立、管理、发布传统的基于纸张的报表或者交互的报表，实现日常业务报表服务以及决策分析报表的生成，对本项目提供重要的数据聚合分析支持。</w:t>
      </w:r>
    </w:p>
    <w:p>
      <w:pPr>
        <w:pStyle w:val="98"/>
        <w:rPr>
          <w:bCs/>
          <w:color w:val="auto"/>
          <w:highlight w:val="none"/>
        </w:rPr>
      </w:pPr>
      <w:r>
        <w:rPr>
          <w:rFonts w:hint="eastAsia"/>
          <w:color w:val="auto"/>
          <w:highlight w:val="none"/>
        </w:rPr>
        <w:t>短信服务组件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短信组件向外部提供各个功能的调用接口，并以事件的方式通知短信收发状况。在系统中使用定时器自动进行短信的收发，通过定时器可以在用户设定的间隔时间内进行收发，并使用多线程技术，使用线程池线程在后台自动收发，避免对主线程造成堵塞。采用事件通知机制通知消息的收发结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短信业务数据的统计和分析是加强网络管理部门和业务管理部门的管理能力的重要措施，要求系统能对各OMC（操作维护中心）的业务数据进行统一采集、统一格式化并入库，然后按照不同的分析要求，形成有针对性的数据集市，并在数据集市上形成多种分析主题：对业务量按照不同日期分析；对业务量按照一天不同时间分析；对业务按照地区量分析；对来自不同网关的短信数据分析，从而实现对短信业务数据的高效处理。</w:t>
      </w:r>
    </w:p>
    <w:p>
      <w:pPr>
        <w:pStyle w:val="98"/>
        <w:rPr>
          <w:bCs/>
          <w:color w:val="auto"/>
          <w:highlight w:val="none"/>
        </w:rPr>
      </w:pPr>
      <w:r>
        <w:rPr>
          <w:rFonts w:hint="eastAsia"/>
          <w:color w:val="auto"/>
          <w:highlight w:val="none"/>
        </w:rPr>
        <w:t>五统一建设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根据《浙江省水管理平台总体方案》要求，虞东河湖综合整治工程数字化系统将按照“五统一”标准进行建设。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统一门户：按统一门户建设指南，基于省级水管理平台门户框架及规范，将完善好的虞东河湖综合整治工程数字化系统与省水管理平台门户进行对接，构建省、市、区协同的统一工作平台。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统一用户：虞东河湖综合整治工程数字化系统各业务应用中的用户接口基于省平台提供的统一用户认证体系、省市区三级统一用户接口。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统一地图：根据应用场景的需要，在统一调用浙江省水利一张图的基础上，调用水利工程信息、河湖库信息等，聚合形成满足场景分析和业务应用的地图数据。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统一数据：搭建虞东河湖综合整治工程数字化系统水利数据前置库，实现省、市、区三级数据仓之间的数据共享交换。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统一安全：开展虞东河湖综合整治工程数字化系统网络安全保障体系建设，同步开展安全二级等级保护测评等工作。</w:t>
      </w:r>
    </w:p>
    <w:p>
      <w:pPr>
        <w:pStyle w:val="98"/>
        <w:rPr>
          <w:bCs/>
          <w:color w:val="auto"/>
          <w:highlight w:val="none"/>
        </w:rPr>
      </w:pPr>
      <w:r>
        <w:rPr>
          <w:rFonts w:hint="eastAsia"/>
          <w:color w:val="auto"/>
          <w:highlight w:val="none"/>
        </w:rPr>
        <w:t>工程三维模型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为了工程数字化管理需要，构建三维数字化模型，并在此基础上架构功能应用。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次工程主要建筑物包括湖泊、河道、隧洞工程、桥梁工程、水闸等，针对六湖河湖周边大场景进行高精度遥感建模，并对六湖湖泊库区进行倾斜摄影测量，建立水利工程仿真三维模型，针对工程建设主体内容及水闸进行3Dmax模型的建设，运用三维融合技术将遥感模型、倾斜摄影模型、3Dmax模型进行轻量化融合发布，形成本项目工程三维数字化模型。</w:t>
      </w:r>
    </w:p>
    <w:p>
      <w:pPr>
        <w:pStyle w:val="100"/>
        <w:rPr>
          <w:color w:val="auto"/>
          <w:highlight w:val="none"/>
        </w:rPr>
      </w:pPr>
      <w:r>
        <w:rPr>
          <w:rFonts w:hint="eastAsia"/>
          <w:color w:val="auto"/>
          <w:highlight w:val="none"/>
        </w:rPr>
        <w:t>周边大场景高精度遥感建模</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1、大场景的构建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1）建模范围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利用卫星遥感技术构建六湖湖泊周边大场景，建立包含以皂李湖、白马湖、小越湖、孔家岙泊、东泊、西泊为主体的流域范围（120平方公里）以及方圆不小于10平方公里周边的1:1实体的三维立体虚拟空间。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要素组成：应能完整地表现出工程附近的真实地理环境，建模的要素包含但不限于建筑物、山体、道路、绿化、路灯等。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2）精度要求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模型精度满足《三维地理信息模型数据产品规范》（CH/T9015-2012）中对于三维模型可视化表达的要求的及处理后的三维模型数据要求；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数据组织要求：建筑模型要求根据建筑实体逐一对象化，并分类、命名编号、存储。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2、大场景的优化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基于GIS平台创建三维地形场景，为了更好的展示可视化三维效果，需要对三维场景的展示进行优化。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（1）影像数据预处理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影像数据可选用可收集到的最新影像数据以及无人机航拍的影像数据。对于收集到的影像数据需要预处理，主要包含影像数据的格式转换、坐标系统建立及转换、影像几何校正、影像裁剪、影像匀光匀色、影像镶嵌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（2）地形数据预处理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地形数据可选用1:10000的基础地理数据，局部采用1:2000基础地理数据，结合可收集到的DEM（数字高程模型）数据。为了构建精细化地形数据，需要对以上数据进行预处理，处理过程包含异常值去除、地形校正、地形拼接、创建TIN、地形填洼、地形修改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（3）影像与地形的融合。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GIS平台，导入处理后的影像数据和地形数据，根据工程展示精度要求，对数据进行地理参数设置、色彩直方图调整、场景范围裁切、高程设置等。最后建立影像和地形的缓存文件，便于流畅分级展示三维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首先采用GIS平台对卫星影像、无人机拍摄影片、数字高程模型等进行数据预处理，构建三维地表场景，实现三维GIS的初步搭建。对于处理并搭建好的三维地表场景，在GIS平台进行发布，并提供给三维可视化平台系统，对三维大场景进行展示。</w:t>
      </w:r>
    </w:p>
    <w:p>
      <w:pPr>
        <w:pStyle w:val="100"/>
        <w:rPr>
          <w:color w:val="auto"/>
          <w:highlight w:val="none"/>
        </w:rPr>
      </w:pPr>
      <w:r>
        <w:rPr>
          <w:rFonts w:hint="eastAsia"/>
          <w:color w:val="auto"/>
          <w:highlight w:val="none"/>
        </w:rPr>
        <w:t>倾斜摄影模型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1、倾斜摄影模型的构建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1）建模范围</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基于航空倾斜摄影技术，构建包含皂李湖、白马湖、小越湖、孔家岙泊、东泊、西泊的倾斜摄影模型，模型应能完整地表现出工程附近的真实地理环境，包含但不限于建筑物、山体、地形、道路、绿化、路灯等，实体侧面纹理可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2）精度要求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平面精度：模型相对于邻近控制点的平面中误差不大于0.5米。</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高程精度：模型基准面高程相对于邻近控制点的高程中误差不大于0.3米。</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DSM格网尺寸为0.5米；平地高程中误差0.37米，丘陵高程中误差0.75米；山地高程精度中误差1.05米；高山高程精度中误差1.5米；</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DOM地面分辨率优于0.1米；平面精度不低于0.3米；数字正射影像图与相邻影像图接边误差不应大于1个像元。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2、数据处理及建模指标要求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（1）外业航摄要求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为保证模型成果完整性。针对带状区域，外扩比例需适当放大，总体外扩范围应以保证测区模型完整性为准。相片航向重叠度不低于80%，旁向重叠度不低于70%，需满足倾斜摄影建模的要求。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（2）像控点布设要求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整个测区的像控点布设满足《GB/T 7931-2008 1:500 1:1000 1:2000 地形图航空摄影测量外业规范》，且在像控点布设时一般先到合适点位，在航飞作业前采集像控点坐标。有明显标识的利用标识点作为像控点，例如采用地面道路标识线；若无明显标识线，则在硬化的路面进行喷绘像控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（3）三维模型精度要求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河道全域有水闸建筑或两岸有居民区房屋的，模型精度优于0.05m，三维建筑模型不畸变，纹理清晰自然无拉花，水面玻璃等高反光区域纹理、形态正常。</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（4）数据格式</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数据格式：osgb。三维数据应以所见即所得的方式真实反映城市原貌，所有地形、地物形状、色彩、亮度、对比度和清晰度都应是真实的。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（5）数学基础</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平面系统： CGCS2000坐标系。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高程系统：1985国家高程基准（二期）。</w:t>
      </w:r>
    </w:p>
    <w:p>
      <w:pPr>
        <w:pStyle w:val="100"/>
        <w:rPr>
          <w:color w:val="auto"/>
          <w:highlight w:val="none"/>
        </w:rPr>
      </w:pPr>
      <w:r>
        <w:rPr>
          <w:rFonts w:hint="eastAsia"/>
          <w:color w:val="auto"/>
          <w:highlight w:val="none"/>
        </w:rPr>
        <w:t>工程三维发布预处理及发布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1）工程三维轻量化预处理对大场景轻量化处理主要是对数据进行压缩及优化，以减少模型规模、降低内存使用量、加快显示速度。</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2）工程三维模型的数据偏差处理是通过统一坐标系，解决数据偏移问题，利用相关软件调整模型数据，实现平台间三维数据格式的兼容和共享性。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3）工程三维数据库构建包含倾斜摄影，全景等数据以及工程数据的管理。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4）工程三维服务构建通过3D软件对三维模型进行集成发布，并根据系统功能开发要求提供不同类型的数据格式。</w:t>
      </w:r>
    </w:p>
    <w:p>
      <w:pPr>
        <w:autoSpaceDE w:val="0"/>
        <w:autoSpaceDN w:val="0"/>
        <w:adjustRightInd w:val="0"/>
        <w:snapToGrid w:val="0"/>
        <w:spacing w:line="360" w:lineRule="auto"/>
        <w:ind w:firstLine="420" w:firstLineChars="200"/>
        <w:textAlignment w:val="baseline"/>
        <w:rPr>
          <w:rFonts w:ascii="宋体" w:hAnsi="宋体" w:cs="宋体"/>
          <w:b/>
          <w:color w:val="auto"/>
          <w:szCs w:val="21"/>
          <w:highlight w:val="none"/>
        </w:rPr>
        <w:sectPr>
          <w:pgSz w:w="11907" w:h="16840"/>
          <w:pgMar w:top="1701" w:right="1417" w:bottom="1418" w:left="1701" w:header="1304" w:footer="1134" w:gutter="0"/>
          <w:cols w:space="720" w:num="1"/>
          <w:docGrid w:type="lines" w:linePitch="527" w:charSpace="0"/>
        </w:sectPr>
      </w:pPr>
      <w:r>
        <w:rPr>
          <w:rFonts w:hint="eastAsia" w:ascii="宋体" w:hAnsi="宋体" w:cs="宋体"/>
          <w:color w:val="auto"/>
          <w:szCs w:val="21"/>
          <w:highlight w:val="none"/>
          <w:lang w:bidi="ar"/>
        </w:rPr>
        <w:t>5）工程三维服务发布轻量化三维场景，并发布三维服务数据，并实现三维地图服务的调用。</w:t>
      </w:r>
    </w:p>
    <w:p>
      <w:pPr>
        <w:pStyle w:val="96"/>
        <w:rPr>
          <w:color w:val="auto"/>
          <w:highlight w:val="none"/>
        </w:rPr>
      </w:pPr>
      <w:r>
        <w:rPr>
          <w:rFonts w:hint="eastAsia"/>
          <w:color w:val="auto"/>
          <w:highlight w:val="none"/>
        </w:rPr>
        <w:t>业务应用体系</w:t>
      </w:r>
    </w:p>
    <w:p>
      <w:pPr>
        <w:pStyle w:val="98"/>
        <w:rPr>
          <w:bCs/>
          <w:color w:val="auto"/>
          <w:highlight w:val="none"/>
        </w:rPr>
      </w:pPr>
      <w:r>
        <w:rPr>
          <w:rFonts w:hint="eastAsia"/>
          <w:color w:val="auto"/>
          <w:highlight w:val="none"/>
        </w:rPr>
        <w:t>数字化管理平台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建设虞东河湖综合整治工程数字化管理平台，平台覆盖管理责任、安全评估、运行管理、维修养护、监督检查、隐患治理、应急管理、教育培训、制度建设、考核验收等各环节，实现基础信息、综合地图、组织管理、工程信息、巡查检查、维修养护、调度运行、应急管理、办公自动化九个功能模块，实现了虞东河湖综合整治工程数字化管理。</w:t>
      </w:r>
    </w:p>
    <w:p>
      <w:pPr>
        <w:pStyle w:val="100"/>
        <w:rPr>
          <w:color w:val="auto"/>
          <w:highlight w:val="none"/>
        </w:rPr>
      </w:pPr>
      <w:r>
        <w:rPr>
          <w:rFonts w:hint="eastAsia"/>
          <w:color w:val="auto"/>
          <w:highlight w:val="none"/>
        </w:rPr>
        <w:t>综合地图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利用GIS软件平台，搭建虞东河湖综合整治工程“一张图”，包括显示行政区划、地名、公路、铁路、河流水系、居民地名称、湖泊等基本信息。在基础信息上建立水闸、工程建筑物等信息。GIS应用管理包括工程边界划分、地图漫游、缩放操作、人员定位、专题图层建设、专题数据发布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综合地图是系统应用平台最基本，也是最重要最常用的功能。综合地图基于GIS地图，提供对工程情况、水情、视频等各类信息的集中统一展示，实现虞东河湖水利工程全景情况的实时监视和历史数据查询等功能。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综合地图同时也将三维模型和倾斜摄影模型纳入进来，再基于天地图三维地图的基础上，构建工程三维地图。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综合地图的构建主要包含以下几个方面：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1、基础地理数据和水利专题数据的预处理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提取、处理、整合基础地理信息数据。根据制图底图显示的要求，处理好水系、地名、道路等基础要素信息。统一坐标系为CGCS2000，高程系为国家1985高程一期。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2、感知监测信息的预处理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接入、展示感知监测信息数据。根据一张图显示内容，对信息进行统一标准命名、空间定位、空间表结构构建、编码、空间对象关系建立统一坐标系为CGCS2000，高程系为国家1985高程一期。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3、GIS提取下垫面空间要素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GIS提取下垫面空间要素（测量整合），共享自然资源厅的地理信息系统，获取工程地形、地理地貌、河流水系等图层，包括电子地图、DEM地形图，河道、水闸等水利工程分布等信息。</w:t>
      </w:r>
    </w:p>
    <w:p>
      <w:pPr>
        <w:pStyle w:val="100"/>
        <w:rPr>
          <w:color w:val="auto"/>
          <w:highlight w:val="none"/>
        </w:rPr>
      </w:pPr>
      <w:r>
        <w:rPr>
          <w:rFonts w:hint="eastAsia"/>
          <w:color w:val="auto"/>
          <w:highlight w:val="none"/>
        </w:rPr>
        <w:t>感知监测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感知监测是基于构建的虞东河湖综合整治工程基础感知体系，对虞东河湖的水雨情信息、流量信息、图像监视信息、闸门工情信息进行整合和综合展示，实现对区域的水情监测、雨情监测、工情监测。感知监测是基于综合地图的感知监测设备信息的展示，包含以列表的形式展示感知监测设备的信息、在地图中以图标落点的形式以及弹窗的形式展示各类监测信息的详细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1、水情监测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水情监测信息在列表展示实时监测水位信息以及水位趋势，同时在地图上以过程线的方式详细最新1天、3天、7天的水位过程线，并标注超保证水及超警戒水位，可实时查看当前水位与保证、警戒水位的关系。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2、雨情监测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雨情监测在列表展示实时雨量的基础上，可通过空间分析，在地图上绘制降雨等值面。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3、闸门监测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闸门监测以信息列表和地图弹窗详细信息表展示闸门工程的重要信息，主要包含闸门的基本信息、闸门的实时开度、闸门水位、闸门监控等内容。感知监测信息为虞东河湖综合整治工程防汛、防台、防潮和生态调水等工作提供支撑。</w:t>
      </w:r>
    </w:p>
    <w:p>
      <w:pPr>
        <w:pStyle w:val="100"/>
        <w:rPr>
          <w:color w:val="auto"/>
          <w:highlight w:val="none"/>
        </w:rPr>
      </w:pPr>
      <w:r>
        <w:rPr>
          <w:rFonts w:hint="eastAsia"/>
          <w:color w:val="auto"/>
          <w:highlight w:val="none"/>
        </w:rPr>
        <w:t>工程信息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提供工程的设计指标、技术参数、缺陷及其养护处理设施状态、鉴定评级、工程建设、加固改造情况、工程大记事等信息并进行分类管理。能够对不同工程的信息进行添加、编辑、导出等操作，能够通过工程名称快速筛选工程，展示相对应工程最基本信息，包括基本信息、工程特性、图纸图表、全景图等模块。</w:t>
      </w:r>
    </w:p>
    <w:p>
      <w:pPr>
        <w:pStyle w:val="100"/>
        <w:rPr>
          <w:color w:val="auto"/>
          <w:highlight w:val="none"/>
        </w:rPr>
      </w:pPr>
      <w:r>
        <w:rPr>
          <w:rFonts w:hint="eastAsia"/>
          <w:color w:val="auto"/>
          <w:highlight w:val="none"/>
        </w:rPr>
        <w:t>设备态势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设备态势是对构建的虞东河湖综合整治工程的感知监测设备的运行态势的监测、异常问题的处理、反馈的记录，设备态势包含设备运行态势管理、测站异常发送管理、反馈中心、测站异常记录。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1、设备运行态势管理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设备运行态势管理是对当前多种类型的运行态势的管理，包含设备正常和设备异常两种状态，以列表的方式展示设备的名称、设备的态势、运行状态、设备运维消息发送状态、反馈状态。通过列表勾选异常设备，下发设备运维任务，反馈状态是设备当前异常的情况是否反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2、测站异常发送管理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测站异常发送管理是对异常的设备的发送运维消息的管理，测站异常发送管理的信息内容包含异常设备的名称、设备的类型、消息下发的时间、发送下达的运维人员、联系电话和反馈详情。</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3、反馈中心</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反馈中心是以年度的方式，通过反馈类型趋势、反馈问题统计、反馈记录这些内容，对测站异常的情况进行记录和分析，从数字的角度、统计分析的角度，分析设备容易发生的问题、哪类设备更容易在什么时间发生问题等内容，方便管理人员日常的掌握设备的态势。</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4、测站异常记录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测站异常记录是对有出现过问题的设备的进行的记录，记录的内容主要是针对设备运维处理的时长的统计分析，是对运维单位有效的监管手段。</w:t>
      </w:r>
    </w:p>
    <w:p>
      <w:pPr>
        <w:pStyle w:val="100"/>
        <w:rPr>
          <w:color w:val="auto"/>
          <w:highlight w:val="none"/>
        </w:rPr>
      </w:pPr>
      <w:r>
        <w:rPr>
          <w:rFonts w:hint="eastAsia"/>
          <w:color w:val="auto"/>
          <w:highlight w:val="none"/>
        </w:rPr>
        <w:t>巡查检查</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巡查检查主要包括巡查总览、巡查员、巡查配置、检查报告、工程观测等模块。主要对工程日常巡查、汛情检查、年度检查和特别检查的记录和管理功能；Web端能够下达检查任务；日常巡查要求通过移动终端进行记录和上报，包括巡查轨迹、现场发现问题的照片、影音资料；提供对工程检查发现问题的流程化和闭环化管理。</w:t>
      </w:r>
    </w:p>
    <w:p>
      <w:pPr>
        <w:pStyle w:val="100"/>
        <w:rPr>
          <w:color w:val="auto"/>
          <w:highlight w:val="none"/>
        </w:rPr>
      </w:pPr>
      <w:r>
        <w:rPr>
          <w:rFonts w:hint="eastAsia"/>
          <w:color w:val="auto"/>
          <w:highlight w:val="none"/>
        </w:rPr>
        <w:t>维修养护</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维修养护包括年度维修养护计划、维修养护资金、专项维修养护记录、日常维修养护记录、物业化管理等模块。实现维养项目管理、维养经费管理、维养台账管理等功能，各子模块实现查询统计，并能够将报表输出。该模块以预算管理为控制手段；对每年的所有工程的维修、养护项目进行管理，方便进行查询统计。能够对每年的维修养护项目的立项批复、实施方案、实施过程、验收等过程管理，并形成维修、养护项目管理卡。</w:t>
      </w:r>
    </w:p>
    <w:p>
      <w:pPr>
        <w:pStyle w:val="100"/>
        <w:rPr>
          <w:color w:val="auto"/>
          <w:highlight w:val="none"/>
        </w:rPr>
      </w:pPr>
      <w:r>
        <w:rPr>
          <w:rFonts w:hint="eastAsia"/>
          <w:color w:val="auto"/>
          <w:highlight w:val="none"/>
        </w:rPr>
        <w:t>调度运行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调度运行主要包括调度运行规程、调度运行记录、控运计划、放水预警方案管理、调度流程管理等模块。调度运行模块是对调度运行规程和经批复的年度控运计划进行管理，根据接收到的调度指令，按照相关规定管理手册规定的操作指南能够记录、跟踪调度指令的流转和执行过程。</w:t>
      </w:r>
    </w:p>
    <w:p>
      <w:pPr>
        <w:pStyle w:val="100"/>
        <w:rPr>
          <w:color w:val="auto"/>
          <w:highlight w:val="none"/>
        </w:rPr>
      </w:pPr>
      <w:r>
        <w:rPr>
          <w:rFonts w:hint="eastAsia"/>
          <w:color w:val="auto"/>
          <w:highlight w:val="none"/>
        </w:rPr>
        <w:t>应急管理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应急响应包括防汛物资、应急预案、备用电源、消防器材管理、应急响应记录等模块，提高应急响应启动期间各个参与者的效率，及时提醒相关岗位责任人需要处理的事物。</w:t>
      </w:r>
    </w:p>
    <w:p>
      <w:pPr>
        <w:pStyle w:val="98"/>
        <w:rPr>
          <w:bCs/>
          <w:color w:val="auto"/>
          <w:highlight w:val="none"/>
        </w:rPr>
      </w:pPr>
      <w:r>
        <w:rPr>
          <w:rFonts w:hint="eastAsia"/>
          <w:color w:val="auto"/>
          <w:highlight w:val="none"/>
        </w:rPr>
        <w:t>数字化应用场景</w:t>
      </w:r>
    </w:p>
    <w:p>
      <w:pPr>
        <w:pStyle w:val="100"/>
        <w:bidi w:val="0"/>
        <w:rPr>
          <w:color w:val="auto"/>
          <w:highlight w:val="none"/>
        </w:rPr>
      </w:pPr>
      <w:r>
        <w:rPr>
          <w:rFonts w:hint="eastAsia"/>
          <w:color w:val="auto"/>
          <w:highlight w:val="none"/>
        </w:rPr>
        <w:t>工程感知监测应用场景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1、场景描述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应用场景围绕虞东河湖防汛、防台、生态调水等业务需求。构建实时水雨情监测及预警子场景、过闸流量监测及预警子场景、工程安全监测及预警子场景、水网运行简报流转子场景、工程可视化监管子场景及二维码工程展示子场景，采集相关部门数据，运用相关业务模型、大数据分析等新技术，为虞东河湖防汛、防台、生态调水等工作提供支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2、拟解决的痛点、堵点、难点问题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解决虞东河湖管理控制中心在开展日常防汛、防台、生态调水等业务工作时缺乏一线动态实时数据问题，通过工程感知监测应用场景建设提供透彻感知的监测信息数据，打造虞东河湖自动化系统管理的“眼”用于发现问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3、跨层级、跨部门情况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工程感知监测应用场景涉及与上虞区水利局、应急局、气象局等多部门协作。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4、数据来源</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本项目自建基础设施体系数据、气象局相关接入数据、应急局相关接入数据、上虞区水管理平台相关数据等。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5、展示内容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（1）实时水雨情监测及预警子场景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展示虞东河湖区域实时雨量、最大1h、3h雨量、雨情预警、历史同期最大雨量等信息，以及降雨区域分布、降雨等值面信息和降雨迁移过程。同时，展示虞东河湖各水位站点实时水位信息、水位预警，以及主要河道的水位信息，并反映重要站点水位变化过程。另外，提供对场次暴雨累计降雨的统计分析和各类水雨情的统计分析，并通过表单、图形等各种方式进行信息的展现、预警和发布，为防汛防台提供及时准确的数据支撑。</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（2）过闸流量监测及预警子场景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集成接入虞东河湖管理控制中心所辖节制闸的过闸流量监测数据，通过相关率定模型计算获取准确的过闸流量监测数据，用于日常开闸放水、防汛、防台、生态调度等应用场景，应当过闸流量数据大于设定阀值后或者小于设定的阀值后，支持浙政钉、短信数据接口自动推送给相应的部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（3）工程安全监测及预警子场景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工程安全监测子场景挂接工程安全监测场景相关的所有工程数据，深度上从源数据、分析数据、结果报告逐层监控监管，宽度上覆盖工程建筑、设备设施、巡查巡检等，多方面统计分析，研判工程安全。</w:t>
      </w:r>
    </w:p>
    <w:p>
      <w:pPr>
        <w:pStyle w:val="100"/>
        <w:bidi w:val="0"/>
        <w:rPr>
          <w:color w:val="auto"/>
          <w:highlight w:val="none"/>
        </w:rPr>
      </w:pPr>
      <w:r>
        <w:rPr>
          <w:rFonts w:hint="eastAsia"/>
          <w:color w:val="auto"/>
          <w:highlight w:val="none"/>
        </w:rPr>
        <w:t>工程运行监管应用场景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1、场景描述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工程运行监管应用场景围绕内部运行和外部协同的发展必要性，构建河湖运行简报流转子场景、工程可视化监管子场景和二维码工程展示子场景。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2、拟解决的痛点、赌点、难点问题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新建工程运行监管应用场景，在当前标准化管理平台还以数据存储、查询、浏览为主的基础上，以破解问题为工作导向，着重解决目前“机器换人”、自动化监控未成体系等问题，提高虞东河湖综合整治工程的管理水平、管理效率、服务质量，实现河湖水系工程指挥各决策调度的网络化、</w:t>
      </w:r>
      <w:r>
        <w:rPr>
          <w:rFonts w:hint="eastAsia" w:ascii="宋体" w:hAnsi="宋体" w:cs="宋体"/>
          <w:color w:val="auto"/>
          <w:szCs w:val="21"/>
          <w:highlight w:val="none"/>
          <w:lang w:eastAsia="zh-CN" w:bidi="ar"/>
        </w:rPr>
        <w:t>自动化</w:t>
      </w:r>
      <w:r>
        <w:rPr>
          <w:rFonts w:hint="eastAsia" w:ascii="宋体" w:hAnsi="宋体" w:cs="宋体"/>
          <w:color w:val="auto"/>
          <w:szCs w:val="21"/>
          <w:highlight w:val="none"/>
          <w:lang w:bidi="ar"/>
        </w:rPr>
        <w:t>、智慧化。</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3、跨层级、跨部门情况</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工程运行监管应用场景与省水利工程运管平台、上虞区水利局等多部门进行联动协作、数据共享。</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4、展示内容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（1）工程运行简报流转子场景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能够根据区域及关键字对站点进行筛选，并根据时间段对报表内容进行筛选。报表包括雨情报表、水情报表、工情报表等工程运行情况信息数据。系统可以根据相关工程运行信息数据自动生成河湖运行简报，根据配置的发送规则推送给相应人员，方便日常工作多场景下的数据应用。报表及简报支持导出及打印功能，内容包括雨情、水情、流量、工情等方面工程运行信息数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（2）工程可视化监管子场景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工程可视化监管通过布置在工程各处的监控视频，将零散、无序的图像数据在场景大屏上做序列呈现，并在图像中嵌入显示相关信息数据，给管理单位工作人员提供清晰、有序、高效的工程可视化管理。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（3）二维码工程展示子场景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系信息展示采用二维码管理作为标识标牌设立和标准化示范塘段建设管理的一部分，同时响应浙江省水利工程标准化管理中界碑界牌建设标准，利用较为新颖的二维码技术，在标识标牌上配备二维码，面向社会公众提供水利工程风采展示、安全管理公共等便捷的查询服务手段，展示水利工程风采，提升公众服务能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1）二维码定制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结合浙江省水利工程标准化管理中标识标牌建设内容，利用二维码技术，进行二维码定制，定制的二维码印在对应的标识标牌上，面向社会公众进行文化宣传，展示水利工程风采。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2）信息展示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通过扫描标识标牌上的二维码，在网页中弹出工程信息简介，包括工程名称、简介、图片、音频、视频信息。展示的信息包括水利工程信息简介和安全管理公告两部分内容。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水利工程信息简介展示工程名称、地理位置、规模、功能作用、设计标准、建成时间、管理责任单位等信息。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安全管理公告向公众进行安全提示，安全管理公告内容包括安全警示、科普知识、保护范围以及应禁止的行为。</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3）维护管理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对于水利工程基础信息，各管理处负责对自己管辖范围内工程信息进行编辑、修改等更新维护操作，同时可上传相关图文、音频、视频等信息，使展示的内容更加丰富。</w:t>
      </w:r>
    </w:p>
    <w:p>
      <w:pPr>
        <w:pStyle w:val="98"/>
        <w:rPr>
          <w:bCs/>
          <w:color w:val="auto"/>
          <w:highlight w:val="none"/>
        </w:rPr>
      </w:pPr>
      <w:r>
        <w:rPr>
          <w:rFonts w:hint="eastAsia"/>
          <w:color w:val="auto"/>
          <w:highlight w:val="none"/>
        </w:rPr>
        <w:t>移动应用</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针对工程管理单位相关领导、业务人员外出移动办公的需求，满足广泛移动防汛应用群体的业务个性化需要，使工程管理人员随时随地不都能得到所需数据并使用平台功能，为不同业务工作者提供一个统一的移动决策平台和全方位的移动指挥决策手段。</w:t>
      </w:r>
    </w:p>
    <w:p>
      <w:pPr>
        <w:pStyle w:val="100"/>
        <w:rPr>
          <w:color w:val="auto"/>
          <w:highlight w:val="none"/>
        </w:rPr>
      </w:pPr>
      <w:r>
        <w:rPr>
          <w:rFonts w:hint="eastAsia"/>
          <w:color w:val="auto"/>
          <w:highlight w:val="none"/>
        </w:rPr>
        <w:t>汛情摘要</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汛情摘要主要对虞东河湖近24小时的降雨情况以及江河水位简要说明，说明的内容包含虞东河湖面雨量、单站最大降雨量、平均降雨量情况、江河水位的超保证、超警戒的情况。</w:t>
      </w:r>
    </w:p>
    <w:p>
      <w:pPr>
        <w:pStyle w:val="100"/>
        <w:rPr>
          <w:color w:val="auto"/>
          <w:highlight w:val="none"/>
        </w:rPr>
      </w:pPr>
      <w:r>
        <w:rPr>
          <w:rFonts w:hint="eastAsia"/>
          <w:color w:val="auto"/>
          <w:highlight w:val="none"/>
        </w:rPr>
        <w:t>掌上地图</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 xml:space="preserve">实现在业务应用中载入水利一张图、卫星地图，为工程监测等移动业务应用提供支撑。 </w:t>
      </w:r>
    </w:p>
    <w:p>
      <w:pPr>
        <w:pStyle w:val="100"/>
        <w:rPr>
          <w:color w:val="auto"/>
          <w:highlight w:val="none"/>
        </w:rPr>
      </w:pPr>
      <w:r>
        <w:rPr>
          <w:rFonts w:hint="eastAsia"/>
          <w:color w:val="auto"/>
          <w:highlight w:val="none"/>
        </w:rPr>
        <w:t>工程监测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工程监测是基于掌上地图，实现查询工程管理范围的查询各水位、雨量站点、闸站工程位置，并通过列表展示各站点水位、雨量、闸站工情等数据，查询水位、雨量、工情等历史数据，并按曲线图或柱状图展示。</w:t>
      </w:r>
    </w:p>
    <w:p>
      <w:pPr>
        <w:pStyle w:val="100"/>
        <w:rPr>
          <w:color w:val="auto"/>
          <w:highlight w:val="none"/>
        </w:rPr>
      </w:pPr>
      <w:r>
        <w:rPr>
          <w:rFonts w:hint="eastAsia"/>
          <w:color w:val="auto"/>
          <w:highlight w:val="none"/>
        </w:rPr>
        <w:t>安全监测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安全监测主要是对水闸安全监测，主要是展示水闸的位移、渗流和接缝等安全监测信息是否超过设定的预警值。</w:t>
      </w:r>
    </w:p>
    <w:p>
      <w:pPr>
        <w:pStyle w:val="100"/>
        <w:rPr>
          <w:color w:val="auto"/>
          <w:highlight w:val="none"/>
        </w:rPr>
      </w:pPr>
      <w:r>
        <w:rPr>
          <w:rFonts w:hint="eastAsia"/>
          <w:color w:val="auto"/>
          <w:highlight w:val="none"/>
        </w:rPr>
        <w:t>设备运行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对工程管理范围内的设备设施运行态势的展示，可展示不同类型的工程的设备的正常和异常的数量，同时可通过移动业务应用端，直接下发运维提醒给运维单位，通过勾选异常的工程设施，并下发运维提醒任务。并可通过设备运行服务，查看下发运维设备的运维进度情况。</w:t>
      </w:r>
    </w:p>
    <w:p>
      <w:pPr>
        <w:pStyle w:val="100"/>
        <w:rPr>
          <w:color w:val="auto"/>
          <w:highlight w:val="none"/>
        </w:rPr>
      </w:pPr>
      <w:r>
        <w:rPr>
          <w:rFonts w:hint="eastAsia"/>
          <w:color w:val="auto"/>
          <w:highlight w:val="none"/>
        </w:rPr>
        <w:t>实时监控</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通过实时监控在线查看视频监控，视频监控主要包含工程管理范围内的视频监控。</w:t>
      </w:r>
    </w:p>
    <w:p>
      <w:pPr>
        <w:pStyle w:val="93"/>
        <w:rPr>
          <w:bCs/>
          <w:color w:val="auto"/>
          <w:highlight w:val="none"/>
        </w:rPr>
      </w:pPr>
      <w:r>
        <w:rPr>
          <w:rFonts w:hint="eastAsia"/>
          <w:color w:val="auto"/>
          <w:highlight w:val="none"/>
        </w:rPr>
        <w:t>验收要求</w:t>
      </w:r>
    </w:p>
    <w:p>
      <w:pPr>
        <w:pStyle w:val="96"/>
        <w:rPr>
          <w:bCs/>
          <w:color w:val="auto"/>
          <w:highlight w:val="none"/>
        </w:rPr>
      </w:pPr>
      <w:r>
        <w:rPr>
          <w:rFonts w:hint="eastAsia"/>
          <w:color w:val="auto"/>
          <w:highlight w:val="none"/>
        </w:rPr>
        <w:t>验收组织</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成立由发包人、监理人、承包人、其它相关单位人员以及有关方面的专家组成的验收小组，负责对项目进行各项验收。</w:t>
      </w:r>
    </w:p>
    <w:p>
      <w:pPr>
        <w:pStyle w:val="96"/>
        <w:rPr>
          <w:bCs/>
          <w:color w:val="auto"/>
          <w:highlight w:val="none"/>
        </w:rPr>
      </w:pPr>
      <w:r>
        <w:rPr>
          <w:rFonts w:hint="eastAsia"/>
          <w:color w:val="auto"/>
          <w:highlight w:val="none"/>
        </w:rPr>
        <w:t>验收通用要求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（1）验收方案由承包人提出，与发包人讨论协商，报监理人审批后实施。</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（2）检验前，承包人应提前5天通知监理人和发包人。承包人与发包人在验收过程中应密切合作。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（3）发包人对验收的认可、参加或放弃参加验收和测试，均不能减轻承包人对合同的任何责任。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（4）发包人有权拒绝接收有缺陷的产品（服务）或要求进行改造，由此引起的一切费用应由承包人负责。经改造后的产品（服务）应重新进行验收。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（5）所有验收结果和结论，都应详细记录并由承包人的有关当事人正式签字。验收报告一式六份，其中三份交发包人，一份交监理人，两份交承包人。</w:t>
      </w:r>
    </w:p>
    <w:p>
      <w:pPr>
        <w:pStyle w:val="96"/>
        <w:rPr>
          <w:bCs/>
          <w:color w:val="auto"/>
          <w:highlight w:val="none"/>
        </w:rPr>
      </w:pPr>
      <w:r>
        <w:rPr>
          <w:rFonts w:hint="eastAsia"/>
          <w:color w:val="auto"/>
          <w:highlight w:val="none"/>
        </w:rPr>
        <w:t>验收依据</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招标书、投标书、合同、相关的国家标准、行业标准、规范以及检测规程、开发报告、测试报告、技术文档、工程建设资料、采购资料等。</w:t>
      </w:r>
    </w:p>
    <w:p>
      <w:pPr>
        <w:pStyle w:val="96"/>
        <w:rPr>
          <w:bCs/>
          <w:color w:val="auto"/>
          <w:highlight w:val="none"/>
        </w:rPr>
      </w:pPr>
      <w:r>
        <w:rPr>
          <w:rFonts w:hint="eastAsia"/>
          <w:color w:val="auto"/>
          <w:highlight w:val="none"/>
        </w:rPr>
        <w:t>验收分类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依据《水利信息化项目验收规范》（SL588-2013），结合工程的特点，本工程的验收分为设备验收、软件系统验收、项目阶段验收，完工验收。</w:t>
      </w:r>
    </w:p>
    <w:p>
      <w:pPr>
        <w:pStyle w:val="96"/>
        <w:rPr>
          <w:color w:val="auto"/>
          <w:highlight w:val="none"/>
        </w:rPr>
      </w:pPr>
      <w:r>
        <w:rPr>
          <w:rFonts w:hint="eastAsia"/>
          <w:color w:val="auto"/>
          <w:highlight w:val="none"/>
        </w:rPr>
        <w:t>设备验收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货物验收共分为工厂验收、到货验收。工厂验收和到货验收的验收方案由承包人提出，报本项目监理人审批后组织实施。</w:t>
      </w:r>
    </w:p>
    <w:p>
      <w:pPr>
        <w:pStyle w:val="98"/>
        <w:rPr>
          <w:bCs/>
          <w:color w:val="auto"/>
          <w:highlight w:val="none"/>
        </w:rPr>
      </w:pPr>
      <w:r>
        <w:rPr>
          <w:rStyle w:val="89"/>
          <w:rFonts w:hint="eastAsia" w:ascii="宋体" w:hAnsi="宋体" w:eastAsia="宋体" w:cs="宋体"/>
          <w:b/>
          <w:color w:val="auto"/>
          <w:kern w:val="0"/>
          <w:sz w:val="21"/>
          <w:szCs w:val="21"/>
          <w:highlight w:val="none"/>
        </w:rPr>
        <w:t>工厂验收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根据工程实施的情况，本项目设备出厂检验拟分3次进行。详细要求如下：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（1）出厂验收应在设备生产完毕、发货前进行，具体的时间安排，双方根据合同在设计联络会上确定。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（2）参加出厂检验的人数每次为10人，历时5天。</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工厂验收前，承包人应提前20天向本项目的监理人提交详细的工厂验收方案和执行时间表（验收方案应包括工厂验收的测试项目、测试步骤、测试指标和测试方法、测试使用仪表和测试电路连接方框图等），并提供验收设备清单、验收设备的出厂测试记录及设计联络会上所要求承包人在厂验期间应提供的其他相关资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（4）验收内容应包括本招标文件规定的一般技术要求、设备和材料技术指标要求、功能要求等，如有必要，承包人需搭建系统进行系统测试。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（5）承包人和发包人（或发包人代表）在验收过程中应密切合作，承包人应指定相关的技术人员协助发包人人员完成工厂检验工作。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（6）发包人对出厂验收的认可、参加或放弃参加检验和测试，均不能减轻承包人对合同的任何责任。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（7）发包人有权拒绝接收有缺陷的产品或要求进行改造，在重新生产或改造后应重新进行工厂检验，由此产生的一切费用由承包方负责。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（8）厂验测试合格后，由双方共同签署出厂验收合格证书。该证书并不能免除承包人对工程安装、调测及验收的责任和义务。若厂验不合格，发包人和承包人将重新确定厂验事宜。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（9）在工厂验收期间，承包人应为参与验收人员提供各种便利条件，负责提供出厂验收设施、会议场所，并负责相关食宿、交通费用。在出厂验收期间所发生的费用应包含在投标报价中。</w:t>
      </w:r>
    </w:p>
    <w:p>
      <w:pPr>
        <w:pStyle w:val="98"/>
        <w:rPr>
          <w:bCs/>
          <w:color w:val="auto"/>
          <w:highlight w:val="none"/>
        </w:rPr>
      </w:pPr>
      <w:r>
        <w:rPr>
          <w:rStyle w:val="89"/>
          <w:rFonts w:hint="eastAsia" w:ascii="宋体" w:hAnsi="宋体" w:eastAsia="宋体" w:cs="宋体"/>
          <w:b/>
          <w:color w:val="auto"/>
          <w:kern w:val="0"/>
          <w:sz w:val="21"/>
          <w:szCs w:val="21"/>
          <w:highlight w:val="none"/>
        </w:rPr>
        <w:t>到货验收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到货验收主要对进场仪器、设备、材料等的包装、型号、外观以及相关资料等进行查验。由发包人（或发包人代表）、承包人、监理单位、施工单位（或集成商）共同参与到货验收。主要完成工作或要求以下：</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（1）在货物到达工地后由监理组织进行到货验收。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（2）开箱清点到货数量，应满足合同清单要求，无缺少部件；凡缺少部件，要求限时提供。</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（3）现场检查货物外观质量，应无质量问题。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（4）签收现场验货单。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（5）做到货验收记录，并经发包人（或发包人代表）确认作为今后付款依据。</w:t>
      </w:r>
    </w:p>
    <w:p>
      <w:pPr>
        <w:pStyle w:val="96"/>
        <w:rPr>
          <w:color w:val="auto"/>
          <w:highlight w:val="none"/>
        </w:rPr>
      </w:pPr>
      <w:r>
        <w:rPr>
          <w:rFonts w:hint="eastAsia"/>
          <w:color w:val="auto"/>
          <w:highlight w:val="none"/>
        </w:rPr>
        <w:t>软件系统验收</w:t>
      </w:r>
    </w:p>
    <w:p>
      <w:pPr>
        <w:pStyle w:val="98"/>
        <w:rPr>
          <w:bCs/>
          <w:color w:val="auto"/>
          <w:highlight w:val="none"/>
        </w:rPr>
      </w:pPr>
      <w:r>
        <w:rPr>
          <w:rStyle w:val="89"/>
          <w:rFonts w:hint="eastAsia" w:ascii="宋体" w:hAnsi="宋体" w:eastAsia="宋体" w:cs="宋体"/>
          <w:b/>
          <w:color w:val="auto"/>
          <w:kern w:val="0"/>
          <w:sz w:val="21"/>
          <w:szCs w:val="21"/>
          <w:highlight w:val="none"/>
        </w:rPr>
        <w:t>初步验收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项目集成工作任务范围内的全部软件和硬件设备到货验收合格后，由承包人根据集成方案中的设计，开始全部系统的安装、配置和调试工作，基础软件的集成成果满足各业务应用系统和共享数据库运行环境的需求，各业务应用系统和共享数据库在基础设施平台上正确集成并正常运行，满足其业务基本运行条件和使用要求，初步完成软件开发，具备验收条件。由承包人提交完整的初步验收报告及相关文档，经发包人审核认可。</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系统软件经安装后，按要求，试运行期满后且软件系统通过项目内部测试小组的测试以后，由项目实施小组向发包人提出系统初验申请，并提交相关初验支持文档，包括：需求说明书、需求变更记录、设计说明书、使用手册、安装手册、测试报告等，以及其他客户确认过的相关文档材料。</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初验的标准：初验按照需求说明书、需求变更记录及系统功能说明书等文件为标准。</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初验的形式：系统初验的形式一般由发包人组织，双方共同参与，必要时可以邀请第三方专家参加。如果发包方有监理部门，需有监理人员参加。</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初验的输出：初验生成项目初验报告书，必要时生成项目初验备忘录。</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问题处理：初验中发现的问题一般分为三个大类：</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致命性问题：致命性问题主要是指：造成系统崩溃、数据丢失或数据错误等导致系统无法正常运作的问题；模块设计明显与需求相违，无法实现业务处理需求的问题。致命问题一旦存在，系统初验不能通过，初验增加形成项目整改要求书，重新组织项目初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一般性问题：一般性问题是指：不违背需求的问题；不造成系统崩溃、数据丢失或数据错误的问题；不影响系统正常运行的问题。一般性问题不影响对已经确认通过的模块功能的确认，存在的问题经客户方确认解决以后，通过初验。必要时对存在的问题可以以《项目初验备忘录》的形式记录问题及其修正限期。</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3）优化问题：优化问题是指：界面方式、操作方便性、系统提示、调试提示等影响系统整体效果的问题。优化问题不影响项目通过初验，在系统试运行期间给予优化完善。</w:t>
      </w:r>
    </w:p>
    <w:p>
      <w:pPr>
        <w:pStyle w:val="98"/>
        <w:rPr>
          <w:bCs/>
          <w:color w:val="auto"/>
          <w:highlight w:val="none"/>
        </w:rPr>
      </w:pPr>
      <w:r>
        <w:rPr>
          <w:rStyle w:val="89"/>
          <w:rFonts w:hint="eastAsia" w:ascii="宋体" w:hAnsi="宋体" w:eastAsia="宋体" w:cs="宋体"/>
          <w:b/>
          <w:color w:val="auto"/>
          <w:kern w:val="0"/>
          <w:sz w:val="21"/>
          <w:szCs w:val="21"/>
          <w:highlight w:val="none"/>
        </w:rPr>
        <w:t>系统试运行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系统完成整体开发并满足工程联合调试运行条件后，为检验系统是否达到实际要求，需进行系统试运行，试运行由发包人组织，承包人负责，运行管理单位和使用单位协助，其他参建单位配合，主要对系统的设备性能、功能指标、设计质量和开发（施工）质量等进行全面考核。在3个月的试运行期内，承包人应保证以下目标完全达到：</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1）项目各子系统及各个接口程序能够连续正常运行3个月，并保证其实际运行的功能和性能以及测试性能指标满足技术规范要求。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2）项目工程整体系统能够连续正常运行3个月，设备设施的实际运行性能和测试性能指标满足技术规范要求。</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在试运行期间，承包人应根据试运行报告对软件系统进行修改完善。</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在试运行期内如出现重大故障，则试运行期从故障排除之日起重新计算，直到系统连续3个月正常运行为止。</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重大故障指应用系统出现问题，36小时后仍不能正常运行；服务器等主要设备出现问题，36小时后仍不能正常运行或爆发大规模病毒事件及发生严重安全事件等。重大故障的最长处理时限应小于72小时，即在系统出现故障，且36小时后仍不能正常运行，被确认为重大故障后，应在后续的72小时内恢复系统正常工作。</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试运行期间，承包人应随时解答用户在系统使用过程中遇到的相关技术问题，提出可行的结局方法、建议，向用户介绍有关新产品、新技术信息，以帮助用户在使用过程中进一步了解和掌握最新的管理方法，从而在保证系统高效运行的情况下，降低用户对系统的拥有成本。</w:t>
      </w:r>
    </w:p>
    <w:p>
      <w:pPr>
        <w:pStyle w:val="98"/>
        <w:rPr>
          <w:bCs/>
          <w:color w:val="auto"/>
          <w:highlight w:val="none"/>
        </w:rPr>
      </w:pPr>
      <w:r>
        <w:rPr>
          <w:rStyle w:val="89"/>
          <w:rFonts w:hint="eastAsia" w:ascii="宋体" w:hAnsi="宋体" w:eastAsia="宋体" w:cs="宋体"/>
          <w:b/>
          <w:color w:val="auto"/>
          <w:kern w:val="0"/>
          <w:sz w:val="21"/>
          <w:szCs w:val="21"/>
          <w:highlight w:val="none"/>
        </w:rPr>
        <w:t>系统终验与交付</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工程自动化系统项目完成招标文件和合同约定的整体内容并经过一段时间运行后，项目实施小组提出系统终验申请，并提交相关终验文档，包括各类客户使用报告、修改记录以及需求变更记录。由验收组织单位邀请行业专家，并组织建设、监理、测评等单位进行验收，系统终验方式参照系统初验进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在项目实施不同阶段，承包人应提供的主要技术资料，包括以下内容：</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（1）工程实施方案；</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（2）系统测试文档，如安装调试记录、测试记录等；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（3）系统验收文档，如总结报告、试运行记录、试运行总结、验收记录等；</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（4）软件系统源代码（核心或涉及软著部分除外）及相关说明文档；</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（5）其他文档。</w:t>
      </w:r>
    </w:p>
    <w:p>
      <w:pPr>
        <w:pStyle w:val="96"/>
        <w:rPr>
          <w:bCs/>
          <w:color w:val="auto"/>
          <w:highlight w:val="none"/>
        </w:rPr>
      </w:pPr>
      <w:r>
        <w:rPr>
          <w:rFonts w:hint="eastAsia"/>
          <w:color w:val="auto"/>
          <w:highlight w:val="none"/>
        </w:rPr>
        <w:t>项目阶段验收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本项目合同签订完成后，承包人应在监理人的指导下，按照绍兴市上虞区虞东河湖综合整治工程相关项目划分规定，完成项目划分工作。本项目验收包括单元工程质量评定、分部工程验收、单位工程验收、合同项目完成验收以及发包人认为需要增加的阶段验收，具体验收工作按照绍兴市上虞区虞东河湖综合整治工程有关验收规定或办法执行。验收方案由承包人根据工程进度提出报监理人批准后执行。</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其中：单位工程是指独立发挥作用或独立项目实施条件的工程。分部工程是指能组合发挥一种功能的工程，是指组成单位工程的部分。单元工程，指分部工程中由几个工序（或工种）完成的最小综合体，是日常质量考核的基本单位。</w:t>
      </w:r>
    </w:p>
    <w:p>
      <w:pPr>
        <w:pStyle w:val="98"/>
        <w:rPr>
          <w:bCs/>
          <w:color w:val="auto"/>
          <w:highlight w:val="none"/>
        </w:rPr>
      </w:pPr>
      <w:r>
        <w:rPr>
          <w:rStyle w:val="89"/>
          <w:rFonts w:hint="eastAsia" w:ascii="宋体" w:hAnsi="宋体" w:eastAsia="宋体" w:cs="宋体"/>
          <w:b/>
          <w:color w:val="auto"/>
          <w:kern w:val="0"/>
          <w:sz w:val="21"/>
          <w:szCs w:val="21"/>
          <w:highlight w:val="none"/>
        </w:rPr>
        <w:t>单元工程质量评定</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在项目实施过程中，承包人应配合监理人及时组织已完成单元工程的质量评定工作，本项目质量目标为合格。</w:t>
      </w:r>
    </w:p>
    <w:p>
      <w:pPr>
        <w:pStyle w:val="98"/>
        <w:rPr>
          <w:bCs/>
          <w:color w:val="auto"/>
          <w:highlight w:val="none"/>
        </w:rPr>
      </w:pPr>
      <w:r>
        <w:rPr>
          <w:rStyle w:val="89"/>
          <w:rFonts w:hint="eastAsia" w:ascii="宋体" w:hAnsi="宋体" w:eastAsia="宋体" w:cs="宋体"/>
          <w:b/>
          <w:color w:val="auto"/>
          <w:kern w:val="0"/>
          <w:sz w:val="21"/>
          <w:szCs w:val="21"/>
          <w:highlight w:val="none"/>
        </w:rPr>
        <w:t>分部工程验收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分部工程内所有单元工程质量评定合格后进入该分部工程的验收。承包人整理好分部工程内所有单元工程质量评定资料后，提出对分部工程验收申请，监理方组织对分部工程验收，验收合格后，验收工作组人员共同签署分部工程验收证书。</w:t>
      </w:r>
    </w:p>
    <w:p>
      <w:pPr>
        <w:pStyle w:val="98"/>
        <w:rPr>
          <w:bCs/>
          <w:color w:val="auto"/>
          <w:highlight w:val="none"/>
        </w:rPr>
      </w:pPr>
      <w:r>
        <w:rPr>
          <w:rStyle w:val="89"/>
          <w:rFonts w:hint="eastAsia" w:ascii="宋体" w:hAnsi="宋体" w:eastAsia="宋体" w:cs="宋体"/>
          <w:b/>
          <w:color w:val="auto"/>
          <w:kern w:val="0"/>
          <w:sz w:val="21"/>
          <w:szCs w:val="21"/>
          <w:highlight w:val="none"/>
        </w:rPr>
        <w:t>单位工程验收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组成该单位工程的所有分部工程验收并完成系统相关调试工作后进行该单位工程的验收。承包人整理好单位工程内所有分部工程验收合格资料后，提出对单位工程验收申请，发包人组织对单位工程验收，验收合格后，验收工作组人员共同签署单位工程验收证书。单位工程验收合格后进入为期3个月的试运行期。</w:t>
      </w:r>
    </w:p>
    <w:p>
      <w:pPr>
        <w:pStyle w:val="98"/>
        <w:rPr>
          <w:bCs/>
          <w:color w:val="auto"/>
          <w:highlight w:val="none"/>
        </w:rPr>
      </w:pPr>
      <w:r>
        <w:rPr>
          <w:rStyle w:val="89"/>
          <w:rFonts w:hint="eastAsia" w:ascii="宋体" w:hAnsi="宋体" w:eastAsia="宋体" w:cs="宋体"/>
          <w:b/>
          <w:color w:val="auto"/>
          <w:kern w:val="0"/>
          <w:sz w:val="21"/>
          <w:szCs w:val="21"/>
          <w:highlight w:val="none"/>
        </w:rPr>
        <w:t>合同项目完成验收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整个项目试运行期期满且符合合同要求，经承包人书面申请，发包人组织进行合同项目完成验收，验收合格后，验收工作组人员共同签署合同项目完成验收证书。</w:t>
      </w:r>
    </w:p>
    <w:p>
      <w:pPr>
        <w:pStyle w:val="96"/>
        <w:rPr>
          <w:bCs/>
          <w:color w:val="auto"/>
          <w:highlight w:val="none"/>
        </w:rPr>
      </w:pPr>
      <w:r>
        <w:rPr>
          <w:rFonts w:hint="eastAsia"/>
          <w:color w:val="auto"/>
          <w:highlight w:val="none"/>
        </w:rPr>
        <w:t>完工验收</w:t>
      </w:r>
    </w:p>
    <w:p>
      <w:pPr>
        <w:autoSpaceDE w:val="0"/>
        <w:autoSpaceDN w:val="0"/>
        <w:adjustRightInd w:val="0"/>
        <w:snapToGrid w:val="0"/>
        <w:spacing w:line="360" w:lineRule="auto"/>
        <w:ind w:firstLine="420" w:firstLineChars="200"/>
        <w:textAlignment w:val="baseline"/>
        <w:rPr>
          <w:rFonts w:ascii="宋体" w:hAnsi="宋体" w:cs="宋体"/>
          <w:color w:val="auto"/>
          <w:szCs w:val="21"/>
          <w:highlight w:val="none"/>
        </w:rPr>
      </w:pPr>
      <w:r>
        <w:rPr>
          <w:rFonts w:hint="eastAsia" w:ascii="宋体" w:hAnsi="宋体" w:cs="宋体"/>
          <w:color w:val="auto"/>
          <w:szCs w:val="21"/>
          <w:highlight w:val="none"/>
          <w:lang w:bidi="ar"/>
        </w:rPr>
        <w:t>项目包含的所有内容在投入使用前要通过完工验收，项目全部完成后并具备完工验收条件时，发包人及时提出完工验收申请，完工验收申请得到同意后，承包人需积极配合发包人开展项目完工验收工作。</w:t>
      </w:r>
    </w:p>
    <w:p>
      <w:pPr>
        <w:widowControl/>
        <w:jc w:val="left"/>
        <w:rPr>
          <w:color w:val="auto"/>
          <w:sz w:val="24"/>
          <w:szCs w:val="24"/>
          <w:highlight w:val="none"/>
        </w:rPr>
      </w:pPr>
      <w:r>
        <w:rPr>
          <w:color w:val="auto"/>
          <w:sz w:val="24"/>
          <w:szCs w:val="24"/>
          <w:highlight w:val="none"/>
        </w:rPr>
        <w:br w:type="page"/>
      </w:r>
    </w:p>
    <w:p>
      <w:pPr>
        <w:pStyle w:val="12"/>
        <w:numPr>
          <w:ilvl w:val="0"/>
          <w:numId w:val="5"/>
        </w:numPr>
        <w:ind w:firstLine="281"/>
        <w:jc w:val="center"/>
        <w:outlineLvl w:val="0"/>
        <w:rPr>
          <w:b/>
          <w:bCs/>
          <w:color w:val="auto"/>
          <w:sz w:val="28"/>
          <w:szCs w:val="28"/>
          <w:highlight w:val="none"/>
        </w:rPr>
      </w:pPr>
      <w:r>
        <w:rPr>
          <w:rFonts w:hint="eastAsia"/>
          <w:b/>
          <w:bCs/>
          <w:color w:val="auto"/>
          <w:sz w:val="28"/>
          <w:szCs w:val="28"/>
          <w:highlight w:val="none"/>
        </w:rPr>
        <w:t>招标项目清单</w:t>
      </w:r>
    </w:p>
    <w:p>
      <w:pPr>
        <w:pStyle w:val="3"/>
        <w:widowControl/>
        <w:numPr>
          <w:ilvl w:val="0"/>
          <w:numId w:val="0"/>
        </w:numPr>
        <w:snapToGrid w:val="0"/>
        <w:spacing w:before="263" w:beforeLines="50"/>
        <w:ind w:leftChars="0"/>
        <w:rPr>
          <w:rFonts w:hint="eastAsia" w:ascii="宋体" w:hAnsi="宋体" w:cs="宋体"/>
          <w:bCs w:val="0"/>
          <w:color w:val="auto"/>
          <w:sz w:val="32"/>
          <w:highlight w:val="none"/>
        </w:rPr>
      </w:pPr>
      <w:r>
        <w:rPr>
          <w:rFonts w:hint="eastAsia" w:ascii="宋体" w:hAnsi="宋体" w:cs="宋体"/>
          <w:bCs w:val="0"/>
          <w:color w:val="auto"/>
          <w:sz w:val="32"/>
          <w:highlight w:val="none"/>
          <w:lang w:val="en-US" w:eastAsia="zh-CN"/>
        </w:rPr>
        <w:t>工程量</w:t>
      </w:r>
      <w:r>
        <w:rPr>
          <w:rFonts w:hint="eastAsia" w:ascii="宋体" w:hAnsi="宋体" w:cs="宋体"/>
          <w:bCs w:val="0"/>
          <w:color w:val="auto"/>
          <w:sz w:val="32"/>
          <w:highlight w:val="none"/>
        </w:rPr>
        <w:t>清单</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643"/>
        <w:gridCol w:w="851"/>
        <w:gridCol w:w="4111"/>
        <w:gridCol w:w="726"/>
        <w:gridCol w:w="666"/>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序号</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项目编码</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项目名称</w:t>
            </w:r>
          </w:p>
        </w:tc>
        <w:tc>
          <w:tcPr>
            <w:tcW w:w="411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项目特征</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单位</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工程量</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推荐品牌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一、基础感知设施</w:t>
            </w:r>
          </w:p>
        </w:tc>
        <w:tc>
          <w:tcPr>
            <w:tcW w:w="4111"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1.水情自动测报系统</w:t>
            </w:r>
          </w:p>
        </w:tc>
        <w:tc>
          <w:tcPr>
            <w:tcW w:w="4111"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031101043001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遥测终端（含安全网关）</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遥测终端应支持接入浙江省水文通信应用，且可连接多种传感器，包括水位计、雨量计、风向风速仪等各种水文、气象传感器。</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数据自动上报。遥测站可定时自报或按设定的条件主动上传数据。自动响应中心站召测指令。遥测站响应中心站要求或指令，上传数据。现场全中文显示水雨情数据，包括当前数据、历史数据、系统信息；具有记录功能，可按设定的要求，记录各类数据。大容量数据固态存储，可由中心站远端调用或现场读取；</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（2）现场手动设置各种运行模式和参数；支持支持手机APP及电脑端参数配置；</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（3）接受中心站远程设置和控制指令；</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（4）全面支持4G全网通通信功能，向下兼容3G/2G通信模式，支持三大运营商。同时根据现场的网络情况，提供灵活的频段锁定功能，保证现场网络通信的可靠；</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（5）▲具有手动校时、远程中心站校时及网络自动校时功能，时钟精度30天误差小于1s；</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（6）可连接多种传感器，包括水位计、雨量计、风向风速仪等各种水文、气象传感器；</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（7）▲支持多种通信方式，如GPRS、以太网、北斗三号等；</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（8）太阳能供电，保证在无人值守条件下的长期稳定运行；</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（9）可灵活配置的模块化结构，以适应各种不同的需求；</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（10）全密封设计，360度无死角防护，防水等级可达IP68，防止由于水进入壳内对设备造成有害影响；</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（11）支持浙江水文防汛通信平台，支持水利内网；</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（12）电源输入：9-24V DC；</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（13）电源输出：24V  100mA，5V  20mA，3路可控电源输出，除满足传感器电源控制外，可灵活实现下行控制功能；</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14）信号采集：2路RS485，1路RS232，可接入各种类型的外部传感器，并可扩展北斗等外部通信模块；2路模拟量采集，可接入标准4-20mA变送器，可配置为各种传感器类型；2路脉冲/开关输入，除接入雨量桶外，还可实现报警监测，用于开箱报警等功能；</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（15）▲设备同时满足“SZY203-2016《水资源监测设备技术条件》、SZY205-2016《水资源监测设备质量检验》、SZY206-2016《水资源监测数据传输规约》、SL/T427-2021《水资源监测数据传输规约》、DB33T 816—2021《水文通信平台接入技术规范》、SL 180-2015《水文自动测报系统设备遥测终端机》、SL651-2014 《水文监测数据通信规约》”；</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（16）▲为保证遥测站长时间稳定工作采用低功耗设计，静态值守电流≤0.01mA；</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（17）▲工作电流≤6mA；</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（18）设备内置GPS模块，系统定期获取设备的位置信息，并上传平台，从而实现设备位置信息和数据的自动绑定，设备位置的交换将不会影响测站的数据统计；</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（19）数据补发：遇到信号问题，基站问题，sim卡问题等情况，系统将暂存采集数据并待网络恢复后自前至后进行逐条补发；</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（20）▲产品内置大容量数据存储，固态存储容量≥8GB；</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（21）看门狗：内部硬件看门狗，外部硬件看门狗；</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（22）工作温度：-40℃至+70℃；</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（23）工作湿度：0-95%，不结露；</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（24）平均无故障工作时间：≥50000h；</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（25）▲具有可靠的边缘计算能力。</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语润、天禹、莘海或同档次及以上品牌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030904008001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北斗通信模块</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1）接收信号灵敏度：-127.6dBm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2）发射功率：≥39dBm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3）载波抑制：≥30dBc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4）工作电压：12V~36V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5）功耗：待机≤1.5W；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发射≤45W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（瞬态功耗≤200mS）</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北斗天汇、神州天鸿、北斗星通或同档次及以上品牌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030405002001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太阳能供电系统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自动遥测站采用12V蓄电池供电，对电源的设计要求是：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电池类别：密封免维护电池或固体电池；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电压：允许变幅－10％-＋20％；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电流：发射机功率5W（GSM）时，应能瞬间提供3A电流；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容量：全部由电池供电时，应能保证设备连续工作30天以上，用太阳能浮充蓄电池供电，保证设备能长期可靠工作，采用不小于70AH蓄电池。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硅太阳能电池是将光能直接转换成电能的半导体器件，具有体积小、可靠性高、寿命长、无环境污染、使用维护方便等特点。它可以单独使用，也可以多个连接起来组成方阵使用，与蓄电池配合可作为直流电源连续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遥测站太阳能电源系统的设计，由于无人看守，且要求连续不间断供电，考虑计算负载的日用电量、太阳能电池修正系数（考虑灰尘、气候、蓄电池特性）等方面的影响，采用不小于30W的太阳能电池板，其中流量监测站须提供与终端系统相匹配的电池板。</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翻斗式雨量传感器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（1）承雨口径：φ200±0.60mm；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（2）刃口锐角：40°～45°；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（3）仪器分辨力：0.5mm；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（4）雨强范围：0.01mm～4mm/min (允许通过最大雨强8mm/min)；</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（5）测量精度：0.5mm。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南水、伟思、海河或同档次及以上品牌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031103027001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雷达式水位传感器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（1）符合《水文仪器基本参数及通用技术条件》（GB∕T 15966-2017）；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（2）测量范围 ：0-30m；</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（3）分辨力：0.1cm； </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（4）▲准确度：在0~10m测量范围内，准确度等级1级；</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（5）▲重复性、回差：重复性，回查均为0mm； </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（6）过程连接 ：Gll/2"A螺纹/T型支架／法兰 </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（7）过程温度 ：（-10~50）℃</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（8）过程压力 ：常压</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（9）天线材料 ：不锈钢 </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（10）频率范围 ：24-25GHz</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（11）通讯接口：4-20mA,SDI-12,RS-485，两线制（SDI-12协议）；</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（12）▲防护等级：IP68；</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（13）▲为保证遥测站长时间稳定工作采用低功耗设计，静态值守电流≤0.5mA，</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（14）▲工作电流≤10mA。</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航征、精波、莘海或同档次及以上品牌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设备安装套件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包含设备箱、充放电控制器等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支架、线缆及附件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太阳能支架、线缆等安装所需附件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配套土建设施</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含立杆基础施工、材料、安装等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标识标牌</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标识标牌相关技术要求应按照《浙江省水文管理中心关于印发&lt;水文感知站点建设指南1.0版&gt;的通知》浙水文2023【6号】要求进行</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水准点埋设及水准接测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水准点埋设及RTK高程测量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设备安装调试</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设备安装调试（含北斗信号现场测试）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通信费</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通信费（含北斗通信费及移动通信费三年）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水尺及水尺桩</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水尺及水尺桩（含水尺桩、不锈钢水尺及安装）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2.流量监测系统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1）流量监测站</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031101043002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遥测终端（含安全网关）</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遥测终端应支持接入浙江省水文通信应用，且可连接多种传感器，包括水位计、雨量计、风向风速仪等各种水文、气象传感器。</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数据自动上报。遥测站可定时自报或按设定的条件主动上传数据。自动响应中心站召测指令。遥测站响应中心站要求或指令，上传数据。现场全中文显示水雨情数据，包括当前数据、历史数据、系统信息；具有记录功能，可按设定的要求，记录各类数据。大容量数据固态存储，可由中心站远端调用或现场读取；</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（2）现场手动设置各种运行模式和参数；支持支持手机APP及电脑端参数配置；</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（3）接受中心站远程设置和控制指令；</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（4）全面支持4G全网通通信功能，向下兼容3G/2G通信模式，支持三大运营商。同时根据现场的网络情况，提供灵活的频段锁定功能，保证现场网络通信的可靠；</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（5）▲具有手动校时、远程中心站校时及网络自动校时功能，时钟精度30天误差小于1s；</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（6）可连接多种传感器，包括水位计、雨量计、风向风速仪等各种水文、气象传感器；</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（7）▲支持多种通信方式，如GPRS、以太网、北斗三号等；</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（8）太阳能供电，保证在无人值守条件下的长期稳定运行；</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（9）可灵活配置的模块化结构，以适应各种不同的需求；</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（10）全密封设计，360度无死角防护，防水等级可达IP68，防止由于水进入壳内对设备造成有害影响；</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（11）支持浙江水文防汛通信平台，支持水利内网；</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（12）电源输入：9-24V DC；</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（13）电源输出：24V  100mA，5V  20mA，3路可控电源输出，除满足传感器电源控制外，可灵活实现下行控制功能；</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14）信号采集：2路RS485，1路RS232，可接入各种类型的外部传感器，并可扩展北斗等外部通信模块；2路模拟量采集，可接入标准4-20mA变送器，可配置为各种传感器类型；2路脉冲/开关输入，除接入雨量桶外，还可实现报警监测，用于开箱报警等功能；</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（15）▲设备同时满足“SZY203-2016《水资源监测设备技术条件》、SZY205-2016《水资源监测设备质量检验》、SZY206-2016《水资源监测数据传输规约》、SL/T427-2021《水资源监测数据传输规约》、DB33T 816—2021《水文通信平台接入技术规范》、SL 180-2015《水文自动测报系统设备遥测终端机》、SL651-2014 《水文监测数据通信规约》”；</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（16）▲为保证遥测站长时间稳定工作采用低功耗设计，静态值守电流≤0.01mA；</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（17）▲工作电流≤6mA；</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（18）设备内置GPS模块，系统定期获取设备的位置信息，并上传平台，从而实现设备位置信息和数据的自动绑定，设备位置的交换将不会影响测站的数据统计；</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（19）数据补发：遇到信号问题，基站问题，sim卡问题等情况，系统将暂存采集数据并待网络恢复后自前至后进行逐条补发；</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（20）▲产品内置大容量数据存储，固态存储容量≥8GB；</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（21）看门狗：内部硬件看门狗，外部硬件看门狗；</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（22）工作温度：-40℃至+70℃；</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（23）工作湿度：0-95%，不结露；</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（24）平均无故障工作时间：≥50000h；</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（25）▲具有可靠的边缘计算能力。</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语润、天禹、莘海或同档次及以上品牌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030904008002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北斗通信模块</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1）接收信号灵敏度：-127.6dBm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2）发射功率：≥39dBm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3）载波抑制：≥30dBc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4）工作电压：12V~36V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5）功耗：待机≤1.5W；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发射≤45W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（瞬态功耗≤200mS）</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北斗天汇、神州天鸿、北斗星通或同档次及以上品牌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030405002002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太阳能供电系统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自动遥测站采用12V蓄电池供电，对电源的设计要求是：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电池类别：密封免维护电池或固体电池；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电压：允许变幅－10％-＋20％；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电流：发射机功率5W（GSM）时，应能瞬间提供3A电流；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容量：全部由电池供电时，应能保证设备连续工作30天以上，用太阳能浮充蓄电池供电，保证设备能长期可靠工作，采用不小于70AH蓄电池。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硅太阳能电池是将光能直接转换成电能的半导体器件，具有体积小、可靠性高、寿命长、无环境污染、使用维护方便等特点。它可以单独使用，也可以多个连接起来组成方阵使用，与蓄电池配合可作为直流电源连续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遥测站太阳能电源系统的设计，由于无人看守，且要求连续不间断供电，考虑计算负载的日用电量、太阳能电池修正系数（考虑灰尘、气候、蓄电池特性）等方面的影响，采用不小于30W的太阳能电池板，其中流量监测站须提供与终端系统相匹配的电池板。</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030503006002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浮子式水位传感器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（1）测量范围：0～40m。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（2）水位变率：＜100cm/min。</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（3）分辨力：1cm。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（4）水位轮启动力矩：＜100g·cm。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（5）测量准确度：≤±2cm或0.2%FS；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（7）格雷码输出：10-13位。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（8）环境温度：-25℃～85℃（测井水体不结冰）。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（9）相对湿度：＜90%（40℃）。</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南水、伟思、海河或同档次及以上品牌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030601004001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多普勒流速剖面仪</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（1）单元尺寸：最小单元尺寸≤0.05m；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（2）测量精度：±0.5%或±1cm/s；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（3）单元层数：最大256层；</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（4）盲区：最小0.07m；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（5）流速分辨率：01m/s；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（6）流速测量范围：±10m/s(最大流速20m/s)；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（7）温度传感器测量范围：－25℃～75℃；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（8）水平波束角指向角：不大于1.4°；</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（9）旁瓣抑制：&gt;60dB，垂直波束指向角不大于3.8°；</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（10）温度传感器测量范围：-25℃~75℃；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（11）温度精度：±0.4度；</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（12）姿态传感器精度：±0.5度；</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（13）最大发呼频率：20(个/s)；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（14）工作功耗：≤1.5W。</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德希、灵快、智旭或同档次及以上品牌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030404016002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设备安装套件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包含设备箱、充放电控制器等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支架、线缆及附件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太阳能支架、线缆等安装所需附件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平台栈桥</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含设备安装平台或栈桥施工、材料、安装等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标识标牌</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标识标牌相关技术要求应按照《浙江省水文管理中心关于印发&lt;水文感知站点建设指南1.0版&gt;的通知》浙水文2023【6号】要求进行</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水准点埋设及水准接测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水准点埋设及RTK高程测量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设备安装调试</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设备安装调试（含北斗信号现场测试）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通信费</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通信费（含北斗通信费及移动通信费三年）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水尺及水尺桩</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水尺及水尺桩（含水尺桩、不锈钢水尺及安装）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流量比测服务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1）每个站流速比测测次不少于30次，且水位级高、中、低应相对均匀分布。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2）大中流速数据以测量洪水期洪水涨落为主，小流速平时测流即可获得。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3）比测的流量满足三检验要求，高水允许30%延长。</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2）中心站</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水文数据接收软件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功能：水位、雨量、流量、电压等所有遥测站数据采集及共享数据接收，流量积算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提供数据监视监测，数据管理，报表管理，设备参数设定，在线仪器状态监测等功能，搭建本地水文采集数据库；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软件形式：C/S结构，支持对外数据共享</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水文管理工作站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处理器：不低于 10代 i7；</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主频：不小于 1.9GHz；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内存：不小于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硬盘容量不小于 1TB+256SSD；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网卡：双 100/1000M 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含键鼠、24"彩色液晶显示器。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浪潮、同方、联想或同档次及以上品牌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3.工程安全监测系统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030904008003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数据采集模块</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传感器接口：通用16通道(可混接振弦式、差阻式、电阻式、485式、4~20mA等，RS485类型仪器供+12V，波特率默认9600bps，其他波特率可设置）。</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组网通信接口：支持 RS485、4G LTE-FDD/LTE-TDD、蓝牙 BLE5.0、以太网、Lora 以及 WiFi 通讯方式。</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其他接口：人工比测接口（支持读数仪和模块采集现场比测）。</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数据和参数存储：每通道存储 30000 条数据，当数据存满时自动循环覆盖旧数据；</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其他功能：</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远程控制：应具有远程控制功能，可通过有线和无线方式，使终端和设备进行通信，并从终端远程控制设备；</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数据补发：应具有数据补发功能，当网络信号较差导致数 据发送失败时，设备可记录时间并在下次上线时补发；</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设备电压：DC/AC12V±30%,支持太阳能充电。</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平均无故障时间：MTBF&gt;5000小时。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基康、南自、葛南或同档次及以上品牌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030904008004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转换模块</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RS485转RS232</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水工线缆     4芯屏蔽仪器专用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基康、南自、葛南或同档次及以上品牌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安全监测采集软件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含数据采集及监测信息管理、数据图形分析、监测信息数据查询、导出数据及报表。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基康、南自、葛南或同档次及以上品牌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4.计算机监控系统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（1）皂李湖河节制闸1</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PLC</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64DI,16DO,8AI</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（1）CPU可选用32位以上工业级微处理器，主频不小于 1GHz。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（2）PLC可选用标准CPU，I/O模块需独立配置，CPU本体不可集成IO点，确保整个PLC系统运行稳定、可靠。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（3）如需使用标准SOE模块，不可使用常规DI模块代替SOE模块，事件分辨率为1ms。</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（4）内置用户内存容量（不包含扩展内存）≥128M，CPU本体应具有内置存储，增加CPU数据存储的安全性、稳定性。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（5）具有强大的处理能力，CPU可以处理大量的I/O点：可支持最大数字量为10000点，最大模拟量为2500点。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（6）在背板电源和用户端电源不断开的情况下，I/O模块、通讯模块及可拆卸端子排支持带电热插拔。</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（7）背板总线支持冗余电源设计。</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（8）PLC采用冗余电源模块，其中一个损坏时，可以不中断运行。</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（9）带有独立的串口通信模块，至少支持4路RS485通信接口，支持标准MODBUS RTU协议，可自定义协议与多功能仪表等通信。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（10）控制器的通讯模块、I/O模块及其它特殊功能模块均应与CPU模块严格保持同等的档次、是同一系列的产品。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（11）支持Modbus/TCP协议。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（12）模拟量分辨率为16bit。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（13）可编程控制器应支持LD（梯形图）、ST（结构文本）、IL（指令表）、FBD（功能块图）、SFC（顺序功能图），且编程软件应支持功能块分装，方便程序移植。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（14）集成在编程软件中的PLC仿真器可以在PC上准确地再现目标程序的行为，可脱离硬件进行开发调试。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（15）支持OPC国际标准，便于与第三方组态软件通讯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傲拓科技公司CPU401-0431、南瑞公司MB80系列CPU721E、国电南自公司SA80C系列80CPU24104或同等档次及以上品牌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080904019001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触摸屏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12英寸真彩TFT液晶触摸屏；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LED背光灯；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分辨率800×600；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显示亮度300cd/㎡；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处理器Cortex-A8，600MHz；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内存128M；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接口：RS232、RS485、RJ45；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工作温度：0℃~55℃；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工作湿度5%~95%；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防护等级IP65。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与PLC同一品牌，充分保证现地控制系统的兼容性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030503005001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通讯管理机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支持8路RS-485/422、3IN1或RS-232串口转2路10/100Base-T(X)自适应以太网接口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支持RealCom、TCP Server、TCP Client、UDP Server、UDP Client、Pair Master、Pair Slave、UDP Rang和UDP Multicast等多种工作模式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支持12~48VDC宽压输入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壁挂式或桌面式安装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摩莎、华飞、三旺或同档次及以上品牌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使用管理型工业以太网交换机，100M电口不少于8个，2个1000M光口；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符合工业标准及IEEE802.3标准；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工业标准35mm卡轨式安装，工作温度：-20℃～70℃，工作电压：10～48VDC；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采用存储-转发技术，支持自动协商功能、自适应全双工/半双工、自适应100Base-TX端口、自适应MDI/MDIX；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MTBF（平均无故障工作时间）不小于20万小时；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相对湿度：10%～95%（非凝结）；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防护等级不低于IP30，全封闭式金属外壳，无需风扇散热（无风扇设计）；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冗余双电源输入，具有电源过载保护功能；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3000系列、N-TRON 700系列、Siemens SCALANCE X200系列或同档次及以上品牌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雷达水位传感器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工作温度：-40℃～+70℃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工作原理：脉冲雷达波测距</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电波频率：26GHz</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发射锥度角：8º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量程：0～15m</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输出信号：4～20mA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标称精度：±3mm（全量程）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工作电压：24VDC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防护等级：IP68</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带防雷击、密封接线盒和160m电缆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数显仪参数：</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工作温度：0℃～+50℃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相对湿度：≤90%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控制类型：带四位控制报警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输入类型：4～20mA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变送器配电电源：带DC24V电源输出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工作电源：AC220V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精波、航征、莘海或同档次及以上品牌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智能温湿度控制器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RS485接口、-20℃～80℃ 或 -4°F～176°F测温范围、0～100%RH测湿范围、温度误差&lt;±0.5℃（在25℃时测试）、测湿误差&lt;±5%RH（在25℃时测试）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防雷装置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需设防雷击和带密封接线盒</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030404009001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网络及视频设备屏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汇聚交换机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汇聚交换机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使用可网管模块化工业交换机，1000M光口不少于4个，10/100M/1000M电口不少于8个，水闸采用租用专网（控制网）方式与本工程管理控制中心监控系统连接，相应的辅件应配套提供；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Z030402021001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卫星同步时钟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工作温度：-25℃～55℃，工作电压：AC85～265V；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GPS接收频率：1575.42MHz，北斗接收频率：1561.098MHz；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GPS接收灵敏度：&lt;163dBw，北斗接收灵敏度：&lt;165dBw；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重新捕获时间&lt;1s，热起动时间&lt;26s，冷启动时间&lt;26s；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1PPS准确度≤0.1μs，1PPS脉宽100ms；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1PPM准确度≤0.1μs，1PPM脉宽100ms；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IRIG-B（DC）准确度≤0.1μs，IRIG-B（AC）准确度≤5μs；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NTP网络时间精度&lt;1ms，PTP网络时间精度&lt;1μs。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含GPS/北斗双模天线30m。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恒宇、锐呈、宽域或同档次及以上品牌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配置要求同LCU屏屏柜成套及柜体。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单模铠装12芯光纤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w:t>
            </w:r>
            <w:r>
              <w:rPr>
                <w:rFonts w:ascii="宋体" w:hAnsi="宋体" w:cs="宋体"/>
                <w:color w:val="auto"/>
                <w:sz w:val="18"/>
                <w:szCs w:val="18"/>
                <w:highlight w:val="none"/>
                <w:lang w:bidi="ar"/>
              </w:rPr>
              <w:t>5e</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080703002001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额定容量：5kVA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蓄电池额定容量：按持续供电时间不小于3h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输入电压：AC380V±10%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输入频率：50Hz±5%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输出电压：AC220V±2%（精度：稳态时不大于±1%，动态时不大于±5%，恢复时间&lt;25ms）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输出效率：≥90％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输出波形：纯正弦波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输出频率：50Hz±2%（精度：50Hz±0.1%）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交流正常时可选用交流经稳压和滤波后供电，交流消失时采用直流逆变供电。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屏体结构及颜色同LCU屏。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监控装置防雷系统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监控系统需采取防雷措施，必须设置：电源防雷、信号线防雷、室外仪表引入防雷等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广播预警系统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网络寻呼话筒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网络寻呼话筒采用IP网络寻呼话筒，具有</w:t>
            </w:r>
            <w:r>
              <w:rPr>
                <w:rFonts w:hint="eastAsia" w:ascii="宋体" w:hAnsi="宋体" w:cs="宋体"/>
                <w:color w:val="auto"/>
                <w:sz w:val="18"/>
                <w:szCs w:val="18"/>
                <w:highlight w:val="none"/>
                <w:lang w:val="en-US" w:eastAsia="zh-CN" w:bidi="ar"/>
              </w:rPr>
              <w:t>不小于</w:t>
            </w:r>
            <w:r>
              <w:rPr>
                <w:rFonts w:hint="eastAsia" w:ascii="宋体" w:hAnsi="宋体" w:cs="宋体"/>
                <w:color w:val="auto"/>
                <w:sz w:val="18"/>
                <w:szCs w:val="18"/>
                <w:highlight w:val="none"/>
                <w:lang w:bidi="ar"/>
              </w:rPr>
              <w:t>7寸数字真彩显示屏，电容式触摸屏，分辨率800*480，支持全双工可视对讲，支持全区、分区、指定终端进行喊话广播，支持一键紧急广播，可将广播发送到全部终端；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电源、功耗     DC12V/2A ，≤10W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TCP/IP、UDP、ARP、ICMP、IGMP、HTTP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视频传输位率   512Kbps-4Mbps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摄像头         200W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扬声器功放     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信噪比、频响   ＞85dB、20Hz-18Khz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1个RJ45网口、1路报警输入、1路报警输出、1路线路输入、1路线路输出、1个USB接口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0-45℃，≤90％（无结露）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户外大功率扬声器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采用大功率防水防腐蚀的圆形大口径号角喇叭，具有卓越的语音音质和高效传声特性，传声距离远，适合户外全天侯使用。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喇叭单元 圆形号筒扬声器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额定功率    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最大功率    70W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额定电压    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灵敏度      109dB±3dB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频率响应    380Hz-6.5kHz</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采用1U机架式安装网络功率放大器，输出功率360W（定压100V）；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           AC100V～240V 50Hz～60Hz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功耗           &lt;420W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音频采样、位率 8kHz～44.1kHz，16bit，8kbps～320kbps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1路话筒输入，1路线路输入，1路线路输出，1路报警输入，1路报警输出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-10℃～+50℃，≤90%RH(无结霜)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提供CCC证书复印件。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警报控制软件由工作站软件及节目制作等工具组成；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系统采用C/S架构，基于跨平台平台应用；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统一管理系统内所有IP内通设备，包括寻呼话筒，对讲终端，广播终端和接口设备；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即时显示各类终端运行状态，如登录IP地址、音量、任务状态，可远程调节所有终端音量；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配置各类终端参数：终端名称、广播权限（操作范围、优先级)、对讲权限（呼叫范围、优先级)、监听权限（监听范围）等；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具有实时采播和定时采播功能，可通过声卡向指定终端广播音乐或通知；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文件广播，将服务器中音频文件，向指定终端播放（支持任意多路文件同时广播）；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定时任务，在设定的时间，向预设的终端播放文件列表内容；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消防广播，当服务器收到终端的触发信号，向指定区域的终端播放紧急疏散语音；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节目管理，维护系统所需的广播音频文件，便于工作站或终端调用；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为工作站软件提供数据接口，根据账户授予相应操作权限；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日志功能，每次呼叫、通话和广播操作均有记录供查询。</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040205014001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信号灯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通航信号灯用来指示游船进、出水闸，为航道顺畅提供保障。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由交通信号灯、电缆等组成。交通信号灯设置在水闸通航进、出口处。交通信号灯可以通过计算机监控系统实现预设、控制等，在计算机监控系统退出或信号系统故障时，由人工进行指挥。</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计算机监控系统软件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2.皂李湖河节制闸</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PLC</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ascii="宋体" w:hAnsi="宋体" w:cs="宋体"/>
                <w:color w:val="auto"/>
                <w:sz w:val="18"/>
                <w:szCs w:val="18"/>
                <w:highlight w:val="none"/>
                <w:lang w:bidi="ar"/>
              </w:rPr>
              <w:t>96DI,32DO,8AI</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（1）CPU可选用32位以上工业级微处理器，主频不小于 1GHz。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（2）PLC可选用标准CPU，I/O模块需独立配置，CPU本体不可集成IO点，确保整个PLC系统运行稳定、可靠。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（3）如需使用标准SOE模块，不可使用常规DI模块代替SOE模块，事件分辨率为1ms。</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（4）内置用户内存容量（不包含扩展内存）≥128M，CPU本体应具有内置存储，增加CPU数据存储的安全性、稳定性。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（5）具有强大的处理能力，CPU可以处理大量的I/O点：可支持最大数字量为10000点，最大模拟量为2500点。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（6）在背板电源和用户端电源不断开的情况下，I/O模块、通讯模块及可拆卸端子排支持带电热插拔。</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（7）背板总线支持冗余电源设计。</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（8）PLC采用冗余电源模块，其中一个损坏时，可以不中断运行。</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（9）带有独立的串口通信模块，至少支持4路RS485通信接口，支持标准MODBUS RTU协议，可自定义协议与多功能仪表等通信。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（10）控制器的通讯模块、I/O模块及其它特殊功能模块均应与CPU模块严格保持同等的档次、是同一系列的产品。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（11）支持Modbus/TCP协议。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（12）模拟量分辨率为16bit。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（13）可编程控制器应支持LD（梯形图）、ST（结构文本）、IL（指令表）、FBD（功能块图）、SFC（顺序功能图），且编程软件应支持功能块分装，方便程序移植。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（14）集成在编程软件中的PLC仿真器可以在PC上准确地再现目标程序的行为，可脱离硬件进行开发调试。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（15）支持OPC国际标准，便于与第三方组态软件通讯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傲拓科技公司CPU401-0431、南瑞公司MB80系列CPU721E、国电南自公司SA80C系列80CPU24104或同等档次及以上品牌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080904019002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触摸屏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12英寸真彩TFT液晶触摸屏；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LED背光灯；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分辨率800×600；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显示亮度300cd/㎡；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处理器Cortex-A8，600MHz；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内存128M；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接口：RS232、RS485、RJ45；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工作温度：0℃~55℃；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工作湿度5%~95%；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防护等级IP65。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与PLC同一品牌，充分保证现地控制系统的兼容性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030503005002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通讯管理机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支持8路RS-485/422、3IN1或RS-232串口转2路10/100Base-T(X)自适应以太网接口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支持RealCom、TCP Server、TCP Client、UDP Server、UDP Client、Pair Master、Pair Slave、UDP Rang和UDP Multicast等多种工作模式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支持12~48VDC宽压输入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壁挂式或桌面式安装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摩莎、华飞、三旺或同档次及以上品牌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使用管理型工业以太网交换机，100M电口不少于8个，2个1000M光口；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符合工业标准及IEEE802.3标准；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工业标准35mm卡轨式安装，工作温度：-20℃～70℃，工作电压：10～48VDC；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采用存储-转发技术，支持自动协商功能、自适应全双工/半双工、自适应100Base-TX端口、自适应MDI/MDIX；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MTBF（平均无故障工作时间）不小于20万小时；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相对湿度：10%～95%（非凝结）；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防护等级不低于IP30，全封闭式金属外壳，无需风扇散热（无风扇设计）；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冗余双电源输入，具有电源过载保护功能；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3000系列、N-TRON 700系列、Siemens SCALANCE X200系列或同档次及以上品牌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雷达水位传感器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工作温度：-40℃～+70℃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工作原理：脉冲雷达波测距</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电波频率：26GHz</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发射锥度角：8º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量程：0～15m</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输出信号：4～20mA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标称精度：±3mm（全量程）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工作电压：24VDC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防护等级：IP68</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带防雷击、密封接线盒和160m电缆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数显仪参数：</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工作温度：0℃～+50℃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相对湿度：≤90%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控制类型：带四位控制报警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输入类型：4～20mA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变送器配电电源：带DC24V电源输出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工作电源：AC220V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精波、航征、莘海或同档次及以上品牌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智能温湿度控制器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RS485接口、-20℃～80℃ 或 -4°F～176°F测温范围、0～100%RH测湿范围、温度误差&lt;±0.5℃（在25℃时测试）、测湿误差&lt;±5%RH（在25℃时测试）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防雷装置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需设防雷击和带密封接线盒</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030404009002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网络及视频设备屏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汇聚交换机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汇聚交换机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使用可网管模块化工业交换机，1000M光口不少于4个，10/100M/1000M电口不少于8个，水闸采用租用专网（控制网）方式与本工程管理控制中心监控系统连接，相应的辅件应配套提供；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Z030402021002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卫星同步时钟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工作温度：-25℃～55℃，工作电压：AC85～265V；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GPS接收频率：1575.42MHz，北斗接收频率：1561.098MHz；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GPS接收灵敏度：&lt;163dBw，北斗接收灵敏度：&lt;165dBw；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重新捕获时间&lt;1s，热起动时间&lt;26s，冷启动时间&lt;26s；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1PPS准确度≤0.1μs，1PPS脉宽100ms；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1PPM准确度≤0.1μs，1PPM脉宽100ms；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IRIG-B（DC）准确度≤0.1μs，IRIG-B（AC）准确度≤5μs；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NTP网络时间精度&lt;1ms，PTP网络时间精度&lt;1μs。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含GPS/北斗双模天线30m。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恒宇、锐呈、宽域或同档次及以上品牌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配置要求同LCU屏屏柜成套及柜体。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单模铠装12芯光纤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w:t>
            </w:r>
            <w:r>
              <w:rPr>
                <w:rFonts w:ascii="宋体" w:hAnsi="宋体" w:cs="宋体"/>
                <w:color w:val="auto"/>
                <w:sz w:val="18"/>
                <w:szCs w:val="18"/>
                <w:highlight w:val="none"/>
                <w:lang w:bidi="ar"/>
              </w:rPr>
              <w:t>5e</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080703002002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额定容量：5kVA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蓄电池额定容量：按持续供电时间不小于3h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输入电压：AC380V±10%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输入频率：50Hz±5%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输出电压：AC220V±2%（精度：稳态时不大于±1%，动态时不大于±5%，恢复时间&lt;25ms）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输出效率：≥90％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输出波形：纯正弦波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输出频率：50Hz±2%（精度：50Hz±0.1%）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交流正常时可选用交流经稳压和滤波后供电，交流消失时采用直流逆变供电。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屏体结构及颜色同LCU屏。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Z030508004002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监控装置防雷系统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监控系统需采取防雷措施，必须设置：电源防雷、信号线防雷、室外仪表引入防雷等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广播预警系统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网络寻呼话筒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网络寻呼话筒采用IP网络寻呼话筒，具有7寸数字真彩显示屏，电容式触摸屏，分辨率800*480，支持全双工可视对讲，支持全区、分区、指定终端进行喊话广播，支持一键紧急广播，可将广播发送到全部终端；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电源、功耗     DC12V/2A ，≤10W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TCP/IP、UDP、ARP、ICMP、IGMP、HTTP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视频传输位率   512Kbps-4Mbps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摄像头         200W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扬声器功放     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信噪比、频响   ＞85dB、20Hz-18Khz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1个RJ45网口、1路报警输入、1路报警输出、1路线路输入、1路线路输出、1个USB接口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0-45℃，≤90％（无结露）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79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030904007002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户外大功率扬声器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采用大功率防水防腐蚀的圆形大口径号角喇叭，具有卓越的语音音质和高效传声特性，传声距离远，适合户外全天侯使用。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喇叭单元 圆形号筒扬声器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额定功率    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最大功率    70W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额定电压    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灵敏度      109dB±3dB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频率响应    380Hz-6.5kHz</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功率放大器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采用1U机架式安装网络功率放大器，输出功率360W（定压100V）；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           AC100V～240V 50Hz～60Hz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功耗           &lt;420W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音频采样、位率 8kHz～44.1kHz，16bit，8kbps～320kbps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1路话筒输入，1路线路输入，1路线路输出，1路报警输入，1路报警输出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-10℃～+50℃，≤90%RH(无结霜)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提供CCC证书复印件。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警报控制软件由工作站软件及节目制作等工具组成；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系统采用C/S架构，基于Windows平台应用；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统一管理系统内所有IP内通设备，包括寻呼话筒，对讲终端，广播终端和接口设备；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即时显示各类终端运行状态，如登录IP地址、音量、任务状态，可远程调节所有终端音量；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配置各类终端参数：终端名称、广播权限（操作范围、优先级)、对讲权限（呼叫范围、优先级)、监听权限（监听范围）等；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具有实时采播和定时采播功能，可通过声卡向指定终端广播音乐或通知；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文件广播，将服务器中音频文件，向指定终端播放（支持任意多路文件同时广播）；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定时任务，在设定的时间，向预设的终端播放文件列表内容；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消防广播，当服务器收到终端的触发信号，向指定区域的终端播放紧急疏散语音；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节目管理，维护系统所需的广播音频文件，便于工作站或终端调用；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为工作站软件提供数据接口，根据账户授予相应操作权限；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日志功能，每次呼叫、通话和广播操作均有记录供查询。</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040205014002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信号灯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通航信号灯用来指示游船进、出水闸，为航道顺畅提供保障。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由交通信号灯、电缆等组成。交通信号灯设置在水闸通航进、出口处。交通信号灯可以通过计算机监控系统实现预设、控制等，在计算机监控系统退出或信号系统故障时，由人工进行指挥。</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计算机监控系统软件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3.皂李湖～白马湖连接隧洞进口节制闸</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1、名称：主机兼操作员工作站</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PLC</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64DI,16DO,8AI</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（1）CPU可选用32位以上工业级微处理器，主频不小于 1GHz。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（2）PLC可选用标准CPU，I/O模块需独立配置，CPU本体不可集成IO点，确保整个PLC系统运行稳定、可靠。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（3）如需使用标准SOE模块，不可使用常规DI模块代替SOE模块，事件分辨率为1ms。</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（4）内置用户内存容量（不包含扩展内存）≥128M，CPU本体应具有内置存储，增加CPU数据存储的安全性、稳定性。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（5）具有强大的处理能力，CPU可以处理大量的I/O点：可支持最大数字量为10000点，最大模拟量为2500点。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（6）在背板电源和用户端电源不断开的情况下，I/O模块、通讯模块及可拆卸端子排支持带电热插拔。</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（7）背板总线支持冗余电源设计。</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（8）PLC采用冗余电源模块，其中一个损坏时，可以不中断运行。</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（9）带有独立的串口通信模块，至少支持4路RS485通信接口，支持标准MODBUS RTU协议，可自定义协议与多功能仪表等通信。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（10）控制器的通讯模块、I/O模块及其它特殊功能模块均应与CPU模块严格保持同等的档次、是同一系列的产品。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（11）支持Modbus/TCP协议。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（12）模拟量分辨率为16bit。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（13）可编程控制器应支持LD（梯形图）、ST（结构文本）、IL（指令表）、FBD（功能块图）、SFC（顺序功能图），且编程软件应支持功能块分装，方便程序移植。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（14）集成在编程软件中的PLC仿真器可以在PC上准确地再现目标程序的行为，可脱离硬件进行开发调试。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（15）支持OPC国际标准，便于与第三方组态软件通讯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傲拓科技公司CPU401-0431、南瑞公司MB80系列CPU721E、国电南自公司SA80C系列80CPU24104或同等档次及以上品牌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080904019003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触摸屏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12英寸真彩TFT液晶触摸屏；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LED背光灯；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分辨率800×600；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显示亮度300cd/㎡；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处理器Cortex-A8，600MHz；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内存128M；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接口：RS232、RS485、RJ45；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工作温度：0℃~55℃；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工作湿度5%~95%；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防护等级IP65。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与PLC同一品牌，充分保证现地控制系统的兼容性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030503005003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通讯管理机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支持8路RS-485/422、3IN1或RS-232串口转2路10/100Base-T(X)自适应以太网接口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支持RealCom、TCP Server、TCP Client、UDP Server、UDP Client、Pair Master、Pair Slave、UDP Rang和UDP Multicast等多种工作模式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支持12~48VDC宽压输入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壁挂式或桌面式安装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摩莎、华飞、三旺或同档次及以上品牌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使用管理型工业以太网交换机，100M电口不少于8个，2个1000M光口；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符合工业标准及IEEE802.3标准；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工业标准35mm卡轨式安装，工作温度：-20℃～70℃，工作电压：10～48VDC；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采用存储-转发技术，支持自动协商功能、自适应全双工/半双工、自适应100Base-TX端口、自适应MDI/MDIX；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MTBF（平均无故障工作时间）不小于20万小时；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相对湿度：10%～95%（非凝结）；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防护等级不低于IP30，全封闭式金属外壳，无需风扇散热（无风扇设计）；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冗余双电源输入，具有电源过载保护功能；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3000系列、N-TRON 700系列、Siemens SCALANCE X200系列或同档次及以上品牌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雷达水位传感器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工作温度：-40℃～+70℃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工作原理：脉冲雷达波测距</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电波频率：26GHz</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发射锥度角：8º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量程：0～15m</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输出信号：4～20mA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标称精度：±3mm（全量程）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工作电压：24VDC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防护等级：IP68</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带防雷击、密封接线盒和160m电缆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数显仪参数：</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工作温度：0℃～+50℃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相对湿度：≤90%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控制类型：带四位控制报警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输入类型：4～20mA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变送器配电电源：带DC24V电源输出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工作电源：AC220V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精波、航征、莘海或同档次及以上品牌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智能温湿度控制器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RS485接口、-20℃～80℃ 或 -4°F～176°F测温范围、0～100%RH测湿范围、温度误差&lt;±0.5℃（在25℃时测试）、测湿误差&lt;±5%RH（在25℃时测试）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防雷装置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需设防雷击和带密封接线盒</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030404009003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网络及视频设备屏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汇聚交换机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汇聚交换机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使用可网管模块化工业交换机，1000M光口不少于4个，10/100M/1000M电口不少于8个，水闸采用租用专网（控制网）方式与本工程管理控制中心监控系统连接，相应的辅件应配套提供；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Z030402021003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卫星同步时钟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工作温度：-25℃～55℃，工作电压：AC85～265V；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GPS接收频率：1575.42MHz，北斗接收频率：1561.098MHz；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GPS接收灵敏度：&lt;163dBw，北斗接收灵敏度：&lt;165dBw；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重新捕获时间&lt;1s，热起动时间&lt;26s，冷启动时间&lt;26s；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1PPS准确度≤0.1μs，1PPS脉宽100ms；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1PPM准确度≤0.1μs，1PPM脉宽100ms；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IRIG-B（DC）准确度≤0.1μs，IRIG-B（AC）准确度≤5μs；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NTP网络时间精度&lt;1ms，PTP网络时间精度&lt;1μs。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含GPS/北斗双模天线30m。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恒宇、锐呈、宽域或同档次及以上品牌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030502001003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配置要求同LCU屏屏柜成套及柜体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单模铠装12芯光纤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网络双绞线电缆CAT6</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080703002003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额定容量：5kVA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蓄电池额定容量：按持续供电时间不小于3h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输入电压：AC380V±10%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输入频率：50Hz±5%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输出电压：AC220V±2%（精度：稳态时不大于±1%，动态时不大于±5%，恢复时间&lt;25ms）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输出效率：≥90％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输出波形：纯正弦波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输出频率：50Hz±2%（精度：50Hz±0.1%）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交流正常时可选用交流经稳压和滤波后供电，交流消失时采用直流逆变供电。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屏体结构及颜色同LCU屏。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Z030508004003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监控装置防雷系统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监控系统需采取防雷措施，必须设置：电源防雷、信号线防雷、室外仪表引入防雷等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广播预警系统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网络寻呼话筒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网络寻呼话筒采用IP网络寻呼话筒，具有7寸数字真彩显示屏，电容式触摸屏，分辨率800*480，支持全双工可视对讲，支持全区、分区、指定终端进行喊话广播，支持一键紧急广播，可将广播发送到全部终端；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电源、功耗     DC12V/2A ，≤10W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TCP/IP、UDP、ARP、ICMP、IGMP、HTTP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视频传输位率   512Kbps-4Mbps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摄像头         200W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扬声器功放     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信噪比、频响   ＞85dB、20Hz-18Khz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1个RJ45网口、1路报警输入、1路报警输出、1路线路输入、1路线路输出、1个USB接口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0-45℃，≤90％（无结露）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030904007003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户外大功率扬声器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采用大功率防水防腐蚀的圆形大口径号角喇叭，具有卓越的语音音质和高效传声特性，传声距离远，适合户外全天侯使用。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喇叭单元 圆形号筒扬声器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额定功率    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最大功率    70W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额定电压    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灵敏度      109dB±3dB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频率响应    380Hz-6.5kHz</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功率放大器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采用1U机架式安装网络功率放大器，输出功率360W（定压100V）；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           AC100V～240V 50Hz～60Hz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功耗           &lt;420W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音频采样、位率 8kHz～44.1kHz，16bit，8kbps～320kbps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1路话筒输入，1路线路输入，1路线路输出，1路报警输入，1路报警输出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-10℃～+50℃，≤90%RH(无结霜)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提供CCC证书复印件。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警报控制软件由工作站软件及节目制作等工具组成；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系统采用C/S架构，基于Windows平台应用；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统一管理系统内所有IP内通设备，包括寻呼话筒，对讲终端，广播终端和接口设备；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即时显示各类终端运行状态，如登录IP地址、音量、任务状态，可远程调节所有终端音量；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配置各类终端参数：终端名称、广播权限（操作范围、优先级)、对讲权限（呼叫范围、优先级)、监听权限（监听范围）等；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具有实时采播和定时采播功能，可通过声卡向指定终端广播音乐或通知；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文件广播，将服务器中音频文件，向指定终端播放（支持任意多路文件同时广播）；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定时任务，在设定的时间，向预设的终端播放文件列表内容；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消防广播，当服务器收到终端的触发信号，向指定区域的终端播放紧急疏散语音；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节目管理，维护系统所需的广播音频文件，便于工作站或终端调用；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为工作站软件提供数据接口，根据账户授予相应操作权限；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日志功能，每次呼叫、通话和广播操作均有记录供查询。</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040205014003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信号灯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通航信号灯用来指示游船进、出水闸，为航道顺畅提供保障。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由交通信号灯、电缆等组成。交通信号灯设置在水闸通航进、出口处。交通信号灯可以通过计算机监控系统实现预设、控制等，在计算机监控系统退出或信号系统故障时，由人工进行指挥。</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计算机监控系统软件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4.皂李湖～白马湖连接隧洞出口套闸</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PLC</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64DI,16DO,8AI</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（1）CPU可选用32位以上工业级微处理器，主频不小于 1GHz。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（2）PLC可选用标准CPU，I/O模块需独立配置，CPU本体不可集成IO点，确保整个PLC系统运行稳定、可靠。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（3）如需使用标准SOE模块，不可使用常规DI模块代替SOE模块，事件分辨率为1ms。</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（4）内置用户内存容量（不包含扩展内存）≥128M，CPU本体应具有内置存储，增加CPU数据存储的安全性、稳定性。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（5）具有强大的处理能力，CPU可以处理大量的I/O点：可支持最大数字量为10000点，最大模拟量为2500点。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（6）在背板电源和用户端电源不断开的情况下，I/O模块、通讯模块及可拆卸端子排支持带电热插拔。</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（7）背板总线支持冗余电源设计。</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（8）PLC采用冗余电源模块，其中一个损坏时，可以不中断运行。</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（9）带有独立的串口通信模块，至少支持4路RS485通信接口，支持标准MODBUS RTU协议，可自定义协议与多功能仪表等通信。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（10）控制器的通讯模块、I/O模块及其它特殊功能模块均应与CPU模块严格保持同等的档次、是同一系列的产品。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（11）支持Modbus/TCP协议。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（12）模拟量分辨率为16bit。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（13）可编程控制器应支持LD（梯形图）、ST（结构文本）、IL（指令表）、FBD（功能块图）、SFC（顺序功能图），且编程软件应支持功能块分装，方便程序移植。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（14）集成在编程软件中的PLC仿真器可以在PC上准确地再现目标程序的行为，可脱离硬件进行开发调试。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（15）支持OPC国际标准，便于与第三方组态软件通讯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傲拓科技公司CPU401-0431、南瑞公司MB80系列CPU721E、国电南自公司SA80C系列80CPU24104或同等档次及以上品牌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080904019004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触摸屏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12英寸真彩TFT液晶触摸屏；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LED背光灯；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分辨率800×600；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显示亮度300cd/㎡；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处理器Cortex-A8，600MHz；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内存128M；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接口：RS232、RS485、RJ45；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工作温度：0℃~55℃；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工作湿度5%~95%；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防护等级IP65。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与PLC同一品牌，充分保证现地控制系统的兼容性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030503005004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通讯管理机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支持8路RS-485/422、3IN1或RS-232串口转2路10/100Base-T(X)自适应以太网接口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支持RealCom、TCP Server、TCP Client、UDP Server、UDP Client、Pair Master、Pair Slave、UDP Rang和UDP Multicast等多种工作模式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支持12~48VDC宽压输入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壁挂式或桌面式安装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摩莎、华飞、三旺或同档次及以上品牌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使用管理型工业以太网交换机，100M电口不少于8个，2个1000M光口；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符合工业标准及IEEE802.3标准；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工业标准35mm卡轨式安装，工作温度：-20℃～70℃，工作电压：10～48VDC；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采用存储-转发技术，支持自动协商功能、自适应全双工/半双工、自适应100Base-TX端口、自适应MDI/MDIX；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MTBF（平均无故障工作时间）不小于20万小时；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相对湿度：10%～95%（非凝结）；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防护等级不低于IP30，全封闭式金属外壳，无需风扇散热（无风扇设计）；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冗余双电源输入，具有电源过载保护功能；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3000系列、N-TRON 700系列、Siemens SCALANCE X200系列或同档次及以上品牌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雷达水位传感器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工作温度：-40℃～+70℃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工作原理：脉冲雷达波测距</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电波频率：26GHz</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发射锥度角：8º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量程：0～15m</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输出信号：4～20mA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标称精度：±3mm（全量程）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工作电压：24VDC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防护等级：IP68</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带防雷击、密封接线盒和160m电缆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数显仪参数：</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工作温度：0℃～+50℃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相对湿度：≤90%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控制类型：带四位控制报警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输入类型：4～20mA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变送器配电电源：带DC24V电源输出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工作电源：AC220V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精波、航征、莘海或同档次及以上品牌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智能温湿度控制器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RS485接口、-20℃～80℃ 或 -4°F～176°F测温范围、0～100%RH测湿范围、温度误差&lt;±0.5℃（在25℃时测试）、测湿误差&lt;±5%RH（在25℃时测试）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防雷装置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需设防雷击和带密封接线盒</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电力专用UPS，输入电压：220VAC±20% 50HZ±10%和DC220V+30%~-20%；输出电压：AC220±2%V 50HZ；输出功率：1KVA；效率：＞85%；不间断电源切换时间 0ms</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030404009004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网络及视频设备屏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汇聚交换机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汇聚交换机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使用可网管模块化工业交换机，1000M光口不少于4个，10/100M/1000M电口不少于8个，水闸采用租用专网（控制网）方式与本工程管理控制中心监控系统连接，相应的辅件应配套提供；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Z030402021004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卫星同步时钟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工作温度：-25℃～55℃，工作电压：AC85～265V；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GPS接收频率：1575.42MHz，北斗接收频率：1561.098MHz；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GPS接收灵敏度：&lt;163dBw，北斗接收灵敏度：&lt;165dBw；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重新捕获时间&lt;1s，热起动时间&lt;26s，冷启动时间&lt;26s；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1PPS准确度≤0.1μs，1PPS脉宽100ms；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1PPM准确度≤0.1μs，1PPM脉宽100ms；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IRIG-B（DC）准确度≤0.1μs，IRIG-B（AC）准确度≤5μs；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NTP网络时间精度&lt;1ms，PTP网络时间精度&lt;1μs。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含GPS/北斗双模天线30m。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恒宇、锐呈、宽域或同档次及以上品牌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030502001004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配置要求同LCU屏屏柜成套及柜体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单模铠装12芯光纤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网络双绞线电缆CAT6</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080703002004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额定容量：5kVA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蓄电池额定容量：按持续供电时间不小于3h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输入电压：AC380V±10%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输入频率：50Hz±5%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输出电压：AC220V±2%（精度：稳态时不大于±1%，动态时不大于±5%，恢复时间&lt;25ms）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输出效率：≥90％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输出波形：纯正弦波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输出频率：50Hz±2%（精度：50Hz±0.1%）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交流正常时可选用交流经稳压和滤波后供电，交流消失时采用直流逆变供电。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屏体结构及颜色同LCU屏。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Z030508004004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监控装置防雷系统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监控系统需采取防雷措施，必须设置：电源防雷、信号线防雷、室外仪表引入防雷等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广播预警系统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网络寻呼话筒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网络寻呼话筒采用IP网络寻呼话筒，具有7寸数字真彩显示屏，电容式触摸屏，分辨率800*480，支持全双工可视对讲，支持全区、分区、指定终端进行喊话广播，支持一键紧急广播，可将广播发送到全部终端；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电源、功耗     DC12V/2A ，≤10W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TCP/IP、UDP、ARP、ICMP、IGMP、HTTP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视频传输位率   512Kbps-4Mbps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摄像头         200W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扬声器功放     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信噪比、频响   ＞85dB、20Hz-18Khz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1个RJ45网口、1路报警输入、1路报警输出、1路线路输入、1路线路输出、1个USB接口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0-45℃，≤90％（无结露）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030904007004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户外大功率扬声器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采用大功率防水防腐蚀的圆形大口径号角喇叭，具有卓越的语音音质和高效传声特性，传声距离远，适合户外全天侯使用。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喇叭单元 圆形号筒扬声器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额定功率    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最大功率    70W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额定电压    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灵敏度      109dB±3dB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频率响应    380Hz-6.5kHz</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功率放大器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采用1U机架式安装网络功率放大器，输出功率360W（定压100V）；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           AC100V～240V 50Hz～60Hz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功耗           &lt;420W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音频采样、位率 8kHz～44.1kHz，16bit，8kbps～320kbps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1路话筒输入，1路线路输入，1路线路输出，1路报警输入，1路报警输出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-10℃～+50℃，≤90%RH(无结霜)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提供CCC证书复印件。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警报控制软件由工作站软件及节目制作等工具组成；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系统采用C/S架构，基于Windows平台应用；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统一管理系统内所有IP内通设备，包括寻呼话筒，对讲终端，广播终端和接口设备；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即时显示各类终端运行状态，如登录IP地址、音量、任务状态，可远程调节所有终端音量；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配置各类终端参数：终端名称、广播权限（操作范围、优先级)、对讲权限（呼叫范围、优先级)、监听权限（监听范围）等；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具有实时采播和定时采播功能，可通过声卡向指定终端广播音乐或通知；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文件广播，将服务器中音频文件，向指定终端播放（支持任意多路文件同时广播）；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定时任务，在设定的时间，向预设的终端播放文件列表内容；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消防广播，当服务器收到终端的触发信号，向指定区域的终端播放紧急疏散语音；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节目管理，维护系统所需的广播音频文件，便于工作站或终端调用；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为工作站软件提供数据接口，根据账户授予相应操作权限；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日志功能，每次呼叫、通话和广播操作均有记录供查询。</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040205014004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信号灯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通航信号灯用来指示游船进、出水闸，为航道顺畅提供保障。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由交通信号灯、电缆等组成。交通信号灯设置在水闸通航进、出口处。交通信号灯可以通过计算机监控系统实现预设、控制等，在计算机监控系统退出或信号系统故障时，由人工进行指挥。</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计算机监控系统软件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5.白马湖～东西泊连接隧洞进口节制闸</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PLC</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64DI,16DO,8AI</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（1）CPU可选用32位以上工业级微处理器，主频不小于 1GHz。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（2）PLC可选用标准CPU，I/O模块需独立配置，CPU本体不可集成IO点，确保整个PLC系统运行稳定、可靠。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（3）如需使用标准SOE模块，不可使用常规DI模块代替SOE模块，事件分辨率为1ms。</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（4）内置用户内存容量（不包含扩展内存）≥128M，CPU本体应具有内置存储，增加CPU数据存储的安全性、稳定性。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（5）具有强大的处理能力，CPU可以处理大量的I/O点：可支持最大数字量为10000点，最大模拟量为2500点。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（6）在背板电源和用户端电源不断开的情况下，I/O模块、通讯模块及可拆卸端子排支持带电热插拔。</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（7）背板总线支持冗余电源设计。</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（8）PLC采用冗余电源模块，其中一个损坏时，可以不中断运行。</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（9）带有独立的串口通信模块，至少支持4路RS485通信接口，支持标准MODBUS RTU协议，可自定义协议与多功能仪表等通信。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（10）控制器的通讯模块、I/O模块及其它特殊功能模块均应与CPU模块严格保持同等的档次、是同一系列的产品。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（11）支持Modbus/TCP协议。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（12）模拟量分辨率为16bit。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（13）可编程控制器应支持LD（梯形图）、ST（结构文本）、IL（指令表）、FBD（功能块图）、SFC（顺序功能图），且编程软件应支持功能块分装，方便程序移植。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（14）集成在编程软件中的PLC仿真器可以在PC上准确地再现目标程序的行为，可脱离硬件进行开发调试。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（15）支持OPC国际标准，便于与第三方组态软件通讯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傲拓科技公司CPU401-0431、南瑞公司MB80系列CPU721E、国电南自公司SA80C系列80CPU24104或同等档次及以上品牌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080904019005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触摸屏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12英寸真彩TFT液晶触摸屏；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LED背光灯；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分辨率800×600；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显示亮度300cd/㎡；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处理器Cortex-A8，600MHz；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内存128M；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接口：RS232、RS485、RJ45；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工作温度：0℃~55℃；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工作湿度5%~95%；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防护等级IP65。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与PLC同一品牌，充分保证现地控制系统的兼容性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030503005005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通讯管理机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支持8路RS-485/422、3IN1或RS-232串口转2路10/100Base-T(X)自适应以太网接口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支持RealCom、TCP Server、TCP Client、UDP Server、UDP Client、Pair Master、Pair Slave、UDP Rang和UDP Multicast等多种工作模式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支持12~48VDC宽压输入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壁挂式或桌面式安装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摩莎、华飞、三旺或同档次及以上品牌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使用管理型工业以太网交换机，100M电口不少于8个，2个1000M光口；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符合工业标准及IEEE802.3标准；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工业标准35mm卡轨式安装，工作温度：-20℃～70℃，工作电压：10～48VDC；</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采用存储-转发技术，支持自动协商功能、自适应全双工/半双工、自适应100Base-TX端口、自适应MDI/MDIX；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MTBF（平均无故障工作时间）不小于20万小时；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相对湿度：10%～95%（非凝结）；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防护等级不低于IP30，全封闭式金属外壳，无需风扇散热（无风扇设计）；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冗余双电源输入，具有电源过载保护功能；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3000系列、N-TRON 700系列、Siemens SCALANCE X200系列或同档次及以上品牌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030817006007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雷达水位传感器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工作温度：-40℃～+70℃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工作原理：脉冲雷达波测距</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电波频率：26GHz</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发射锥度角：8º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量程：0～15m</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输出信号：4～20mA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标称精度：±3mm（全量程）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工作电压：24VDC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防护等级：IP68</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带防雷击、密封接线盒和160m电缆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数显仪参数：</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工作温度：0℃～+50℃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相对湿度：≤90%</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控制类型：带四位控制报警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输入类型：4～20mA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输出类型：4～20mA</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变送器配电电源：带DC24V电源输出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工作电源：AC220V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组</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精波、航征、莘海或同档次及以上品牌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智能温湿度控制器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RS485接口、-20℃～80℃ 或 -4°F～176°F测温范围、0～100%RH测湿范围、温度误差&lt;±0.5℃（在25℃时测试）、测湿误差&lt;±5%RH（在25℃时测试）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防雷装置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需设防雷击和带密封接线盒</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030404009005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CU屏采用拼装式结构、外形尺寸为800（宽）×600（深）×2260（高）mm的标准屏体，前门为整屏透明钢化玻璃铝型材门，后门为双开门，侧面封闭。屏体应按IEC第144/529标准进行保护，应具有良好的防尘、防潮、防屏蔽性能，防护等级均为IP30。屏内主回路带电部分应与接地部分隔离，屏体应保证通风充分，并能防腐，防小动物进入。屏内设有工作接地铜排和保护接地铜排。屏内端子排布置在屏后两侧，端子排位置应便于拉线，要求设置塑料走线槽，槽盖可以分段拆卸。屏面布置应均匀、整齐和对称，便于操作、监视、维护和检修，屏面布置图应交由发包人（工程师）批准。所有额定参数和结构相同的部件应能互换。屏面下部应按需设置试验部件和连接片，采用屏面安装结构、屏后接线，正面带有能取下的外罩。每个接线柱应有回路识别标记，便于操作和试验。每一组端子排应预留20%的空端子，且任何一个端子排上的端子的接线不得多于2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网络及视频设备屏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汇聚交换机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汇聚交换机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使用可网管模块化工业交换机，1000M光口不少于4个，10/100M/1000M电口不少于8个，水闸采用租用专网（控制网）方式与本工程管理控制中心监控系统连接，相应的辅件应配套提供；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Z030402021005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卫星同步时钟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工作温度：-25℃～55℃，工作电压：AC85～265V；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GPS接收频率：1575.42MHz，北斗接收频率：1561.098MHz；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GPS接收灵敏度：&lt;163dBw，北斗接收灵敏度：&lt;165dBw；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重新捕获时间&lt;1s，热起动时间&lt;26s，冷启动时间&lt;26s；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1PPS准确度≤0.1μs，1PPS脉宽100ms；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1PPM准确度≤0.1μs，1PPM脉宽100ms；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IRIG-B（DC）准确度≤0.1μs，IRIG-B（AC）准确度≤5μs；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NTP网络时间精度&lt;1ms，PTP网络时间精度&lt;1μs。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含GPS/北斗双模天线30m。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恒宇、锐呈、宽域或同档次及以上品牌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030502001005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屏柜成套及柜体</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配置要求同LCU屏屏柜成套及柜体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光缆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单模铠装12芯光纤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网络双绞线电缆CAT6</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080703002005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UPS电源屏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额定容量：5kVA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蓄电池额定容量：按持续供电时间不小于3h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输入电压：AC380V±10%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输入频率：50Hz±5%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输出电压：AC220V±2%（精度：稳态时不大于±1%，动态时不大于±5%，恢复时间&lt;25ms）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输出效率：≥90％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输出波形：纯正弦波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输出频率：50Hz±2%（精度：50Hz±0.1%）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交流正常时可选用交流经稳压和滤波后供电，交流消失时采用直流逆变供电。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屏体结构及颜色同LCU屏。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运行人员的操作控制台（根据发包人需求定制），暂定尺寸：2000×1000×800（长×宽×高），同时配2张座椅。控制台上可放置1台主机兼操作员工作站显示器、1台通信工作站显示器、1台视频工作站显示器、1台A3/A4幅面打印机等设备。控制台尺寸、材料、颜色及座椅的型式等细节在第一次技术联络会时由发包人、工程设计单位及承包人共同商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Z030508004005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监控装置防雷系统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监控系统需采取防雷措施，必须设置：电源防雷、信号线防雷、室外仪表引入防雷等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广播预警系统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030506001009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网络寻呼话筒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网络寻呼话筒采用IP网络寻呼话筒，具有7寸数字真彩显示屏，电容式触摸屏，分辨率800*480，支持全双工可视对讲，支持全区、分区、指定终端进行喊话广播，支持一键紧急广播，可将广播发送到全部终端；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电源、功耗     DC12V/2A ，≤10W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TCP/IP、UDP、ARP、ICMP、IGMP、HTTP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视频传输位率   512Kbps-4Mbps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摄像头         200W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扬声器功放     1.5W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信噪比、频响   ＞85dB、20Hz-18Khz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1个RJ45网口、1路报警输入、1路报警输出、1路线路输入、1路线路输出、1个USB接口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0-45℃，≤90％（无结露）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030904007005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户外大功率扬声器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采用大功率防水防腐蚀的圆形大口径号角喇叭，具有卓越的语音音质和高效传声特性，传声距离远，适合户外全天侯使用。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喇叭单元 圆形号筒扬声器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额定功率    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最大功率    70W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额定电压    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灵敏度      109dB±3dB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频率响应    380Hz-6.5kHz</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功率放大器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采用1U机架式安装网络功率放大器，输出功率360W（定压100V）；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           AC100V～240V 50Hz～60Hz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功耗           &lt;420W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网络通讯协议   TCP/IP、UDP、ARP、ICMP、IGMP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音频采样、位率 8kHz～44.1kHz，16bit，8kbps～320kbps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接口 1路话筒输入，1路线路输入，1路线路输出，1路报警输入，1路报警输出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-10℃～+50℃，≤90%RH(无结霜)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提供CCC证书复印件。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警报控制软件由工作站软件及节目制作等工具组成；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系统采用C/S架构，基于Windows平台应用；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统一管理系统内所有IP内通设备，包括寻呼话筒，对讲终端，广播终端和接口设备；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即时显示各类终端运行状态，如登录IP地址、音量、任务状态，可远程调节所有终端音量；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配置各类终端参数：终端名称、广播权限（操作范围、优先级)、对讲权限（呼叫范围、优先级)、监听权限（监听范围）等；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具有实时采播和定时采播功能，可通过声卡向指定终端广播音乐或通知；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文件广播，将服务器中音频文件，向指定终端播放（支持任意多路文件同时广播）；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定时任务，在设定的时间，向预设的终端播放文件列表内容；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消防广播，当服务器收到终端的触发信号，向指定区域的终端播放紧急疏散语音；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节目管理，维护系统所需的广播音频文件，便于工作站或终端调用；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为工作站软件提供数据接口，根据账户授予相应操作权限；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日志功能，每次呼叫、通话和广播操作均有记录供查询。</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040205014005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信号灯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通航信号灯用来指示游船进、出水闸，为航道顺畅提供保障。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由交通信号灯、电缆等组成。交通信号灯设置在水闸通航进、出口处。交通信号灯可以通过计算机监控系统实现预设、控制等，在计算机监控系统退出或信号系统故障时，由人工进行指挥。</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030501017012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计算机监控系统软件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电缆</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电力电缆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1.型号ZC-YJV22-1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2.规格:2*6</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电力电缆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1.型号ZC-YJV22-1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2.规格:2*4</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控制电缆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1.型号ZC-KVVP-0.5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2.规格:4*1.5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030408002002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控制电缆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1.型号ZC-KVVP-0.5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2.规格:7*1.5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030408002003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控制电缆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1.型号ZC-KVVP-0.5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2.规格:10*1.5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030408002004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1.型号ZC-DJYP2VP2-0.5-1×2×1.5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2.规格:2*1.5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3.敷设方式:沿强电桥架敷设,出桥架穿管保护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电缆预埋管</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1.名称:电缆保护管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2.材质:热镀锌钢管(国标)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3.规格:DN40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4.配置形式:暗敷</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1.名称:电缆保护管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2.材质:热镀锌钢管(国标)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3.规格:DN32</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4.配置形式:暗敷</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030411001003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1.名称:电缆保护管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2.材质:热镀锌钢管(国标)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3.规格:DN25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4.配置形式:暗敷</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169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030411001004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1.名称:电缆保护管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2.材质:PVC(国标)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3.规格:</w:t>
            </w:r>
            <w:r>
              <w:rPr>
                <w:rFonts w:hint="eastAsia" w:ascii="MS Mincho" w:hAnsi="MS Mincho" w:eastAsia="MS Mincho" w:cs="MS Mincho"/>
                <w:color w:val="auto"/>
                <w:sz w:val="18"/>
                <w:szCs w:val="18"/>
                <w:highlight w:val="none"/>
                <w:lang w:bidi="ar"/>
              </w:rPr>
              <w:t>∅</w:t>
            </w:r>
            <w:r>
              <w:rPr>
                <w:rFonts w:hint="eastAsia" w:ascii="宋体" w:hAnsi="宋体" w:cs="宋体"/>
                <w:color w:val="auto"/>
                <w:sz w:val="18"/>
                <w:szCs w:val="18"/>
                <w:highlight w:val="none"/>
                <w:lang w:bidi="ar"/>
              </w:rPr>
              <w:t>25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4.配置形式:暗敷</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接地</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030409008006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等电位端子箱、 测试板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等电位端子箱 JXR4008</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1.型号BV-0.5-1×50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2.规格:BV50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3.敷设方式:穿管保护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管理控制中心</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主机兼操作员工作站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工程师兼通信工作站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a、CPU  英特尔Corei7 4790系列四核处理器3.6GHz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b、内存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c、硬盘 采用1个3.5"1TB SATA接口硬盘，利用率≤50%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d、显卡  2G独立显卡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e、光驱 DVD-RW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f、2个100/1000Mbps以太网卡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g、1台24英寸真彩TFT液晶显示器及适配卡，分辨率≥2K</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h、6个USB 2.0或3.0接口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i、1个工作键盘（104标准键盘）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j、1只鼠标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k、机内电源400W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1、有源音箱1对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m、机内锂电池供电的实时时钟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n、主控站微机应配有一个坚固的通风条件良好的装配箱，此机箱配有400W电源，冷却风扇和可拆洗的空气过滤器。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h、运行环境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电源电压    220VAC，50Hz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温度       -5℃～+45℃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湿度       ≤95％ RH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海拔高度      &lt;1000m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耐振能力      水平加速度0.25G，垂直加速度0.13G，水平、垂直加速度同时作用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MTBF         ≥50000h</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DiggCom、Schneider、Emerson或同档次及以上品牌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便携式工作站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14″液晶显示器；10代i7CPU；内存容量不小于16GB；固态硬盘容量不小于1TB。</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浪潮、联想、同方或同档次及以上品牌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030504001001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容错服务器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（1）性能要求</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服务器采用4U一体化机箱。</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服务器采用部件级冗余的工业标准容错服务器，基于x86架构，全年平均停机时间不超过5分钟，服务器可靠性设计达到99.999%以上，电源、CPU、内存、I/O控制组件均采用冗余配置。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服务器完全采用冗余方式，上下硬件模块部件在同一时钟周期做同样的工作，能够在发生故障时进行及时切换。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发生故障时，对故障模块自动隔离再移除，无故障模块保持在线，接管业务系统继续运行。更换故障模块后，两套模块自动同步，恢复正常运行状态。在灾难性故障（如处理器/芯片组）出现时，数据不丢失。</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服务器硬盘，包括操作系统、应用软件和静态数据等均采用镜像（RAID 1）方式保护；同时服务器还具有内存动态数据的镜像保护，保证实时数据的安全性。</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支持Windows，Linux等主流操作系统；支持中标麒麟，银河麒麟，红旗，普华，凝思，统信等国产操作系统，并提供至少一个国产操作系统使用证明或认证证书。</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支持本地或远程管理、全面实时故障管理、性能监视，邮件或微信告警通知。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提供业务应用响应级别实时监控和端口监控功能，不仅在硬件发生故障时容错，在操作系统和应用程序状态异常时也可以实施容错恢复。</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▲安全策略：</w:t>
            </w:r>
            <w:r>
              <w:rPr>
                <w:rFonts w:hint="eastAsia" w:ascii="宋体" w:hAnsi="宋体" w:cs="宋体"/>
                <w:color w:val="auto"/>
                <w:sz w:val="18"/>
                <w:szCs w:val="18"/>
                <w:highlight w:val="none"/>
                <w:lang w:bidi="ar"/>
              </w:rPr>
              <w:t>内置平台层安全策略控制，与操作系统的安全策略配合实现双重安全保障。</w:t>
            </w:r>
            <w:r>
              <w:rPr>
                <w:rFonts w:hint="eastAsia" w:ascii="宋体" w:hAnsi="宋体" w:cs="宋体"/>
                <w:color w:val="auto"/>
                <w:sz w:val="18"/>
                <w:szCs w:val="18"/>
                <w:highlight w:val="none"/>
                <w:lang w:bidi="ar"/>
              </w:rPr>
              <w:br w:type="textWrapping"/>
            </w:r>
            <w:r>
              <w:rPr>
                <w:rFonts w:hint="eastAsia" w:ascii="宋体" w:hAnsi="宋体" w:cs="宋体"/>
                <w:color w:val="auto"/>
                <w:szCs w:val="21"/>
                <w:highlight w:val="none"/>
                <w:lang w:bidi="ar"/>
              </w:rPr>
              <w:t>▲</w:t>
            </w:r>
            <w:r>
              <w:rPr>
                <w:rFonts w:hint="eastAsia" w:ascii="宋体" w:hAnsi="宋体" w:cs="宋体"/>
                <w:color w:val="auto"/>
                <w:sz w:val="18"/>
                <w:szCs w:val="18"/>
                <w:highlight w:val="none"/>
                <w:lang w:bidi="ar"/>
              </w:rPr>
              <w:t xml:space="preserve">容错服务器硬件模块面板需设置各类故障告警灯，包括系统工作状况、数据同步状态、系统平台是否稳定、储存状态、网络应用、第三方系统软件等故障报警，此项功能需出示相应专利证明或服务器面板照片图例说明。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所有关键部件均可以模块化的方式进行更换，即CPU/内存、I/O设备、电源、主板等出现故障时，均可不停机进行更换。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（2）配置要求</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双路双模（每个模块配置2个物理CPU，总共配置4个物理CPU）10C、2.2GHz（逻辑CPU）；</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最少内存配置为2*32GB DDR，最大至少可扩充到1TB或以上（逻辑内存）；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配套操作系统，并配置相应的服务器管理软件；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每个硬件模块采用两块480G SAS接口的SSD固态硬盘作为系统盘，并配置一块SAS 2.4T 10K硬盘作为数据存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储用。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RAID：集成RAID控制器，支持Raid0/1/5/10；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网络接口：每模块标配2x 1GBase-T+2x 10GBase-T高速网络端口，采用网卡冗余技术，发生网络端口故障时自动切换到其他物理端口；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扩展槽：每模块支持6xPCIe半高扩展插槽；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管理接口：每模块集成1个带外管理模块，支持IPMI2.0，对外提供1个1000 Mbps RJ45管理网口；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电源：提供冗余800W电源模块</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INEDGE、NEC、HP-NonStop或同档次及以上品牌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031101028006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A3/A4网络激光打印机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打印最大幅面：A3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打印分辨率：≮1200×1200dpi</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打印速度：≮24ppm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处理器：460MHz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内存容量：512M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连接方式：USB+有线网络+无线网络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奔图、得力、联想或同档次及以上品牌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030904014001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广播主机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采用17寸工业级加固触摸屏，具有可抽拉隐藏式键盘、滑鼠板，简单易用的触摸屏操控；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 标准RJ45网络接口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具有紧急广播按钮及紧急广播话筒，可进行快速的紧急广播和应急演习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标准RJ45网络接口，有以太网口的地方即可接入，支持跨网段和跨路由</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CPU：5代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硬盘：120G固态硬盘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内存：8GB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网络通讯协议：TCP、UDP、ARP、ICMP、IGMP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网络芯片速率：10/100Mbps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音频编码：MP2/MP3/PCM/ADPCM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传输位率：16kbps-192kbps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信噪比/频响：LINE: ≥70dB， MIC: ≥70dB，20Hz-20KHz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接口：2个RJ45网口、6个USB口、1个 DVI接口、1路线路输入、1路线路输出、1路VGA输出、1路话筒输入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含配套广播系统软件。</w:t>
            </w:r>
          </w:p>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▲所投产品通过CCC认证，投标提供证书复印件。</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▲所投产品具有中国质量认证中心颁发的中国节能产品认证证书，提供复印件。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语音对讲话筒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专业控制台设计，铝合金面板，全金属机身。</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具有7寸数字真彩显示屏，电容式触摸屏，分辨率800*480。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内置3W扬声器和话筒咪头，用于免提通话、接收广播和监听(数字降噪)。</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可对全区、分区、个别终端进行广播喊话。</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具有红色紧急按键，支持一键广播到预设分区。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支持来/去/未接电显示功能，具有常用通信电话薄查询功能。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支持U盘或读卡器接入，点播音频文件并通过网络广播到前端设备。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支持Mini SD卡接入，可以升级终端固件程序。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支持触摸屏背景界面自由更换。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内置Flash存储，可以存储音频、配置信息及备份，支持远程修改和升级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标准RJ45接口，有以太网口的地方即可接入，支持跨网段和跨路由。</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技术参数：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网络通讯协议 TCP、UDP、ARP、ICMP、IGMP、HTTP、FTP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网络芯片速率 10/100Mbps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音频编码格式 WAV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音频采样、位率 8khz-44.1kHz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，16bit，8kbps-320kbps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信噪比、频响 &gt;90dB、20Hz-16KHz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网络声音延迟 对讲延迟≤30ms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显示语言 中文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工作温度、湿度 -10℃-55℃ ，≤90%（无结露）。</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179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030404015006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双联控制台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双联控制台为中心运行人员的操作控制台，暂定尺寸4000×1000×800mm（长×宽×高），同时配4张座椅。可放置4台计算机、A3/A4 幅面打印机和电话机等设备，同时控制台还可放置必需的资料等东西。双联控制台要求同控制台。</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030501017013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计算机远程监控软件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系统应具备工业自动化应用中的实时数据采集、报警和事件管理，历史数据存储、报告生成，本地及远程PLC的通信，数据控制，良好的设计和组态功能（人机界面）。该软件应容易使用，有面向对象的图形化的开发环境，并具备开放式架构，能够利用客户/服务器和点对点网络结构等最新技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InTouch、Cimplicity、Wincc、Vijeo citect或同档次及以上品牌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图像安防系统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视频监视系统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高清半球摄像机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400万星光半球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400万 1/3" CMOS ICR日夜型半球型网络摄像机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支持Smart侦测：10项事件检测，1项异常检测</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具有400万像素 CMOS传感器。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主码流可达到2688x1520@25fps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红外（激光）摄像机在30米距离下应能探测到目标。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信噪比不小于55dB。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摄像机能够在-30~60摄氏度，湿度小于93%环境下稳定工作。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不低于IP66防尘防水等级。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摄像机应能在DC（12±25%）V范围内正常工作。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高清球型摄像机</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eastAsia="zh-CN" w:bidi="ar"/>
              </w:rPr>
            </w:pPr>
            <w:r>
              <w:rPr>
                <w:rFonts w:hint="eastAsia" w:ascii="宋体" w:hAnsi="宋体" w:cs="宋体"/>
                <w:color w:val="auto"/>
                <w:sz w:val="18"/>
                <w:szCs w:val="18"/>
                <w:highlight w:val="none"/>
                <w:lang w:bidi="ar"/>
              </w:rPr>
              <w:t>高清球型摄像机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400万星光球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摄像机靶面尺寸不小于1/1.8英寸</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支持32倍光学变倍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内置GPU芯片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视频输出支持2560×1440@25fps，分辨力不小于1400TVL，红外距离可达150米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对人或车辆进入警戒区域后，设备可发出白光警示、声音警示，并启动智能跟踪功能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设备支持可见光及红外光补光，可见光夜视距离，可识别距设备50m处的人体轮廓</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支持最低照度可达彩色003Lux，黑白001Lux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支持水平手控速度不小于160°/S，垂直速度不小于120°/S，云台定位精度为±0.1°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水平旋转范围为360°连续旋转，垂直旋转范围为-15°~90°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支持对镜头前盖玻璃加热，去除玻璃上的冰状和水状附着物。</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支持人脸抓拍设置，具有最佳抓拍和快速抓拍两种模式设置选项</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需具备智能分析抗干扰功能，当篮球、小狗、树叶等非人或车辆目标经过检测区域时，不会触发报警</w:t>
            </w:r>
            <w:r>
              <w:rPr>
                <w:rFonts w:hint="eastAsia" w:ascii="宋体" w:hAnsi="宋体" w:cs="宋体"/>
                <w:color w:val="auto"/>
                <w:sz w:val="18"/>
                <w:szCs w:val="18"/>
                <w:highlight w:val="none"/>
                <w:lang w:eastAsia="zh-CN" w:bidi="ar"/>
              </w:rPr>
              <w:t>；</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支持快捷配置功能，可在预览画面开启/关闭“快捷配置”页面，对曝光参数、OSD、智能资源分配模式等参数进行配置，并可一键恢复为默认设置；</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支持智能红外、透雾、强光抑制、电子防抖、数字降噪、防红外过曝功能；</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球机应具备本机存储功能，支持SD卡热插拔，最大支持256GB；</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支持区域入侵、越界入侵、徘徊、物品移除、物品遗留、人员聚集、停车、快速移动，并联动报警；</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具备较好的防护性能环境适应性，支持IP67，6kV防浪涌，工作温度范围可达-40℃～70℃；</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具备较好的电源适应性，电压在AC24V±30%范围内变化时，设备可正常工作。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高清防爆球型摄像机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高清防爆球型摄像机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400万22倍防爆球机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防爆标志：Ex d ⅡC T6 Gb/Ex tD A21 IP68 T80℃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304不锈钢材质设计，防爆球机散热</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采用高性能传感器，图像清晰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400万像素逐行扫描 1/2.8" CMOS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最大分辨率可达2560×1440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最低照度：彩色：05Lux @ (F1.6，AGC ON)；黑白：01Lux @(F1.6，AGC ON)</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支持ICR红外滤片式自动切换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支持120dB超宽动态、3D降噪</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支持H.265编码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支持掉电记忆、断网续传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焦距4.8 mm~105.6 mm，22倍光学变倍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支持3D定位，可通过鼠标框选目标以实现目标的快速定位与捕捉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支持360°水平旋转，垂直方向0°~90°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支持定时任务、一键守望、一键巡航功能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镜头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全景球机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全景球机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支持GB35114安全加密；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最低照度:</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【全景】005 Lux/F1.0（彩色），001 Lux/F1.0（黑白）；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【细节】星光级超低照度，005 Lux/F1.2（彩色），001 Lux/F1.2（黑白），0 Lux with IR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光学变倍: 40倍；</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焦距: 【全景】2.8 mm；【细节】6~240 mm；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视场角:</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水平视场角：56.6~1.8度（广角~望远）；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垂直视场角：33.7~1.0度（广角~望远）；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对角线视场角：63.4~2.0度（广角~望远）；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红外照射距离: 250m；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防补光过曝: 支持；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水平范围: 360°；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垂直范围: -15°~90°（自动翻转）；</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水平速度: 水平键控速度：0.1°~210°/s，速度可设；水平预置点速度：240°/s；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垂直速度: 垂直键控速度：0.1°~150°/s，速度可设；垂直预置点速度：200°/s。</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室外摄像机立杆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室外摄像机立杆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4米，热镀锌，壁厚≥2mm，含基础及浇筑，防雷接地</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030507008006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全景摄像机立杆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全景摄像机立杆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8米，热镀锌，壁厚≥2mm，含基础及浇筑，防雷接地</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6</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030507013001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数字硬盘录像机</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数字硬盘录像机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1.硬件规格：</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1.5U标准机架式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1个HDMI，1个VGA，同源输出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4盘位，可满配8T硬盘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2个千兆网口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前面板2个USB2.0接口、后面板1个USB2.0接口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报警IO：16进4出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软件性能：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输入带宽：160M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16路H.264、H.265混合接入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最大支持8×1080P解码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支持H.265、H.264解码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Smart 2.0/整机热备/ANR/智能检索/智能回放/车牌检索/人脸检索/热度图/客流量统计/分时段回放/超高倍速回放/双系统备份。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含3块6T硬盘。</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视频交换机</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使用可网管模块化工业交换机，1000M光口不少于4个，10/100M/1000M电口不少于</w:t>
            </w:r>
            <w:r>
              <w:rPr>
                <w:rFonts w:ascii="宋体" w:hAnsi="宋体" w:cs="宋体"/>
                <w:color w:val="auto"/>
                <w:sz w:val="18"/>
                <w:szCs w:val="18"/>
                <w:highlight w:val="none"/>
                <w:lang w:bidi="ar"/>
              </w:rPr>
              <w:t>14</w:t>
            </w:r>
            <w:r>
              <w:rPr>
                <w:rFonts w:hint="eastAsia" w:ascii="宋体" w:hAnsi="宋体" w:cs="宋体"/>
                <w:color w:val="auto"/>
                <w:sz w:val="18"/>
                <w:szCs w:val="18"/>
                <w:highlight w:val="none"/>
                <w:lang w:bidi="ar"/>
              </w:rPr>
              <w:t>个，水闸采用租用专网（控制网）方式与本工程管理控制中心监控系统连接，相应的辅件应配套提供；</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符合工业标准及IEEE802.3标准；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采用模块化结构设计，提高设备的扩展性和灵活性；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工业标准19英寸机架式安装，工作温度：-20℃～70℃，工作电压：10～48VDC；</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采用存储-转发技术，支持自动协商功能、自适应全双工/半双工、自适应100Base-TX端口、自适应MDI/MDIX；</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MTBF（平均无故障工作时间）不小于20万小时；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相对湿度：10%～95%（非凝结）；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防护等级不低于IP30，全封闭式金属外壳，无需风扇散热（无风扇设计）；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冗余双电源输入，具有电源过载保护功能；</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    具有网络管理功能，提供网管软件通讯方式对交换机进行监控、故障诊断和趋势图分析的功能；支持RSTP、SNMPV1/V2/V3、IGMP snooping、VLAN、QOS、TRUNKING、MIRRORING、DHCP等功能。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 9000系列、N-TRON 7900系列、Siemens SCALANCE X300系列或同等档次及以上品牌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189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处理器：不低于 10代 i7；</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主频：不小于 1.9GHz；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内存：不小于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硬盘容量不小于 1TB+256SSD；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网卡：双 100/1000M 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含键鼠、24"彩色液晶显示器。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浪潮、同方、联想或同档次及以上品牌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030502005006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网络双绞线电缆CAT6</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一舟、秋叶原、安普或同档次及以上品牌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030411004002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电源线RVV-1-2×1.5</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1300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中策、鸿雁、起帆或同档次及以上品牌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030411001005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1.名称:电缆保护管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2.材质:热镀锌钢管(国标)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3.规格:DN25</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4.配置形式:暗敷</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030502007007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通信光纤</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通信光纤单模铠装24芯光纤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300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出入口道闸系统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一体化道闸</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由抓拍机、显示屏、语音对讲模块、语音播报模块、LED补光灯、雷达等组成。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最低照度：</w:t>
            </w:r>
            <w:r>
              <w:rPr>
                <w:rFonts w:hint="eastAsia" w:ascii="宋体" w:hAnsi="宋体" w:cs="宋体"/>
                <w:color w:val="auto"/>
                <w:sz w:val="18"/>
                <w:szCs w:val="18"/>
                <w:highlight w:val="none"/>
                <w:lang w:val="en-US" w:eastAsia="zh-CN" w:bidi="ar"/>
              </w:rPr>
              <w:t>0.00</w:t>
            </w:r>
            <w:r>
              <w:rPr>
                <w:rFonts w:hint="eastAsia" w:ascii="宋体" w:hAnsi="宋体" w:cs="宋体"/>
                <w:color w:val="auto"/>
                <w:sz w:val="18"/>
                <w:szCs w:val="18"/>
                <w:highlight w:val="none"/>
                <w:lang w:bidi="ar"/>
              </w:rPr>
              <w:t>02lx（F=1.5，AGC ON，彩色模式），能基本分辨被摄目标的轮廓特征和色彩。</w:t>
            </w:r>
            <w:r>
              <w:rPr>
                <w:rFonts w:hint="eastAsia" w:ascii="宋体" w:hAnsi="宋体" w:cs="宋体"/>
                <w:color w:val="auto"/>
                <w:sz w:val="18"/>
                <w:szCs w:val="18"/>
                <w:highlight w:val="none"/>
                <w:lang w:val="en-US" w:eastAsia="zh-CN" w:bidi="ar"/>
              </w:rPr>
              <w:t>0.0</w:t>
            </w:r>
            <w:r>
              <w:rPr>
                <w:rFonts w:hint="eastAsia" w:ascii="宋体" w:hAnsi="宋体" w:cs="宋体"/>
                <w:color w:val="auto"/>
                <w:sz w:val="18"/>
                <w:szCs w:val="18"/>
                <w:highlight w:val="none"/>
                <w:lang w:bidi="ar"/>
              </w:rPr>
              <w:t>002lx（F=1.5，AGC ON，黑白模式），能基本分辨被摄目标的轮廓特征。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图像分辨率和帧率：最大支持2688×1520（不含字符叠加），帧率在（1～25）fps可调。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亮度自适应：当环境照度在最高值≥30000Lx、最低值≤200Lx之间变化时，视频图像均具有尚好的清晰度、层次感和色彩还原度。</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支持大车锁闸功能，当视频判断为大货车过车时道闸不落杆。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支持连续过车模式，连续过车时道闸不落杆。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断网下事件记录数最大为100000条，用户数最大为15000条。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支持增加、编辑、删除用户。支持设置用户权限。</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海康、捷顺、科拓或同档次及以上品牌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031101043003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出入口控制终端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出入口控制终端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双千兆网卡，支持网络容错以及双网络IP设定、双网隔离等应用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8个百兆兆自适应RJ45网口具备交换机功能，可接入多路网络设备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1个标准全功能RS232接口，可直接接入标准RS232接口设备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128G SSD，应对恶略运行环境，适应性更强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级联功能：能够支持5个终端同时运行管理USB接口：4个USB3.0接口，USB接口可以连接键盘、鼠标等USB外设并正常控制；USB接口可以连接存储设备并进行数据传输。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海康、捷顺、科拓或同档次及以上品牌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030507016002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道闸抬杆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杆件类型：道闸抬杆；</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选用栅栏秆，能够防止其他人员从栏杆底下进入；挡杆采用特殊高强度铝型材，外贴红色反光膜，使其在夜间亦清晰可见能够保证夜间车辆的安全行驶；杆长根据实际情况配置，档杆颜色由发包方确认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010805004001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道闸伸缩门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道闸伸缩门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选用自动伸缩门，伸缩门宽度根据实际情况配置，样式由发包方确认</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门禁管理系统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030507005001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人脸识别一体机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人脸识别一体机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设备应采用嵌入式 linux 系统。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应采用 200W 像素双目摄像头，帧率应≥25 帧/s；应支持接入 NVR 设备，实现视频监控录像；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应支持双码流技术，主码流和子码流均为 1280×720@25fps 输出；在 IE 浏览器下，视频编码格式具有 H.265、H.264、MPEG-4、MJPEG 设置选项；可将 H.265、H.264 格式设置为Baseline/Mai n/High Profile。</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设备离线应支持 10000个用户（用户权限应能配置为管理员）、 10000 张人脸库、 50000 张卡片容量、150000 笔记录存储 、 10000 个密码</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移动巡查系统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lang w:bidi="ar"/>
              </w:rPr>
            </w:pP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c>
          <w:tcPr>
            <w:tcW w:w="1296" w:type="dxa"/>
            <w:shd w:val="clear" w:color="auto" w:fill="FFFFFF"/>
            <w:vAlign w:val="center"/>
          </w:tcPr>
          <w:p>
            <w:pPr>
              <w:widowControl/>
              <w:adjustRightInd w:val="0"/>
              <w:snapToGrid w:val="0"/>
              <w:jc w:val="center"/>
              <w:textAlignment w:val="center"/>
              <w:rPr>
                <w:rFonts w:ascii="宋体" w:hAnsi="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199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080605007001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手持移动巡查仪</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手持移动巡查仪</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NFC手持移动巡查仪</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CPU型号：第一代骁龙8+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机身尺寸：宽75.5mm；长162.1mm；厚8.5mm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机身内存：512GB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屏幕分辨率；FHD+ 2616*1212</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屏幕刷新率：120Hz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屏幕尺寸：6.74英寸</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无线充电：50W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电池容量：4700mAh(typ)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充电功率：66W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操作系统：系统HarmonyOS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网络支持：3G/2G网络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3G CDMA2000(电信)；3G WCDMA(联通)</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4G网络：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4G FDD-LTE；4G TD-LTE</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数据接口:USB；红外；WIFI；蓝牙；NFC；OTG接口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生物识别:屏幕指纹；人脸识别</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后摄主像素:5000万像素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后摄3-tele像素:6400万像素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前摄主像素:1300万像素</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华为、小米、海康或同档次及以上品牌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其他</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安防隔离围栏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安防隔离围栏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皂李湖~白马湖连接隧洞出口洞脸四周增加安防隔离围栏。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米</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350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管理控制中心</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处理器：不低于 10代 i7；</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主频：不小于 1.9GHz；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内存：不小于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硬盘容量不小于 1TB+256SSD；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网卡：双 100/1000M 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含键鼠、24"彩色液晶显示器。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浪潮、同方、联想或同档次及以上品牌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视频综合管理平台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视频综合管理平台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硬件性能：2U双路标准机架式服务器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CPU：1颗4210R intel至强系列处理器，核数≥10核，主频≥2.4GHz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内存：16G*2 DDR4，16根内存插槽，最大支持扩展至2TB内存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硬盘：2块1.2T 10K 2.5寸 SAS硬盘</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阵列卡：SAS_HBA卡, 支持RAID 0/1/10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PCIE扩展：最大可支持6个PCIE扩展插槽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网口：2个千兆电口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其他接口：1个RJ45管理接口，后置2个USB 3.0接口，前置2个USB2.0接口，1个VGA接口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电源：标配550W（1+1）高效铂金CRPS冗余电源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软件功能：1）系统基础包，提供业务应用依赖的基础资源信息及基础服务能力，包括系统基础信息管理、地图应用服务、事件联动应用服务。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监控应用提供视频管理服务，支持编码设备通过海康设备网络SDK协议、海康Ehome协议、海康ISUP5.0协议、GB28181协议、ONVIF协议、大华设备网络SDK协议、萤石协议接入平台，实现视频预览、录像回放、视频上墙、视频事件监控服务能力，并且在网络带宽不足、有流量限制的网络环境下可以通过以图片替代视频的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提供监控服务。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2）视频级联应用主要为视频监控业务提供级联服务，专注于平台域间视频联网，基于视频通用标准协议（GB/T28181-2011,GB/T28181-2016）与外域平台互联互通，实现上级平台对下级平台视频资源点位的操作控制。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基础门禁管理通过接入多种门禁设备，利用卡片、人脸、指纹介质，实现人员身份识别、出入管控等智能应用，主要提供门禁权限管理、事件管理、门禁状态查看、门禁远程控制、人员出入记录实时展示、远程呼叫对讲等应用。默认包含50路门禁点授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出入口车辆放行管理通过接入多种出入口道闸设备，利用车牌号码、卡片，实现车辆识别、出入管控等应用，主要提供出入口车道管理、车辆管理、车辆放行规则管理、出入口LED显示和语音播报管理、库内车辆管理、过车记录查询、车流量统计等应用，支持中心和岗亭监控出入口过车实况、道闸反控和语音对讲协助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磁盘阵列</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磁盘阵列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机架式/4U 24盘位/1536Mbps接入带宽/64位多核处理器/4GB缓存/2个千兆数据网口/1个千兆管理网口/冗余电源/网络协议：RTSP/ONVIF/PSIA/（GB/T28181）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服务器配置：≥1颗64位多核处理器，≥4GB内存，内存支持扩展到≥256GB，内置SSD固态硬盘，配置≥3个风扇，支持风扇热插拔冗余温控调速风扇。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标配≥2个千兆网口，可增扩≥6个千兆网口，或可增扩≥4个万兆网口或≥6个HDMI接口或≥4个SAS3.0接口；支持≥12级扩展柜级联扩展；可支持12GBSAS扩展口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支持SATA和SAS混插，支持不同品牌的硬盘混插；支持不同大小的硬盘混合使用，可显示硬盘的总容量（各个硬盘容量之和）</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配备独立元数据系统、支持元数据系统组成RAID和网络RAID（N+M配置，且M≥8），一组RAID故障时其业务可自动切换至其他网络RAID组</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内置 96T 存储容量。</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文化宣传大屏</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LED显示屏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LED显示屏采用4.9m2（暂定）的室外全彩高清LED显示大屏，像素点间距应不大于4mm；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像素构成：SMD表贴三合一LED灯，1R1G1B（配色比例R:G:B=3:6:1）；</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显示屏宽不小于2.56米，高不小于1.92米，面积不小于4.91平方米，分辨率不低于640点×480点，偏差范围不超过±3％；</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刷新频率≥3840HZ，换帧频率：50Hz&amp;60Hz，占空比50%；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平均故障间隔时间（MTBF）：≥100000h，平均故障修复时间（MTTR）：≤5分钟。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内含模组、箱体、电源、控制卡、结构框架及线缆等。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m2</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4.90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030504004001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LED播放软件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LED播放软件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显示屏专用管理软件，配合发送、接收、监控以及多功能卡，用户可以方便的实现对LED显示屏的智能配置、参数调节、亮度控制、电源管理、屏体校正以及硬件监控。</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030507009002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视频处理器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视频处理器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（1）具有完备的视频输入接口，包括 2 路 CVBS，1 路 VGA，1 路 DVI，1 路HDMI。部分接口支持的输入分辨率最高可达 1920×1200@60Hz；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（2）可根据显示屏分辨率对输入图像进行逐点缩放；</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（3）视频源一键切换；可以2路不同画面同显示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（4）提供无缝的快切和淡入淡出的切换效果，以增强并呈现专业品质的演示画面；</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（5）画中画的位置、大小等均可调节，可以随心所欲的控制；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（6）画面稳定无闪烁、无扫描线、图像细腻、层次感好；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（7）根据屏幕所用 LED 的不同特性，实施白平衡校准及色域匹配，确保真实色彩还原；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（8）HDMI 音频输入；外置独立音频输入；</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（9）支持高位阶视频输入，10bit/8bit；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（10）视频输出带载能力：1280x1024、1440x900，（130 万像素）；</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（11）支持新一代逐点校正技术，校正过程快速高效。</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配电箱</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配电箱</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配电系统采用三相五线制（TN-S系统），输入电压为交流380V±15%，工频50/60HZ。功率10KW。</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配电箱具备远程控制，可在计算机上远程开关屏幕，支持自动延时上电减少对电网冲击，支持多组定时控制。</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安装结构及包边装饰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根据现场情况定制钢结构安装结构，具有耐盐雾腐蚀性能和抗氧化性；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有防高温、阻燃、防静电防护措施；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采用高精度铝型材结构支架设计；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含大屏包边。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平方米</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4.90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管理控制中心</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大屏显示系统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030507014002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LED显示屏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LED显示屏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LED显示单元采用15.6m2的室内全彩高清LED小间距显示大屏，像素点间距应不大于1.25mm；</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封装方式：三合一SMD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白平衡亮度：600cd/m2</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像素密度：6400000点/m2；</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箱体尺寸：600mm*337.5mm ；箱体为16：9尺寸；</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箱体材料及设计：纯压铸铝（包含后盖）；箱体间无线连接、可实现前后维护；</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内含模组、箱体、电源、控制卡、结构框架及线缆等。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m2</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15.60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030507009003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图像拼接处理器</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支持市面常见的HDMI、DP、SDI、DVI、VGA和IP视频输入接口；</w:t>
            </w:r>
          </w:p>
          <w:p>
            <w:pPr>
              <w:widowControl/>
              <w:adjustRightInd w:val="0"/>
              <w:snapToGrid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支持普通的1080P高清输入，支持高达4096×2160@60Hz分辨率的4K输入；</w:t>
            </w:r>
          </w:p>
          <w:p>
            <w:pPr>
              <w:widowControl/>
              <w:adjustRightInd w:val="0"/>
              <w:snapToGrid w:val="0"/>
              <w:jc w:val="left"/>
              <w:textAlignment w:val="center"/>
              <w:rPr>
                <w:rFonts w:hint="eastAsia" w:ascii="宋体" w:hAnsi="宋体" w:cs="宋体"/>
                <w:color w:val="auto"/>
                <w:sz w:val="18"/>
                <w:szCs w:val="18"/>
                <w:highlight w:val="none"/>
              </w:rPr>
            </w:pPr>
            <w:r>
              <w:rPr>
                <w:rFonts w:hint="eastAsia" w:ascii="宋体" w:hAnsi="宋体" w:cs="宋体"/>
                <w:color w:val="auto"/>
                <w:sz w:val="18"/>
                <w:szCs w:val="18"/>
                <w:highlight w:val="none"/>
              </w:rPr>
              <w:t>支持DVI、HDMI视频输出模式、千兆网口输出和万兆光纤输出。</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输入接口：4路DVI，4路HDMI；输出接口：8路DVI；机架式服务器，预留多路输入、输出插槽方便后期扩容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显示屏钢构</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根据现场情况定制钢结构安装结构，具有耐盐雾腐蚀性能和抗氧化性；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有防高温、阻燃、防静电防护措施；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采用高精度铝型材结构支架设计；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含大屏包边。</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平方米</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15.60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030404017002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智能配电柜</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智能配电柜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15kw 带PLC 6路开关，单路2.5KW，配电机柜总开关63A，单路开关32A。</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030504004002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显示屏控制软件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显示屏专用管理软件，配合发送卡，用户可以方便的实现对LED显示屏的智能配置、参数调节、亮度控制、电源管理、屏体校正以及硬件监控；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控制软件具有亮度智能调节功能；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控制软件具有故障监测报警功能；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控制软件具有色彩智能控制功能。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洲明、三思、雷曼、海康威视、大华或同档次及以上品牌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辅材</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网线、DVI等清单设备出厂线缆。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031101069017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大屏控制工作站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大屏控制工作站</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处理器：不低于 10代 i7；</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主频：不小于 1.9GHz；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内存：不小于 16GB；</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硬盘容量不小于 1TB+256SSD；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网卡：双 100/1000M 以太网卡；</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含键鼠、24"彩色液晶显示器。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浪潮、同方、联想或同档次及以上品牌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会商系统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视频会议系统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030506007001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视频会议终端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视频会议终端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视频会议系统包括视频会议终端、高清会议摄像头、高清晰拾音麦克风，应采用能够无缝兼容区、市视频会议系统的产品；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（1）视频会议终端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具备2路HDMI输入，2路HDMI输出，支持H.264视频编解码协议，支持AAC音频格式的解码；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具备2台显示设备独立画面输出能力；</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支持1/4/9/16多画面合屏显示模式；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视频输入输出：2*HDMI Input、2*HDMI Output</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音频输入输出：1*Line Input、2*MIC卡侬 Input、2*HDMI内嵌输入、1*Line Output、2*HDMI内嵌输出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 xml:space="preserve">以太网接口：2*RJ45 10/100/1000Mbps自适应网络接口 </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（2）高清会议摄像头</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PTZ高清摄像，1080P60fps视频输出，20倍光学变焦，12倍数字变焦，有效像素：≥200万。</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视联动力、宝利通、华为或同档次及以上品牌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视联网专线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视联网专线</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专线费，100M，3年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数字会议及扩声系统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会议主控机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数字会议主机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多种会议模式；支持麦克风手拉手连接；四路输出，每路20个话筒单元；每单元都有一个视频跟踪预置点，可选择相应摄像头和通道；内置电话偶合器输入和输出端口,可用来召开远程电话会议；自带防啸叫功能，开启移频功能可以有效地抑制啸叫、扩展音量，增加拾音距离，保证语音的传送质量，保真度高，声音清晰；支持多种品牌摄像头协议，并可定制协议；并具有智能断电记忆功能，可记忆程序运行状态，若意外断电后，通电后即恢复最后一次设置；频率响应100~14.5KHz；信噪比90dB；灵敏度-50dB。</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219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会议话筒单元</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会议话筒单元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支持热插拔功能，自带2.1米8P连接线；手拉手连接模式； LCD液晶显示单元身份、发言模式、发言状态、发言时间；灵敏度-50dB/Pa，频率响应100Hz~10KHz，咪杆长度400mm。</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全频主扬声器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全频主扬声器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高品质15mm中纤板全频扬声器，单元组成：LF：1*8"低音单元/HF：1*1.3"高音单元；额定功率：145W，额定阻抗：8Ω，覆盖角度：90°水平*60°垂直；频率范围：75Hz-20KHz，灵敏度(1m/1W)：90dB，最大声压级：﹥93dB</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功率放大器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功率：≥2*400W/8Ω，≥2*750W/4Ω，≥2*1100W/2Ω，桥接8Ω≥800W，桥接4Ω≥1100W；信噪比：103dB，失真：&lt;0.03%@8Ω1KHz，输入阻抗：20KΩ，频响范围：35Hz—20KHz；阻尼系数：&gt;400@8ohm，信号输入：6.3mmTRS平衡插座，XLR插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调音台</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调音台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最多6个话筒 / 12个线路输入 (4个单声道 + 4个立体声)，2编组母线 + 1立体声母线，2 AUX (包括FX)，“D-PRE”话放，带有倒向晶体管电路。单旋钮压缩器，高级效果器：SPX，含24组预置效果器，24-bit/192kHz 2进/2出 USB音频功能。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数字音频处理器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数字音频处理器  专业双31段2U均衡器，TRS或XLR差分平衡入和输出，可选择立体声或由左右声道相加而合成的超低音，两通道均有x10范围选择开关，两个通道均有40Hz高通滤波器（低频切除），所有的输出均带相位反转开关，所有频段上的输出电平均可独立调整，24dB nkWitz-Riley滤波器(专业标准)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无线一拖二话筒</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无线一拖二话筒</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拥有两通道接收信号,每通道﹥190个信道可选，UHF频段传输信号，频率范围：500MHz-900MHz；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实现同一发射可在两个通道400个信道中互通互用，采用红外自动对频技术，锁相环频率合成振荡方式；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设置2条橡胶接收天线，增强接收的信号，设有2个独立SQ电位器、2个平衡输出和1个混合非平衡输出；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同一场合可供﹥35套机同时使用，即可同时使用﹥35台接收机和﹥70个发射器，每通道设有独立窗口；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各通道配备独立的音量调节旋钮、红外对频信号灯、一键对频按键、频率前后调节按键、通道电源开关按键；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振荡方式:锁相环频率合成，频率范围：UHF500MHz～900MHz，频率稳定性：±01%，最大频率偏：±50KHz；</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FM调制方式，信噪比&gt;105dB，失真度&lt;0.5%@1KHz，灵敏度1.2/UV @S/N=12dB，音频输出：独立0～400mV、混合0～300mV。</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集中控制系统</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030904013001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中央控制主机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中央控制主机使用主频为400MHZ的工业级32位嵌入式ARM处理器；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内置32MB内存和4MB工业级数据存储FLASH，能快速处理复杂的逻辑指令；</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≥8路红外发射端口，每路互相独立（任何时间只有一个红外端口有效）；</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≥8路独立数字输入输出I/O口，输入输出电压范围DC 0~5V，电流0-10mA；</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≥8路独立弱电继电器接口，常开型独立继电器，额定1A/30V交流/直流；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≥8路双向可编程RS-232/422/485通讯接口；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1个程序传输接口，可通过计算机上传主机程序；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1个以太网接口（支持TCPIP协议），用于连接IPAD等WIFI设备。</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无线射频接收器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无线射频接收器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有线传输率:10/100Mbps，无线传输速率:450Mbps，网络标准:802.11b，无线网络支持频率:2.4G。</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华为、小米、联想或同档次及以上品牌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030506001019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电源控制器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通讯方式：BP-BUS控制总线、RS-232；</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继电器数量：≥8个，自带独立手动开关；</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地址码：用户自行设定，ID拨码开关选择ID；</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电源：24DC，CR-NET控制总线供电；</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单路载入容量：AC/220V/10A，DC/30V/10A。</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030506001020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时序电源</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1、时序电源</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标准（2U）机柜式设计，轻触式按键操作，LED指示灯显示工作状态；采用可中控继电器控制的外部接口，加入了2级电网EMI/EMC噪声滤波器；输入选择D型80A动力型空气开关，从设备背面引入电缆接入空开，符合建设部标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SPON、QSNPA、KARY或同档次及以上品牌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229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030507014003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无线触摸控制屏</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无线触摸控制屏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采用电容式触摸屏，多点式触摸屏，屏幕尺寸不小于7.9英寸；屏幕分辨率不小于1024x768。</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华为、小米、APPLE或同档次及以上品牌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其他</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会议桌椅</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30人左右会议桌（含桌椅）</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030502012001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信息插座</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桌面信息插座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1路RJ45接口，1路HDMI接口，1路3.5立体声接口、1路三眼电源插座</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个</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030506007002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无线同屏系统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支持并兼容Windows、macOS、Android、IOS等主流系统，支持Airplay镜像，同时连接数量≥64，单屏幕上同时显示画面≥4路。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机房工程</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030501005001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设备柜</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用于安装UPS、配电、动环、精密空调的设备柜，尺寸：600*1200*2000（mm），机柜应自带脚轮，现场可拆卸；</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机柜静态承重要求不小于1800kg；</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机柜前门采用双层隔热玻璃，后门采用钣金实门设计（拒绝采用网孔设计）; 单排一体化机柜采用封闭冷、热通道设计方案；</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机柜进出线方式：上下均预留可拆卸封闭进出线，方便系统走线；</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机柜前面除预留配电模块及UPS、精密空调安装位置之外，空余部位均采用1U免螺丝封板密封，设备柜内配置30块1U免螺丝封板密封；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机柜内部提供1副导轨，1块层板，PDU安装板1副，垂直走线板1副；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机柜顶部需包含1组M型强弱电分离的走线架，并柜所需密封板，附件等；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机柜PDU（每个机柜2个）：IN32A+GB16A*4+GB10A*12，垂直（0U）；工作电压：220V；额定输入电流32A;12位10A国标插孔；4位16A国标插孔；输入32A工业连接器；含防雷模块；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机柜需提供应急通风系统，含应急控制单元；在空调故障或散热不足时，自动检测并产生联动；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监控系统配置不小于10英寸彩色触摸屏,镶嵌于机柜正门,能够实时查看UP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S、配电、柜内环境量（温湿度、漏水、烟雾）等数据。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可通过Web界面查看系统运行信息、告警信息，进行参数配置；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可直接通过监控系统设置空调运行的详细参数（送、回风温湿度控制、精度校准等），远程开关机操作；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支持活动告警查询显示、历史告警查询显示；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提供告警联动，根据冷通道温度控制应急通风系统的启停，可与消防系统进行联动；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机柜标配门磁模块，可及时检测机柜门的开关状态，并在集中监控中显示。</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030501005002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安全机柜</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安全机柜</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网络柜尺寸：600*1200*2000（mm），机柜应自带脚轮，现场可拆卸；</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网络柜静态承重要求不小于1800kg；</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网络柜前门采用双层隔热玻璃，后门采用钣金实门设计（拒绝采用网孔设计）; 单排一体化机柜采用封闭冷、热通道设计方案；</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网络柜进出线方式：上下均预留可拆卸封闭进出线，方便系统走线；</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网络柜内每个机柜配置30块1U免螺丝封板密封；</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网络柜内部提供1副导轨，1块层板，PDU安装板1副，垂直走线板1副；</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网络柜顶部需包含1组M型强弱电分离的走线架，并柜所需密封板，附件等；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网络柜配置1套门磁模块。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网络柜PDU（每个机柜2个）：IN32A+GB16A*4+GB10A*12，垂直（0U）；工作电压：220V；额定输入电流32A;12位10A国标插孔；4位16A国标插孔；输入32A工业连接器；含防雷模块；</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网络柜需提供应急通风系统，含应急控制单元；在空调故障或散热不足时，自动检测并产生联动。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030507006001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机房门禁系统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机房门禁系统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包括门禁一体机、单门磁力锁、门禁电源、出门开关、线材及辅材等；7英寸LCD触摸显示屏，屏幕比例16:9，屏幕分辨率1024*600，采用200万宽动态摄像头，大视场角120°，采用星光级图像传感器，无需白光补光灯，支持5000人脸库，支持多种认证方式：刷卡、指纹、人脸、刷卡、密码。</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海康、大华、英飞拓或同档次及以上品牌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030501005003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配电系统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配电系统采用机架式安装方式，为节约机柜内空间，高度不大于4U；</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单相10K机架式配电模块，高度4U，总输入：125A/1P、UPS输入：63A/1P，UPS输出：63A/1P，维修旁路：63A/2P，空调：63A/1P，PDU及预留：6*32A/1P，监控及应急通风：2*10A/1P，含C级防雷模块（带32A/2P开关），含主路电能检测，含RS485监控接口，含DC12V输出接口；配电模块输入输出均采用穿墙端子，每个空开及端子标识采用不可擦除的丝印或铭牌标识清楚。</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Z030508002002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UPS不间断电源</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采用15KVA高频双变换纯在线式智能型UPS不间断电源，后备2小时，其内部直流稳压电源应有过压防雷、过流保护及电源故障信号，电源输入回路应有隔离变压器和抑制噪声的滤波器；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输入交流电压范围(V)380±25%，输入直流电压（V）192V；</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输入交流电压频率（Hz）40~70Hz，依据电网频率自动选择同步范围；</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输入功率因数（PF）：0.8；</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整机效率＞92%，ECO节能模式效率为98%；</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输出电压精度（稳态）(V)220V±1％，两相三线制；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输出频率精度（Hz）50Hz±0.2％（电池模式）；</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输出过载能力125％满载时维持10min后转旁路，150％满载时维持1min后转旁路，减少负载后又能自动转逆变输出；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切换时间旁路到逆变，逆变到旁路的切换时间0ms；</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030701003001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空调器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精密空调</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不得低于12.5KW的总冷量，输入电压制式220V~/50Hz，允许电压波动范围：220V±10%，频率：50HZ±2HZ，风量要求不得低于2200m³/h；</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机房专用空调机组室内机高度≤10U，采用R410A环保冷媒；</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风冷型机柜机房专用空调应在-15℃～45℃的室外环境温度范围内保证正常制冷；</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机组空调室内机包括蒸发器、EC风机、控制器、电子膨胀阀、过滤网、等部件；</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送风方式：三侧送风（风机上送风、左送风、右送风）；</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采用EC风机可以无极调节调速，1个电机带动两个风轮，可以随负荷进行快速响应，具有高风量、高效率、长寿命、低噪声的优势；</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组采用压缩机必须采用高效可靠的变频压缩机，可实现机组制冷量的灵活调节。压缩机变频控制技术结合机组的送风温度控制，可以使机组在不同的热负荷下能够灵活调节制冷量，从而提供相对恒定的送风温度，降低了送风温度的波动。另外在低热负荷条件下可以尽量降低压缩机的运行频率来保证机组送风温度不会降到太低，并且避免压缩机进入频繁启停状态，如此不仅提高了机组的运行效率</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和可靠性，还可以避免送风温度太低造成的结露风险；</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监控接入采用RS485接口，支持一体化机柜直接开关机及采集精密空调参数；</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机架式精密空调具有从前面排出冷风的送风单元。</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239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080903019001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消防系统</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（1）气体灭火控制器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满足GB 4717-2005 火灾报警控制器、GB 16806-2006消防联动控制器和GA61-2010固定灭火系统驱动、控制装置通用技术条件中有关气体灭火控制器的要求。</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具有火灾探测及报警功能；能控制实现气体灭火设备的启动喷洒；GST-QKP01 收到启动控制信号后能启动现场的区域讯响器报警、自动显示延时且指示延时时间；并联动启动输出模块实现关闭门窗、防火阀和停止空调等功能；</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延时启动的延时时间在0-30 秒连续可调；具有停动功能；具有手自动转换功能；自身带有备电，在主电缺失时可自动进入备电运行状态，能给备电充电并有备电保护功能；具有信息记录、查询功能，可保存后的999 条记录。</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（2）柜式七氟丙烷气体灭火装置</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灭火装置采用GQQ70/2.5-HJ型柜式七氟丙烷气体灭火装置，可扑灭A、B、C类火灾及电气火灾，能安全有效地使用在有人常驻的场所；也可适用于计算机房、通讯机房、测试中心、变配电室、精密仪器室、理化实验室等；</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柜式七氟丙烷气体灭火装置集灭火剂瓶组、连接管、喷嘴、电磁驱动器等于一体，与其他灭火灾控制器、火</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灾探测器等连接，可实现自动探测并实施灭火；</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含70kg HFC-227ea七氟丙烷药剂。</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（3）其他</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消防系统还应含泄压阀、输出模块、点型感温火灾探测器、点型光电感烟火灾探测器、火灾声光警报器、放气指示灯、紧急启/停按钮、电线、线管、辅材等。</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松江飞繁、海湾、泰和安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030607001001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安全监测装置</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动环监测系统</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2台(单/三相)UPS的监控、4台(智能/精密)配电、8台精密空调、，62路温湿度,8路DI检测（最大可扩展至40路DI检测),4路DO输出控制,支持网络视频及网络门禁监控、本地APP监控管理（支持安卓系统实现本地监控管理的需要）；标配1台监控主机，4个温湿度，2个烟感，1个声光告警器，1个短信告警模块，2个不定位漏水控制器，4条5米长不定位漏水感应绳，1个10寸触摸屏及触摸屏固定件，1套门禁控制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施耐德、维谛、雷迪司或同档次及以上品牌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云资源租用</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03B019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主服务器租用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4核16GB SSD存储200G</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年</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从服务器租用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2核8GB SSD存储100G</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年</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云数据库租用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4核8GB，最大连接数1000，存储1T</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年</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云存储租用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1T</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年</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备份服务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云数据库200GB</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年</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8、通信网络</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1、控制网</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030501012012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核心交换机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核心交换机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工业核心三层交换机，44个10/100/1000M电口，4个1000M单模光口，2个10G单模光口，4U标准机架式安装；光模块满配。</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ORing、N-TRON、Siemens或同等档次及以上品牌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2、管理网</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030501012013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核心交换机</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核心交换机</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工业核心三层交换机，44个10/100/1000M电口，4个1000M单模光口，2个10G单模光口，4U标准机架式安装；光模块满配。</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ORing、N-TRON、Siemens或同等档次及以上品牌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030501009001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企业级路由器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支持企业VPN；总带机量：50-100；WAN接入口：千兆网口</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华为、H3C、中兴或同档次及以上品牌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249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030503003011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无线控制器</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无线控制器</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支持管理AP数量≥250</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数据转发性能≥4Gbps</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至少提供6个千兆电口，2个千兆光口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支持智能漫游</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华为、H3C、中兴或同档次及以上品牌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030501008001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无线AP</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无线AP</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支持3*3MIMO，支持802.11a/n/ac/ax</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整机速率≥2.1Gbps，提供至少2个千兆RJ45口</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含电源模块</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14</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华为、H3C、中兴或同档次及以上品牌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专线租用</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控制网专线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20M，VPN专线，3年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视频网专线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50M，VPN专线，3年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互联外网专线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200M，固定IP，3年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现地控制网专线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10M，VPN专线，3年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现地视频网专线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20M，VPN专线，3年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03B029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政务网专线租赁</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200M，3年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9、网络安全</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1、控制网</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030501011001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工业网闸</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硬件性能要求：</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机箱高度≤2U；内外端双侧液晶屏；内端机≥4个10/100/1000Base-T接口，扩展槽位≥1个；外端机≥4个10/100/1000Base-T接口，扩展槽位≥1个；网络吞吐量≥300Mbps；并发连接数≥4万，延迟5ms，内外端机各8G内存，内外端机各1TB硬盘；</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系统架构：2+1”系统结构，内外端机为TCP/IP网络协议的终点，阻断TCP/IP协议的直接贯通。内外端机之间采用专用硬件和专用协议进行连接，不可编程；</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硬件架构：硬件架构由内端机、外端机、专有隔离硬件三部分组成。内端机和外端机各自具有独立主板、独立总线、独立的存储和运算单元；内端机和外端机之间非网线、USB线、SCSI线等线缆直连，基于光隔离技术专有硬件进行隔离和数据交换。</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稳定可靠：为保障系统运行的可靠性与稳定性，要求信息安全设备、系统软件的开发、生产符合TL9000-HSV R5.0/5.0标准。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▲安全上网功能：支持HTTPS网络传输，并且可在SSL加密通道中分解出正常HTTPS网络应用，屏蔽自由门等各类加密翻墙软件的传输。（提供产品功能演示截图证明）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文件同步功能：支持文件变动实时同步、定时同步、系统资源空闲智能同步等多种同步方式。支持同步删除和同步覆盖策略配置，并能将同步删除和同步覆盖的文件备份到指定文件夹。</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▲支持同步删除和同步覆盖策略配置，并能将同步删除和同步覆盖的文件备份到指定文件夹。 （提供产品功能演示截图证明）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据库同步功能：设备支持有客户端和无客户端两种数据据库同步方式。无客户端方式无需在用户服务器上安装任何插件，网闸不开放任何服务端口；有客户端方式可提供专用文件同步客户端安装在用户服务器上，提供安全的数据库同步服务。</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支持网闸同侧数据库同步，网闸可旁路部署实现数据库同步</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提供多种主流数据库系统如：ORACLE、SQLSERVER、MYSQL、SYBASE、DB2等之间的同步。支持同构、异构数据库之间的同步，同步可具体设置到字段级别。支持全表复制，支持多种增量同步方式，可分别定义增加、删除、修改的同步方式。支持二进制普通文件、图片、文本文件及BLOB大字段同步。支持数据一对一、一对多、多对多的单向或双向交换和同步。</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视频监控：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采用复杂对称多处理（RSMP）技术，成倍提升处理能力，使网闸能够满足高并发、高质量、多路视频数据交换要求。</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根据策略配置可以控制视频数据的单向传输。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内置视频监控模块，提供视频代理功能，兼容主流视频传输及控制协议H.323、H.264、MMS、RTSP、SIP等；至少支持13家视频厂商的流媒体视频平台；支持视频平台级联，基于国标SIP协议提供上下级异构厂商视频厂商的平台级联，完成上级对下级视频平台的视频流调用；支持对平台级联通信过程中的视频信令进行黑白名单控制；支持情景模式，能够设置视频监控允许传输的时间。</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时间模式：支持TCP应用层数据单向传输的控制，保证TCP应用数据的0 反馈，以满足二次防护对数据传输的安全性需求。 </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内容审查：</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支持灵活的时间控制模式，包括每天循环、指定星期循环、指定日期区间三种控制模式，并可应用于设备安全规则。</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支持文件类型黑白名单过滤；支持关键字过滤，支持关键字数据字典文件导入；支持防病毒功能，支持病毒库升级；采用国内知名厂商病毒库。</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▲TCP单向反馈无传输：支持TCP应用层数据单向传输的控制，保证TCP应用数据的0 反馈，以满足二次防护对数据传输的安全性需求。 （提供产品功能演示截图证明）；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管理配置：</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采取三权分立的管理模式，包括系统管理员、安全保密员、安全审计员，用户只能维护操作本类基础管理角色的功能与操作，权限各不交叉。支持多用户权限分配制度，确保合法用户只能做指定的操作。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管理端通过独立的管理口与网闸内网机相连，策略统一从内端机下发，不允许采用外端机上的任何网络接口进行管理。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启明星辰、天融信、东软或同档次及以上品牌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030501011002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VPN防火墙</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性能要求：防火墙吞吐率≥1.6Gbps，并发连接数≥50万；接口配置：1U机箱，配置为4个10/100/1000BASE-T接口。</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▲要求支持防火墙芯片硬件加速技术，实现硬件资源充分利用，保障设备处理效率；</w:t>
            </w:r>
            <w:r>
              <w:rPr>
                <w:rFonts w:hint="eastAsia" w:ascii="宋体" w:hAnsi="宋体" w:cs="宋体"/>
                <w:color w:val="auto"/>
                <w:sz w:val="18"/>
                <w:szCs w:val="18"/>
                <w:highlight w:val="none"/>
                <w:lang w:eastAsia="zh-CN"/>
              </w:rPr>
              <w:t>提供第三方证明材料</w:t>
            </w:r>
            <w:r>
              <w:rPr>
                <w:rFonts w:hint="eastAsia" w:ascii="宋体" w:hAnsi="宋体" w:cs="宋体"/>
                <w:color w:val="auto"/>
                <w:sz w:val="18"/>
                <w:szCs w:val="18"/>
                <w:highlight w:val="none"/>
              </w:rPr>
              <w:t xml:space="preserve">； </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▲稳定可靠：为保证系统软件设计全面性、保密性、完整性，要求招标产品系统遵从行业标准和政府法规，产品符合 CNITSEC-SP-01 测评准则，</w:t>
            </w:r>
            <w:r>
              <w:rPr>
                <w:rFonts w:hint="eastAsia" w:ascii="宋体" w:hAnsi="宋体" w:cs="宋体"/>
                <w:color w:val="auto"/>
                <w:sz w:val="18"/>
                <w:szCs w:val="18"/>
                <w:highlight w:val="none"/>
                <w:lang w:eastAsia="zh-CN"/>
              </w:rPr>
              <w:t>提供第三方证明材料</w:t>
            </w:r>
            <w:r>
              <w:rPr>
                <w:rFonts w:hint="eastAsia" w:ascii="宋体" w:hAnsi="宋体" w:cs="宋体"/>
                <w:color w:val="auto"/>
                <w:sz w:val="18"/>
                <w:szCs w:val="18"/>
                <w:highlight w:val="none"/>
              </w:rPr>
              <w:t>。</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为保障系统运行的可靠性与稳定性，要求信息安全设备、系统软件的开发、生产符合TL9000-HSV R5.0/5.0标准。</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媒体业务接入：</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要求支持H.323、SIP等媒体协议，符合GB/T 28181-2016《安全防范视频监控联网系统信息传输、交换、控制技术要求》及TC/OP（XZ）2B-185-2017相关技术要求。</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访问控制：</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支持一体化安全策略配置，可以通过一条策略实现五元组信息源MAC、域名、地理区域、应用、服务、并发会话、WEB认证、IPS、AV、URL过滤、WAF、邮件安全、数据过滤、审计、防代理、APT等功能配置，简化用户管理；</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为提升运维效率，降低运维成本，要求提供策略分析功能，支持策略命中分析、策略冗余分析、策略冲突检查、策略包含分析，可在WEB界面显示检测结果。</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提供策略查询功能，支持五元组快速查询以及针对策略名、源/目的区域、源/目的地址、服务、对象等条件进行细粒度查询。</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高可靠性：</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负载均衡：支持用户服务器的负载均衡，保证用户关键服务的有效性；防火墙在链路高数据量情况下，可以实现防火墙网络地址转换动态负载均衡，</w:t>
            </w:r>
            <w:r>
              <w:rPr>
                <w:rFonts w:hint="eastAsia" w:ascii="宋体" w:hAnsi="宋体" w:cs="宋体"/>
                <w:color w:val="auto"/>
                <w:sz w:val="18"/>
                <w:szCs w:val="18"/>
                <w:highlight w:val="none"/>
                <w:lang w:eastAsia="zh-CN"/>
              </w:rPr>
              <w:t>提供第三方证明材料</w:t>
            </w:r>
            <w:r>
              <w:rPr>
                <w:rFonts w:hint="eastAsia" w:ascii="宋体" w:hAnsi="宋体" w:cs="宋体"/>
                <w:color w:val="auto"/>
                <w:sz w:val="18"/>
                <w:szCs w:val="18"/>
                <w:highlight w:val="none"/>
              </w:rPr>
              <w:t>；</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冗余备份：支持AS、AA、连接保护等多种设备高可用机制并支集群部署。</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操作系统：可在发生系统故障时，实现系统自动修复。</w:t>
            </w:r>
            <w:r>
              <w:rPr>
                <w:rFonts w:hint="eastAsia" w:ascii="宋体" w:hAnsi="宋体" w:cs="宋体"/>
                <w:color w:val="auto"/>
                <w:sz w:val="18"/>
                <w:szCs w:val="18"/>
                <w:highlight w:val="none"/>
                <w:lang w:eastAsia="zh-CN"/>
              </w:rPr>
              <w:t>提供第三方证明材料</w:t>
            </w:r>
            <w:r>
              <w:rPr>
                <w:rFonts w:hint="eastAsia" w:ascii="宋体" w:hAnsi="宋体" w:cs="宋体"/>
                <w:color w:val="auto"/>
                <w:sz w:val="18"/>
                <w:szCs w:val="18"/>
                <w:highlight w:val="none"/>
              </w:rPr>
              <w:t>。</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启明星辰、天融信、东软或同档次及以上品牌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259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030607006001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日志审计系统</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系统性能：</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日志综合采集处理均值≥15000EPS，处理峰值≥30000EPS，至少支持20日志源授权；</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为保障系统运行的可靠性与稳定性，要求信息安全设备、系统软件的开发、生产符合TL9000-HSV R5.0/5.0标准。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数据采集：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支持安全设备、网络设备、中间件、服务器、数据库、操作系统、业务系统等不少于26类300种日志对象的日志数据采集；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支持Syslog、SNMP Trap、Netflow、JDBC、WMI、FTP、SFTP、SCP、文件等方式进行数据采集；支持通过Agent采集日志数据。</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支持对日志流量非常大但是日志重要程度低的syslog类型日志源进行限制接收速率，降低对系统资源的占用，保障重要日志的收集； </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日志归一化处理，将不同设备所产生的不同格式的难以理解的日志数据进行统一格式化处理，提炼出有用信息清晰、明确的展示给管理者；系统内置已支持设备种类清单，提供设备日志外发配置建议指导；支持实时自动刷新每个日志源的实时日志列表，支持在实时日志界面通过选择过滤器来监视所关注的特定类型的日志；支持首页展示日志采集总量统计，可按不同日志源种类分类显示日志总量及大小，并支持导出；支持独立展示每个被采集源最近24小时的日志数量趋势，便于掌握设备的安全事件情况，支持独立展示每个设备日志的最新采集时间，便于了解设备日志的采集状态；</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数据存储：</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对所管理设备的日志原始数据完整存储，支持数据本地集中存储、网络存储；支持根据设备重要程度设置独立设置每个被采集源的日志、报表数据存储时间为1个月、3个月、6个月等参数；支持日志备份功能，支持本地备份方式，支持自动备份和手动备份；支持IPv6日志的全量存储；（提供第三方检测报告）；</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数据查询：</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首页以全国地图、全球地图展示最近24小时日志访问源和访问目的的分布，能根据颜色区分访问来源和访问目的数据量大小，能够通过首页地图快速下钻查询指定区域的日志详细信息；支持实时日志查询，支持历史备份文件导入查询；支持等于、不等于、大于、小于、正则表达式等查询条件；支持多条件组合查询；支持原始日志全文检索；支持为不同类型日志设置不同的查询条件和显示条件；支持在查询结果页面上直接下钻二次查询，快速定位关键日志，还可以返回上次查询条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查询结果可将归一化日志和原始日志同屏对比显示；支持展示日志查询情况，包括查询条件命中数、日志总量等信息；支持查询结果格式化日志、原始日志导出；支持在日志查询结果上针对源IP、目的IP、操作、源端口、目的端口等字段一键快速统计，以饼图方式展示，对于源IP和目的IP（公网地址）还支持以中国地图、世界地图方式展示，在统计图上能够进行点击下钻查询对应条件的日志结果；支持查询结果快速统计，可自定义统计主题规则，支持将多个主题添加为一个统计任务，以分、时、周、月、年定时执行自动统计，将统计结果报表发送到指定邮箱；</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▲支持基于时间轴展示日志数据分布，能够通过时间轴进行查询分析；（</w:t>
            </w:r>
            <w:r>
              <w:rPr>
                <w:rFonts w:hint="eastAsia" w:ascii="宋体" w:hAnsi="宋体" w:cs="宋体"/>
                <w:color w:val="auto"/>
                <w:sz w:val="18"/>
                <w:szCs w:val="18"/>
                <w:highlight w:val="none"/>
                <w:lang w:eastAsia="zh-CN" w:bidi="ar"/>
              </w:rPr>
              <w:t>提供产品功能演示截图证明</w:t>
            </w:r>
            <w:r>
              <w:rPr>
                <w:rFonts w:hint="eastAsia" w:ascii="宋体" w:hAnsi="宋体" w:cs="宋体"/>
                <w:color w:val="auto"/>
                <w:sz w:val="18"/>
                <w:szCs w:val="18"/>
                <w:highlight w:val="none"/>
                <w:lang w:bidi="ar"/>
              </w:rPr>
              <w:t xml:space="preserve">） </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告警管理：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首页展示当日告警情况统计；支持展示当日最新告警TOP10、TOP30和TOP50；内置系统运行相关告警规则，包括检测到新日志源、节点掉线、主动日志源长期不外发日志、存储上限告警、主机认证失败等，可启用/禁用规则；支持安全告警概况、安全告警趋势的统一展示，实时告警可根据级别、规则类型等进行分类；支持实时告警展示，可根据告警规则、告警级别两个维度进行实时告警监视，并可对刷新事件间隔进行设定；支持基于时间轴展示告警数据分布，能够通过时间轴进行查询分析。</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统计报表管理：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系统内置上百种报表模版，支持自动实现智能报表创建，每添加一个日志源，系统自动分析日志源类型进行相应报表创建，无需人工干预，报表和资产一一对应；报表支持基于全国地图、全球地图进行访问源、访问目的追踪。</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支持自定义统计日志数据形成报表，支持统计分析报表以PDF、word、execl等方式导出；支持实时报表、计划报表。</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日志源管理：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▲支持对重点日志源的关注设置，并可通过关注列表快速查看重点日志源的状态、当日日志量、采集日志总量、最近接收时间、业务组等基础信息；（</w:t>
            </w:r>
            <w:r>
              <w:rPr>
                <w:rFonts w:hint="eastAsia" w:ascii="宋体" w:hAnsi="宋体" w:cs="宋体"/>
                <w:color w:val="auto"/>
                <w:sz w:val="18"/>
                <w:szCs w:val="18"/>
                <w:highlight w:val="none"/>
                <w:lang w:eastAsia="zh-CN" w:bidi="ar"/>
              </w:rPr>
              <w:t>提供产品功能演示截图证明</w:t>
            </w:r>
            <w:r>
              <w:rPr>
                <w:rFonts w:hint="eastAsia" w:ascii="宋体" w:hAnsi="宋体" w:cs="宋体"/>
                <w:color w:val="auto"/>
                <w:sz w:val="18"/>
                <w:szCs w:val="18"/>
                <w:highlight w:val="none"/>
                <w:lang w:bidi="ar"/>
              </w:rPr>
              <w:t>）</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支持按照日志源名称、IP地址、日志源类型、接受时间及状态等维度对日志源列表进行排序；支持为日志源指定类型、名称、IP地址、以及日志源启停状态等属性信息；支持基于拓扑图的日志源相关数据信息快速查看；支持通过拓扑下钻查看对应日志源的日志、报表、告警数据。</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启明星辰、天融信、东软或同档次及以上品牌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030501017014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主机安全防护</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产品形态：系统支持中/英文界面，系统部署采用C/S架构，管理采用B/S架构，管理员只需通过浏览器登录控制中心，即可对系统进行管理。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支持CentOS7.6及以上版本、Windows server2008R2及以上版本；</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为节省客户资源，客户端安装后至多占用50M硬盘资源，日常内存占用不到50M，有效节省PC/Server资源。</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支持级联部署及管理，可实时查看下级终端威胁及在线情况，上级可对下级灵活分配授权，同时可实现分级管理中心能够通过一级管理中心升级病毒库和客户端版本；</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设置诱饵文件并实时监控，当勒索病毒对该文件进行加密操作时进行拦截。</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系统加固：对系统关键位置进行防护，阻止无文本攻击、流氓软件、广告程序对系统的恶意篡改等行为。从系统文件保护、病毒免疫、进程保护、注册表保护、危险动作拦截、执行防护等多个维度对系统进行防护。（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文档检测：持文档检测功能，针对终端存储的word、pdf、ppt、Excel、rtf、txt等文档的名称、内容进行包含关键字检查，对含有指定关键字的文档进行禁止发送、禁止拷贝等管控，消息提醒的同时将文档违规信息上报管理平台。（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微隔离策略：支持微隔离策略包括但不限于通过协议（TCP、UDP、ICMP、IGMP、GGP、PUP、IDP、ND、ESP、AH、RDP、GRE、SKIP、RAW），端口号，IP地址、流量方向等配置对终端/终端组之间的访问进行控制。（提供产品功能演示截图证明）</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远程控制，通过管理中心实现对客户端的远程运维；支持对终端内部文件进行全盘扫描、快速扫描，自定义扫描三种扫描能力，同时支持错峰扫描；支持病毒自动隔离备份功能，客户端能自动将病毒文件隔离到本地隔离区，同时支持恢复隔离文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文档防泄漏功能，针对终端存储的word、pdf、ppt、Excel、rtf、txt等文档的名称、内容进行包含关键字检查，对含有指定关键字的文档进行禁止发送、禁止拷贝等管控，消息提醒的同时将文档违规信息上报管理平台；（</w:t>
            </w:r>
            <w:r>
              <w:rPr>
                <w:rFonts w:hint="eastAsia" w:ascii="宋体" w:hAnsi="宋体" w:cs="宋体"/>
                <w:color w:val="auto"/>
                <w:sz w:val="18"/>
                <w:szCs w:val="18"/>
                <w:highlight w:val="none"/>
                <w:lang w:eastAsia="zh-CN" w:bidi="ar"/>
              </w:rPr>
              <w:t>提供产品功能演示截图证明</w:t>
            </w:r>
            <w:r>
              <w:rPr>
                <w:rFonts w:hint="eastAsia" w:ascii="宋体" w:hAnsi="宋体" w:cs="宋体"/>
                <w:color w:val="auto"/>
                <w:sz w:val="18"/>
                <w:szCs w:val="18"/>
                <w:highlight w:val="none"/>
                <w:lang w:bidi="ar"/>
              </w:rPr>
              <w:t>）</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设备联动：能够与同品牌的防火墙、态势感知和准入实现协同联动。</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实际配置：20个Windows PC客户端防病毒功能授权、3个WindowsServer客户端防病毒功能授权</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套</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启明星辰、天融信、东软或同档次及以上品牌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管理网</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030501011003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边界防火墙</w:t>
            </w:r>
          </w:p>
        </w:tc>
        <w:tc>
          <w:tcPr>
            <w:tcW w:w="4111" w:type="dxa"/>
            <w:shd w:val="clear" w:color="auto" w:fill="FFFFFF"/>
            <w:vAlign w:val="center"/>
          </w:tcPr>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性能要求：防火墙吞吐率≥2.5Gbps，并发连接数≥50万；接口配置：1U机箱，配置为6个10/100/1000BASE-T接口。</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▲要求支持防火墙芯片硬件加速技术，实现硬件资源充分利用，保障设备处理效率；</w:t>
            </w:r>
            <w:r>
              <w:rPr>
                <w:rFonts w:hint="eastAsia" w:ascii="宋体" w:hAnsi="宋体" w:cs="宋体"/>
                <w:color w:val="auto"/>
                <w:sz w:val="18"/>
                <w:szCs w:val="18"/>
                <w:highlight w:val="none"/>
                <w:lang w:eastAsia="zh-CN" w:bidi="ar"/>
              </w:rPr>
              <w:t>提供第三方证明材料</w:t>
            </w:r>
            <w:r>
              <w:rPr>
                <w:rFonts w:hint="eastAsia" w:ascii="宋体" w:hAnsi="宋体" w:cs="宋体"/>
                <w:color w:val="auto"/>
                <w:sz w:val="18"/>
                <w:szCs w:val="18"/>
                <w:highlight w:val="none"/>
                <w:lang w:bidi="ar"/>
              </w:rPr>
              <w:t xml:space="preserve">； </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稳定可靠：为保证系统软件设计全面性、保密性、完整性，要求招标产品系统遵从行业标准和政府法规，产品符合 CNITSEC-SP-01 测评准则，</w:t>
            </w:r>
            <w:r>
              <w:rPr>
                <w:rFonts w:hint="eastAsia" w:ascii="宋体" w:hAnsi="宋体" w:cs="宋体"/>
                <w:color w:val="auto"/>
                <w:sz w:val="18"/>
                <w:szCs w:val="18"/>
                <w:highlight w:val="none"/>
                <w:lang w:eastAsia="zh-CN" w:bidi="ar"/>
              </w:rPr>
              <w:t>提供第三方证明材料</w:t>
            </w:r>
            <w:r>
              <w:rPr>
                <w:rFonts w:hint="eastAsia" w:ascii="宋体" w:hAnsi="宋体" w:cs="宋体"/>
                <w:color w:val="auto"/>
                <w:sz w:val="18"/>
                <w:szCs w:val="18"/>
                <w:highlight w:val="none"/>
                <w:lang w:bidi="ar"/>
              </w:rPr>
              <w:t>。</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为保障系统运行的可靠性与稳定性，要求信息安全设备、系统软件的开发、生产符合TL9000-HSV R5.0/5.0标准。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媒体业务接入：</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要求支持H.323、SIP等媒体协议，符合GB/T 28181-2016《安全防范视频监控联网系统信息传输、交换、控制技术要求》及TC/OP（XZ）2B-185-2017相关技术要求。</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访问控制：</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支持一体化安全策略配置，可以通过一条策略实现五元组信息源MAC、域名、地理区域、应用、服务、并发会话、WEB认证、IPS、AV、URL过滤、WAF、邮件安全、数据过滤、审计、防代理、APT等功能配置，简化用户管理；</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为提升运维效率，降低运维成本，要求提供策略分析功能，支持策略命中分析、策略冗余分析、策略冲突检查、策略包含分析，可在WEB界面显示检测结果。</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提供策略查询功能，支持五元组快速查询以及针对策略名、源/目的区域、源/目的地址、服务、对象等条件进行细粒度查询。</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高可靠性：</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负载均衡：支持用户服务器的负载均衡，保证用户关键服务的有效性；防火墙在链路高数据量情况下，可以实现防火墙网络地址转换动态负载均衡，</w:t>
            </w:r>
            <w:r>
              <w:rPr>
                <w:rFonts w:hint="eastAsia" w:ascii="宋体" w:hAnsi="宋体" w:cs="宋体"/>
                <w:color w:val="auto"/>
                <w:sz w:val="18"/>
                <w:szCs w:val="18"/>
                <w:highlight w:val="none"/>
                <w:lang w:eastAsia="zh-CN" w:bidi="ar"/>
              </w:rPr>
              <w:t>提供第三方证明材料</w:t>
            </w:r>
            <w:r>
              <w:rPr>
                <w:rFonts w:hint="eastAsia" w:ascii="宋体" w:hAnsi="宋体" w:cs="宋体"/>
                <w:color w:val="auto"/>
                <w:sz w:val="18"/>
                <w:szCs w:val="18"/>
                <w:highlight w:val="none"/>
                <w:lang w:bidi="ar"/>
              </w:rPr>
              <w:t>；</w:t>
            </w:r>
          </w:p>
          <w:p>
            <w:pPr>
              <w:widowControl/>
              <w:adjustRightInd w:val="0"/>
              <w:snapToGrid w:val="0"/>
              <w:jc w:val="left"/>
              <w:textAlignment w:val="center"/>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t>▲冗余备份：支持AS、AA、连接保护等多种设备高可用机制并支集群部署。</w:t>
            </w:r>
          </w:p>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▲操作系统：可在发生系统故障时，实现系统自动修复。</w:t>
            </w:r>
            <w:r>
              <w:rPr>
                <w:rFonts w:hint="eastAsia" w:ascii="宋体" w:hAnsi="宋体" w:cs="宋体"/>
                <w:color w:val="auto"/>
                <w:sz w:val="18"/>
                <w:szCs w:val="18"/>
                <w:highlight w:val="none"/>
                <w:lang w:eastAsia="zh-CN" w:bidi="ar"/>
              </w:rPr>
              <w:t>提供第三方证明材料</w:t>
            </w:r>
            <w:r>
              <w:rPr>
                <w:rFonts w:hint="eastAsia" w:ascii="宋体" w:hAnsi="宋体" w:cs="宋体"/>
                <w:color w:val="auto"/>
                <w:sz w:val="18"/>
                <w:szCs w:val="18"/>
                <w:highlight w:val="none"/>
                <w:lang w:bidi="ar"/>
              </w:rPr>
              <w:t>。</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台</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r>
              <w:rPr>
                <w:rFonts w:hint="eastAsia" w:ascii="宋体" w:hAnsi="宋体"/>
                <w:color w:val="auto"/>
                <w:sz w:val="18"/>
                <w:szCs w:val="18"/>
                <w:highlight w:val="none"/>
              </w:rPr>
              <w:t>启明星辰、天融信、东软或同档次及以上品牌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其他</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等保测评</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管理网系统等级保护测评，不低于二级，</w:t>
            </w:r>
            <w:r>
              <w:rPr>
                <w:rFonts w:hint="eastAsia" w:ascii="宋体" w:hAnsi="宋体" w:cs="宋体"/>
                <w:color w:val="auto"/>
                <w:sz w:val="18"/>
                <w:szCs w:val="18"/>
                <w:highlight w:val="none"/>
                <w:lang w:bidi="ar"/>
              </w:rPr>
              <w:br w:type="textWrapping"/>
            </w:r>
            <w:r>
              <w:rPr>
                <w:rFonts w:hint="eastAsia" w:ascii="宋体" w:hAnsi="宋体" w:cs="宋体"/>
                <w:color w:val="auto"/>
                <w:sz w:val="18"/>
                <w:szCs w:val="18"/>
                <w:highlight w:val="none"/>
                <w:lang w:bidi="ar"/>
              </w:rPr>
              <w:t>具体等级以属地网信管理要求执行</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等保咨询服务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等级保护建设全过程咨询服务：完成整个定级、备案、建设、整改、测评、检查的等级保护测评与建设流程。</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次</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软件平台</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数据资源体系</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数据资源目录梳理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根据国家《政务信息资源目录编制指南》、《浙江省公共数据资源目录编制规范》和上虞区公共数据有关规定等规范和要求，结合管理部门设置和业务划分情况，梳理水利数据资源目录。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数据前置库建设</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按照水利信息资源标准规范和统一数据要求，结合核心业务梳理和水利资源目录梳理成果，开展数据库表结构设计，编制水利数据字典，生成标准数据库脚本。</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数据共享与交换</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利用省水利数据共享交换平台，开展数据资源目录整理及维护、基础数据管理与维护、数据共享交换等工作。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数据初始化与汇聚</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对数据资源（包括实时数据、基础数据和业务数据）进行初始化和汇聚，包括数据抽取、汇聚、清洗转换、数据编码入库，并将已经汇入省级数据仓的数据资源同步至区级水利数据仓。</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数据基础维护</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根据数据更新的频率、数据来源不同，建立不同数据汇集平台。通过打通数据汇集渠道，为工程数据中心保持“活力”提供持续的数据来源。</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3.应用支撑体系</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269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数据报表服务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过不同的业务需求，可以通过制定通用的图表绘制组件，实现对指定数据源进行多种图表展现方式的灵活切换，建立完整的基于服务器后台的报表管理组件。同时还可建立、管理、发布传统的基于纸张的报表或者交互的报表，实现日常业务报表服务以及决策分析报表的生成，对本项目提供重要的数据聚合分析支持。</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短信服务组件</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短信组件向外部提供各个功能的调用接口，并以事件的方式通知短信收发状况。在系统中使用定时器自动进行短信的收发，通过定时器可以在用户设定的间隔时间内进行收发，并使用多线程技术，使用线程池线程在后台自动收发，避免对主线程造成堵塞。采用事件通知机制通知消息的收发结果。</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03B039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五统一建设</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根据《浙江省水管理平台总体方案》要求，虞东河湖综合整治工程调度运行管理系统将按照“五统一”标准进行建设。</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工程三维模型</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周边大场景高精度遥感建模</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rPr>
              <w:t>利用卫星遥感技术构建六湖湖泊周边大场景，建立包含以皂李湖、白马湖、小越湖、孔家岙泊、东泊、西泊为主体的流域范围（120平方公里）以及方圆不小于10平方公里周边的1:1实体的三维立体虚拟空间。</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倾斜摄影模型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基于航空倾斜摄影技术，构建包含皂李湖、白马湖、小越湖、孔家岙泊、东泊、西泊的倾斜摄影模型，模型应能完整地表现出工程附近的真实地理环境，包含但不限于建筑物、山体、地形、道路、绿化、路灯等，实体侧面纹理可见</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Km2</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50</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工程三维发布预处理及发布</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工程三维服务发布轻量化三维场景，并发布三维服务数据，并实现三维地图服务的调用</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业务应用体系</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数字化运行管理平台</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综合地图</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利用GIS软件平台，搭建虞东河湖综合整治工程“一张图”，包括显示行政区划、地名、公路、铁路、河流水系、居民地名称、湖泊等基本信息。在基础信息上建立水闸、工程建筑物等信息。GIS应用管理包括工程边界划分、地图漫游、缩放操作、人员定位、专题图层建设、专题数据发布等功能。</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感知监测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对虞东河湖的水雨情信息、流量信息、图像监视信息、闸门工情信息进行整合和综合展示，实现对区域的水情监测、雨情监测、工情监测。感知监测是基于综合地图的感知监测设备信息的展示，包含以列表的形式展示感知监测设备的信息、在地图中以图标落点的形式以及弹窗的形式展示各类监测信息的详细信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工程信息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提供工程的设计指标、技术参数、缺陷及其养护处理设施状态、鉴定评级、工程建设、加固改造情况、工程大记事等信息并进行分类管理。能够对不同工程的信息进行添加、编辑、导出等操作，能够通过工程名称快速筛选工程，展示相对应工程最基本信息，包括基本信息、工程特性、图纸图表、全景图等模块。</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设备态势</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设备态势是对构建的虞东河湖综合整治工程的感知监测设备的运行态势的监测、异常问题的处理、反馈的记录，设备态势包含设备运行态势管理、测站异常发送管理、反馈中心、测站异常记录。</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279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巡查检查</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检查主要包括巡查总览、巡查员、巡查配置、检查报告、工程观测等模块。主要对工程日常巡查、汛情检查、年度检查和特别检查的记录和管理功能；Web端能够下达检查任务；日常巡查要求通过移动终端进行记录和上报，包括巡查轨迹、现场发现问题的照片、影音资料；提供对工程检查发现问题的流程化和闭环化管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维修养护</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维修养护包括年度维修养护计划、维修养护资金、专项维修养护记录、日常维修养护记录、维养项目、物业化管理等模块。实现维养项目管理、维养经费管理、维养台账管理等功能，各子模块实现查询统计，并能够将报表输出。该模块以预算管理为控制手段；对每年的所有工程的维修、养护项目进行管理，方便进行查询统计。</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281</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03B049</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调度运行</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调度运行主要包括调度运行规程、调度运行记录、控运计划、放水预警方案管理、调度流程管理模块。调度运行模块是对调度运行规程和经批复的年度控运计划进行管理，根据接收到的调度指令，按照相关规定管理手册规定的操作指南能够记录、跟踪调度指令的流转和执行过程。动终端进行记录和上报，包括巡查轨迹、现场发现问题的照片、影音资料；提供对工程检查发现问题的流程化和闭环化管理。</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282</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03B050</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应急管理</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应急响应包括防汛物资、应急预案、备用电源、消防器材管理、应急响应记录等模块，提高应急响应启动期间各个参与者的效率，及时提醒相关岗位责任人需要处理的事物。</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数字化应用场景</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283</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03B051</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工程感知监测应用场景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本应用场景围绕虞东河湖防汛、防台、生态调水等业务需求。构建实时水雨情监测及预警子场景、过闸流量监测及预警子场景、水质监测及预警子场景、水网运行简报流转子场景、工程可视化监管子场景及二维码工程展示子场景，采集相关部门数据，运用相关业务模型、大数据分析等新技术，为虞东河湖防汛、防台、生态调水等工作提供支撑。</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bottom"/>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284</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03B052</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工程运行监管应用场景</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工程运行监管应用场景围绕内部运行和外部协同的发展必要性，构建河湖运行简报流转子场景、工程可视化监管子场景和二维码工程展示子场景。</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3</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43"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移动应用</w:t>
            </w:r>
          </w:p>
        </w:tc>
        <w:tc>
          <w:tcPr>
            <w:tcW w:w="4111" w:type="dxa"/>
            <w:shd w:val="clear" w:color="auto" w:fill="FFFFFF"/>
            <w:vAlign w:val="center"/>
          </w:tcPr>
          <w:p>
            <w:pPr>
              <w:widowControl/>
              <w:adjustRightInd w:val="0"/>
              <w:snapToGrid w:val="0"/>
              <w:jc w:val="left"/>
              <w:rPr>
                <w:rFonts w:ascii="宋体" w:hAnsi="宋体" w:cs="宋体"/>
                <w:color w:val="auto"/>
                <w:sz w:val="18"/>
                <w:szCs w:val="18"/>
                <w:highlight w:val="none"/>
              </w:rPr>
            </w:pPr>
          </w:p>
        </w:tc>
        <w:tc>
          <w:tcPr>
            <w:tcW w:w="72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666" w:type="dxa"/>
            <w:shd w:val="clear" w:color="auto" w:fill="FFFFFF"/>
            <w:vAlign w:val="center"/>
          </w:tcPr>
          <w:p>
            <w:pPr>
              <w:widowControl/>
              <w:adjustRightInd w:val="0"/>
              <w:snapToGrid w:val="0"/>
              <w:jc w:val="center"/>
              <w:rPr>
                <w:rFonts w:ascii="宋体" w:hAnsi="宋体" w:cs="宋体"/>
                <w:color w:val="auto"/>
                <w:sz w:val="18"/>
                <w:szCs w:val="18"/>
                <w:highlight w:val="none"/>
              </w:rPr>
            </w:pPr>
          </w:p>
        </w:tc>
        <w:tc>
          <w:tcPr>
            <w:tcW w:w="1296" w:type="dxa"/>
            <w:shd w:val="clear" w:color="auto" w:fill="FFFFFF"/>
            <w:vAlign w:val="center"/>
          </w:tcPr>
          <w:p>
            <w:pPr>
              <w:widowControl/>
              <w:adjustRightInd w:val="0"/>
              <w:snapToGrid w:val="0"/>
              <w:jc w:val="center"/>
              <w:rPr>
                <w:rFonts w:ascii="宋体" w:hAnsi="宋体" w:cs="宋体"/>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285</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03B053</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汛情摘要</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汛情摘要主要对虞东河湖近24小时的降雨情况以及江河水位简要说明，说明的内容包含虞东河湖面雨量、单站最大降雨量、平均降雨量情况、江河水位的超保证、超警戒的情况。</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286</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03B054</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掌上地图</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实现在业务应用中载入水利一张图、卫星地图，为工程监测等移动业务应用提供支撑。</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287</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03B055</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工程监测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工程监测是基于掌上地图，实现查询工程管理范围的查询各水位、雨量站点、闸站工程位置，并通过列表展示各站点水位、雨量、闸站工情等数据，查询水位、雨量、工情等历史数据，并按曲线图或柱状图展示。</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288</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03B056</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安全监测</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安全监测主要是对水闸安全监测，主要是展示水闸的位移、渗流和接缝等安全监测信息是否超过设定的预警值。</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289</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03B057</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设备运行</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对工程管理范围内的设备设施运行态势的展示，可展示不同类型的工程的设备的正常和异常的数量，同时可通过移动业务应用端，直接下发运维提醒给运维单位，通过勾选异常的工程设施，并下发运维提醒任务。并可通过设备运行服务，查看下发运维设备的运维进度情况。</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290</w:t>
            </w:r>
          </w:p>
        </w:tc>
        <w:tc>
          <w:tcPr>
            <w:tcW w:w="643"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03B058</w:t>
            </w:r>
          </w:p>
        </w:tc>
        <w:tc>
          <w:tcPr>
            <w:tcW w:w="851"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实时监控</w:t>
            </w:r>
          </w:p>
        </w:tc>
        <w:tc>
          <w:tcPr>
            <w:tcW w:w="4111" w:type="dxa"/>
            <w:shd w:val="clear" w:color="auto" w:fill="FFFFFF"/>
            <w:vAlign w:val="center"/>
          </w:tcPr>
          <w:p>
            <w:pPr>
              <w:widowControl/>
              <w:adjustRightInd w:val="0"/>
              <w:snapToGrid w:val="0"/>
              <w:jc w:val="left"/>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通过实时监控在线查看视频监控，视频监控主要包含工程管理范围内的视频监控。</w:t>
            </w:r>
          </w:p>
        </w:tc>
        <w:tc>
          <w:tcPr>
            <w:tcW w:w="72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项</w:t>
            </w:r>
          </w:p>
        </w:tc>
        <w:tc>
          <w:tcPr>
            <w:tcW w:w="66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rPr>
            </w:pPr>
            <w:r>
              <w:rPr>
                <w:rFonts w:hint="eastAsia" w:ascii="宋体" w:hAnsi="宋体" w:cs="宋体"/>
                <w:color w:val="auto"/>
                <w:sz w:val="18"/>
                <w:szCs w:val="18"/>
                <w:highlight w:val="none"/>
                <w:lang w:bidi="ar"/>
              </w:rPr>
              <w:t>1</w:t>
            </w:r>
          </w:p>
        </w:tc>
        <w:tc>
          <w:tcPr>
            <w:tcW w:w="1296" w:type="dxa"/>
            <w:shd w:val="clear" w:color="auto" w:fill="FFFFFF"/>
            <w:vAlign w:val="center"/>
          </w:tcPr>
          <w:p>
            <w:pPr>
              <w:widowControl/>
              <w:adjustRightInd w:val="0"/>
              <w:snapToGrid w:val="0"/>
              <w:jc w:val="center"/>
              <w:textAlignment w:val="center"/>
              <w:rPr>
                <w:rFonts w:ascii="宋体" w:hAnsi="宋体" w:cs="宋体"/>
                <w:color w:val="auto"/>
                <w:sz w:val="18"/>
                <w:szCs w:val="18"/>
                <w:highlight w:val="none"/>
                <w:lang w:bidi="ar"/>
              </w:rPr>
            </w:pPr>
          </w:p>
        </w:tc>
      </w:tr>
    </w:tbl>
    <w:p>
      <w:pPr>
        <w:rPr>
          <w:color w:val="auto"/>
          <w:highlight w:val="none"/>
        </w:rPr>
      </w:pPr>
    </w:p>
    <w:p>
      <w:pPr>
        <w:autoSpaceDE w:val="0"/>
        <w:autoSpaceDN w:val="0"/>
        <w:spacing w:line="500" w:lineRule="exact"/>
        <w:rPr>
          <w:rFonts w:ascii="宋体" w:hAnsi="宋体" w:cs="宋体"/>
          <w:color w:val="auto"/>
          <w:sz w:val="22"/>
          <w:highlight w:val="none"/>
        </w:rPr>
      </w:pPr>
      <w:r>
        <w:rPr>
          <w:rFonts w:hint="eastAsia" w:ascii="宋体" w:hAnsi="宋体" w:cs="宋体"/>
          <w:color w:val="auto"/>
          <w:sz w:val="22"/>
          <w:highlight w:val="none"/>
        </w:rPr>
        <w:t>其他要求：</w:t>
      </w:r>
    </w:p>
    <w:p>
      <w:pPr>
        <w:autoSpaceDE w:val="0"/>
        <w:autoSpaceDN w:val="0"/>
        <w:spacing w:line="500" w:lineRule="exact"/>
        <w:ind w:firstLine="440" w:firstLineChars="200"/>
        <w:rPr>
          <w:rFonts w:ascii="宋体" w:hAnsi="宋体" w:cs="宋体"/>
          <w:color w:val="auto"/>
          <w:sz w:val="22"/>
          <w:highlight w:val="none"/>
        </w:rPr>
      </w:pPr>
      <w:r>
        <w:rPr>
          <w:rFonts w:hint="eastAsia" w:ascii="宋体" w:hAnsi="宋体" w:cs="宋体"/>
          <w:color w:val="auto"/>
          <w:sz w:val="22"/>
          <w:highlight w:val="none"/>
        </w:rPr>
        <w:t>上述技术要求或招标项目</w:t>
      </w:r>
      <w:r>
        <w:rPr>
          <w:rFonts w:hint="eastAsia" w:ascii="宋体" w:hAnsi="宋体" w:cs="宋体"/>
          <w:color w:val="auto"/>
          <w:sz w:val="22"/>
          <w:highlight w:val="none"/>
          <w:lang w:val="en-US" w:eastAsia="zh-CN"/>
        </w:rPr>
        <w:t>工程量</w:t>
      </w:r>
      <w:r>
        <w:rPr>
          <w:rFonts w:hint="eastAsia" w:ascii="宋体" w:hAnsi="宋体" w:cs="宋体"/>
          <w:color w:val="auto"/>
          <w:sz w:val="22"/>
          <w:highlight w:val="none"/>
        </w:rPr>
        <w:t>清单中的各类品牌、型号是结合实际现有情况的推荐性参考方案，投标方也可根据招标文件的要求推荐性能相当或高于、服务条款相等或高于、符合招标方实际业务需求其他同档次优质品牌的产品，进行方案优化。所投产品不在推荐品牌范围内的，需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p>
    <w:p>
      <w:pPr>
        <w:autoSpaceDE w:val="0"/>
        <w:autoSpaceDN w:val="0"/>
        <w:spacing w:line="500" w:lineRule="exact"/>
        <w:ind w:firstLine="440" w:firstLineChars="200"/>
        <w:rPr>
          <w:rFonts w:ascii="宋体" w:hAnsi="宋体" w:cs="宋体"/>
          <w:color w:val="auto"/>
          <w:sz w:val="22"/>
          <w:highlight w:val="none"/>
        </w:rPr>
        <w:sectPr>
          <w:footerReference r:id="rId6" w:type="default"/>
          <w:pgSz w:w="11907" w:h="16840"/>
          <w:pgMar w:top="1701" w:right="1417" w:bottom="1418" w:left="1701" w:header="1304" w:footer="1134" w:gutter="0"/>
          <w:cols w:space="720" w:num="1"/>
          <w:docGrid w:type="lines" w:linePitch="527" w:charSpace="0"/>
        </w:sectPr>
      </w:pPr>
    </w:p>
    <w:p>
      <w:pPr>
        <w:pStyle w:val="90"/>
        <w:widowControl/>
        <w:spacing w:beforeAutospacing="1" w:afterAutospacing="1"/>
        <w:ind w:left="0" w:leftChars="0"/>
        <w:rPr>
          <w:rFonts w:ascii="Times New Roman" w:hAnsi="Times New Roman"/>
          <w:color w:val="auto"/>
          <w:sz w:val="21"/>
          <w:szCs w:val="21"/>
          <w:highlight w:val="none"/>
        </w:rPr>
      </w:pPr>
    </w:p>
    <w:p>
      <w:pPr>
        <w:rPr>
          <w:color w:val="auto"/>
          <w:highlight w:val="none"/>
        </w:rPr>
        <w:sectPr>
          <w:type w:val="continuous"/>
          <w:pgSz w:w="11907" w:h="16840"/>
          <w:pgMar w:top="1418" w:right="1134" w:bottom="1418" w:left="1134" w:header="680" w:footer="680" w:gutter="0"/>
          <w:cols w:space="720" w:num="1"/>
          <w:docGrid w:linePitch="271" w:charSpace="0"/>
        </w:sectPr>
      </w:pP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44"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4"/>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1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r>
    </w:p>
    <w:p>
      <w:pPr>
        <w:pStyle w:val="12"/>
        <w:ind w:firstLine="562" w:firstLineChars="200"/>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12"/>
        <w:ind w:firstLine="562" w:firstLineChars="200"/>
        <w:rPr>
          <w:rFonts w:asciiTheme="minorEastAsia" w:hAnsiTheme="minorEastAsia" w:eastAsiaTheme="minorEastAsia" w:cstheme="minorEastAsia"/>
          <w:b/>
          <w:bCs/>
          <w:color w:val="auto"/>
          <w:sz w:val="28"/>
          <w:szCs w:val="28"/>
          <w:highlight w:val="none"/>
        </w:rPr>
      </w:pPr>
    </w:p>
    <w:p>
      <w:pPr>
        <w:spacing w:line="360" w:lineRule="auto"/>
        <w:ind w:firstLine="560" w:firstLineChars="200"/>
        <w:rPr>
          <w:rFonts w:asciiTheme="minorEastAsia" w:hAnsiTheme="minorEastAsia" w:eastAsiaTheme="minorEastAsia" w:cstheme="minorEastAsia"/>
          <w:color w:val="auto"/>
          <w:sz w:val="28"/>
          <w:szCs w:val="28"/>
          <w:highlight w:val="none"/>
        </w:rPr>
      </w:pP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1、企业法人营业执照复制件。</w:t>
      </w: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2、企业资质证书、安全生产许可证复制件。</w:t>
      </w:r>
    </w:p>
    <w:p>
      <w:pPr>
        <w:widowControl/>
        <w:spacing w:line="360" w:lineRule="auto"/>
        <w:ind w:firstLine="482" w:firstLineChars="200"/>
        <w:jc w:val="left"/>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3、投标人2018年1月1日以来完成过水利工程自动化或信息化项目业绩。业绩证明材料：须提供中标通知书、合同、验收证书（报告），三者证明材料缺一不可，且材料中的施工单位名称须与本次投标的投标人名称一致。时间以验收证书（报告）为准。注：①施工总承包中的分包业绩或工程总承包中的分包业绩、②工程总承包业绩、③联合体业绩、 ④PPP模式中的业绩，以上①②③④种情况的业绩均不予认可。</w:t>
      </w: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4</w:t>
      </w:r>
      <w:r>
        <w:rPr>
          <w:rFonts w:hint="eastAsia" w:ascii="宋体" w:hAnsi="宋体" w:cs="宋体"/>
          <w:b/>
          <w:bCs/>
          <w:color w:val="auto"/>
          <w:sz w:val="24"/>
          <w:szCs w:val="24"/>
          <w:highlight w:val="none"/>
          <w:lang w:bidi="ar"/>
        </w:rPr>
        <w:t>、项目负责人注册证书、安全生产考核合格证、社保证明复制件。</w:t>
      </w: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5</w:t>
      </w:r>
      <w:r>
        <w:rPr>
          <w:rFonts w:hint="eastAsia" w:ascii="宋体" w:hAnsi="宋体" w:cs="宋体"/>
          <w:b/>
          <w:bCs/>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、承诺书（①承诺对资格审查资料所有提交的证明材料真实有效性负责，若发现其有伪造证书、业绩等行为的，同意招标人不接受其投标，其缴纳的投标保证金不予退还；②承诺投标人及其拟派项目负责人自 2020年 1月 1 日起至投标截止日止无行贿犯罪记录；③承诺项目负责人无在建工程。）格式自拟，加盖投标人公章。</w:t>
      </w: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注：①不能提供上述材料任何一项或不符合审查要求的投标人为资格审查不合格。</w:t>
      </w:r>
    </w:p>
    <w:p>
      <w:pPr>
        <w:widowControl/>
        <w:spacing w:line="360" w:lineRule="auto"/>
        <w:ind w:firstLine="482" w:firstLineChars="200"/>
        <w:jc w:val="left"/>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②若拟派项目负责人为一级注册建造师的，电子证书应符合《住房和城乡建设部办公厅关于全面实行一级建造师电子注册证书的通知》（建办市【2021】</w:t>
      </w:r>
      <w:r>
        <w:rPr>
          <w:rFonts w:hint="eastAsia" w:ascii="宋体" w:hAnsi="宋体" w:cs="宋体"/>
          <w:b/>
          <w:bCs/>
          <w:color w:val="auto"/>
          <w:sz w:val="24"/>
          <w:szCs w:val="24"/>
          <w:highlight w:val="none"/>
          <w:lang w:eastAsia="zh-CN" w:bidi="ar"/>
        </w:rPr>
        <w:t>40号</w:t>
      </w:r>
      <w:r>
        <w:rPr>
          <w:rFonts w:hint="eastAsia" w:ascii="宋体" w:hAnsi="宋体" w:cs="宋体"/>
          <w:b/>
          <w:bCs/>
          <w:color w:val="auto"/>
          <w:sz w:val="24"/>
          <w:szCs w:val="24"/>
          <w:highlight w:val="none"/>
          <w:lang w:bidi="ar"/>
        </w:rPr>
        <w:t>）文，须在个人签名处手写本人签名，未手写签名或与签名图像笔迹不一致的，该电子证书无效，资格审查不予通过</w:t>
      </w:r>
      <w:r>
        <w:rPr>
          <w:rFonts w:ascii="宋体" w:hAnsi="宋体" w:cs="宋体"/>
          <w:b/>
          <w:bCs/>
          <w:color w:val="auto"/>
          <w:sz w:val="24"/>
          <w:szCs w:val="24"/>
          <w:highlight w:val="none"/>
          <w:lang w:bidi="ar"/>
        </w:rPr>
        <w:t>。</w:t>
      </w: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hint="eastAsia" w:asciiTheme="minorEastAsia" w:hAnsiTheme="minorEastAsia" w:eastAsiaTheme="minorEastAsia" w:cstheme="minorEastAsia"/>
          <w:color w:val="auto"/>
          <w:sz w:val="32"/>
          <w:szCs w:val="32"/>
          <w:highlight w:val="none"/>
        </w:rPr>
      </w:pPr>
    </w:p>
    <w:p>
      <w:pPr>
        <w:spacing w:line="400" w:lineRule="exact"/>
        <w:ind w:firstLine="210"/>
        <w:jc w:val="center"/>
        <w:rPr>
          <w:rFonts w:hint="eastAsia"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12"/>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33"/>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12"/>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3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12"/>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12"/>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33"/>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vAlign w:val="center"/>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vAlign w:val="center"/>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3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33"/>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注：本表中人员如职称证书、岗位证书等资料复制件附后。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12"/>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1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54"/>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12"/>
        <w:ind w:firstLine="0" w:firstLineChars="0"/>
        <w:rPr>
          <w:color w:val="auto"/>
          <w:highlight w:val="none"/>
        </w:rPr>
      </w:pP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pStyle w:val="12"/>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12"/>
        <w:ind w:firstLine="340"/>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5" w:name="_Toc320271436"/>
      <w:bookmarkStart w:id="446" w:name="_Toc372212493"/>
      <w:bookmarkStart w:id="447"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5"/>
      <w:bookmarkEnd w:id="446"/>
      <w:r>
        <w:rPr>
          <w:rFonts w:hint="eastAsia" w:asciiTheme="minorEastAsia" w:hAnsiTheme="minorEastAsia" w:eastAsiaTheme="minorEastAsia" w:cstheme="minorEastAsia"/>
          <w:b/>
          <w:bCs/>
          <w:color w:val="auto"/>
          <w:sz w:val="24"/>
          <w:szCs w:val="24"/>
          <w:highlight w:val="none"/>
        </w:rPr>
        <w:t>函</w:t>
      </w:r>
      <w:bookmarkEnd w:id="447"/>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w:t>
      </w:r>
      <w:r>
        <w:rPr>
          <w:rFonts w:hint="eastAsia" w:asciiTheme="minorEastAsia" w:hAnsiTheme="minorEastAsia" w:eastAsiaTheme="minorEastAsia" w:cstheme="minorEastAsia"/>
          <w:color w:val="auto"/>
          <w:sz w:val="24"/>
          <w:szCs w:val="24"/>
          <w:highlight w:val="none"/>
          <w:u w:val="single"/>
        </w:rPr>
        <w:t xml:space="preserve">  _/___</w:t>
      </w:r>
      <w:r>
        <w:rPr>
          <w:rFonts w:hint="eastAsia" w:asciiTheme="minorEastAsia" w:hAnsiTheme="minorEastAsia" w:eastAsiaTheme="minorEastAsia" w:cstheme="minorEastAsia"/>
          <w:color w:val="auto"/>
          <w:sz w:val="24"/>
          <w:szCs w:val="24"/>
          <w:highlight w:val="none"/>
        </w:rPr>
        <w:t>，产地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2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12"/>
        <w:ind w:firstLine="340"/>
        <w:rPr>
          <w:color w:val="auto"/>
          <w:highlight w:val="none"/>
        </w:rPr>
      </w:pPr>
    </w:p>
    <w:p>
      <w:pPr>
        <w:rPr>
          <w:color w:val="auto"/>
          <w:highlight w:val="none"/>
        </w:rPr>
      </w:pPr>
    </w:p>
    <w:p>
      <w:pPr>
        <w:pStyle w:val="12"/>
        <w:ind w:firstLine="340"/>
        <w:rPr>
          <w:color w:val="auto"/>
          <w:highlight w:val="none"/>
        </w:rPr>
      </w:pPr>
    </w:p>
    <w:p>
      <w:pPr>
        <w:rPr>
          <w:color w:val="auto"/>
          <w:highlight w:val="none"/>
        </w:rPr>
      </w:pPr>
    </w:p>
    <w:p>
      <w:pPr>
        <w:pStyle w:val="2"/>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33"/>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法定代表人身份证复制件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33"/>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委托代理人身份证复制件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12"/>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52"/>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12"/>
        <w:ind w:firstLine="340"/>
        <w:rPr>
          <w:rFonts w:ascii="宋体" w:hAnsi="宋体"/>
          <w:strike/>
          <w:color w:val="auto"/>
          <w:szCs w:val="21"/>
          <w:highlight w:val="none"/>
        </w:rPr>
      </w:pPr>
    </w:p>
    <w:p>
      <w:pPr>
        <w:rPr>
          <w:rFonts w:ascii="宋体" w:hAnsi="宋体"/>
          <w:strike/>
          <w:color w:val="auto"/>
          <w:szCs w:val="21"/>
          <w:highlight w:val="none"/>
        </w:rPr>
      </w:pPr>
    </w:p>
    <w:p>
      <w:pPr>
        <w:pStyle w:val="12"/>
        <w:ind w:firstLine="340"/>
        <w:rPr>
          <w:rFonts w:ascii="宋体" w:hAnsi="宋体"/>
          <w:strike/>
          <w:color w:val="auto"/>
          <w:szCs w:val="21"/>
          <w:highlight w:val="none"/>
        </w:rPr>
      </w:pPr>
    </w:p>
    <w:p>
      <w:pPr>
        <w:rPr>
          <w:rFonts w:ascii="宋体" w:hAnsi="宋体"/>
          <w:strike/>
          <w:color w:val="auto"/>
          <w:szCs w:val="21"/>
          <w:highlight w:val="none"/>
        </w:rPr>
      </w:pPr>
    </w:p>
    <w:p>
      <w:pPr>
        <w:pStyle w:val="12"/>
        <w:ind w:firstLine="340"/>
        <w:rPr>
          <w:rFonts w:ascii="宋体" w:hAnsi="宋体"/>
          <w:strike/>
          <w:color w:val="auto"/>
          <w:szCs w:val="21"/>
          <w:highlight w:val="none"/>
        </w:rPr>
      </w:pPr>
    </w:p>
    <w:p>
      <w:pPr>
        <w:rPr>
          <w:rFonts w:ascii="宋体" w:hAnsi="宋体"/>
          <w:strike/>
          <w:color w:val="auto"/>
          <w:szCs w:val="21"/>
          <w:highlight w:val="none"/>
        </w:rPr>
        <w:sectPr>
          <w:footerReference r:id="rId7" w:type="default"/>
          <w:footerReference r:id="rId8" w:type="even"/>
          <w:pgSz w:w="11907" w:h="16840"/>
          <w:pgMar w:top="1418" w:right="1134" w:bottom="1418" w:left="1134" w:header="680" w:footer="680" w:gutter="0"/>
          <w:cols w:space="720" w:num="1"/>
          <w:docGrid w:linePitch="271" w:charSpace="0"/>
        </w:sectPr>
      </w:pPr>
    </w:p>
    <w:p>
      <w:pPr>
        <w:pStyle w:val="2"/>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1778"/>
        <w:gridCol w:w="1987"/>
        <w:gridCol w:w="1180"/>
        <w:gridCol w:w="1197"/>
        <w:gridCol w:w="1578"/>
        <w:gridCol w:w="1697"/>
        <w:gridCol w:w="2155"/>
        <w:gridCol w:w="2007"/>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1077" w:hRule="atLeast"/>
          <w:jc w:val="center"/>
        </w:trPr>
        <w:tc>
          <w:tcPr>
            <w:tcW w:w="21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62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项目编码</w:t>
            </w:r>
          </w:p>
        </w:tc>
        <w:tc>
          <w:tcPr>
            <w:tcW w:w="699"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41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品牌型号</w:t>
            </w:r>
          </w:p>
        </w:tc>
        <w:tc>
          <w:tcPr>
            <w:tcW w:w="421"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计量</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单位</w:t>
            </w:r>
          </w:p>
        </w:tc>
        <w:tc>
          <w:tcPr>
            <w:tcW w:w="55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工程量</w:t>
            </w:r>
          </w:p>
        </w:tc>
        <w:tc>
          <w:tcPr>
            <w:tcW w:w="597"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综合单价(含税)</w:t>
            </w:r>
          </w:p>
        </w:tc>
        <w:tc>
          <w:tcPr>
            <w:tcW w:w="758"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总价(含税)</w:t>
            </w:r>
          </w:p>
        </w:tc>
        <w:tc>
          <w:tcPr>
            <w:tcW w:w="70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486" w:hRule="atLeast"/>
          <w:jc w:val="center"/>
        </w:trPr>
        <w:tc>
          <w:tcPr>
            <w:tcW w:w="21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62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699"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w:t>
            </w:r>
            <w:r>
              <w:rPr>
                <w:rFonts w:hint="eastAsia" w:asciiTheme="minorEastAsia" w:hAnsiTheme="minorEastAsia" w:eastAsiaTheme="minorEastAsia" w:cstheme="minorEastAsia"/>
                <w:color w:val="auto"/>
                <w:sz w:val="24"/>
                <w:szCs w:val="24"/>
                <w:highlight w:val="none"/>
                <w:lang w:val="en-US" w:eastAsia="zh-CN"/>
              </w:rPr>
              <w:t>工程量</w:t>
            </w:r>
            <w:r>
              <w:rPr>
                <w:rFonts w:hint="eastAsia" w:asciiTheme="minorEastAsia" w:hAnsiTheme="minorEastAsia" w:eastAsiaTheme="minorEastAsia" w:cstheme="minorEastAsia"/>
                <w:color w:val="auto"/>
                <w:sz w:val="24"/>
                <w:szCs w:val="24"/>
                <w:highlight w:val="none"/>
              </w:rPr>
              <w:t>清单内容填写</w:t>
            </w:r>
          </w:p>
        </w:tc>
        <w:tc>
          <w:tcPr>
            <w:tcW w:w="41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421"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5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97"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58"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0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3" w:type="pct"/>
          <w:cantSplit/>
          <w:trHeight w:val="486" w:hRule="atLeast"/>
          <w:jc w:val="center"/>
        </w:trPr>
        <w:tc>
          <w:tcPr>
            <w:tcW w:w="21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62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699"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41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421"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5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97"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58"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0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486" w:hRule="atLeast"/>
          <w:jc w:val="center"/>
        </w:trPr>
        <w:tc>
          <w:tcPr>
            <w:tcW w:w="21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tc>
        <w:tc>
          <w:tcPr>
            <w:tcW w:w="62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699"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41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421"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55"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597"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58"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c>
          <w:tcPr>
            <w:tcW w:w="706" w:type="pct"/>
            <w:vAlign w:val="center"/>
          </w:tcPr>
          <w:p>
            <w:pPr>
              <w:widowControl/>
              <w:spacing w:line="260" w:lineRule="exact"/>
              <w:jc w:val="center"/>
              <w:textAlignment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1541" w:type="pct"/>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3458" w:type="pct"/>
            <w:gridSpan w:val="7"/>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bl>
    <w:p>
      <w:pPr>
        <w:pStyle w:val="83"/>
        <w:spacing w:line="360" w:lineRule="exact"/>
        <w:rPr>
          <w:rFonts w:ascii="宋体" w:hAnsi="宋体"/>
          <w:color w:val="auto"/>
          <w:sz w:val="20"/>
          <w:szCs w:val="20"/>
          <w:highlight w:val="none"/>
          <w:lang w:val="en-US"/>
        </w:rPr>
      </w:pPr>
      <w:r>
        <w:rPr>
          <w:rFonts w:hint="eastAsia" w:asciiTheme="minorEastAsia" w:hAnsiTheme="minorEastAsia" w:eastAsiaTheme="minorEastAsia" w:cstheme="minorEastAsia"/>
          <w:color w:val="auto"/>
          <w:szCs w:val="24"/>
          <w:highlight w:val="none"/>
        </w:rPr>
        <w:t>注：</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rPr>
        <w:t>1、投标总价合计为总价的合计，应与投标函的投标总价一致。投标报价为投标人的投标文件中提出的各项支付金额的总和。</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rPr>
        <w:t>2、投标报价表中含价栏目，若无报价的须填“含”、“无”等字样，若出现空白，招标人视为已含在投标报价中。</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rPr>
        <w:t>3、如交货货物数量调整时，综合单价不作调整。</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eastAsia="zh-CN"/>
        </w:rPr>
        <w:t>4</w:t>
      </w:r>
      <w:r>
        <w:rPr>
          <w:rFonts w:hint="eastAsia" w:ascii="宋体" w:hAnsi="宋体"/>
          <w:color w:val="auto"/>
          <w:sz w:val="20"/>
          <w:szCs w:val="20"/>
          <w:highlight w:val="none"/>
          <w:lang w:val="en-US"/>
        </w:rPr>
        <w:t>、 技术标中明确或招标文件、设计图纸确定的相应技术规范要求的费用应包括在投标报价中，否则视同投标优惠。</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eastAsia="zh-CN"/>
        </w:rPr>
        <w:t>5</w:t>
      </w:r>
      <w:r>
        <w:rPr>
          <w:rFonts w:hint="eastAsia" w:ascii="宋体" w:hAnsi="宋体"/>
          <w:color w:val="auto"/>
          <w:sz w:val="20"/>
          <w:szCs w:val="20"/>
          <w:highlight w:val="none"/>
          <w:lang w:val="en-US"/>
        </w:rPr>
        <w:t>、 投标人应先到项目现场踏勘以充分了解现场位置、情况、道路、储存空间、装卸限制及任何其它足以影响报价的情况，任何因忽视或误解工地情况而导致的索赔或工期延长申请将不获批准。</w:t>
      </w:r>
    </w:p>
    <w:p>
      <w:pPr>
        <w:pStyle w:val="83"/>
        <w:spacing w:line="360" w:lineRule="exact"/>
        <w:ind w:firstLine="400"/>
        <w:rPr>
          <w:rFonts w:hint="eastAsia" w:ascii="宋体" w:hAnsi="宋体"/>
          <w:color w:val="auto"/>
          <w:sz w:val="20"/>
          <w:szCs w:val="20"/>
          <w:highlight w:val="none"/>
          <w:lang w:val="en-US"/>
        </w:rPr>
      </w:pPr>
      <w:r>
        <w:rPr>
          <w:rFonts w:hint="eastAsia" w:ascii="宋体" w:hAnsi="宋体"/>
          <w:color w:val="auto"/>
          <w:sz w:val="20"/>
          <w:szCs w:val="20"/>
          <w:highlight w:val="none"/>
          <w:lang w:val="en-US" w:eastAsia="zh-CN"/>
        </w:rPr>
        <w:t>6</w:t>
      </w:r>
      <w:r>
        <w:rPr>
          <w:rFonts w:hint="eastAsia" w:ascii="宋体" w:hAnsi="宋体"/>
          <w:color w:val="auto"/>
          <w:sz w:val="20"/>
          <w:szCs w:val="20"/>
          <w:highlight w:val="none"/>
          <w:lang w:val="en-US"/>
        </w:rPr>
        <w:t>、投标人的投标报价包括并不限于设备费、运输保险费、卸货费、仓储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w:t>
      </w:r>
    </w:p>
    <w:p>
      <w:pPr>
        <w:pStyle w:val="83"/>
        <w:spacing w:line="360" w:lineRule="exact"/>
        <w:ind w:firstLine="400"/>
        <w:rPr>
          <w:rFonts w:ascii="宋体" w:hAnsi="宋体"/>
          <w:color w:val="auto"/>
          <w:sz w:val="20"/>
          <w:szCs w:val="20"/>
          <w:highlight w:val="none"/>
          <w:lang w:val="en-US"/>
        </w:rPr>
      </w:pPr>
      <w:r>
        <w:rPr>
          <w:rFonts w:hint="eastAsia" w:ascii="宋体" w:hAnsi="宋体"/>
          <w:color w:val="auto"/>
          <w:sz w:val="20"/>
          <w:szCs w:val="20"/>
          <w:highlight w:val="none"/>
          <w:lang w:val="en-US" w:eastAsia="zh-CN"/>
        </w:rPr>
        <w:t>7</w:t>
      </w:r>
      <w:r>
        <w:rPr>
          <w:rFonts w:hint="eastAsia" w:ascii="宋体" w:hAnsi="宋体"/>
          <w:color w:val="auto"/>
          <w:sz w:val="20"/>
          <w:szCs w:val="20"/>
          <w:highlight w:val="none"/>
          <w:lang w:val="en-US"/>
        </w:rPr>
        <w:t>、投标人按照上述要求编制投标报价。一旦确认某一投标人中标，除合同规定的可调整内容外，中标人不得要求追加任何费用。</w:t>
      </w:r>
    </w:p>
    <w:p>
      <w:pPr>
        <w:pStyle w:val="83"/>
        <w:spacing w:line="360" w:lineRule="exact"/>
        <w:ind w:firstLine="400"/>
        <w:rPr>
          <w:rFonts w:hint="eastAsia" w:ascii="宋体" w:hAnsi="宋体" w:eastAsia="宋体"/>
          <w:color w:val="auto"/>
          <w:sz w:val="20"/>
          <w:szCs w:val="20"/>
          <w:highlight w:val="none"/>
          <w:lang w:val="en-US" w:eastAsia="zh-CN"/>
        </w:rPr>
      </w:pPr>
      <w:r>
        <w:rPr>
          <w:rFonts w:hint="eastAsia" w:ascii="宋体" w:hAnsi="宋体"/>
          <w:color w:val="auto"/>
          <w:sz w:val="20"/>
          <w:szCs w:val="20"/>
          <w:highlight w:val="none"/>
          <w:lang w:val="en-US" w:eastAsia="zh-CN"/>
        </w:rPr>
        <w:t>8</w:t>
      </w:r>
      <w:r>
        <w:rPr>
          <w:rFonts w:hint="eastAsia" w:ascii="宋体" w:hAnsi="宋体"/>
          <w:color w:val="auto"/>
          <w:sz w:val="20"/>
          <w:szCs w:val="20"/>
          <w:highlight w:val="none"/>
          <w:lang w:val="en-US"/>
        </w:rPr>
        <w:t>、投标人报价中还应包含本项目供货及安装时所需的各项措施费</w:t>
      </w:r>
      <w:r>
        <w:rPr>
          <w:rFonts w:hint="eastAsia" w:ascii="宋体" w:hAnsi="宋体"/>
          <w:color w:val="auto"/>
          <w:sz w:val="20"/>
          <w:szCs w:val="20"/>
          <w:highlight w:val="none"/>
          <w:lang w:val="en-US" w:eastAsia="zh-CN"/>
        </w:rPr>
        <w:t>。</w:t>
      </w:r>
    </w:p>
    <w:p>
      <w:pPr>
        <w:pStyle w:val="12"/>
        <w:ind w:firstLine="0" w:firstLineChars="0"/>
        <w:rPr>
          <w:color w:val="auto"/>
          <w:highlight w:val="none"/>
        </w:rPr>
      </w:pPr>
    </w:p>
    <w:p>
      <w:pPr>
        <w:rPr>
          <w:color w:val="auto"/>
          <w:highlight w:val="none"/>
        </w:rPr>
      </w:pPr>
    </w:p>
    <w:p>
      <w:pPr>
        <w:pStyle w:val="12"/>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12"/>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12"/>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12"/>
        <w:ind w:firstLine="0" w:firstLineChars="0"/>
        <w:rPr>
          <w:color w:val="auto"/>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altName w:val="微软雅黑"/>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0002009F"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37"/>
      </w:rPr>
    </w:pPr>
    <w:r>
      <w:fldChar w:fldCharType="begin"/>
    </w:r>
    <w:r>
      <w:rPr>
        <w:rStyle w:val="37"/>
      </w:rPr>
      <w:instrText xml:space="preserve">PAGE  </w:instrText>
    </w:r>
    <w:r>
      <w:fldChar w:fldCharType="separate"/>
    </w:r>
    <w:r>
      <w:rPr>
        <w:rStyle w:val="37"/>
      </w:rPr>
      <w:t>50</w:t>
    </w:r>
    <w:r>
      <w:fldChar w:fldCharType="end"/>
    </w:r>
  </w:p>
  <w:p>
    <w:pPr>
      <w:pStyle w:val="23"/>
      <w:ind w:firstLine="18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outside" w:y="1"/>
      <w:rPr>
        <w:rStyle w:val="37"/>
      </w:rPr>
    </w:pPr>
    <w:r>
      <w:fldChar w:fldCharType="begin"/>
    </w:r>
    <w:r>
      <w:rPr>
        <w:rStyle w:val="37"/>
      </w:rPr>
      <w:instrText xml:space="preserve">PAGE  </w:instrText>
    </w:r>
    <w:r>
      <w:fldChar w:fldCharType="separate"/>
    </w:r>
    <w:r>
      <w:rPr>
        <w:rStyle w:val="37"/>
      </w:rPr>
      <w:t>16</w:t>
    </w:r>
    <w:r>
      <w:fldChar w:fldCharType="end"/>
    </w:r>
  </w:p>
  <w:p>
    <w:pPr>
      <w:pStyle w:val="2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37"/>
      </w:rPr>
    </w:pPr>
    <w:r>
      <w:fldChar w:fldCharType="begin"/>
    </w:r>
    <w:r>
      <w:rPr>
        <w:rStyle w:val="37"/>
      </w:rPr>
      <w:instrText xml:space="preserve">PAGE  </w:instrText>
    </w:r>
    <w:r>
      <w:fldChar w:fldCharType="separate"/>
    </w:r>
    <w:r>
      <w:rPr>
        <w:rStyle w:val="37"/>
      </w:rPr>
      <w:t>128</w:t>
    </w:r>
    <w:r>
      <w:fldChar w:fldCharType="end"/>
    </w:r>
  </w:p>
  <w:p>
    <w:pPr>
      <w:pStyle w:val="23"/>
      <w:ind w:right="360" w:firstLine="18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37"/>
      </w:rPr>
    </w:pPr>
    <w:r>
      <w:fldChar w:fldCharType="begin"/>
    </w:r>
    <w:r>
      <w:rPr>
        <w:rStyle w:val="37"/>
      </w:rPr>
      <w:instrText xml:space="preserve">PAGE  </w:instrText>
    </w:r>
    <w:r>
      <w:fldChar w:fldCharType="separate"/>
    </w:r>
    <w:r>
      <w:rPr>
        <w:rStyle w:val="37"/>
      </w:rPr>
      <w:t>128</w:t>
    </w:r>
    <w:r>
      <w:fldChar w:fldCharType="end"/>
    </w:r>
  </w:p>
  <w:p>
    <w:pPr>
      <w:pStyle w:val="23"/>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37"/>
      </w:rPr>
    </w:pPr>
    <w:r>
      <w:fldChar w:fldCharType="begin"/>
    </w:r>
    <w:r>
      <w:rPr>
        <w:rStyle w:val="37"/>
      </w:rPr>
      <w:instrText xml:space="preserve">PAGE  </w:instrText>
    </w:r>
    <w:r>
      <w:fldChar w:fldCharType="separate"/>
    </w:r>
    <w:r>
      <w:rPr>
        <w:rStyle w:val="37"/>
      </w:rPr>
      <w:t>538</w:t>
    </w:r>
    <w:r>
      <w:fldChar w:fldCharType="end"/>
    </w:r>
  </w:p>
  <w:p>
    <w:pPr>
      <w:pStyle w:val="23"/>
      <w:ind w:right="360" w:firstLine="180"/>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framePr w:wrap="around" w:vAnchor="text" w:hAnchor="margin" w:xAlign="center" w:y="1"/>
      <w:ind w:firstLine="180"/>
      <w:rPr>
        <w:rStyle w:val="37"/>
      </w:rPr>
    </w:pPr>
    <w:r>
      <w:fldChar w:fldCharType="begin"/>
    </w:r>
    <w:r>
      <w:rPr>
        <w:rStyle w:val="37"/>
      </w:rPr>
      <w:instrText xml:space="preserve">PAGE  </w:instrText>
    </w:r>
    <w:r>
      <w:fldChar w:fldCharType="separate"/>
    </w:r>
    <w:r>
      <w:rPr>
        <w:rStyle w:val="37"/>
      </w:rPr>
      <w:t>3</w:t>
    </w:r>
    <w:r>
      <w:fldChar w:fldCharType="end"/>
    </w:r>
  </w:p>
  <w:p>
    <w:pPr>
      <w:pStyle w:val="23"/>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8F0DF5"/>
    <w:multiLevelType w:val="singleLevel"/>
    <w:tmpl w:val="F38F0DF5"/>
    <w:lvl w:ilvl="0" w:tentative="0">
      <w:start w:val="2"/>
      <w:numFmt w:val="decimal"/>
      <w:suff w:val="nothing"/>
      <w:lvlText w:val="%1、"/>
      <w:lvlJc w:val="left"/>
      <w:pPr>
        <w:ind w:left="525" w:firstLine="0"/>
      </w:pPr>
    </w:lvl>
  </w:abstractNum>
  <w:abstractNum w:abstractNumId="1">
    <w:nsid w:val="0B1C72B5"/>
    <w:multiLevelType w:val="multilevel"/>
    <w:tmpl w:val="0B1C72B5"/>
    <w:lvl w:ilvl="0" w:tentative="0">
      <w:start w:val="1"/>
      <w:numFmt w:val="chineseCountingThousand"/>
      <w:pStyle w:val="93"/>
      <w:isLgl/>
      <w:suff w:val="space"/>
      <w:lvlText w:val="%1"/>
      <w:lvlJc w:val="left"/>
      <w:pPr>
        <w:ind w:left="0" w:firstLine="0"/>
      </w:pPr>
      <w:rPr>
        <w:rFonts w:hint="eastAsia"/>
      </w:rPr>
    </w:lvl>
    <w:lvl w:ilvl="1" w:tentative="0">
      <w:start w:val="1"/>
      <w:numFmt w:val="decimal"/>
      <w:pStyle w:val="96"/>
      <w:isLgl/>
      <w:suff w:val="space"/>
      <w:lvlText w:val="%1.%2"/>
      <w:lvlJc w:val="left"/>
      <w:pPr>
        <w:ind w:left="0" w:firstLine="0"/>
      </w:pPr>
      <w:rPr>
        <w:rFonts w:hint="eastAsia"/>
      </w:rPr>
    </w:lvl>
    <w:lvl w:ilvl="2" w:tentative="0">
      <w:start w:val="1"/>
      <w:numFmt w:val="decimal"/>
      <w:pStyle w:val="98"/>
      <w:isLgl/>
      <w:suff w:val="space"/>
      <w:lvlText w:val="%1.%2.%3"/>
      <w:lvlJc w:val="left"/>
      <w:pPr>
        <w:ind w:left="0" w:firstLine="0"/>
      </w:pPr>
      <w:rPr>
        <w:rFonts w:hint="eastAsia"/>
      </w:rPr>
    </w:lvl>
    <w:lvl w:ilvl="3" w:tentative="0">
      <w:start w:val="1"/>
      <w:numFmt w:val="decimal"/>
      <w:pStyle w:val="100"/>
      <w:isLgl/>
      <w:suff w:val="space"/>
      <w:lvlText w:val="%1.%2.%3.%4"/>
      <w:lvlJc w:val="left"/>
      <w:pPr>
        <w:ind w:left="0" w:firstLine="0"/>
      </w:pPr>
      <w:rPr>
        <w:rFonts w:hint="eastAsia"/>
      </w:rPr>
    </w:lvl>
    <w:lvl w:ilvl="4" w:tentative="0">
      <w:start w:val="1"/>
      <w:numFmt w:val="decimal"/>
      <w:pStyle w:val="102"/>
      <w:isLgl/>
      <w:suff w:val="space"/>
      <w:lvlText w:val="%1.%2.%3.%4.%5"/>
      <w:lvlJc w:val="left"/>
      <w:pPr>
        <w:ind w:left="0" w:firstLine="0"/>
      </w:pPr>
      <w:rPr>
        <w:rFonts w:hint="eastAsia"/>
      </w:rPr>
    </w:lvl>
    <w:lvl w:ilvl="5" w:tentative="0">
      <w:start w:val="1"/>
      <w:numFmt w:val="decimal"/>
      <w:pStyle w:val="104"/>
      <w:suff w:val="space"/>
      <w:lvlText w:val="（%6）"/>
      <w:lvlJc w:val="left"/>
      <w:pPr>
        <w:ind w:left="0" w:firstLine="0"/>
      </w:pPr>
      <w:rPr>
        <w:rFonts w:hint="eastAsia"/>
      </w:rPr>
    </w:lvl>
    <w:lvl w:ilvl="6" w:tentative="0">
      <w:start w:val="1"/>
      <w:numFmt w:val="decimal"/>
      <w:suff w:val="space"/>
      <w:lvlText w:val="%7）"/>
      <w:lvlJc w:val="left"/>
      <w:pPr>
        <w:ind w:left="0" w:firstLine="0"/>
      </w:pPr>
      <w:rPr>
        <w:rFonts w:hint="eastAsia"/>
      </w:rPr>
    </w:lvl>
    <w:lvl w:ilvl="7" w:tentative="0">
      <w:start w:val="1"/>
      <w:numFmt w:val="decimal"/>
      <w:lvlRestart w:val="2"/>
      <w:isLgl/>
      <w:suff w:val="space"/>
      <w:lvlText w:val="表%1.%2-%8"/>
      <w:lvlJc w:val="left"/>
      <w:pPr>
        <w:ind w:left="0" w:firstLine="0"/>
      </w:pPr>
      <w:rPr>
        <w:rFonts w:hint="eastAsia"/>
      </w:rPr>
    </w:lvl>
    <w:lvl w:ilvl="8" w:tentative="0">
      <w:start w:val="1"/>
      <w:numFmt w:val="decimal"/>
      <w:lvlRestart w:val="2"/>
      <w:isLgl/>
      <w:suff w:val="space"/>
      <w:lvlText w:val="图%1.%2-%9"/>
      <w:lvlJc w:val="center"/>
      <w:pPr>
        <w:ind w:left="0" w:firstLine="0"/>
      </w:pPr>
      <w:rPr>
        <w:rFonts w:hint="eastAsia"/>
      </w:rPr>
    </w:lvl>
  </w:abstractNum>
  <w:abstractNum w:abstractNumId="2">
    <w:nsid w:val="45133286"/>
    <w:multiLevelType w:val="multilevel"/>
    <w:tmpl w:val="45133286"/>
    <w:lvl w:ilvl="0" w:tentative="0">
      <w:start w:val="1"/>
      <w:numFmt w:val="chineseCountingThousand"/>
      <w:suff w:val="nothing"/>
      <w:lvlText w:val="%1."/>
      <w:lvlJc w:val="left"/>
      <w:pPr>
        <w:ind w:left="426" w:firstLine="0"/>
      </w:pPr>
      <w:rPr>
        <w:rFonts w:hint="eastAsia" w:ascii="宋体" w:hAnsi="宋体" w:eastAsia="宋体"/>
        <w:b/>
        <w:i w:val="0"/>
        <w:sz w:val="36"/>
        <w:szCs w:val="36"/>
        <w:lang w:val="en-US"/>
      </w:rPr>
    </w:lvl>
    <w:lvl w:ilvl="1" w:tentative="0">
      <w:start w:val="1"/>
      <w:numFmt w:val="decimal"/>
      <w:suff w:val="nothing"/>
      <w:lvlText w:val="%2."/>
      <w:lvlJc w:val="left"/>
      <w:pPr>
        <w:ind w:left="994" w:firstLine="0"/>
      </w:pPr>
      <w:rPr>
        <w:rFonts w:hint="eastAsia" w:ascii="宋体" w:eastAsia="宋体"/>
        <w:b/>
        <w:i w:val="0"/>
        <w:sz w:val="20"/>
        <w:szCs w:val="20"/>
      </w:rPr>
    </w:lvl>
    <w:lvl w:ilvl="2" w:tentative="0">
      <w:start w:val="1"/>
      <w:numFmt w:val="decimal"/>
      <w:suff w:val="nothing"/>
      <w:lvlText w:val="%2.%3."/>
      <w:lvlJc w:val="left"/>
      <w:pPr>
        <w:ind w:left="426" w:firstLine="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3" w:tentative="0">
      <w:start w:val="1"/>
      <w:numFmt w:val="decimal"/>
      <w:lvlText w:val="3.1.%4."/>
      <w:lvlJc w:val="left"/>
      <w:pPr>
        <w:ind w:left="426" w:firstLine="0"/>
      </w:pPr>
      <w:rPr>
        <w:rFonts w:hint="eastAsia"/>
        <w:b/>
        <w:i w:val="0"/>
        <w:sz w:val="21"/>
        <w:szCs w:val="21"/>
      </w:rPr>
    </w:lvl>
    <w:lvl w:ilvl="4" w:tentative="0">
      <w:start w:val="1"/>
      <w:numFmt w:val="decimal"/>
      <w:pStyle w:val="6"/>
      <w:suff w:val="nothing"/>
      <w:lvlText w:val="%2.%3.%4.%5."/>
      <w:lvlJc w:val="left"/>
      <w:pPr>
        <w:ind w:left="426" w:firstLine="0"/>
      </w:pPr>
      <w:rPr>
        <w:rFonts w:hint="eastAsia" w:ascii="宋体" w:eastAsia="宋体"/>
        <w:b/>
        <w:i w:val="0"/>
        <w:sz w:val="24"/>
      </w:rPr>
    </w:lvl>
    <w:lvl w:ilvl="5" w:tentative="0">
      <w:start w:val="1"/>
      <w:numFmt w:val="decimal"/>
      <w:isLgl/>
      <w:suff w:val="nothing"/>
      <w:lvlText w:val="%2.%3.%4.%5.%6."/>
      <w:lvlJc w:val="left"/>
      <w:pPr>
        <w:ind w:left="426" w:firstLine="0"/>
      </w:pPr>
      <w:rPr>
        <w:rFonts w:hint="eastAsia" w:ascii="宋体" w:hAnsi="宋体" w:eastAsia="宋体" w:cs="Times New Roman"/>
        <w:b w:val="0"/>
        <w:bCs w:val="0"/>
        <w:i w:val="0"/>
        <w:iCs w:val="0"/>
        <w:caps w:val="0"/>
        <w:smallCaps w:val="0"/>
        <w:strike w:val="0"/>
        <w:dstrike w:val="0"/>
        <w:vanish w:val="0"/>
        <w:color w:val="000000"/>
        <w:spacing w:val="0"/>
        <w:position w:val="0"/>
        <w:sz w:val="24"/>
        <w:u w:val="none"/>
        <w:vertAlign w:val="baseline"/>
      </w:rPr>
    </w:lvl>
    <w:lvl w:ilvl="6" w:tentative="0">
      <w:start w:val="1"/>
      <w:numFmt w:val="decimal"/>
      <w:lvlText w:val="（%7）"/>
      <w:lvlJc w:val="left"/>
      <w:pPr>
        <w:ind w:left="426" w:firstLine="0"/>
      </w:pPr>
      <w:rPr>
        <w:rFonts w:hint="eastAsia"/>
      </w:rPr>
    </w:lvl>
    <w:lvl w:ilvl="7" w:tentative="0">
      <w:start w:val="1"/>
      <w:numFmt w:val="decimal"/>
      <w:lvlText w:val="%1.%2.%3.%4.%5.%6.%7.%8."/>
      <w:lvlJc w:val="left"/>
      <w:pPr>
        <w:ind w:left="426" w:firstLine="0"/>
      </w:pPr>
      <w:rPr>
        <w:rFonts w:hint="eastAsia"/>
      </w:rPr>
    </w:lvl>
    <w:lvl w:ilvl="8" w:tentative="0">
      <w:start w:val="1"/>
      <w:numFmt w:val="decimal"/>
      <w:lvlText w:val="%1.%2.%3.%4.%5.%6.%7.%8.%9."/>
      <w:lvlJc w:val="left"/>
      <w:pPr>
        <w:ind w:left="426" w:firstLine="0"/>
      </w:pPr>
      <w:rPr>
        <w:rFonts w:hint="eastAsia"/>
      </w:rPr>
    </w:lvl>
  </w:abstractNum>
  <w:abstractNum w:abstractNumId="3">
    <w:nsid w:val="634704D1"/>
    <w:multiLevelType w:val="singleLevel"/>
    <w:tmpl w:val="634704D1"/>
    <w:lvl w:ilvl="0" w:tentative="0">
      <w:start w:val="2"/>
      <w:numFmt w:val="decimal"/>
      <w:suff w:val="nothing"/>
      <w:lvlText w:val="（%1）"/>
      <w:lvlJc w:val="left"/>
    </w:lvl>
  </w:abstractNum>
  <w:abstractNum w:abstractNumId="4">
    <w:nsid w:val="6391671F"/>
    <w:multiLevelType w:val="singleLevel"/>
    <w:tmpl w:val="6391671F"/>
    <w:lvl w:ilvl="0" w:tentative="0">
      <w:start w:val="1"/>
      <w:numFmt w:val="chineseCounting"/>
      <w:suff w:val="space"/>
      <w:lvlText w:val="第%1部分"/>
      <w:lvlJc w:val="left"/>
      <w:rPr>
        <w:rFonts w:hint="eastAsia"/>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0"/>
  <w:bordersDoNotSurroundFooter w:val="0"/>
  <w:hideSpellingErrors/>
  <w:hideGrammaticalErrors/>
  <w:documentProtection w:enforcement="0"/>
  <w:defaultTabStop w:val="42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cxYjFmOWIyNzUwNzdiY2NmN2UyZDA3Zjc5NDg0MmMifQ=="/>
  </w:docVars>
  <w:rsids>
    <w:rsidRoot w:val="003F2ED6"/>
    <w:rsid w:val="00011ECD"/>
    <w:rsid w:val="00031CD7"/>
    <w:rsid w:val="00076221"/>
    <w:rsid w:val="00092F51"/>
    <w:rsid w:val="000B18F0"/>
    <w:rsid w:val="000F1046"/>
    <w:rsid w:val="000F135C"/>
    <w:rsid w:val="00102ED9"/>
    <w:rsid w:val="001132C6"/>
    <w:rsid w:val="00123F8A"/>
    <w:rsid w:val="00157B73"/>
    <w:rsid w:val="00171641"/>
    <w:rsid w:val="00172A1E"/>
    <w:rsid w:val="001800FD"/>
    <w:rsid w:val="001B1DE3"/>
    <w:rsid w:val="001B3A70"/>
    <w:rsid w:val="001D5398"/>
    <w:rsid w:val="001D5ED6"/>
    <w:rsid w:val="00223CBC"/>
    <w:rsid w:val="00252453"/>
    <w:rsid w:val="0026665C"/>
    <w:rsid w:val="0026717C"/>
    <w:rsid w:val="002926D1"/>
    <w:rsid w:val="002B53DD"/>
    <w:rsid w:val="003047C7"/>
    <w:rsid w:val="00322C22"/>
    <w:rsid w:val="00324A78"/>
    <w:rsid w:val="00337C06"/>
    <w:rsid w:val="00347E38"/>
    <w:rsid w:val="0038457F"/>
    <w:rsid w:val="00385320"/>
    <w:rsid w:val="003953E5"/>
    <w:rsid w:val="003A084B"/>
    <w:rsid w:val="003B64EA"/>
    <w:rsid w:val="003D2A99"/>
    <w:rsid w:val="003F2ED6"/>
    <w:rsid w:val="00412BA6"/>
    <w:rsid w:val="00437458"/>
    <w:rsid w:val="00453FBC"/>
    <w:rsid w:val="00454987"/>
    <w:rsid w:val="00454C83"/>
    <w:rsid w:val="004841B8"/>
    <w:rsid w:val="004A0B8B"/>
    <w:rsid w:val="004A0F00"/>
    <w:rsid w:val="0051017B"/>
    <w:rsid w:val="00531609"/>
    <w:rsid w:val="0054531B"/>
    <w:rsid w:val="005867C8"/>
    <w:rsid w:val="00596BB3"/>
    <w:rsid w:val="005A7877"/>
    <w:rsid w:val="005F1887"/>
    <w:rsid w:val="005F194D"/>
    <w:rsid w:val="00600C83"/>
    <w:rsid w:val="0060581D"/>
    <w:rsid w:val="00611B14"/>
    <w:rsid w:val="00642511"/>
    <w:rsid w:val="006554B2"/>
    <w:rsid w:val="00662032"/>
    <w:rsid w:val="00685C73"/>
    <w:rsid w:val="006A5BF3"/>
    <w:rsid w:val="006D5299"/>
    <w:rsid w:val="006F6A77"/>
    <w:rsid w:val="00757AF4"/>
    <w:rsid w:val="007743CF"/>
    <w:rsid w:val="00796396"/>
    <w:rsid w:val="007A0614"/>
    <w:rsid w:val="007D2D2E"/>
    <w:rsid w:val="007F2242"/>
    <w:rsid w:val="007F28BA"/>
    <w:rsid w:val="008021CD"/>
    <w:rsid w:val="00802517"/>
    <w:rsid w:val="00833E0B"/>
    <w:rsid w:val="0084105F"/>
    <w:rsid w:val="00850F37"/>
    <w:rsid w:val="00874A0D"/>
    <w:rsid w:val="00877D83"/>
    <w:rsid w:val="00890384"/>
    <w:rsid w:val="008944CE"/>
    <w:rsid w:val="008E1CE3"/>
    <w:rsid w:val="00941337"/>
    <w:rsid w:val="009475ED"/>
    <w:rsid w:val="009618E5"/>
    <w:rsid w:val="00977D02"/>
    <w:rsid w:val="00984E24"/>
    <w:rsid w:val="00986EA5"/>
    <w:rsid w:val="00990DEF"/>
    <w:rsid w:val="00997388"/>
    <w:rsid w:val="00997E08"/>
    <w:rsid w:val="009B088D"/>
    <w:rsid w:val="009B1D96"/>
    <w:rsid w:val="009E4E44"/>
    <w:rsid w:val="009F2921"/>
    <w:rsid w:val="00A179E3"/>
    <w:rsid w:val="00A20975"/>
    <w:rsid w:val="00A2606B"/>
    <w:rsid w:val="00A54D52"/>
    <w:rsid w:val="00A936D3"/>
    <w:rsid w:val="00AC3A5D"/>
    <w:rsid w:val="00AE2AE1"/>
    <w:rsid w:val="00B16145"/>
    <w:rsid w:val="00B16EA5"/>
    <w:rsid w:val="00B408FD"/>
    <w:rsid w:val="00C12DE3"/>
    <w:rsid w:val="00C3308E"/>
    <w:rsid w:val="00C52550"/>
    <w:rsid w:val="00C54E0F"/>
    <w:rsid w:val="00C75D2D"/>
    <w:rsid w:val="00CA233B"/>
    <w:rsid w:val="00CA2EF8"/>
    <w:rsid w:val="00D04981"/>
    <w:rsid w:val="00D227D6"/>
    <w:rsid w:val="00D2563E"/>
    <w:rsid w:val="00D27D65"/>
    <w:rsid w:val="00D44CB4"/>
    <w:rsid w:val="00D50438"/>
    <w:rsid w:val="00D53EE8"/>
    <w:rsid w:val="00D64325"/>
    <w:rsid w:val="00D774E4"/>
    <w:rsid w:val="00D94D68"/>
    <w:rsid w:val="00DB617D"/>
    <w:rsid w:val="00DF3E56"/>
    <w:rsid w:val="00DF3E74"/>
    <w:rsid w:val="00E04FF7"/>
    <w:rsid w:val="00E418B9"/>
    <w:rsid w:val="00E65FA8"/>
    <w:rsid w:val="00E70AEE"/>
    <w:rsid w:val="00E70CCA"/>
    <w:rsid w:val="00E77556"/>
    <w:rsid w:val="00E81341"/>
    <w:rsid w:val="00E979F9"/>
    <w:rsid w:val="00EA7B11"/>
    <w:rsid w:val="00EC23E0"/>
    <w:rsid w:val="00EC4116"/>
    <w:rsid w:val="00ED6B63"/>
    <w:rsid w:val="00F23F82"/>
    <w:rsid w:val="00F33613"/>
    <w:rsid w:val="00F60844"/>
    <w:rsid w:val="00F968D6"/>
    <w:rsid w:val="00FB197F"/>
    <w:rsid w:val="00FD0792"/>
    <w:rsid w:val="00FE21DA"/>
    <w:rsid w:val="010643D2"/>
    <w:rsid w:val="01252684"/>
    <w:rsid w:val="0166087A"/>
    <w:rsid w:val="017B4D40"/>
    <w:rsid w:val="018D2CC5"/>
    <w:rsid w:val="01FE0316"/>
    <w:rsid w:val="02CD0E66"/>
    <w:rsid w:val="02E65630"/>
    <w:rsid w:val="02FF4D88"/>
    <w:rsid w:val="03084CFA"/>
    <w:rsid w:val="033D2B90"/>
    <w:rsid w:val="03401215"/>
    <w:rsid w:val="039948AC"/>
    <w:rsid w:val="03A04854"/>
    <w:rsid w:val="03B0513A"/>
    <w:rsid w:val="03B30EDD"/>
    <w:rsid w:val="03C46600"/>
    <w:rsid w:val="040C104D"/>
    <w:rsid w:val="042F2D99"/>
    <w:rsid w:val="04E13A54"/>
    <w:rsid w:val="050A4EAB"/>
    <w:rsid w:val="05405773"/>
    <w:rsid w:val="055A6F90"/>
    <w:rsid w:val="057115C5"/>
    <w:rsid w:val="05C22671"/>
    <w:rsid w:val="05EA59AC"/>
    <w:rsid w:val="063C4254"/>
    <w:rsid w:val="064D0A70"/>
    <w:rsid w:val="06722FF9"/>
    <w:rsid w:val="06821EDD"/>
    <w:rsid w:val="069B1A69"/>
    <w:rsid w:val="06ED611F"/>
    <w:rsid w:val="06F3702C"/>
    <w:rsid w:val="078779E0"/>
    <w:rsid w:val="07E01420"/>
    <w:rsid w:val="07F248CA"/>
    <w:rsid w:val="07F61C98"/>
    <w:rsid w:val="08295E92"/>
    <w:rsid w:val="08EA25FA"/>
    <w:rsid w:val="09057F6C"/>
    <w:rsid w:val="09186AA1"/>
    <w:rsid w:val="091F34DF"/>
    <w:rsid w:val="099361CD"/>
    <w:rsid w:val="099866AB"/>
    <w:rsid w:val="0A17516A"/>
    <w:rsid w:val="0A203944"/>
    <w:rsid w:val="0A20501F"/>
    <w:rsid w:val="0A3648BE"/>
    <w:rsid w:val="0A6F2DDF"/>
    <w:rsid w:val="0A9414BC"/>
    <w:rsid w:val="0AD57493"/>
    <w:rsid w:val="0AD95861"/>
    <w:rsid w:val="0B042481"/>
    <w:rsid w:val="0B205E71"/>
    <w:rsid w:val="0B275F39"/>
    <w:rsid w:val="0B7011A9"/>
    <w:rsid w:val="0BC20272"/>
    <w:rsid w:val="0C1056F0"/>
    <w:rsid w:val="0C2F0F17"/>
    <w:rsid w:val="0C487E6C"/>
    <w:rsid w:val="0C620A55"/>
    <w:rsid w:val="0C994C14"/>
    <w:rsid w:val="0CDB78E3"/>
    <w:rsid w:val="0D017924"/>
    <w:rsid w:val="0D71793F"/>
    <w:rsid w:val="0D736379"/>
    <w:rsid w:val="0DA07C55"/>
    <w:rsid w:val="0DBE306D"/>
    <w:rsid w:val="0DFC72C8"/>
    <w:rsid w:val="0E483512"/>
    <w:rsid w:val="0E674362"/>
    <w:rsid w:val="0E6E298A"/>
    <w:rsid w:val="0E6F03C7"/>
    <w:rsid w:val="0E9960EA"/>
    <w:rsid w:val="0EDC350C"/>
    <w:rsid w:val="0F02680A"/>
    <w:rsid w:val="0F352D69"/>
    <w:rsid w:val="0F403CEA"/>
    <w:rsid w:val="0F9B7D51"/>
    <w:rsid w:val="0FE6581A"/>
    <w:rsid w:val="0FEB264D"/>
    <w:rsid w:val="0FEF171B"/>
    <w:rsid w:val="100F3B6B"/>
    <w:rsid w:val="103129C3"/>
    <w:rsid w:val="105F793C"/>
    <w:rsid w:val="10966690"/>
    <w:rsid w:val="10C1515C"/>
    <w:rsid w:val="10D842E1"/>
    <w:rsid w:val="10F12720"/>
    <w:rsid w:val="11003F91"/>
    <w:rsid w:val="110171B2"/>
    <w:rsid w:val="11200E0E"/>
    <w:rsid w:val="112B0C0D"/>
    <w:rsid w:val="115601F1"/>
    <w:rsid w:val="115C0A93"/>
    <w:rsid w:val="11C75D80"/>
    <w:rsid w:val="122704B0"/>
    <w:rsid w:val="122B630F"/>
    <w:rsid w:val="1231797F"/>
    <w:rsid w:val="126E08E5"/>
    <w:rsid w:val="128E689D"/>
    <w:rsid w:val="12B80A1C"/>
    <w:rsid w:val="12B87C38"/>
    <w:rsid w:val="12F157AA"/>
    <w:rsid w:val="13114F1F"/>
    <w:rsid w:val="13171D8C"/>
    <w:rsid w:val="133F0856"/>
    <w:rsid w:val="135B70C7"/>
    <w:rsid w:val="13E024F7"/>
    <w:rsid w:val="13FF41B9"/>
    <w:rsid w:val="141A663B"/>
    <w:rsid w:val="142524E7"/>
    <w:rsid w:val="142976E8"/>
    <w:rsid w:val="144E09DA"/>
    <w:rsid w:val="14563438"/>
    <w:rsid w:val="148C4A55"/>
    <w:rsid w:val="148F206F"/>
    <w:rsid w:val="14C447F8"/>
    <w:rsid w:val="14D32E8D"/>
    <w:rsid w:val="14EF6F74"/>
    <w:rsid w:val="1562509C"/>
    <w:rsid w:val="1568477F"/>
    <w:rsid w:val="161A5B51"/>
    <w:rsid w:val="16536C56"/>
    <w:rsid w:val="16986C82"/>
    <w:rsid w:val="17743711"/>
    <w:rsid w:val="1792178E"/>
    <w:rsid w:val="17AF5BB6"/>
    <w:rsid w:val="17ED2EC7"/>
    <w:rsid w:val="17F860F9"/>
    <w:rsid w:val="180D4956"/>
    <w:rsid w:val="188B3FAB"/>
    <w:rsid w:val="18E56FD1"/>
    <w:rsid w:val="190A080B"/>
    <w:rsid w:val="191151A5"/>
    <w:rsid w:val="19375EE1"/>
    <w:rsid w:val="19A8293B"/>
    <w:rsid w:val="19AE7848"/>
    <w:rsid w:val="19B72B7E"/>
    <w:rsid w:val="19C370FB"/>
    <w:rsid w:val="19C374C4"/>
    <w:rsid w:val="1A1915F5"/>
    <w:rsid w:val="1A400DC5"/>
    <w:rsid w:val="1A5605E9"/>
    <w:rsid w:val="1A613215"/>
    <w:rsid w:val="1B371EED"/>
    <w:rsid w:val="1B4B2CC6"/>
    <w:rsid w:val="1B6B0B35"/>
    <w:rsid w:val="1BA65996"/>
    <w:rsid w:val="1BD0252A"/>
    <w:rsid w:val="1BE77BB0"/>
    <w:rsid w:val="1BF400B9"/>
    <w:rsid w:val="1BF7266A"/>
    <w:rsid w:val="1C4C16FD"/>
    <w:rsid w:val="1C5E01AD"/>
    <w:rsid w:val="1C841D03"/>
    <w:rsid w:val="1C9238C5"/>
    <w:rsid w:val="1C9C348F"/>
    <w:rsid w:val="1CD96D90"/>
    <w:rsid w:val="1D213DF3"/>
    <w:rsid w:val="1D246639"/>
    <w:rsid w:val="1D4503FC"/>
    <w:rsid w:val="1D9A086A"/>
    <w:rsid w:val="1DE57613"/>
    <w:rsid w:val="1E026ABD"/>
    <w:rsid w:val="1E5A0048"/>
    <w:rsid w:val="1E762895"/>
    <w:rsid w:val="1ED932F7"/>
    <w:rsid w:val="1F222924"/>
    <w:rsid w:val="1F235A10"/>
    <w:rsid w:val="1F445102"/>
    <w:rsid w:val="1F4544B4"/>
    <w:rsid w:val="1F633FE4"/>
    <w:rsid w:val="1F930BDA"/>
    <w:rsid w:val="1FBE606D"/>
    <w:rsid w:val="1FC83A23"/>
    <w:rsid w:val="1FFF6E7D"/>
    <w:rsid w:val="20243093"/>
    <w:rsid w:val="203562CE"/>
    <w:rsid w:val="20426CFD"/>
    <w:rsid w:val="208C1D68"/>
    <w:rsid w:val="20D165E0"/>
    <w:rsid w:val="2113092E"/>
    <w:rsid w:val="2167475F"/>
    <w:rsid w:val="21C727E1"/>
    <w:rsid w:val="21DF1894"/>
    <w:rsid w:val="21E30668"/>
    <w:rsid w:val="223607E1"/>
    <w:rsid w:val="22A63EC2"/>
    <w:rsid w:val="22A85759"/>
    <w:rsid w:val="22EC55E4"/>
    <w:rsid w:val="230B08BF"/>
    <w:rsid w:val="23112007"/>
    <w:rsid w:val="23467533"/>
    <w:rsid w:val="2377599A"/>
    <w:rsid w:val="23BF2D5B"/>
    <w:rsid w:val="23FD212F"/>
    <w:rsid w:val="240F3CE2"/>
    <w:rsid w:val="241A4A22"/>
    <w:rsid w:val="24397D4F"/>
    <w:rsid w:val="251077F8"/>
    <w:rsid w:val="25111399"/>
    <w:rsid w:val="251D5245"/>
    <w:rsid w:val="25573C52"/>
    <w:rsid w:val="25673626"/>
    <w:rsid w:val="2580476C"/>
    <w:rsid w:val="25B850C5"/>
    <w:rsid w:val="25E965E5"/>
    <w:rsid w:val="265C5CC0"/>
    <w:rsid w:val="265D7677"/>
    <w:rsid w:val="269E7603"/>
    <w:rsid w:val="26A46CB5"/>
    <w:rsid w:val="27950E23"/>
    <w:rsid w:val="27C51038"/>
    <w:rsid w:val="27D93B8C"/>
    <w:rsid w:val="27DC55D7"/>
    <w:rsid w:val="27E34794"/>
    <w:rsid w:val="27F84584"/>
    <w:rsid w:val="281127F2"/>
    <w:rsid w:val="28744A30"/>
    <w:rsid w:val="289135FD"/>
    <w:rsid w:val="289A63EC"/>
    <w:rsid w:val="28CD5F1A"/>
    <w:rsid w:val="2975705E"/>
    <w:rsid w:val="297E1B4D"/>
    <w:rsid w:val="2A0B3865"/>
    <w:rsid w:val="2A6C706D"/>
    <w:rsid w:val="2AAE58D7"/>
    <w:rsid w:val="2AB204A5"/>
    <w:rsid w:val="2AC4696E"/>
    <w:rsid w:val="2AE84162"/>
    <w:rsid w:val="2AF160F0"/>
    <w:rsid w:val="2AFE1262"/>
    <w:rsid w:val="2B5D2E86"/>
    <w:rsid w:val="2B6A47FD"/>
    <w:rsid w:val="2B810B41"/>
    <w:rsid w:val="2B97039D"/>
    <w:rsid w:val="2BB3671D"/>
    <w:rsid w:val="2BB957A2"/>
    <w:rsid w:val="2C0A2096"/>
    <w:rsid w:val="2C4F1FE4"/>
    <w:rsid w:val="2C5E53FF"/>
    <w:rsid w:val="2C6D5D6A"/>
    <w:rsid w:val="2C847503"/>
    <w:rsid w:val="2C87382E"/>
    <w:rsid w:val="2CC55E62"/>
    <w:rsid w:val="2CE034B3"/>
    <w:rsid w:val="2CF41CC7"/>
    <w:rsid w:val="2D873E14"/>
    <w:rsid w:val="2D904222"/>
    <w:rsid w:val="2D9D235F"/>
    <w:rsid w:val="2DAE34B9"/>
    <w:rsid w:val="2DCD1BAF"/>
    <w:rsid w:val="2DDA2F46"/>
    <w:rsid w:val="2DDC4CFE"/>
    <w:rsid w:val="2E69320E"/>
    <w:rsid w:val="2E7A6958"/>
    <w:rsid w:val="2EB11D5E"/>
    <w:rsid w:val="2EB23898"/>
    <w:rsid w:val="2EB75EBD"/>
    <w:rsid w:val="2F29798F"/>
    <w:rsid w:val="2F4250B0"/>
    <w:rsid w:val="2F471B71"/>
    <w:rsid w:val="2F6855EB"/>
    <w:rsid w:val="2F9A43BB"/>
    <w:rsid w:val="304944DD"/>
    <w:rsid w:val="30716B3D"/>
    <w:rsid w:val="30C64B11"/>
    <w:rsid w:val="31115D00"/>
    <w:rsid w:val="31723D70"/>
    <w:rsid w:val="318225C0"/>
    <w:rsid w:val="319A66D0"/>
    <w:rsid w:val="31C2796C"/>
    <w:rsid w:val="31C4442B"/>
    <w:rsid w:val="32294E3B"/>
    <w:rsid w:val="32397FF3"/>
    <w:rsid w:val="327E1ACD"/>
    <w:rsid w:val="32936AA7"/>
    <w:rsid w:val="32F612F9"/>
    <w:rsid w:val="333252F7"/>
    <w:rsid w:val="337A7E02"/>
    <w:rsid w:val="33A90847"/>
    <w:rsid w:val="33B42114"/>
    <w:rsid w:val="34232234"/>
    <w:rsid w:val="344F5AC7"/>
    <w:rsid w:val="345F6F10"/>
    <w:rsid w:val="34DD5737"/>
    <w:rsid w:val="34E547B5"/>
    <w:rsid w:val="351505EF"/>
    <w:rsid w:val="351903B1"/>
    <w:rsid w:val="358F6DAA"/>
    <w:rsid w:val="359668D7"/>
    <w:rsid w:val="359F539D"/>
    <w:rsid w:val="35FA50A5"/>
    <w:rsid w:val="363429C0"/>
    <w:rsid w:val="36654023"/>
    <w:rsid w:val="36877AC8"/>
    <w:rsid w:val="37263DC7"/>
    <w:rsid w:val="37942980"/>
    <w:rsid w:val="37C25041"/>
    <w:rsid w:val="381F26DB"/>
    <w:rsid w:val="38333389"/>
    <w:rsid w:val="3877596F"/>
    <w:rsid w:val="387E3670"/>
    <w:rsid w:val="3885236D"/>
    <w:rsid w:val="38973FE4"/>
    <w:rsid w:val="38B14F10"/>
    <w:rsid w:val="390A7B19"/>
    <w:rsid w:val="392F0440"/>
    <w:rsid w:val="395923DE"/>
    <w:rsid w:val="397748A7"/>
    <w:rsid w:val="398052B8"/>
    <w:rsid w:val="39D031FB"/>
    <w:rsid w:val="39FD7097"/>
    <w:rsid w:val="3A0B2CF9"/>
    <w:rsid w:val="3A172C3A"/>
    <w:rsid w:val="3A233BEC"/>
    <w:rsid w:val="3A27303D"/>
    <w:rsid w:val="3A653B81"/>
    <w:rsid w:val="3A68584E"/>
    <w:rsid w:val="3A717C9C"/>
    <w:rsid w:val="3A76452D"/>
    <w:rsid w:val="3A80103E"/>
    <w:rsid w:val="3AC03AEF"/>
    <w:rsid w:val="3AC544A5"/>
    <w:rsid w:val="3AF90CBF"/>
    <w:rsid w:val="3B131EB2"/>
    <w:rsid w:val="3B3A79CC"/>
    <w:rsid w:val="3B732951"/>
    <w:rsid w:val="3B90705F"/>
    <w:rsid w:val="3BA777EE"/>
    <w:rsid w:val="3BDA68EE"/>
    <w:rsid w:val="3BDD52F7"/>
    <w:rsid w:val="3BEF658C"/>
    <w:rsid w:val="3C6329C5"/>
    <w:rsid w:val="3CB43221"/>
    <w:rsid w:val="3CE81347"/>
    <w:rsid w:val="3D273E26"/>
    <w:rsid w:val="3D956BAE"/>
    <w:rsid w:val="3DA365C7"/>
    <w:rsid w:val="3DC90DC7"/>
    <w:rsid w:val="3E1068C3"/>
    <w:rsid w:val="3E1115B5"/>
    <w:rsid w:val="3E3F2345"/>
    <w:rsid w:val="3E506E48"/>
    <w:rsid w:val="3E522735"/>
    <w:rsid w:val="3E62762F"/>
    <w:rsid w:val="3E7A6362"/>
    <w:rsid w:val="3E9959F0"/>
    <w:rsid w:val="3EC17F95"/>
    <w:rsid w:val="3ED21C37"/>
    <w:rsid w:val="3ED242F2"/>
    <w:rsid w:val="3EE06BC4"/>
    <w:rsid w:val="3EEA117C"/>
    <w:rsid w:val="3F2D72BA"/>
    <w:rsid w:val="3F406FEE"/>
    <w:rsid w:val="3FC203C9"/>
    <w:rsid w:val="3FC719B7"/>
    <w:rsid w:val="3FE115FE"/>
    <w:rsid w:val="3FED117E"/>
    <w:rsid w:val="3FFC4B0C"/>
    <w:rsid w:val="401C35B7"/>
    <w:rsid w:val="40457AB3"/>
    <w:rsid w:val="40836825"/>
    <w:rsid w:val="409E6377"/>
    <w:rsid w:val="40B9762F"/>
    <w:rsid w:val="40D70CA4"/>
    <w:rsid w:val="41457B10"/>
    <w:rsid w:val="41B3488D"/>
    <w:rsid w:val="41F20501"/>
    <w:rsid w:val="424B5653"/>
    <w:rsid w:val="429C2B53"/>
    <w:rsid w:val="42B70645"/>
    <w:rsid w:val="42BA70B7"/>
    <w:rsid w:val="42D84B79"/>
    <w:rsid w:val="43617533"/>
    <w:rsid w:val="43A766C9"/>
    <w:rsid w:val="43AA4B02"/>
    <w:rsid w:val="43DA2339"/>
    <w:rsid w:val="43EB0E95"/>
    <w:rsid w:val="443365B6"/>
    <w:rsid w:val="44475ABD"/>
    <w:rsid w:val="445619D7"/>
    <w:rsid w:val="44602DE3"/>
    <w:rsid w:val="44EF58FF"/>
    <w:rsid w:val="44F448E3"/>
    <w:rsid w:val="45143874"/>
    <w:rsid w:val="4516411F"/>
    <w:rsid w:val="452105C8"/>
    <w:rsid w:val="45417326"/>
    <w:rsid w:val="45487E01"/>
    <w:rsid w:val="45970128"/>
    <w:rsid w:val="46017C35"/>
    <w:rsid w:val="461B7E6D"/>
    <w:rsid w:val="463260EC"/>
    <w:rsid w:val="467F0483"/>
    <w:rsid w:val="468E7D0A"/>
    <w:rsid w:val="47380EA8"/>
    <w:rsid w:val="47451645"/>
    <w:rsid w:val="476A452D"/>
    <w:rsid w:val="476F0470"/>
    <w:rsid w:val="47827CE8"/>
    <w:rsid w:val="47A85349"/>
    <w:rsid w:val="47C64AAE"/>
    <w:rsid w:val="47DD5E3B"/>
    <w:rsid w:val="480E5EDB"/>
    <w:rsid w:val="48254EA1"/>
    <w:rsid w:val="48573328"/>
    <w:rsid w:val="4878138E"/>
    <w:rsid w:val="488F1F8D"/>
    <w:rsid w:val="48F36814"/>
    <w:rsid w:val="49092A56"/>
    <w:rsid w:val="493836DA"/>
    <w:rsid w:val="494D7B45"/>
    <w:rsid w:val="495945D7"/>
    <w:rsid w:val="49A93515"/>
    <w:rsid w:val="49C60F21"/>
    <w:rsid w:val="4A4C7DFD"/>
    <w:rsid w:val="4A717966"/>
    <w:rsid w:val="4AEA4F86"/>
    <w:rsid w:val="4AF33166"/>
    <w:rsid w:val="4AFE6FC2"/>
    <w:rsid w:val="4B246A7B"/>
    <w:rsid w:val="4B7B063E"/>
    <w:rsid w:val="4B8066A3"/>
    <w:rsid w:val="4B890CF8"/>
    <w:rsid w:val="4BAB2E26"/>
    <w:rsid w:val="4BAC0E65"/>
    <w:rsid w:val="4BEB3137"/>
    <w:rsid w:val="4BEB690B"/>
    <w:rsid w:val="4C173EE4"/>
    <w:rsid w:val="4C1D696D"/>
    <w:rsid w:val="4CB132D9"/>
    <w:rsid w:val="4D094EC3"/>
    <w:rsid w:val="4D321FE5"/>
    <w:rsid w:val="4D447DD6"/>
    <w:rsid w:val="4DBC6C66"/>
    <w:rsid w:val="4DEC5E09"/>
    <w:rsid w:val="4E1E674C"/>
    <w:rsid w:val="4E471B2D"/>
    <w:rsid w:val="4E4C74A7"/>
    <w:rsid w:val="4E543B0B"/>
    <w:rsid w:val="4E5F5679"/>
    <w:rsid w:val="4E9C5BF5"/>
    <w:rsid w:val="4F0376F0"/>
    <w:rsid w:val="4F0B2432"/>
    <w:rsid w:val="4F162A6E"/>
    <w:rsid w:val="4F287661"/>
    <w:rsid w:val="4F3B3E0A"/>
    <w:rsid w:val="4F7E3524"/>
    <w:rsid w:val="4FA21F5E"/>
    <w:rsid w:val="4FCD453C"/>
    <w:rsid w:val="4FD01F9A"/>
    <w:rsid w:val="4FFD2EF3"/>
    <w:rsid w:val="507F7EB0"/>
    <w:rsid w:val="50A63AB9"/>
    <w:rsid w:val="50D90E3F"/>
    <w:rsid w:val="50E517A3"/>
    <w:rsid w:val="51057895"/>
    <w:rsid w:val="513143C8"/>
    <w:rsid w:val="513E223D"/>
    <w:rsid w:val="51455C9A"/>
    <w:rsid w:val="51585983"/>
    <w:rsid w:val="51636D7C"/>
    <w:rsid w:val="51685060"/>
    <w:rsid w:val="517D565D"/>
    <w:rsid w:val="51A67184"/>
    <w:rsid w:val="52027174"/>
    <w:rsid w:val="521F7347"/>
    <w:rsid w:val="52B633F7"/>
    <w:rsid w:val="52C378C2"/>
    <w:rsid w:val="53093EFF"/>
    <w:rsid w:val="53102AB4"/>
    <w:rsid w:val="535C6F6A"/>
    <w:rsid w:val="537137C2"/>
    <w:rsid w:val="53722C1B"/>
    <w:rsid w:val="53775E70"/>
    <w:rsid w:val="53E95C2A"/>
    <w:rsid w:val="53FA37B7"/>
    <w:rsid w:val="541E5BB9"/>
    <w:rsid w:val="54B257AE"/>
    <w:rsid w:val="55617AB2"/>
    <w:rsid w:val="55C1444A"/>
    <w:rsid w:val="56090A8E"/>
    <w:rsid w:val="5637423D"/>
    <w:rsid w:val="563B2368"/>
    <w:rsid w:val="566A5479"/>
    <w:rsid w:val="567809C3"/>
    <w:rsid w:val="567F1EA1"/>
    <w:rsid w:val="568A395B"/>
    <w:rsid w:val="56C4117A"/>
    <w:rsid w:val="57223E3B"/>
    <w:rsid w:val="57362D58"/>
    <w:rsid w:val="575B5DBF"/>
    <w:rsid w:val="576B2CAE"/>
    <w:rsid w:val="578222C8"/>
    <w:rsid w:val="578930D5"/>
    <w:rsid w:val="57D97FF1"/>
    <w:rsid w:val="58027B27"/>
    <w:rsid w:val="58141EF1"/>
    <w:rsid w:val="58226E39"/>
    <w:rsid w:val="585815D4"/>
    <w:rsid w:val="585C2844"/>
    <w:rsid w:val="589B4794"/>
    <w:rsid w:val="589E4548"/>
    <w:rsid w:val="58A6629F"/>
    <w:rsid w:val="58C20E22"/>
    <w:rsid w:val="58F82B03"/>
    <w:rsid w:val="59051B84"/>
    <w:rsid w:val="5923730C"/>
    <w:rsid w:val="59264758"/>
    <w:rsid w:val="59561490"/>
    <w:rsid w:val="59640F82"/>
    <w:rsid w:val="59A10097"/>
    <w:rsid w:val="59D7322F"/>
    <w:rsid w:val="5A1D4634"/>
    <w:rsid w:val="5A7047B0"/>
    <w:rsid w:val="5A8A4A8E"/>
    <w:rsid w:val="5ABE4646"/>
    <w:rsid w:val="5ABE5EBD"/>
    <w:rsid w:val="5AC048FE"/>
    <w:rsid w:val="5B30418F"/>
    <w:rsid w:val="5B4F5390"/>
    <w:rsid w:val="5B5B39B3"/>
    <w:rsid w:val="5B8D5D01"/>
    <w:rsid w:val="5B920779"/>
    <w:rsid w:val="5BA82034"/>
    <w:rsid w:val="5BC24309"/>
    <w:rsid w:val="5BF97CA2"/>
    <w:rsid w:val="5CB42AAC"/>
    <w:rsid w:val="5D041203"/>
    <w:rsid w:val="5D0F6B14"/>
    <w:rsid w:val="5D1626BB"/>
    <w:rsid w:val="5D37191C"/>
    <w:rsid w:val="5D511EBC"/>
    <w:rsid w:val="5DBD497D"/>
    <w:rsid w:val="5E035243"/>
    <w:rsid w:val="5E041A11"/>
    <w:rsid w:val="5E120E32"/>
    <w:rsid w:val="5E2F729F"/>
    <w:rsid w:val="5E787944"/>
    <w:rsid w:val="5E803FCC"/>
    <w:rsid w:val="5E8661D8"/>
    <w:rsid w:val="5EA32ABA"/>
    <w:rsid w:val="5EAF0D83"/>
    <w:rsid w:val="5ED51F7D"/>
    <w:rsid w:val="5ED92F78"/>
    <w:rsid w:val="5EDC2437"/>
    <w:rsid w:val="5EF86B45"/>
    <w:rsid w:val="5F39299A"/>
    <w:rsid w:val="5F6E5059"/>
    <w:rsid w:val="5F734CCA"/>
    <w:rsid w:val="5F9468A8"/>
    <w:rsid w:val="5FEC6A29"/>
    <w:rsid w:val="5FF97043"/>
    <w:rsid w:val="60104A1E"/>
    <w:rsid w:val="60130799"/>
    <w:rsid w:val="60315CB8"/>
    <w:rsid w:val="604E6C14"/>
    <w:rsid w:val="60505B01"/>
    <w:rsid w:val="605E1DEA"/>
    <w:rsid w:val="60A01243"/>
    <w:rsid w:val="61462F51"/>
    <w:rsid w:val="61697A7D"/>
    <w:rsid w:val="61D42936"/>
    <w:rsid w:val="61FA2BD4"/>
    <w:rsid w:val="620121B5"/>
    <w:rsid w:val="62450FCC"/>
    <w:rsid w:val="62861EAA"/>
    <w:rsid w:val="629B6173"/>
    <w:rsid w:val="633820A6"/>
    <w:rsid w:val="637162CF"/>
    <w:rsid w:val="638025D5"/>
    <w:rsid w:val="63BC5DF0"/>
    <w:rsid w:val="63C74D38"/>
    <w:rsid w:val="63DB22A1"/>
    <w:rsid w:val="63EE5991"/>
    <w:rsid w:val="64EC5E0D"/>
    <w:rsid w:val="656454BD"/>
    <w:rsid w:val="65EB5C3E"/>
    <w:rsid w:val="65F11B35"/>
    <w:rsid w:val="66241633"/>
    <w:rsid w:val="668B7634"/>
    <w:rsid w:val="669034B3"/>
    <w:rsid w:val="66DE4873"/>
    <w:rsid w:val="671036AF"/>
    <w:rsid w:val="673B20F9"/>
    <w:rsid w:val="675817D2"/>
    <w:rsid w:val="67651B0E"/>
    <w:rsid w:val="677F6628"/>
    <w:rsid w:val="67896C54"/>
    <w:rsid w:val="679370FF"/>
    <w:rsid w:val="67A755BA"/>
    <w:rsid w:val="67BA52E0"/>
    <w:rsid w:val="67BD2AF6"/>
    <w:rsid w:val="67C23CE4"/>
    <w:rsid w:val="67E12090"/>
    <w:rsid w:val="67FC61B8"/>
    <w:rsid w:val="68086D13"/>
    <w:rsid w:val="680A0F5A"/>
    <w:rsid w:val="68295FC1"/>
    <w:rsid w:val="683965CD"/>
    <w:rsid w:val="686A785B"/>
    <w:rsid w:val="686B6AF9"/>
    <w:rsid w:val="68A53F7E"/>
    <w:rsid w:val="68DB4AEF"/>
    <w:rsid w:val="698E2580"/>
    <w:rsid w:val="69965724"/>
    <w:rsid w:val="6A355461"/>
    <w:rsid w:val="6A4467AA"/>
    <w:rsid w:val="6A6C17DD"/>
    <w:rsid w:val="6A73134C"/>
    <w:rsid w:val="6A9A31A7"/>
    <w:rsid w:val="6ACC3EEB"/>
    <w:rsid w:val="6AF3625C"/>
    <w:rsid w:val="6B0D2C0B"/>
    <w:rsid w:val="6B453112"/>
    <w:rsid w:val="6C42065D"/>
    <w:rsid w:val="6C5335A0"/>
    <w:rsid w:val="6C9F37C3"/>
    <w:rsid w:val="6CAE4CE7"/>
    <w:rsid w:val="6CEC20DE"/>
    <w:rsid w:val="6D3535AA"/>
    <w:rsid w:val="6D37705D"/>
    <w:rsid w:val="6D3951DB"/>
    <w:rsid w:val="6D4D2752"/>
    <w:rsid w:val="6D85324E"/>
    <w:rsid w:val="6DD91636"/>
    <w:rsid w:val="6E042333"/>
    <w:rsid w:val="6E1845CD"/>
    <w:rsid w:val="6E95615F"/>
    <w:rsid w:val="6ED421B0"/>
    <w:rsid w:val="6ED91546"/>
    <w:rsid w:val="6EEE3ABB"/>
    <w:rsid w:val="6EF44815"/>
    <w:rsid w:val="6F272654"/>
    <w:rsid w:val="6F393F5A"/>
    <w:rsid w:val="6F6748D6"/>
    <w:rsid w:val="6FE11742"/>
    <w:rsid w:val="700C7562"/>
    <w:rsid w:val="703970A5"/>
    <w:rsid w:val="704E7517"/>
    <w:rsid w:val="70624CFC"/>
    <w:rsid w:val="707725B8"/>
    <w:rsid w:val="70A2029C"/>
    <w:rsid w:val="70D253D0"/>
    <w:rsid w:val="70DE50C8"/>
    <w:rsid w:val="711C386F"/>
    <w:rsid w:val="7141249D"/>
    <w:rsid w:val="71DD0BC4"/>
    <w:rsid w:val="7220213F"/>
    <w:rsid w:val="723E546F"/>
    <w:rsid w:val="7277068B"/>
    <w:rsid w:val="729D7780"/>
    <w:rsid w:val="72AB48E6"/>
    <w:rsid w:val="72AB775A"/>
    <w:rsid w:val="72BD56C6"/>
    <w:rsid w:val="732B53A6"/>
    <w:rsid w:val="73355D12"/>
    <w:rsid w:val="73BA3636"/>
    <w:rsid w:val="73E819B5"/>
    <w:rsid w:val="73EC61B8"/>
    <w:rsid w:val="743F1BD3"/>
    <w:rsid w:val="74480ED8"/>
    <w:rsid w:val="74755C01"/>
    <w:rsid w:val="74A262E2"/>
    <w:rsid w:val="74A905A6"/>
    <w:rsid w:val="74AD5CC5"/>
    <w:rsid w:val="74CE637B"/>
    <w:rsid w:val="74CF48DE"/>
    <w:rsid w:val="74FF07D6"/>
    <w:rsid w:val="75397541"/>
    <w:rsid w:val="75594DF6"/>
    <w:rsid w:val="75AA13AF"/>
    <w:rsid w:val="760F1667"/>
    <w:rsid w:val="7622537E"/>
    <w:rsid w:val="763E18BE"/>
    <w:rsid w:val="76470CE4"/>
    <w:rsid w:val="765163F4"/>
    <w:rsid w:val="767E1BCE"/>
    <w:rsid w:val="769308EC"/>
    <w:rsid w:val="76983FFF"/>
    <w:rsid w:val="76DC3D34"/>
    <w:rsid w:val="76F94DB1"/>
    <w:rsid w:val="77100A78"/>
    <w:rsid w:val="771303B2"/>
    <w:rsid w:val="7726768C"/>
    <w:rsid w:val="77654CBC"/>
    <w:rsid w:val="7788191F"/>
    <w:rsid w:val="779320AA"/>
    <w:rsid w:val="77A85155"/>
    <w:rsid w:val="77B466DA"/>
    <w:rsid w:val="77D90BB8"/>
    <w:rsid w:val="77DF5F42"/>
    <w:rsid w:val="77E617D9"/>
    <w:rsid w:val="77F9134D"/>
    <w:rsid w:val="781D01F7"/>
    <w:rsid w:val="783B1B25"/>
    <w:rsid w:val="783C336F"/>
    <w:rsid w:val="784F2733"/>
    <w:rsid w:val="78516088"/>
    <w:rsid w:val="78714868"/>
    <w:rsid w:val="78992D69"/>
    <w:rsid w:val="78C1402C"/>
    <w:rsid w:val="78EF4200"/>
    <w:rsid w:val="78FF2B8A"/>
    <w:rsid w:val="7906574A"/>
    <w:rsid w:val="79660903"/>
    <w:rsid w:val="79B07697"/>
    <w:rsid w:val="7A345BCB"/>
    <w:rsid w:val="7A6F5AB6"/>
    <w:rsid w:val="7A71774B"/>
    <w:rsid w:val="7A805F15"/>
    <w:rsid w:val="7ABB0D0D"/>
    <w:rsid w:val="7B092148"/>
    <w:rsid w:val="7B4945EE"/>
    <w:rsid w:val="7B6B485F"/>
    <w:rsid w:val="7B7C1B69"/>
    <w:rsid w:val="7BDE17C5"/>
    <w:rsid w:val="7BEF445B"/>
    <w:rsid w:val="7C9E6B26"/>
    <w:rsid w:val="7D132CA6"/>
    <w:rsid w:val="7D365589"/>
    <w:rsid w:val="7D9168C7"/>
    <w:rsid w:val="7D965A4F"/>
    <w:rsid w:val="7DC235CB"/>
    <w:rsid w:val="7DDF2F52"/>
    <w:rsid w:val="7F316902"/>
    <w:rsid w:val="7F326B39"/>
    <w:rsid w:val="7F372864"/>
    <w:rsid w:val="7F496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65"/>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qFormat/>
    <w:uiPriority w:val="9"/>
    <w:pPr>
      <w:keepNext/>
      <w:keepLines/>
      <w:numPr>
        <w:ilvl w:val="4"/>
        <w:numId w:val="1"/>
      </w:numPr>
      <w:spacing w:beforeLines="50" w:afterLines="50"/>
      <w:jc w:val="left"/>
      <w:outlineLvl w:val="4"/>
    </w:pPr>
    <w:rPr>
      <w:rFonts w:ascii="宋体" w:hAnsi="宋体" w:cs="宋体"/>
      <w:b/>
      <w:szCs w:val="24"/>
    </w:rPr>
  </w:style>
  <w:style w:type="paragraph" w:styleId="7">
    <w:name w:val="heading 6"/>
    <w:basedOn w:val="1"/>
    <w:next w:val="1"/>
    <w:qFormat/>
    <w:uiPriority w:val="0"/>
    <w:pPr>
      <w:keepNext/>
      <w:keepLines/>
      <w:autoSpaceDE w:val="0"/>
      <w:spacing w:beforeAutospacing="1" w:afterAutospacing="1" w:line="360" w:lineRule="auto"/>
      <w:outlineLvl w:val="5"/>
    </w:pPr>
    <w:rPr>
      <w:b/>
      <w:bCs/>
      <w:kern w:val="2"/>
      <w:sz w:val="24"/>
      <w:szCs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annotation text"/>
    <w:basedOn w:val="1"/>
    <w:link w:val="94"/>
    <w:qFormat/>
    <w:uiPriority w:val="0"/>
    <w:pPr>
      <w:jc w:val="left"/>
    </w:pPr>
  </w:style>
  <w:style w:type="paragraph" w:styleId="11">
    <w:name w:val="Body Text"/>
    <w:basedOn w:val="1"/>
    <w:next w:val="12"/>
    <w:qFormat/>
    <w:uiPriority w:val="1"/>
    <w:rPr>
      <w:sz w:val="24"/>
      <w:szCs w:val="24"/>
    </w:rPr>
  </w:style>
  <w:style w:type="paragraph" w:styleId="12">
    <w:name w:val="Body Text First Indent"/>
    <w:basedOn w:val="11"/>
    <w:next w:val="13"/>
    <w:qFormat/>
    <w:uiPriority w:val="0"/>
    <w:pPr>
      <w:ind w:firstLine="420" w:firstLineChars="100"/>
    </w:pPr>
    <w:rPr>
      <w:sz w:val="34"/>
      <w:szCs w:val="20"/>
    </w:rPr>
  </w:style>
  <w:style w:type="paragraph" w:styleId="13">
    <w:name w:val="toc 6"/>
    <w:basedOn w:val="1"/>
    <w:next w:val="1"/>
    <w:qFormat/>
    <w:uiPriority w:val="0"/>
    <w:pPr>
      <w:ind w:left="1050"/>
    </w:pPr>
    <w:rPr>
      <w:rFonts w:ascii="Calibri" w:hAnsi="Calibri"/>
      <w:sz w:val="18"/>
      <w:szCs w:val="18"/>
    </w:rPr>
  </w:style>
  <w:style w:type="paragraph" w:styleId="14">
    <w:name w:val="Body Text Indent"/>
    <w:basedOn w:val="1"/>
    <w:next w:val="15"/>
    <w:qFormat/>
    <w:uiPriority w:val="0"/>
    <w:pPr>
      <w:spacing w:line="500" w:lineRule="atLeast"/>
      <w:ind w:firstLine="510"/>
    </w:pPr>
    <w:rPr>
      <w:rFonts w:ascii="仿宋_GB2312" w:eastAsia="仿宋_GB2312"/>
      <w:sz w:val="24"/>
      <w:szCs w:val="20"/>
    </w:rPr>
  </w:style>
  <w:style w:type="paragraph" w:styleId="15">
    <w:name w:val="Body Text First Indent 2"/>
    <w:basedOn w:val="14"/>
    <w:unhideWhenUsed/>
    <w:qFormat/>
    <w:uiPriority w:val="99"/>
    <w:pPr>
      <w:spacing w:line="200" w:lineRule="atLeast"/>
      <w:ind w:firstLine="420"/>
    </w:pPr>
    <w:rPr>
      <w:rFonts w:ascii="宋体" w:hAnsi="Courier New"/>
      <w:spacing w:val="-4"/>
      <w:sz w:val="18"/>
    </w:rPr>
  </w:style>
  <w:style w:type="paragraph" w:styleId="16">
    <w:name w:val="toc 5"/>
    <w:next w:val="1"/>
    <w:qFormat/>
    <w:uiPriority w:val="0"/>
    <w:pPr>
      <w:ind w:left="840"/>
    </w:pPr>
    <w:rPr>
      <w:rFonts w:ascii="Calibri" w:hAnsi="Calibri" w:eastAsia="宋体" w:cs="Times New Roman"/>
      <w:sz w:val="18"/>
      <w:szCs w:val="18"/>
      <w:lang w:val="en-US" w:eastAsia="zh-CN" w:bidi="ar-SA"/>
    </w:rPr>
  </w:style>
  <w:style w:type="paragraph" w:styleId="17">
    <w:name w:val="toc 3"/>
    <w:next w:val="1"/>
    <w:qFormat/>
    <w:uiPriority w:val="0"/>
    <w:pPr>
      <w:ind w:left="420"/>
    </w:pPr>
    <w:rPr>
      <w:rFonts w:ascii="Calibri" w:hAnsi="Calibri" w:eastAsia="宋体" w:cs="Times New Roman"/>
      <w:i/>
      <w:iCs/>
      <w:lang w:val="en-US" w:eastAsia="zh-CN" w:bidi="ar-SA"/>
    </w:rPr>
  </w:style>
  <w:style w:type="paragraph" w:styleId="18">
    <w:name w:val="Plain Text"/>
    <w:basedOn w:val="1"/>
    <w:qFormat/>
    <w:uiPriority w:val="0"/>
    <w:rPr>
      <w:rFonts w:ascii="宋体" w:hAnsi="Courier New" w:cs="Courier New"/>
      <w:szCs w:val="21"/>
    </w:rPr>
  </w:style>
  <w:style w:type="paragraph" w:styleId="19">
    <w:name w:val="toc 8"/>
    <w:next w:val="1"/>
    <w:qFormat/>
    <w:uiPriority w:val="0"/>
    <w:pPr>
      <w:ind w:left="1470"/>
    </w:pPr>
    <w:rPr>
      <w:rFonts w:ascii="Calibri" w:hAnsi="Calibri" w:eastAsia="宋体" w:cs="Times New Roman"/>
      <w:sz w:val="18"/>
      <w:szCs w:val="18"/>
      <w:lang w:val="en-US" w:eastAsia="zh-CN" w:bidi="ar-SA"/>
    </w:rPr>
  </w:style>
  <w:style w:type="paragraph" w:styleId="20">
    <w:name w:val="Date"/>
    <w:basedOn w:val="1"/>
    <w:next w:val="1"/>
    <w:qFormat/>
    <w:uiPriority w:val="0"/>
    <w:rPr>
      <w:rFonts w:eastAsia="仿宋_GB2312"/>
      <w:sz w:val="28"/>
      <w:szCs w:val="20"/>
    </w:rPr>
  </w:style>
  <w:style w:type="paragraph" w:styleId="21">
    <w:name w:val="Body Text Indent 2"/>
    <w:basedOn w:val="1"/>
    <w:qFormat/>
    <w:uiPriority w:val="0"/>
    <w:pPr>
      <w:spacing w:after="120" w:line="480" w:lineRule="auto"/>
      <w:ind w:left="420" w:leftChars="200"/>
    </w:pPr>
  </w:style>
  <w:style w:type="paragraph" w:styleId="22">
    <w:name w:val="Balloon Text"/>
    <w:basedOn w:val="1"/>
    <w:link w:val="84"/>
    <w:qFormat/>
    <w:uiPriority w:val="0"/>
    <w:rPr>
      <w:sz w:val="18"/>
      <w:szCs w:val="18"/>
    </w:rPr>
  </w:style>
  <w:style w:type="paragraph" w:styleId="23">
    <w:name w:val="footer"/>
    <w:basedOn w:val="1"/>
    <w:qFormat/>
    <w:uiPriority w:val="0"/>
    <w:pPr>
      <w:tabs>
        <w:tab w:val="center" w:pos="4153"/>
        <w:tab w:val="right" w:pos="8306"/>
      </w:tabs>
      <w:snapToGrid w:val="0"/>
      <w:jc w:val="left"/>
    </w:pPr>
    <w:rPr>
      <w:sz w:val="18"/>
      <w:szCs w:val="18"/>
    </w:rPr>
  </w:style>
  <w:style w:type="paragraph" w:styleId="24">
    <w:name w:val="header"/>
    <w:basedOn w:val="1"/>
    <w:link w:val="63"/>
    <w:qFormat/>
    <w:uiPriority w:val="0"/>
    <w:pPr>
      <w:pBdr>
        <w:bottom w:val="single" w:color="auto" w:sz="6" w:space="1"/>
      </w:pBdr>
      <w:tabs>
        <w:tab w:val="center" w:pos="4153"/>
        <w:tab w:val="right" w:pos="8306"/>
      </w:tabs>
      <w:snapToGrid w:val="0"/>
      <w:jc w:val="center"/>
    </w:pPr>
    <w:rPr>
      <w:sz w:val="18"/>
      <w:szCs w:val="18"/>
    </w:rPr>
  </w:style>
  <w:style w:type="paragraph" w:styleId="25">
    <w:name w:val="toc 1"/>
    <w:next w:val="1"/>
    <w:qFormat/>
    <w:uiPriority w:val="0"/>
    <w:pPr>
      <w:spacing w:beforeLines="38" w:afterLines="38"/>
    </w:pPr>
    <w:rPr>
      <w:rFonts w:ascii="Calibri" w:hAnsi="Calibri" w:eastAsia="宋体" w:cs="Times New Roman"/>
      <w:b/>
      <w:bCs/>
      <w:lang w:val="en-US" w:eastAsia="zh-CN" w:bidi="ar-SA"/>
    </w:rPr>
  </w:style>
  <w:style w:type="paragraph" w:styleId="26">
    <w:name w:val="toc 4"/>
    <w:next w:val="1"/>
    <w:qFormat/>
    <w:uiPriority w:val="0"/>
    <w:pPr>
      <w:ind w:left="630"/>
    </w:pPr>
    <w:rPr>
      <w:rFonts w:ascii="Calibri" w:hAnsi="Calibri" w:eastAsia="宋体" w:cs="Times New Roman"/>
      <w:sz w:val="18"/>
      <w:szCs w:val="18"/>
      <w:lang w:val="en-US" w:eastAsia="zh-CN" w:bidi="ar-SA"/>
    </w:rPr>
  </w:style>
  <w:style w:type="paragraph" w:styleId="27">
    <w:name w:val="List"/>
    <w:basedOn w:val="1"/>
    <w:qFormat/>
    <w:uiPriority w:val="0"/>
    <w:pPr>
      <w:ind w:left="200" w:hanging="200" w:hangingChars="200"/>
    </w:pPr>
  </w:style>
  <w:style w:type="paragraph" w:styleId="28">
    <w:name w:val="Body Text Indent 3"/>
    <w:basedOn w:val="1"/>
    <w:qFormat/>
    <w:uiPriority w:val="0"/>
    <w:pPr>
      <w:spacing w:line="540" w:lineRule="atLeast"/>
      <w:ind w:firstLine="480" w:firstLineChars="200"/>
    </w:pPr>
    <w:rPr>
      <w:sz w:val="24"/>
    </w:rPr>
  </w:style>
  <w:style w:type="paragraph" w:styleId="29">
    <w:name w:val="toc 2"/>
    <w:basedOn w:val="1"/>
    <w:next w:val="1"/>
    <w:qFormat/>
    <w:uiPriority w:val="0"/>
    <w:pPr>
      <w:ind w:left="210"/>
    </w:pPr>
    <w:rPr>
      <w:rFonts w:ascii="Calibri" w:hAnsi="Calibri"/>
      <w:smallCaps/>
    </w:rPr>
  </w:style>
  <w:style w:type="paragraph" w:styleId="30">
    <w:name w:val="toc 9"/>
    <w:next w:val="1"/>
    <w:qFormat/>
    <w:uiPriority w:val="0"/>
    <w:pPr>
      <w:ind w:left="1680"/>
    </w:pPr>
    <w:rPr>
      <w:rFonts w:ascii="Calibri" w:hAnsi="Calibri" w:eastAsia="宋体" w:cs="Times New Roman"/>
      <w:sz w:val="18"/>
      <w:szCs w:val="18"/>
      <w:lang w:val="en-US" w:eastAsia="zh-CN" w:bidi="ar-SA"/>
    </w:rPr>
  </w:style>
  <w:style w:type="paragraph" w:styleId="31">
    <w:name w:val="Normal (Web)"/>
    <w:basedOn w:val="1"/>
    <w:qFormat/>
    <w:uiPriority w:val="0"/>
    <w:pPr>
      <w:widowControl/>
      <w:spacing w:before="100" w:beforeAutospacing="1" w:after="100" w:afterAutospacing="1"/>
      <w:jc w:val="left"/>
    </w:pPr>
    <w:rPr>
      <w:sz w:val="24"/>
    </w:rPr>
  </w:style>
  <w:style w:type="paragraph" w:styleId="32">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table" w:styleId="34">
    <w:name w:val="Table Grid"/>
    <w:basedOn w:val="33"/>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bCs/>
    </w:rPr>
  </w:style>
  <w:style w:type="character" w:styleId="37">
    <w:name w:val="page number"/>
    <w:basedOn w:val="35"/>
    <w:qFormat/>
    <w:uiPriority w:val="0"/>
  </w:style>
  <w:style w:type="character" w:styleId="38">
    <w:name w:val="FollowedHyperlink"/>
    <w:basedOn w:val="35"/>
    <w:qFormat/>
    <w:uiPriority w:val="0"/>
    <w:rPr>
      <w:color w:val="3F88BF"/>
      <w:u w:val="none"/>
    </w:rPr>
  </w:style>
  <w:style w:type="character" w:styleId="39">
    <w:name w:val="Emphasis"/>
    <w:basedOn w:val="35"/>
    <w:qFormat/>
    <w:uiPriority w:val="0"/>
  </w:style>
  <w:style w:type="character" w:styleId="40">
    <w:name w:val="HTML Definition"/>
    <w:basedOn w:val="35"/>
    <w:qFormat/>
    <w:uiPriority w:val="0"/>
  </w:style>
  <w:style w:type="character" w:styleId="41">
    <w:name w:val="HTML Typewriter"/>
    <w:basedOn w:val="35"/>
    <w:qFormat/>
    <w:uiPriority w:val="0"/>
    <w:rPr>
      <w:rFonts w:hint="default" w:ascii="monospace" w:hAnsi="monospace" w:eastAsia="monospace" w:cs="monospace"/>
      <w:sz w:val="20"/>
    </w:rPr>
  </w:style>
  <w:style w:type="character" w:styleId="42">
    <w:name w:val="HTML Acronym"/>
    <w:basedOn w:val="35"/>
    <w:qFormat/>
    <w:uiPriority w:val="0"/>
  </w:style>
  <w:style w:type="character" w:styleId="43">
    <w:name w:val="HTML Variable"/>
    <w:basedOn w:val="35"/>
    <w:qFormat/>
    <w:uiPriority w:val="0"/>
  </w:style>
  <w:style w:type="character" w:styleId="44">
    <w:name w:val="Hyperlink"/>
    <w:basedOn w:val="35"/>
    <w:qFormat/>
    <w:uiPriority w:val="0"/>
    <w:rPr>
      <w:color w:val="0000FF" w:themeColor="hyperlink"/>
      <w:u w:val="single"/>
      <w14:textFill>
        <w14:solidFill>
          <w14:schemeClr w14:val="hlink"/>
        </w14:solidFill>
      </w14:textFill>
    </w:rPr>
  </w:style>
  <w:style w:type="character" w:styleId="45">
    <w:name w:val="HTML Code"/>
    <w:basedOn w:val="35"/>
    <w:qFormat/>
    <w:uiPriority w:val="0"/>
    <w:rPr>
      <w:rFonts w:hint="eastAsia" w:ascii="微软雅黑" w:hAnsi="微软雅黑" w:eastAsia="微软雅黑" w:cs="微软雅黑"/>
      <w:sz w:val="20"/>
    </w:rPr>
  </w:style>
  <w:style w:type="character" w:styleId="46">
    <w:name w:val="annotation reference"/>
    <w:basedOn w:val="35"/>
    <w:qFormat/>
    <w:uiPriority w:val="0"/>
    <w:rPr>
      <w:sz w:val="21"/>
      <w:szCs w:val="21"/>
    </w:rPr>
  </w:style>
  <w:style w:type="character" w:styleId="47">
    <w:name w:val="HTML Cite"/>
    <w:basedOn w:val="35"/>
    <w:qFormat/>
    <w:uiPriority w:val="0"/>
  </w:style>
  <w:style w:type="character" w:styleId="48">
    <w:name w:val="HTML Keyboard"/>
    <w:basedOn w:val="35"/>
    <w:qFormat/>
    <w:uiPriority w:val="0"/>
    <w:rPr>
      <w:rFonts w:hint="eastAsia" w:ascii="微软雅黑" w:hAnsi="微软雅黑" w:eastAsia="微软雅黑" w:cs="微软雅黑"/>
      <w:color w:val="3F88BF"/>
      <w:sz w:val="20"/>
      <w:u w:val="none"/>
    </w:rPr>
  </w:style>
  <w:style w:type="character" w:styleId="49">
    <w:name w:val="HTML Sample"/>
    <w:basedOn w:val="35"/>
    <w:qFormat/>
    <w:uiPriority w:val="0"/>
    <w:rPr>
      <w:rFonts w:hint="eastAsia" w:ascii="微软雅黑" w:hAnsi="微软雅黑" w:eastAsia="微软雅黑" w:cs="微软雅黑"/>
    </w:rPr>
  </w:style>
  <w:style w:type="paragraph" w:customStyle="1" w:styleId="50">
    <w:name w:val="Heading1"/>
    <w:basedOn w:val="1"/>
    <w:next w:val="1"/>
    <w:qFormat/>
    <w:uiPriority w:val="0"/>
    <w:pPr>
      <w:keepNext/>
      <w:keepLines/>
      <w:spacing w:before="340" w:after="330" w:line="576" w:lineRule="auto"/>
      <w:textAlignment w:val="baseline"/>
    </w:pPr>
    <w:rPr>
      <w:b/>
      <w:bCs/>
      <w:kern w:val="44"/>
      <w:sz w:val="44"/>
      <w:szCs w:val="44"/>
    </w:rPr>
  </w:style>
  <w:style w:type="paragraph" w:customStyle="1" w:styleId="51">
    <w:name w:val="Heading2"/>
    <w:basedOn w:val="1"/>
    <w:next w:val="1"/>
    <w:qFormat/>
    <w:uiPriority w:val="0"/>
    <w:pPr>
      <w:keepNext/>
      <w:keepLines/>
      <w:spacing w:before="260" w:after="260" w:line="416" w:lineRule="auto"/>
    </w:pPr>
    <w:rPr>
      <w:rFonts w:ascii="Cambria" w:hAnsi="Cambria"/>
      <w:sz w:val="32"/>
      <w:szCs w:val="32"/>
    </w:rPr>
  </w:style>
  <w:style w:type="paragraph" w:customStyle="1" w:styleId="52">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53">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54">
    <w:name w:val="zbggmain style9"/>
    <w:basedOn w:val="35"/>
    <w:qFormat/>
    <w:uiPriority w:val="0"/>
  </w:style>
  <w:style w:type="paragraph" w:customStyle="1" w:styleId="55">
    <w:name w:val="p0"/>
    <w:basedOn w:val="1"/>
    <w:qFormat/>
    <w:uiPriority w:val="0"/>
    <w:pPr>
      <w:widowControl/>
      <w:spacing w:before="100" w:beforeAutospacing="1" w:after="100" w:afterAutospacing="1"/>
      <w:jc w:val="left"/>
    </w:pPr>
    <w:rPr>
      <w:rFonts w:ascii="宋体" w:hAnsi="宋体" w:cs="宋体"/>
      <w:sz w:val="24"/>
    </w:rPr>
  </w:style>
  <w:style w:type="paragraph" w:styleId="56">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7">
    <w:name w:val="List Paragraph"/>
    <w:basedOn w:val="1"/>
    <w:qFormat/>
    <w:uiPriority w:val="99"/>
    <w:pPr>
      <w:ind w:firstLine="420" w:firstLineChars="200"/>
    </w:pPr>
  </w:style>
  <w:style w:type="character" w:customStyle="1" w:styleId="58">
    <w:name w:val="answer-title"/>
    <w:basedOn w:val="35"/>
    <w:qFormat/>
    <w:uiPriority w:val="0"/>
  </w:style>
  <w:style w:type="character" w:customStyle="1" w:styleId="59">
    <w:name w:val="num"/>
    <w:basedOn w:val="35"/>
    <w:qFormat/>
    <w:uiPriority w:val="0"/>
    <w:rPr>
      <w:b/>
      <w:color w:val="FF7800"/>
    </w:rPr>
  </w:style>
  <w:style w:type="character" w:customStyle="1" w:styleId="60">
    <w:name w:val="release-day"/>
    <w:basedOn w:val="35"/>
    <w:qFormat/>
    <w:uiPriority w:val="0"/>
    <w:rPr>
      <w:bdr w:val="single" w:color="BDEBB0" w:sz="6" w:space="0"/>
      <w:shd w:val="clear" w:color="auto" w:fill="F5FFF1"/>
    </w:rPr>
  </w:style>
  <w:style w:type="character" w:customStyle="1" w:styleId="61">
    <w:name w:val="num4"/>
    <w:basedOn w:val="35"/>
    <w:qFormat/>
    <w:uiPriority w:val="0"/>
    <w:rPr>
      <w:b/>
      <w:color w:val="FF7800"/>
    </w:rPr>
  </w:style>
  <w:style w:type="character" w:customStyle="1" w:styleId="62">
    <w:name w:val="answer-title8"/>
    <w:basedOn w:val="35"/>
    <w:qFormat/>
    <w:uiPriority w:val="0"/>
  </w:style>
  <w:style w:type="character" w:customStyle="1" w:styleId="63">
    <w:name w:val="页眉 字符"/>
    <w:basedOn w:val="35"/>
    <w:link w:val="24"/>
    <w:qFormat/>
    <w:uiPriority w:val="0"/>
    <w:rPr>
      <w:sz w:val="18"/>
      <w:szCs w:val="18"/>
    </w:rPr>
  </w:style>
  <w:style w:type="paragraph" w:customStyle="1" w:styleId="64">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5">
    <w:name w:val="标题 4 字符"/>
    <w:basedOn w:val="35"/>
    <w:link w:val="5"/>
    <w:semiHidden/>
    <w:qFormat/>
    <w:uiPriority w:val="0"/>
    <w:rPr>
      <w:rFonts w:asciiTheme="majorHAnsi" w:hAnsiTheme="majorHAnsi" w:eastAsiaTheme="majorEastAsia" w:cstheme="majorBidi"/>
      <w:b/>
      <w:bCs/>
      <w:sz w:val="28"/>
      <w:szCs w:val="28"/>
    </w:rPr>
  </w:style>
  <w:style w:type="paragraph" w:customStyle="1" w:styleId="66">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7">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8">
    <w:name w:val="Table Paragraph"/>
    <w:basedOn w:val="1"/>
    <w:qFormat/>
    <w:uiPriority w:val="1"/>
  </w:style>
  <w:style w:type="paragraph" w:customStyle="1" w:styleId="69">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0">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71">
    <w:name w:val="正文2"/>
    <w:basedOn w:val="1"/>
    <w:qFormat/>
    <w:uiPriority w:val="0"/>
    <w:pPr>
      <w:spacing w:before="156" w:line="360" w:lineRule="auto"/>
      <w:ind w:firstLine="510" w:firstLineChars="200"/>
    </w:pPr>
    <w:rPr>
      <w:sz w:val="24"/>
      <w:szCs w:val="20"/>
    </w:rPr>
  </w:style>
  <w:style w:type="paragraph" w:customStyle="1" w:styleId="72">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73">
    <w:name w:val="font41"/>
    <w:qFormat/>
    <w:uiPriority w:val="0"/>
    <w:rPr>
      <w:rFonts w:hint="eastAsia" w:ascii="等线" w:hAnsi="等线" w:eastAsia="等线" w:cs="等线"/>
      <w:b/>
      <w:color w:val="000000"/>
      <w:sz w:val="22"/>
      <w:szCs w:val="22"/>
      <w:u w:val="none"/>
    </w:rPr>
  </w:style>
  <w:style w:type="character" w:customStyle="1" w:styleId="74">
    <w:name w:val="font61"/>
    <w:qFormat/>
    <w:uiPriority w:val="0"/>
    <w:rPr>
      <w:rFonts w:hint="default" w:ascii="Times New Roman" w:hAnsi="Times New Roman" w:cs="Times New Roman"/>
      <w:b/>
      <w:color w:val="000000"/>
      <w:sz w:val="22"/>
      <w:szCs w:val="22"/>
      <w:u w:val="none"/>
    </w:rPr>
  </w:style>
  <w:style w:type="character" w:customStyle="1" w:styleId="75">
    <w:name w:val="font31"/>
    <w:qFormat/>
    <w:uiPriority w:val="0"/>
    <w:rPr>
      <w:rFonts w:hint="eastAsia" w:ascii="宋体" w:hAnsi="宋体" w:eastAsia="宋体" w:cs="宋体"/>
      <w:color w:val="FF0000"/>
      <w:sz w:val="22"/>
      <w:szCs w:val="22"/>
      <w:u w:val="none"/>
    </w:rPr>
  </w:style>
  <w:style w:type="character" w:customStyle="1" w:styleId="76">
    <w:name w:val="font01"/>
    <w:qFormat/>
    <w:uiPriority w:val="0"/>
    <w:rPr>
      <w:rFonts w:hint="eastAsia" w:ascii="宋体" w:hAnsi="宋体" w:eastAsia="宋体" w:cs="宋体"/>
      <w:color w:val="000000"/>
      <w:sz w:val="18"/>
      <w:szCs w:val="18"/>
      <w:u w:val="none"/>
    </w:rPr>
  </w:style>
  <w:style w:type="character" w:customStyle="1" w:styleId="77">
    <w:name w:val="font11"/>
    <w:qFormat/>
    <w:uiPriority w:val="0"/>
    <w:rPr>
      <w:rFonts w:hint="eastAsia" w:ascii="宋体" w:hAnsi="宋体" w:eastAsia="宋体" w:cs="宋体"/>
      <w:color w:val="000000"/>
      <w:sz w:val="18"/>
      <w:szCs w:val="18"/>
      <w:u w:val="none"/>
    </w:rPr>
  </w:style>
  <w:style w:type="character" w:customStyle="1" w:styleId="78">
    <w:name w:val="font51"/>
    <w:qFormat/>
    <w:uiPriority w:val="0"/>
    <w:rPr>
      <w:rFonts w:hint="default" w:ascii="Times New Roman" w:hAnsi="Times New Roman" w:cs="Times New Roman"/>
      <w:b/>
      <w:color w:val="000000"/>
      <w:sz w:val="21"/>
      <w:szCs w:val="21"/>
      <w:u w:val="none"/>
    </w:rPr>
  </w:style>
  <w:style w:type="character" w:customStyle="1" w:styleId="79">
    <w:name w:val="font21"/>
    <w:qFormat/>
    <w:uiPriority w:val="0"/>
    <w:rPr>
      <w:rFonts w:hint="eastAsia" w:ascii="宋体" w:hAnsi="宋体" w:eastAsia="宋体" w:cs="宋体"/>
      <w:b/>
      <w:color w:val="000000"/>
      <w:sz w:val="21"/>
      <w:szCs w:val="21"/>
      <w:u w:val="none"/>
    </w:rPr>
  </w:style>
  <w:style w:type="paragraph" w:customStyle="1" w:styleId="80">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81">
    <w:name w:val="p12"/>
    <w:qFormat/>
    <w:uiPriority w:val="0"/>
  </w:style>
  <w:style w:type="paragraph" w:customStyle="1" w:styleId="82">
    <w:name w:val="_Style 2"/>
    <w:basedOn w:val="1"/>
    <w:qFormat/>
    <w:uiPriority w:val="0"/>
    <w:pPr>
      <w:ind w:firstLine="420" w:firstLineChars="200"/>
    </w:pPr>
  </w:style>
  <w:style w:type="paragraph" w:customStyle="1" w:styleId="83">
    <w:name w:val="首行缩进"/>
    <w:basedOn w:val="1"/>
    <w:next w:val="11"/>
    <w:qFormat/>
    <w:uiPriority w:val="99"/>
    <w:pPr>
      <w:spacing w:line="360" w:lineRule="auto"/>
      <w:ind w:firstLine="480" w:firstLineChars="200"/>
    </w:pPr>
    <w:rPr>
      <w:sz w:val="24"/>
      <w:lang w:val="zh-CN"/>
    </w:rPr>
  </w:style>
  <w:style w:type="character" w:customStyle="1" w:styleId="84">
    <w:name w:val="批注框文本 字符"/>
    <w:basedOn w:val="35"/>
    <w:link w:val="22"/>
    <w:qFormat/>
    <w:uiPriority w:val="0"/>
    <w:rPr>
      <w:sz w:val="18"/>
      <w:szCs w:val="18"/>
    </w:rPr>
  </w:style>
  <w:style w:type="paragraph" w:customStyle="1" w:styleId="85">
    <w:name w:val="修订1"/>
    <w:hidden/>
    <w:semiHidden/>
    <w:qFormat/>
    <w:uiPriority w:val="99"/>
    <w:rPr>
      <w:rFonts w:ascii="Times New Roman" w:hAnsi="Times New Roman" w:eastAsia="宋体" w:cs="Times New Roman"/>
      <w:sz w:val="21"/>
      <w:szCs w:val="22"/>
      <w:lang w:val="en-US" w:eastAsia="zh-CN" w:bidi="ar-SA"/>
    </w:rPr>
  </w:style>
  <w:style w:type="paragraph" w:customStyle="1" w:styleId="86">
    <w:name w:val="保留正文"/>
    <w:basedOn w:val="1"/>
    <w:qFormat/>
    <w:uiPriority w:val="0"/>
    <w:pPr>
      <w:keepNext/>
      <w:autoSpaceDE w:val="0"/>
      <w:adjustRightInd w:val="0"/>
      <w:spacing w:after="160" w:line="480" w:lineRule="auto"/>
      <w:ind w:firstLine="200" w:firstLineChars="200"/>
      <w:textAlignment w:val="baseline"/>
    </w:pPr>
    <w:rPr>
      <w:rFonts w:hint="eastAsia" w:ascii="宋体"/>
      <w:sz w:val="24"/>
      <w:szCs w:val="24"/>
    </w:rPr>
  </w:style>
  <w:style w:type="paragraph" w:customStyle="1" w:styleId="87">
    <w:name w:val="表格"/>
    <w:basedOn w:val="1"/>
    <w:qFormat/>
    <w:uiPriority w:val="0"/>
    <w:pPr>
      <w:autoSpaceDE w:val="0"/>
      <w:adjustRightInd w:val="0"/>
      <w:snapToGrid w:val="0"/>
      <w:spacing w:line="360" w:lineRule="auto"/>
      <w:ind w:firstLine="200" w:firstLineChars="200"/>
      <w:jc w:val="center"/>
    </w:pPr>
    <w:rPr>
      <w:kern w:val="2"/>
      <w:szCs w:val="21"/>
    </w:rPr>
  </w:style>
  <w:style w:type="paragraph" w:customStyle="1" w:styleId="88">
    <w:name w:val="标题 3 1.1.1"/>
    <w:qFormat/>
    <w:uiPriority w:val="0"/>
    <w:pPr>
      <w:keepNext/>
      <w:widowControl w:val="0"/>
      <w:autoSpaceDE w:val="0"/>
      <w:spacing w:line="360" w:lineRule="auto"/>
      <w:ind w:left="576"/>
      <w:jc w:val="both"/>
      <w:outlineLvl w:val="2"/>
    </w:pPr>
    <w:rPr>
      <w:rFonts w:ascii="Times New Roman" w:hAnsi="Times New Roman" w:eastAsia="黑体" w:cs="Times New Roman"/>
      <w:b/>
      <w:bCs/>
      <w:kern w:val="2"/>
      <w:sz w:val="28"/>
      <w:szCs w:val="28"/>
      <w:lang w:val="en-US" w:eastAsia="zh-CN" w:bidi="ar-SA"/>
    </w:rPr>
  </w:style>
  <w:style w:type="character" w:customStyle="1" w:styleId="89">
    <w:name w:val="15"/>
    <w:basedOn w:val="35"/>
    <w:qFormat/>
    <w:uiPriority w:val="0"/>
    <w:rPr>
      <w:rFonts w:hint="default" w:ascii="Times New Roman" w:hAnsi="Times New Roman" w:eastAsia="楷体_GB2312" w:cs="Times New Roman"/>
      <w:b/>
      <w:kern w:val="2"/>
      <w:sz w:val="28"/>
      <w:szCs w:val="28"/>
    </w:rPr>
  </w:style>
  <w:style w:type="paragraph" w:customStyle="1" w:styleId="90">
    <w:name w:val="签字"/>
    <w:basedOn w:val="1"/>
    <w:qFormat/>
    <w:uiPriority w:val="0"/>
    <w:pPr>
      <w:autoSpaceDE w:val="0"/>
      <w:adjustRightInd w:val="0"/>
      <w:snapToGrid w:val="0"/>
      <w:spacing w:line="300" w:lineRule="auto"/>
      <w:ind w:left="4800" w:leftChars="2000"/>
    </w:pPr>
    <w:rPr>
      <w:rFonts w:ascii="Calibri" w:hAnsi="Calibri"/>
      <w:kern w:val="2"/>
      <w:sz w:val="24"/>
      <w:szCs w:val="24"/>
    </w:rPr>
  </w:style>
  <w:style w:type="paragraph" w:customStyle="1" w:styleId="91">
    <w:name w:val="0Y--正文"/>
    <w:basedOn w:val="1"/>
    <w:qFormat/>
    <w:uiPriority w:val="0"/>
    <w:pPr>
      <w:spacing w:line="360" w:lineRule="auto"/>
      <w:ind w:firstLine="200" w:firstLineChars="200"/>
    </w:pPr>
    <w:rPr>
      <w:rFonts w:eastAsiaTheme="minorEastAsia" w:cstheme="minorBidi"/>
      <w:color w:val="000000" w:themeColor="text1"/>
      <w:kern w:val="2"/>
      <w:sz w:val="28"/>
      <w14:textFill>
        <w14:solidFill>
          <w14:schemeClr w14:val="tx1"/>
        </w14:solidFill>
      </w14:textFill>
    </w:rPr>
  </w:style>
  <w:style w:type="table" w:customStyle="1" w:styleId="92">
    <w:name w:val="Table Normal"/>
    <w:semiHidden/>
    <w:unhideWhenUsed/>
    <w:qFormat/>
    <w:uiPriority w:val="0"/>
    <w:tblPr>
      <w:tblCellMar>
        <w:top w:w="0" w:type="dxa"/>
        <w:left w:w="0" w:type="dxa"/>
        <w:bottom w:w="0" w:type="dxa"/>
        <w:right w:w="0" w:type="dxa"/>
      </w:tblCellMar>
    </w:tblPr>
  </w:style>
  <w:style w:type="paragraph" w:customStyle="1" w:styleId="93">
    <w:name w:val="*1级*"/>
    <w:next w:val="1"/>
    <w:link w:val="95"/>
    <w:qFormat/>
    <w:uiPriority w:val="0"/>
    <w:pPr>
      <w:numPr>
        <w:ilvl w:val="0"/>
        <w:numId w:val="2"/>
      </w:numPr>
      <w:snapToGrid w:val="0"/>
      <w:spacing w:line="360" w:lineRule="auto"/>
      <w:outlineLvl w:val="0"/>
    </w:pPr>
    <w:rPr>
      <w:rFonts w:ascii="Times New Roman" w:hAnsi="Times New Roman" w:eastAsia="宋体" w:cs="Times New Roman"/>
      <w:b/>
      <w:kern w:val="2"/>
      <w:sz w:val="24"/>
      <w:szCs w:val="32"/>
      <w:lang w:val="en-US" w:eastAsia="zh-CN" w:bidi="ar-SA"/>
    </w:rPr>
  </w:style>
  <w:style w:type="character" w:customStyle="1" w:styleId="94">
    <w:name w:val="批注文字 字符"/>
    <w:basedOn w:val="35"/>
    <w:link w:val="10"/>
    <w:qFormat/>
    <w:uiPriority w:val="0"/>
    <w:rPr>
      <w:sz w:val="21"/>
      <w:szCs w:val="22"/>
    </w:rPr>
  </w:style>
  <w:style w:type="character" w:customStyle="1" w:styleId="95">
    <w:name w:val="*1级* Char"/>
    <w:link w:val="93"/>
    <w:qFormat/>
    <w:uiPriority w:val="0"/>
    <w:rPr>
      <w:rFonts w:eastAsia="宋体"/>
      <w:b/>
      <w:kern w:val="2"/>
      <w:sz w:val="24"/>
      <w:szCs w:val="32"/>
    </w:rPr>
  </w:style>
  <w:style w:type="paragraph" w:customStyle="1" w:styleId="96">
    <w:name w:val="*2级*"/>
    <w:next w:val="1"/>
    <w:link w:val="97"/>
    <w:qFormat/>
    <w:uiPriority w:val="0"/>
    <w:pPr>
      <w:numPr>
        <w:ilvl w:val="1"/>
        <w:numId w:val="2"/>
      </w:numPr>
      <w:snapToGrid w:val="0"/>
      <w:spacing w:line="360" w:lineRule="auto"/>
      <w:jc w:val="both"/>
      <w:outlineLvl w:val="1"/>
    </w:pPr>
    <w:rPr>
      <w:rFonts w:ascii="Times New Roman" w:hAnsi="Times New Roman" w:eastAsia="宋体" w:cs="Times New Roman"/>
      <w:b/>
      <w:kern w:val="2"/>
      <w:sz w:val="24"/>
      <w:szCs w:val="30"/>
      <w:lang w:val="en-US" w:eastAsia="zh-CN" w:bidi="ar-SA"/>
    </w:rPr>
  </w:style>
  <w:style w:type="character" w:customStyle="1" w:styleId="97">
    <w:name w:val="*2级* Char"/>
    <w:link w:val="96"/>
    <w:qFormat/>
    <w:uiPriority w:val="0"/>
    <w:rPr>
      <w:rFonts w:eastAsia="宋体"/>
      <w:b/>
      <w:kern w:val="2"/>
      <w:sz w:val="24"/>
      <w:szCs w:val="30"/>
    </w:rPr>
  </w:style>
  <w:style w:type="paragraph" w:customStyle="1" w:styleId="98">
    <w:name w:val="*3级*"/>
    <w:next w:val="1"/>
    <w:link w:val="99"/>
    <w:qFormat/>
    <w:uiPriority w:val="0"/>
    <w:pPr>
      <w:numPr>
        <w:ilvl w:val="2"/>
        <w:numId w:val="2"/>
      </w:numPr>
      <w:snapToGrid w:val="0"/>
      <w:spacing w:line="360" w:lineRule="auto"/>
      <w:jc w:val="both"/>
      <w:outlineLvl w:val="2"/>
    </w:pPr>
    <w:rPr>
      <w:rFonts w:ascii="Times New Roman" w:hAnsi="Times New Roman" w:eastAsia="宋体" w:cs="Times New Roman"/>
      <w:b/>
      <w:kern w:val="2"/>
      <w:sz w:val="24"/>
      <w:szCs w:val="28"/>
      <w:lang w:val="en-US" w:eastAsia="zh-CN" w:bidi="ar-SA"/>
    </w:rPr>
  </w:style>
  <w:style w:type="character" w:customStyle="1" w:styleId="99">
    <w:name w:val="*3级* Char"/>
    <w:link w:val="98"/>
    <w:qFormat/>
    <w:uiPriority w:val="0"/>
    <w:rPr>
      <w:b/>
      <w:kern w:val="2"/>
      <w:sz w:val="24"/>
      <w:szCs w:val="28"/>
    </w:rPr>
  </w:style>
  <w:style w:type="paragraph" w:customStyle="1" w:styleId="100">
    <w:name w:val="*4级*"/>
    <w:next w:val="1"/>
    <w:link w:val="101"/>
    <w:qFormat/>
    <w:uiPriority w:val="0"/>
    <w:pPr>
      <w:numPr>
        <w:ilvl w:val="3"/>
        <w:numId w:val="2"/>
      </w:numPr>
      <w:snapToGrid w:val="0"/>
      <w:spacing w:line="360" w:lineRule="auto"/>
      <w:jc w:val="both"/>
      <w:outlineLvl w:val="3"/>
    </w:pPr>
    <w:rPr>
      <w:rFonts w:ascii="Times New Roman" w:hAnsi="Times New Roman" w:eastAsia="宋体" w:cs="Times New Roman"/>
      <w:b/>
      <w:kern w:val="2"/>
      <w:sz w:val="24"/>
      <w:szCs w:val="22"/>
      <w:lang w:val="en-US" w:eastAsia="zh-CN" w:bidi="ar-SA"/>
    </w:rPr>
  </w:style>
  <w:style w:type="character" w:customStyle="1" w:styleId="101">
    <w:name w:val="*4级* Char"/>
    <w:link w:val="100"/>
    <w:qFormat/>
    <w:uiPriority w:val="0"/>
    <w:rPr>
      <w:b/>
      <w:kern w:val="2"/>
      <w:sz w:val="24"/>
      <w:szCs w:val="22"/>
    </w:rPr>
  </w:style>
  <w:style w:type="paragraph" w:customStyle="1" w:styleId="102">
    <w:name w:val="*5级*"/>
    <w:next w:val="1"/>
    <w:link w:val="103"/>
    <w:qFormat/>
    <w:uiPriority w:val="0"/>
    <w:pPr>
      <w:numPr>
        <w:ilvl w:val="4"/>
        <w:numId w:val="2"/>
      </w:numPr>
      <w:snapToGrid w:val="0"/>
      <w:spacing w:line="360" w:lineRule="auto"/>
      <w:outlineLvl w:val="4"/>
    </w:pPr>
    <w:rPr>
      <w:rFonts w:ascii="Times New Roman" w:hAnsi="Times New Roman" w:eastAsia="宋体" w:cs="Times New Roman"/>
      <w:b/>
      <w:kern w:val="2"/>
      <w:sz w:val="21"/>
      <w:szCs w:val="22"/>
      <w:lang w:val="en-US" w:eastAsia="zh-CN" w:bidi="ar-SA"/>
    </w:rPr>
  </w:style>
  <w:style w:type="character" w:customStyle="1" w:styleId="103">
    <w:name w:val="*5级* Char"/>
    <w:link w:val="102"/>
    <w:qFormat/>
    <w:uiPriority w:val="0"/>
    <w:rPr>
      <w:b/>
      <w:kern w:val="2"/>
      <w:sz w:val="21"/>
      <w:szCs w:val="22"/>
    </w:rPr>
  </w:style>
  <w:style w:type="paragraph" w:customStyle="1" w:styleId="104">
    <w:name w:val="*6级（n）*"/>
    <w:next w:val="1"/>
    <w:link w:val="105"/>
    <w:qFormat/>
    <w:uiPriority w:val="0"/>
    <w:pPr>
      <w:numPr>
        <w:ilvl w:val="5"/>
        <w:numId w:val="2"/>
      </w:numPr>
      <w:spacing w:line="360" w:lineRule="auto"/>
      <w:outlineLvl w:val="5"/>
    </w:pPr>
    <w:rPr>
      <w:rFonts w:ascii="Times New Roman" w:hAnsi="Times New Roman" w:eastAsia="宋体" w:cs="Times New Roman"/>
      <w:b/>
      <w:kern w:val="2"/>
      <w:sz w:val="24"/>
      <w:szCs w:val="22"/>
      <w:lang w:val="en-US" w:eastAsia="zh-CN" w:bidi="ar-SA"/>
    </w:rPr>
  </w:style>
  <w:style w:type="character" w:customStyle="1" w:styleId="105">
    <w:name w:val="*6级（n）* Char"/>
    <w:link w:val="104"/>
    <w:qFormat/>
    <w:uiPriority w:val="0"/>
    <w:rPr>
      <w:b/>
      <w:kern w:val="2"/>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235</Pages>
  <Words>170710</Words>
  <Characters>195201</Characters>
  <Lines>352</Lines>
  <Paragraphs>425</Paragraphs>
  <TotalTime>22</TotalTime>
  <ScaleCrop>false</ScaleCrop>
  <LinksUpToDate>false</LinksUpToDate>
  <CharactersWithSpaces>202803</CharactersWithSpaces>
  <Application>WPS Office_12.1.0.15374_F1E327BC-269C-435d-A152-05C5408002CA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2023-07-14T07:29:00Z</dcterms:created>
  <dc:creator>xbany</dc:creator>
  <cp:lastModifiedBy>追梦</cp:lastModifiedBy>
  <cp:lastPrinted>2023-08-31T06:06:00Z</cp:lastPrinted>
  <dcterms:modified xsi:type="dcterms:W3CDTF">2023-09-18T10:05:18Z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8A40EAC3308944C4B23F7EE73A0104F2_13</vt:lpwstr>
  </property>
</Properties>
</file>