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6DDA7">
      <w:pPr>
        <w:pStyle w:val="7"/>
        <w:spacing w:line="900" w:lineRule="exact"/>
        <w:jc w:val="center"/>
        <w:rPr>
          <w:rFonts w:ascii="黑体" w:hAnsi="华文中宋" w:eastAsia="黑体"/>
          <w:b/>
          <w:color w:val="000000" w:themeColor="text1"/>
          <w:sz w:val="48"/>
          <w:szCs w:val="48"/>
          <w:highlight w:val="none"/>
          <w14:textFill>
            <w14:solidFill>
              <w14:schemeClr w14:val="tx1"/>
            </w14:solidFill>
          </w14:textFill>
        </w:rPr>
      </w:pPr>
      <w:bookmarkStart w:id="0" w:name="OLE_LINK40"/>
      <w:bookmarkStart w:id="1" w:name="EBb2b7aee1a55041caba5ee1024560b77f"/>
      <w:r>
        <w:rPr>
          <w:rFonts w:hint="eastAsia" w:ascii="黑体" w:hAnsi="华文中宋" w:eastAsia="黑体"/>
          <w:b/>
          <w:color w:val="000000" w:themeColor="text1"/>
          <w:sz w:val="48"/>
          <w:szCs w:val="48"/>
          <w:highlight w:val="none"/>
          <w14:textFill>
            <w14:solidFill>
              <w14:schemeClr w14:val="tx1"/>
            </w14:solidFill>
          </w14:textFill>
        </w:rPr>
        <w:t>柯桥至诸暨高速公路工程</w:t>
      </w:r>
      <w:bookmarkStart w:id="2" w:name="OLE_LINK56"/>
      <w:bookmarkStart w:id="3" w:name="OLE_LINK55"/>
      <w:r>
        <w:rPr>
          <w:rFonts w:hint="eastAsia" w:ascii="黑体" w:hAnsi="华文中宋" w:eastAsia="黑体"/>
          <w:b/>
          <w:color w:val="000000" w:themeColor="text1"/>
          <w:sz w:val="48"/>
          <w:szCs w:val="48"/>
          <w:highlight w:val="none"/>
          <w14:textFill>
            <w14:solidFill>
              <w14:schemeClr w14:val="tx1"/>
            </w14:solidFill>
          </w14:textFill>
        </w:rPr>
        <w:t>涉03省道综合管线迁改走廊复绿工程第FL01标段</w:t>
      </w:r>
      <w:bookmarkEnd w:id="2"/>
      <w:bookmarkEnd w:id="3"/>
      <w:r>
        <w:rPr>
          <w:rFonts w:hint="eastAsia" w:ascii="黑体" w:hAnsi="华文中宋" w:eastAsia="黑体"/>
          <w:b/>
          <w:color w:val="000000" w:themeColor="text1"/>
          <w:sz w:val="48"/>
          <w:szCs w:val="48"/>
          <w:highlight w:val="none"/>
          <w14:textFill>
            <w14:solidFill>
              <w14:schemeClr w14:val="tx1"/>
            </w14:solidFill>
          </w14:textFill>
        </w:rPr>
        <w:t>施工招标</w:t>
      </w:r>
    </w:p>
    <w:p w14:paraId="26807E88">
      <w:pPr>
        <w:pStyle w:val="7"/>
        <w:jc w:val="center"/>
        <w:rPr>
          <w:rFonts w:ascii="宋体" w:hAnsi="宋体" w:cs="宋体"/>
          <w:b/>
          <w:bCs/>
          <w:color w:val="000000" w:themeColor="text1"/>
          <w:sz w:val="52"/>
          <w:szCs w:val="52"/>
          <w:highlight w:val="none"/>
          <w14:textFill>
            <w14:solidFill>
              <w14:schemeClr w14:val="tx1"/>
            </w14:solidFill>
          </w14:textFill>
        </w:rPr>
      </w:pPr>
    </w:p>
    <w:p w14:paraId="56A674F0">
      <w:pPr>
        <w:pStyle w:val="7"/>
        <w:rPr>
          <w:rFonts w:ascii="宋体" w:hAnsi="宋体" w:cs="宋体"/>
          <w:b/>
          <w:bCs/>
          <w:color w:val="000000" w:themeColor="text1"/>
          <w:sz w:val="28"/>
          <w:szCs w:val="28"/>
          <w:highlight w:val="none"/>
          <w14:textFill>
            <w14:solidFill>
              <w14:schemeClr w14:val="tx1"/>
            </w14:solidFill>
          </w14:textFill>
        </w:rPr>
      </w:pPr>
    </w:p>
    <w:p w14:paraId="38C0B647">
      <w:pPr>
        <w:pStyle w:val="7"/>
        <w:rPr>
          <w:rFonts w:ascii="宋体" w:hAnsi="宋体" w:cs="宋体"/>
          <w:b/>
          <w:bCs/>
          <w:color w:val="000000" w:themeColor="text1"/>
          <w:sz w:val="28"/>
          <w:szCs w:val="28"/>
          <w:highlight w:val="none"/>
          <w14:textFill>
            <w14:solidFill>
              <w14:schemeClr w14:val="tx1"/>
            </w14:solidFill>
          </w14:textFill>
        </w:rPr>
      </w:pPr>
    </w:p>
    <w:p w14:paraId="73F1A447">
      <w:pPr>
        <w:pStyle w:val="7"/>
        <w:rPr>
          <w:rFonts w:ascii="宋体" w:hAnsi="宋体" w:cs="宋体"/>
          <w:b/>
          <w:bCs/>
          <w:color w:val="000000" w:themeColor="text1"/>
          <w:sz w:val="28"/>
          <w:szCs w:val="28"/>
          <w:highlight w:val="none"/>
          <w14:textFill>
            <w14:solidFill>
              <w14:schemeClr w14:val="tx1"/>
            </w14:solidFill>
          </w14:textFill>
        </w:rPr>
      </w:pPr>
    </w:p>
    <w:p w14:paraId="66FB9982">
      <w:pPr>
        <w:pStyle w:val="7"/>
        <w:rPr>
          <w:rFonts w:ascii="宋体" w:hAnsi="宋体" w:cs="宋体"/>
          <w:b/>
          <w:bCs/>
          <w:color w:val="000000" w:themeColor="text1"/>
          <w:sz w:val="28"/>
          <w:szCs w:val="28"/>
          <w:highlight w:val="none"/>
          <w14:textFill>
            <w14:solidFill>
              <w14:schemeClr w14:val="tx1"/>
            </w14:solidFill>
          </w14:textFill>
        </w:rPr>
      </w:pPr>
    </w:p>
    <w:p w14:paraId="4A0B46CA">
      <w:pPr>
        <w:pStyle w:val="7"/>
        <w:jc w:val="center"/>
        <w:rPr>
          <w:rFonts w:ascii="宋体" w:hAnsi="宋体" w:cs="宋体"/>
          <w:b/>
          <w:bCs/>
          <w:color w:val="000000" w:themeColor="text1"/>
          <w:sz w:val="96"/>
          <w:szCs w:val="96"/>
          <w:highlight w:val="none"/>
          <w14:textFill>
            <w14:solidFill>
              <w14:schemeClr w14:val="tx1"/>
            </w14:solidFill>
          </w14:textFill>
        </w:rPr>
      </w:pPr>
      <w:r>
        <w:rPr>
          <w:rFonts w:hint="eastAsia" w:ascii="隶书" w:hAnsi="隶书" w:eastAsia="隶书" w:cs="隶书"/>
          <w:color w:val="000000" w:themeColor="text1"/>
          <w:sz w:val="96"/>
          <w:szCs w:val="96"/>
          <w:highlight w:val="none"/>
          <w14:textFill>
            <w14:solidFill>
              <w14:schemeClr w14:val="tx1"/>
            </w14:solidFill>
          </w14:textFill>
        </w:rPr>
        <w:t>招标文件</w:t>
      </w:r>
    </w:p>
    <w:p w14:paraId="30B7143F">
      <w:pPr>
        <w:pStyle w:val="7"/>
        <w:jc w:val="center"/>
        <w:rPr>
          <w:rFonts w:ascii="宋体" w:hAnsi="宋体" w:cs="宋体"/>
          <w:b/>
          <w:bCs/>
          <w:color w:val="000000" w:themeColor="text1"/>
          <w:sz w:val="32"/>
          <w:szCs w:val="32"/>
          <w:highlight w:val="none"/>
          <w14:textFill>
            <w14:solidFill>
              <w14:schemeClr w14:val="tx1"/>
            </w14:solidFill>
          </w14:textFill>
        </w:rPr>
      </w:pPr>
    </w:p>
    <w:p w14:paraId="05FBDB16">
      <w:pPr>
        <w:pStyle w:val="7"/>
        <w:jc w:val="center"/>
        <w:rPr>
          <w:rFonts w:ascii="宋体" w:hAnsi="宋体" w:cs="宋体"/>
          <w:b/>
          <w:bCs/>
          <w:color w:val="000000" w:themeColor="text1"/>
          <w:sz w:val="32"/>
          <w:szCs w:val="32"/>
          <w:highlight w:val="none"/>
          <w14:textFill>
            <w14:solidFill>
              <w14:schemeClr w14:val="tx1"/>
            </w14:solidFill>
          </w14:textFill>
        </w:rPr>
      </w:pPr>
    </w:p>
    <w:p w14:paraId="3D0F2C59">
      <w:pPr>
        <w:pStyle w:val="7"/>
        <w:rPr>
          <w:rFonts w:ascii="宋体" w:hAnsi="宋体" w:cs="宋体"/>
          <w:color w:val="000000" w:themeColor="text1"/>
          <w:szCs w:val="21"/>
          <w:highlight w:val="none"/>
          <w14:textFill>
            <w14:solidFill>
              <w14:schemeClr w14:val="tx1"/>
            </w14:solidFill>
          </w14:textFill>
        </w:rPr>
      </w:pPr>
    </w:p>
    <w:p w14:paraId="19D15F4D">
      <w:pPr>
        <w:pStyle w:val="7"/>
        <w:rPr>
          <w:rFonts w:ascii="宋体" w:hAnsi="宋体" w:cs="宋体"/>
          <w:color w:val="000000" w:themeColor="text1"/>
          <w:highlight w:val="none"/>
          <w14:textFill>
            <w14:solidFill>
              <w14:schemeClr w14:val="tx1"/>
            </w14:solidFill>
          </w14:textFill>
        </w:rPr>
      </w:pPr>
    </w:p>
    <w:p w14:paraId="32E791C4">
      <w:pPr>
        <w:pStyle w:val="7"/>
        <w:rPr>
          <w:rFonts w:ascii="宋体" w:hAnsi="宋体" w:cs="宋体"/>
          <w:color w:val="000000" w:themeColor="text1"/>
          <w:highlight w:val="none"/>
          <w14:textFill>
            <w14:solidFill>
              <w14:schemeClr w14:val="tx1"/>
            </w14:solidFill>
          </w14:textFill>
        </w:rPr>
      </w:pPr>
    </w:p>
    <w:p w14:paraId="2DFE2952">
      <w:pPr>
        <w:pStyle w:val="34"/>
        <w:ind w:firstLine="420"/>
        <w:rPr>
          <w:rFonts w:hAnsi="宋体" w:cs="宋体"/>
          <w:color w:val="000000" w:themeColor="text1"/>
          <w:highlight w:val="none"/>
          <w14:textFill>
            <w14:solidFill>
              <w14:schemeClr w14:val="tx1"/>
            </w14:solidFill>
          </w14:textFill>
        </w:rPr>
      </w:pPr>
    </w:p>
    <w:p w14:paraId="64295532">
      <w:pPr>
        <w:rPr>
          <w:rFonts w:ascii="宋体" w:hAnsi="宋体" w:cs="宋体"/>
          <w:color w:val="000000" w:themeColor="text1"/>
          <w:highlight w:val="none"/>
          <w14:textFill>
            <w14:solidFill>
              <w14:schemeClr w14:val="tx1"/>
            </w14:solidFill>
          </w14:textFill>
        </w:rPr>
      </w:pPr>
    </w:p>
    <w:p w14:paraId="1D4D9649">
      <w:pPr>
        <w:rPr>
          <w:rFonts w:ascii="宋体" w:hAnsi="宋体" w:cs="宋体"/>
          <w:color w:val="000000" w:themeColor="text1"/>
          <w:highlight w:val="none"/>
          <w14:textFill>
            <w14:solidFill>
              <w14:schemeClr w14:val="tx1"/>
            </w14:solidFill>
          </w14:textFill>
        </w:rPr>
      </w:pPr>
    </w:p>
    <w:p w14:paraId="3598E3B4">
      <w:pPr>
        <w:rPr>
          <w:rFonts w:ascii="宋体" w:hAnsi="宋体" w:cs="宋体"/>
          <w:color w:val="000000" w:themeColor="text1"/>
          <w:highlight w:val="none"/>
          <w14:textFill>
            <w14:solidFill>
              <w14:schemeClr w14:val="tx1"/>
            </w14:solidFill>
          </w14:textFill>
        </w:rPr>
      </w:pPr>
    </w:p>
    <w:p w14:paraId="68F8F7CC">
      <w:pPr>
        <w:rPr>
          <w:rFonts w:ascii="宋体" w:hAnsi="宋体" w:cs="宋体"/>
          <w:color w:val="000000" w:themeColor="text1"/>
          <w:highlight w:val="none"/>
          <w14:textFill>
            <w14:solidFill>
              <w14:schemeClr w14:val="tx1"/>
            </w14:solidFill>
          </w14:textFill>
        </w:rPr>
      </w:pPr>
    </w:p>
    <w:p w14:paraId="15EC9224">
      <w:pPr>
        <w:rPr>
          <w:rFonts w:ascii="宋体" w:hAnsi="宋体" w:cs="宋体"/>
          <w:color w:val="000000" w:themeColor="text1"/>
          <w:highlight w:val="none"/>
          <w14:textFill>
            <w14:solidFill>
              <w14:schemeClr w14:val="tx1"/>
            </w14:solidFill>
          </w14:textFill>
        </w:rPr>
      </w:pPr>
    </w:p>
    <w:p w14:paraId="066519A5">
      <w:pPr>
        <w:rPr>
          <w:rFonts w:ascii="宋体" w:hAnsi="宋体" w:cs="宋体"/>
          <w:color w:val="000000" w:themeColor="text1"/>
          <w:highlight w:val="none"/>
          <w14:textFill>
            <w14:solidFill>
              <w14:schemeClr w14:val="tx1"/>
            </w14:solidFill>
          </w14:textFill>
        </w:rPr>
      </w:pPr>
    </w:p>
    <w:p w14:paraId="573E3F2D">
      <w:pPr>
        <w:rPr>
          <w:rFonts w:ascii="宋体" w:hAnsi="宋体" w:cs="宋体"/>
          <w:color w:val="000000" w:themeColor="text1"/>
          <w:highlight w:val="none"/>
          <w14:textFill>
            <w14:solidFill>
              <w14:schemeClr w14:val="tx1"/>
            </w14:solidFill>
          </w14:textFill>
        </w:rPr>
      </w:pPr>
    </w:p>
    <w:p w14:paraId="0AC830A2">
      <w:pPr>
        <w:pStyle w:val="7"/>
        <w:rPr>
          <w:rFonts w:ascii="宋体" w:hAnsi="宋体" w:cs="宋体"/>
          <w:color w:val="000000" w:themeColor="text1"/>
          <w:highlight w:val="none"/>
          <w14:textFill>
            <w14:solidFill>
              <w14:schemeClr w14:val="tx1"/>
            </w14:solidFill>
          </w14:textFill>
        </w:rPr>
      </w:pPr>
    </w:p>
    <w:p w14:paraId="6F82062F">
      <w:pPr>
        <w:pStyle w:val="7"/>
        <w:rPr>
          <w:rFonts w:ascii="宋体" w:hAnsi="宋体" w:cs="宋体"/>
          <w:color w:val="000000" w:themeColor="text1"/>
          <w:highlight w:val="none"/>
          <w14:textFill>
            <w14:solidFill>
              <w14:schemeClr w14:val="tx1"/>
            </w14:solidFill>
          </w14:textFill>
        </w:rPr>
      </w:pPr>
    </w:p>
    <w:p w14:paraId="6F0F40DE">
      <w:pPr>
        <w:pStyle w:val="25"/>
        <w:framePr w:wrap="around"/>
        <w:spacing w:before="120" w:after="120"/>
        <w:ind w:firstLine="210"/>
        <w:rPr>
          <w:color w:val="000000" w:themeColor="text1"/>
          <w:highlight w:val="none"/>
          <w14:textFill>
            <w14:solidFill>
              <w14:schemeClr w14:val="tx1"/>
            </w14:solidFill>
          </w14:textFill>
        </w:rPr>
      </w:pPr>
    </w:p>
    <w:p w14:paraId="7488F80F">
      <w:pPr>
        <w:pStyle w:val="7"/>
        <w:rPr>
          <w:rFonts w:ascii="宋体" w:hAnsi="宋体" w:cs="宋体"/>
          <w:color w:val="000000" w:themeColor="text1"/>
          <w:highlight w:val="none"/>
          <w14:textFill>
            <w14:solidFill>
              <w14:schemeClr w14:val="tx1"/>
            </w14:solidFill>
          </w14:textFill>
        </w:rPr>
      </w:pPr>
    </w:p>
    <w:tbl>
      <w:tblPr>
        <w:tblStyle w:val="28"/>
        <w:tblW w:w="8808" w:type="dxa"/>
        <w:jc w:val="center"/>
        <w:tblLayout w:type="fixed"/>
        <w:tblCellMar>
          <w:top w:w="0" w:type="dxa"/>
          <w:left w:w="28" w:type="dxa"/>
          <w:bottom w:w="0" w:type="dxa"/>
          <w:right w:w="28" w:type="dxa"/>
        </w:tblCellMar>
      </w:tblPr>
      <w:tblGrid>
        <w:gridCol w:w="2508"/>
        <w:gridCol w:w="6300"/>
      </w:tblGrid>
      <w:tr w14:paraId="4B1C9504">
        <w:tblPrEx>
          <w:tblCellMar>
            <w:top w:w="0" w:type="dxa"/>
            <w:left w:w="28" w:type="dxa"/>
            <w:bottom w:w="0" w:type="dxa"/>
            <w:right w:w="28" w:type="dxa"/>
          </w:tblCellMar>
        </w:tblPrEx>
        <w:trPr>
          <w:trHeight w:val="786" w:hRule="atLeast"/>
          <w:jc w:val="center"/>
        </w:trPr>
        <w:tc>
          <w:tcPr>
            <w:tcW w:w="2508" w:type="dxa"/>
            <w:tcBorders>
              <w:top w:val="nil"/>
              <w:left w:val="nil"/>
              <w:bottom w:val="nil"/>
              <w:right w:val="nil"/>
            </w:tcBorders>
            <w:vAlign w:val="center"/>
          </w:tcPr>
          <w:p w14:paraId="02422A4D">
            <w:pPr>
              <w:pStyle w:val="7"/>
              <w:spacing w:line="360" w:lineRule="auto"/>
              <w:jc w:val="distribute"/>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招</w:t>
            </w:r>
            <w:r>
              <w:rPr>
                <w:rFonts w:ascii="宋体" w:hAnsi="宋体" w:cs="宋体"/>
                <w:b/>
                <w:bCs/>
                <w:color w:val="000000" w:themeColor="text1"/>
                <w:sz w:val="36"/>
                <w:szCs w:val="36"/>
                <w:highlight w:val="none"/>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标</w:t>
            </w:r>
            <w:r>
              <w:rPr>
                <w:rFonts w:ascii="宋体" w:hAnsi="宋体" w:cs="宋体"/>
                <w:b/>
                <w:bCs/>
                <w:color w:val="000000" w:themeColor="text1"/>
                <w:sz w:val="36"/>
                <w:szCs w:val="36"/>
                <w:highlight w:val="none"/>
                <w14:textFill>
                  <w14:solidFill>
                    <w14:schemeClr w14:val="tx1"/>
                  </w14:solidFill>
                </w14:textFill>
              </w:rPr>
              <w:t xml:space="preserve"> </w:t>
            </w:r>
            <w:r>
              <w:rPr>
                <w:rFonts w:hint="eastAsia" w:ascii="宋体" w:hAnsi="宋体" w:cs="宋体"/>
                <w:b/>
                <w:bCs/>
                <w:color w:val="000000" w:themeColor="text1"/>
                <w:sz w:val="36"/>
                <w:szCs w:val="36"/>
                <w:highlight w:val="none"/>
                <w14:textFill>
                  <w14:solidFill>
                    <w14:schemeClr w14:val="tx1"/>
                  </w14:solidFill>
                </w14:textFill>
              </w:rPr>
              <w:t>人：</w:t>
            </w:r>
          </w:p>
        </w:tc>
        <w:tc>
          <w:tcPr>
            <w:tcW w:w="6300" w:type="dxa"/>
            <w:tcBorders>
              <w:top w:val="nil"/>
              <w:left w:val="nil"/>
              <w:bottom w:val="nil"/>
              <w:right w:val="nil"/>
            </w:tcBorders>
            <w:vAlign w:val="center"/>
          </w:tcPr>
          <w:p w14:paraId="7470E0C1">
            <w:pPr>
              <w:pStyle w:val="7"/>
              <w:spacing w:line="360" w:lineRule="auto"/>
              <w:jc w:val="distribute"/>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绍兴市柯诸高速公路有限公司</w:t>
            </w:r>
            <w:r>
              <w:rPr>
                <w:rFonts w:ascii="宋体" w:hAnsi="宋体" w:cs="宋体"/>
                <w:b/>
                <w:bCs/>
                <w:color w:val="000000" w:themeColor="text1"/>
                <w:sz w:val="36"/>
                <w:szCs w:val="36"/>
                <w:highlight w:val="none"/>
                <w14:textFill>
                  <w14:solidFill>
                    <w14:schemeClr w14:val="tx1"/>
                  </w14:solidFill>
                </w14:textFill>
              </w:rPr>
              <w:t xml:space="preserve">  </w:t>
            </w:r>
          </w:p>
        </w:tc>
      </w:tr>
      <w:tr w14:paraId="6AAF10E5">
        <w:tblPrEx>
          <w:tblCellMar>
            <w:top w:w="0" w:type="dxa"/>
            <w:left w:w="28" w:type="dxa"/>
            <w:bottom w:w="0" w:type="dxa"/>
            <w:right w:w="28" w:type="dxa"/>
          </w:tblCellMar>
        </w:tblPrEx>
        <w:trPr>
          <w:trHeight w:val="786" w:hRule="atLeast"/>
          <w:jc w:val="center"/>
        </w:trPr>
        <w:tc>
          <w:tcPr>
            <w:tcW w:w="2508" w:type="dxa"/>
            <w:tcBorders>
              <w:top w:val="nil"/>
              <w:left w:val="nil"/>
              <w:bottom w:val="nil"/>
              <w:right w:val="nil"/>
            </w:tcBorders>
            <w:vAlign w:val="center"/>
          </w:tcPr>
          <w:p w14:paraId="07B0F25E">
            <w:pPr>
              <w:pStyle w:val="7"/>
              <w:spacing w:line="360" w:lineRule="auto"/>
              <w:jc w:val="distribute"/>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招标代理：</w:t>
            </w:r>
          </w:p>
        </w:tc>
        <w:tc>
          <w:tcPr>
            <w:tcW w:w="6300" w:type="dxa"/>
            <w:tcBorders>
              <w:top w:val="nil"/>
              <w:left w:val="nil"/>
              <w:bottom w:val="nil"/>
              <w:right w:val="nil"/>
            </w:tcBorders>
            <w:vAlign w:val="center"/>
          </w:tcPr>
          <w:p w14:paraId="290C372D">
            <w:pPr>
              <w:pStyle w:val="7"/>
              <w:spacing w:line="360" w:lineRule="auto"/>
              <w:jc w:val="distribute"/>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浙江远大工程咨询有限公司</w:t>
            </w:r>
          </w:p>
        </w:tc>
      </w:tr>
      <w:tr w14:paraId="56EE61BD">
        <w:tblPrEx>
          <w:tblCellMar>
            <w:top w:w="0" w:type="dxa"/>
            <w:left w:w="28" w:type="dxa"/>
            <w:bottom w:w="0" w:type="dxa"/>
            <w:right w:w="28" w:type="dxa"/>
          </w:tblCellMar>
        </w:tblPrEx>
        <w:trPr>
          <w:trHeight w:val="786" w:hRule="atLeast"/>
          <w:jc w:val="center"/>
        </w:trPr>
        <w:tc>
          <w:tcPr>
            <w:tcW w:w="8808" w:type="dxa"/>
            <w:gridSpan w:val="2"/>
            <w:tcBorders>
              <w:top w:val="nil"/>
              <w:left w:val="nil"/>
              <w:bottom w:val="nil"/>
              <w:right w:val="nil"/>
            </w:tcBorders>
            <w:vAlign w:val="center"/>
          </w:tcPr>
          <w:p w14:paraId="5870B118">
            <w:pPr>
              <w:pStyle w:val="7"/>
              <w:spacing w:line="360" w:lineRule="auto"/>
              <w:jc w:val="center"/>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二</w:t>
            </w:r>
            <w:r>
              <w:rPr>
                <w:rFonts w:hint="eastAsia" w:ascii="宋体" w:hAnsi="宋体" w:eastAsia="宋体" w:cs="宋体"/>
                <w:b/>
                <w:bCs/>
                <w:color w:val="000000" w:themeColor="text1"/>
                <w:sz w:val="36"/>
                <w:szCs w:val="36"/>
                <w:highlight w:val="none"/>
                <w14:textFill>
                  <w14:solidFill>
                    <w14:schemeClr w14:val="tx1"/>
                  </w14:solidFill>
                </w14:textFill>
              </w:rPr>
              <w:t>O</w:t>
            </w:r>
            <w:r>
              <w:rPr>
                <w:rFonts w:hint="eastAsia" w:ascii="宋体" w:hAnsi="宋体" w:cs="宋体"/>
                <w:b/>
                <w:bCs/>
                <w:color w:val="000000" w:themeColor="text1"/>
                <w:sz w:val="36"/>
                <w:szCs w:val="36"/>
                <w:highlight w:val="none"/>
                <w14:textFill>
                  <w14:solidFill>
                    <w14:schemeClr w14:val="tx1"/>
                  </w14:solidFill>
                </w14:textFill>
              </w:rPr>
              <w:t>二四年十</w:t>
            </w:r>
            <w:r>
              <w:rPr>
                <w:rFonts w:hint="eastAsia" w:ascii="宋体" w:hAnsi="宋体" w:cs="宋体"/>
                <w:b/>
                <w:bCs/>
                <w:color w:val="000000" w:themeColor="text1"/>
                <w:sz w:val="36"/>
                <w:szCs w:val="36"/>
                <w:highlight w:val="none"/>
                <w:lang w:val="en-US" w:eastAsia="zh-CN"/>
                <w14:textFill>
                  <w14:solidFill>
                    <w14:schemeClr w14:val="tx1"/>
                  </w14:solidFill>
                </w14:textFill>
              </w:rPr>
              <w:t>一</w:t>
            </w:r>
            <w:r>
              <w:rPr>
                <w:rFonts w:hint="eastAsia" w:ascii="宋体" w:hAnsi="宋体" w:cs="宋体"/>
                <w:b/>
                <w:bCs/>
                <w:color w:val="000000" w:themeColor="text1"/>
                <w:sz w:val="36"/>
                <w:szCs w:val="36"/>
                <w:highlight w:val="none"/>
                <w14:textFill>
                  <w14:solidFill>
                    <w14:schemeClr w14:val="tx1"/>
                  </w14:solidFill>
                </w14:textFill>
              </w:rPr>
              <w:t>月</w:t>
            </w:r>
          </w:p>
        </w:tc>
      </w:tr>
    </w:tbl>
    <w:p w14:paraId="12169F4A">
      <w:pPr>
        <w:pStyle w:val="7"/>
        <w:spacing w:line="240" w:lineRule="exact"/>
        <w:jc w:val="center"/>
        <w:rPr>
          <w:rFonts w:ascii="宋体" w:hAnsi="宋体" w:cs="宋体"/>
          <w:color w:val="000000" w:themeColor="text1"/>
          <w:sz w:val="48"/>
          <w:szCs w:val="48"/>
          <w:highlight w:val="none"/>
          <w14:textFill>
            <w14:solidFill>
              <w14:schemeClr w14:val="tx1"/>
            </w14:solidFill>
          </w14:textFill>
        </w:rPr>
      </w:pPr>
      <w:bookmarkStart w:id="4" w:name="_Toc6635"/>
      <w:bookmarkStart w:id="5" w:name="_Toc3282"/>
      <w:bookmarkStart w:id="6" w:name="_Toc15115"/>
      <w:bookmarkStart w:id="7" w:name="_Toc141198565"/>
      <w:bookmarkStart w:id="8" w:name="_Toc239"/>
      <w:bookmarkStart w:id="9" w:name="_Toc120624155"/>
      <w:bookmarkStart w:id="10" w:name="_Toc26831"/>
    </w:p>
    <w:p w14:paraId="4FDB31B1">
      <w:pPr>
        <w:pStyle w:val="7"/>
        <w:spacing w:line="240" w:lineRule="exact"/>
        <w:jc w:val="center"/>
        <w:rPr>
          <w:rFonts w:ascii="宋体" w:hAnsi="宋体" w:cs="宋体"/>
          <w:color w:val="000000" w:themeColor="text1"/>
          <w:sz w:val="48"/>
          <w:szCs w:val="48"/>
          <w:highlight w:val="none"/>
          <w14:textFill>
            <w14:solidFill>
              <w14:schemeClr w14:val="tx1"/>
            </w14:solidFill>
          </w14:textFill>
        </w:rPr>
      </w:pPr>
    </w:p>
    <w:p w14:paraId="47E15701">
      <w:pPr>
        <w:pStyle w:val="7"/>
        <w:spacing w:line="360" w:lineRule="auto"/>
        <w:jc w:val="center"/>
        <w:rPr>
          <w:rFonts w:ascii="宋体" w:hAnsi="宋体" w:cs="宋体"/>
          <w:color w:val="000000" w:themeColor="text1"/>
          <w:sz w:val="48"/>
          <w:szCs w:val="48"/>
          <w:highlight w:val="none"/>
          <w14:textFill>
            <w14:solidFill>
              <w14:schemeClr w14:val="tx1"/>
            </w14:solidFill>
          </w14:textFill>
        </w:rPr>
        <w:sectPr>
          <w:footnotePr>
            <w:numFmt w:val="decimalEnclosedCircleChinese"/>
            <w:numRestart w:val="eachPage"/>
          </w:footnotePr>
          <w:pgSz w:w="11906" w:h="16838"/>
          <w:pgMar w:top="1418" w:right="1361" w:bottom="1418" w:left="1361" w:header="851" w:footer="992" w:gutter="0"/>
          <w:pgNumType w:fmt="decimal"/>
          <w:cols w:space="720" w:num="1"/>
          <w:docGrid w:linePitch="312" w:charSpace="0"/>
        </w:sectPr>
      </w:pPr>
    </w:p>
    <w:bookmarkEnd w:id="0"/>
    <w:p w14:paraId="64BFD21C">
      <w:pPr>
        <w:pStyle w:val="7"/>
        <w:spacing w:line="360" w:lineRule="auto"/>
        <w:jc w:val="center"/>
        <w:rPr>
          <w:rFonts w:ascii="宋体" w:hAnsi="宋体" w:cs="宋体"/>
          <w:color w:val="000000" w:themeColor="text1"/>
          <w:sz w:val="48"/>
          <w:szCs w:val="48"/>
          <w:highlight w:val="none"/>
          <w14:textFill>
            <w14:solidFill>
              <w14:schemeClr w14:val="tx1"/>
            </w14:solidFill>
          </w14:textFill>
        </w:rPr>
      </w:pPr>
      <w:r>
        <w:rPr>
          <w:rFonts w:hint="eastAsia" w:ascii="宋体" w:hAnsi="宋体" w:cs="宋体"/>
          <w:color w:val="000000" w:themeColor="text1"/>
          <w:sz w:val="48"/>
          <w:szCs w:val="48"/>
          <w:highlight w:val="none"/>
          <w14:textFill>
            <w14:solidFill>
              <w14:schemeClr w14:val="tx1"/>
            </w14:solidFill>
          </w14:textFill>
        </w:rPr>
        <w:t>说</w:t>
      </w:r>
      <w:r>
        <w:rPr>
          <w:rFonts w:ascii="宋体" w:hAnsi="宋体" w:cs="宋体"/>
          <w:color w:val="000000" w:themeColor="text1"/>
          <w:sz w:val="48"/>
          <w:szCs w:val="48"/>
          <w:highlight w:val="none"/>
          <w14:textFill>
            <w14:solidFill>
              <w14:schemeClr w14:val="tx1"/>
            </w14:solidFill>
          </w14:textFill>
        </w:rPr>
        <w:t xml:space="preserve"> </w:t>
      </w:r>
      <w:r>
        <w:rPr>
          <w:rFonts w:hint="eastAsia" w:ascii="宋体" w:hAnsi="宋体" w:cs="宋体"/>
          <w:color w:val="000000" w:themeColor="text1"/>
          <w:sz w:val="48"/>
          <w:szCs w:val="48"/>
          <w:highlight w:val="none"/>
          <w14:textFill>
            <w14:solidFill>
              <w14:schemeClr w14:val="tx1"/>
            </w14:solidFill>
          </w14:textFill>
        </w:rPr>
        <w:t>明</w:t>
      </w:r>
      <w:bookmarkEnd w:id="4"/>
      <w:bookmarkEnd w:id="5"/>
      <w:bookmarkEnd w:id="6"/>
      <w:bookmarkEnd w:id="7"/>
      <w:bookmarkEnd w:id="8"/>
      <w:bookmarkEnd w:id="9"/>
      <w:bookmarkEnd w:id="10"/>
    </w:p>
    <w:p w14:paraId="3BDE9FB9">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一、浙江省</w:t>
      </w:r>
      <w:r>
        <w:rPr>
          <w:rFonts w:hint="eastAsia" w:ascii="宋体" w:hAnsi="宋体" w:cs="宋体"/>
          <w:color w:val="000000" w:themeColor="text1"/>
          <w:sz w:val="24"/>
          <w:szCs w:val="24"/>
          <w:highlight w:val="none"/>
          <w:u w:val="single"/>
          <w14:textFill>
            <w14:solidFill>
              <w14:schemeClr w14:val="tx1"/>
            </w14:solidFill>
          </w14:textFill>
        </w:rPr>
        <w:t xml:space="preserve"> 柯桥至诸暨高速公路工程</w:t>
      </w: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u w:val="single"/>
          <w14:textFill>
            <w14:solidFill>
              <w14:schemeClr w14:val="tx1"/>
            </w14:solidFill>
          </w14:textFill>
        </w:rPr>
        <w:t>涉03省道综合管线迁改走廊复绿工程第FL01标段</w:t>
      </w:r>
      <w:r>
        <w:rPr>
          <w:rFonts w:hint="eastAsia" w:ascii="宋体" w:hAnsi="宋体" w:cs="宋体"/>
          <w:color w:val="000000" w:themeColor="text1"/>
          <w:sz w:val="24"/>
          <w:szCs w:val="24"/>
          <w:highlight w:val="none"/>
          <w14:textFill>
            <w14:solidFill>
              <w14:schemeClr w14:val="tx1"/>
            </w14:solidFill>
          </w14:textFill>
        </w:rPr>
        <w:t xml:space="preserve">施工招标文件以《中华人民共和国招标投标法》、《中华人民共和国招标投标法实施条例》、中华人民共和国《标准施工招标文件》（2007年版）、交通运输部《公路工程标准施工招标文件》（2018年版）及《浙江省公路工程施工招标文件示范文本》（2023年版）为依据，结合本项目的特点和实际需要编制而成。 </w:t>
      </w:r>
    </w:p>
    <w:p w14:paraId="06811075">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招标文件引用了《标准施工招标文件》和《公路工程标准施工招标文件》中的“投标人须知”、“评标办法”、“通用合同条款”、“A.公路工程专用合同条款”正文。</w:t>
      </w:r>
    </w:p>
    <w:p w14:paraId="1D668B83">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标准施工招标文件》、《公路工程标准施工招标文件》中“投标人须知”、“评标办法”、“通用合同条款”、“A.公路工程专用合同条款”是必须遵循的通用条款和规定，针对本项目的具体特点和实际情况：</w:t>
      </w:r>
    </w:p>
    <w:p w14:paraId="6DCD5292">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在“投标人须知前附表”和“评标办法前附表”中对“投标人须知”、“评标办法”进行了补充、细化。</w:t>
      </w:r>
    </w:p>
    <w:p w14:paraId="3B775B99">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w:t>
      </w:r>
      <w:r>
        <w:rPr>
          <w:rFonts w:ascii="宋体" w:hAnsi="宋体" w:cs="宋体"/>
          <w:color w:val="000000" w:themeColor="text1"/>
          <w:sz w:val="24"/>
          <w:szCs w:val="24"/>
          <w:highlight w:val="none"/>
          <w14:textFill>
            <w14:solidFill>
              <w14:schemeClr w14:val="tx1"/>
            </w14:solidFill>
          </w14:textFill>
        </w:rPr>
        <w:t>B.项目专用合同条款”中，对“通用合同条款”、“A.公路工程专用合同条款”进行了补充、细化或约定。</w:t>
      </w:r>
    </w:p>
    <w:p w14:paraId="41999E89">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三、招标文件中的“通用技术规范”直接引用了《公路工程标准施工招标文件》（</w:t>
      </w:r>
      <w:r>
        <w:rPr>
          <w:rFonts w:ascii="宋体" w:hAnsi="宋体" w:cs="宋体"/>
          <w:color w:val="000000" w:themeColor="text1"/>
          <w:sz w:val="24"/>
          <w:szCs w:val="24"/>
          <w:highlight w:val="none"/>
          <w14:textFill>
            <w14:solidFill>
              <w14:schemeClr w14:val="tx1"/>
            </w14:solidFill>
          </w14:textFill>
        </w:rPr>
        <w:t>2018年版·第二册）技术规范。</w:t>
      </w:r>
    </w:p>
    <w:p w14:paraId="56EDB56C">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根据本项目的具体特点和实际需要，在“项目专用技术规范”中对“通用技术规范”进行了补充和修改。</w:t>
      </w:r>
    </w:p>
    <w:p w14:paraId="0B9393AF">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四、“工程量清单计量规则”按照浙江省地方标准《交通建设工程工程量清单计价规范</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第</w:t>
      </w:r>
      <w:r>
        <w:rPr>
          <w:rFonts w:ascii="宋体" w:hAnsi="宋体" w:cs="宋体"/>
          <w:color w:val="000000" w:themeColor="text1"/>
          <w:sz w:val="24"/>
          <w:szCs w:val="24"/>
          <w:highlight w:val="none"/>
          <w14:textFill>
            <w14:solidFill>
              <w14:schemeClr w14:val="tx1"/>
            </w14:solidFill>
          </w14:textFill>
        </w:rPr>
        <w:t>1部分：公路工程》（DB 33/T628.1—2021）编制。</w:t>
      </w:r>
    </w:p>
    <w:p w14:paraId="540051B0">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五、投标人应按招标文件的要求认真编制投标文件，完整地响应招标文件的规定和内容，避免投标文件因不能通过评审而被拒绝。</w:t>
      </w:r>
    </w:p>
    <w:p w14:paraId="33A7E2E8">
      <w:pPr>
        <w:pStyle w:val="7"/>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六、《标准施工招标文件》、《公路工程标准施工招标文件》、《交通建设工程工程量清单计价规范</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第</w:t>
      </w:r>
      <w:r>
        <w:rPr>
          <w:rFonts w:ascii="宋体" w:hAnsi="宋体" w:cs="宋体"/>
          <w:color w:val="000000" w:themeColor="text1"/>
          <w:sz w:val="24"/>
          <w:szCs w:val="24"/>
          <w:highlight w:val="none"/>
          <w14:textFill>
            <w14:solidFill>
              <w14:schemeClr w14:val="tx1"/>
            </w14:solidFill>
          </w14:textFill>
        </w:rPr>
        <w:t>1部分：公路工程》（DB33/T 628.1-2021）、</w:t>
      </w:r>
      <w:r>
        <w:rPr>
          <w:rFonts w:hint="eastAsia" w:ascii="宋体" w:hAnsi="宋体" w:cs="宋体"/>
          <w:color w:val="000000" w:themeColor="text1"/>
          <w:sz w:val="24"/>
          <w:szCs w:val="24"/>
          <w:highlight w:val="none"/>
          <w14:textFill>
            <w14:solidFill>
              <w14:schemeClr w14:val="tx1"/>
            </w14:solidFill>
          </w14:textFill>
        </w:rPr>
        <w:t>《浙江省公路工程施工招标文件示范文本》（</w:t>
      </w:r>
      <w:r>
        <w:rPr>
          <w:rFonts w:ascii="宋体" w:hAnsi="宋体" w:cs="宋体"/>
          <w:color w:val="000000" w:themeColor="text1"/>
          <w:sz w:val="24"/>
          <w:szCs w:val="24"/>
          <w:highlight w:val="none"/>
          <w14:textFill>
            <w14:solidFill>
              <w14:schemeClr w14:val="tx1"/>
            </w14:solidFill>
          </w14:textFill>
        </w:rPr>
        <w:t>202</w:t>
      </w:r>
      <w:r>
        <w:rPr>
          <w:rFonts w:hint="eastAsia" w:ascii="宋体" w:hAnsi="宋体" w:cs="宋体"/>
          <w:color w:val="000000" w:themeColor="text1"/>
          <w:sz w:val="24"/>
          <w:szCs w:val="24"/>
          <w:highlight w:val="none"/>
          <w14:textFill>
            <w14:solidFill>
              <w14:schemeClr w14:val="tx1"/>
            </w14:solidFill>
          </w14:textFill>
        </w:rPr>
        <w:t>3</w:t>
      </w:r>
      <w:r>
        <w:rPr>
          <w:rFonts w:ascii="宋体" w:hAnsi="宋体" w:cs="宋体"/>
          <w:color w:val="000000" w:themeColor="text1"/>
          <w:sz w:val="24"/>
          <w:szCs w:val="24"/>
          <w:highlight w:val="none"/>
          <w14:textFill>
            <w14:solidFill>
              <w14:schemeClr w14:val="tx1"/>
            </w14:solidFill>
          </w14:textFill>
        </w:rPr>
        <w:t>年版）由投标人自备</w:t>
      </w:r>
      <w:r>
        <w:rPr>
          <w:rFonts w:hint="eastAsia" w:ascii="宋体" w:hAnsi="宋体" w:cs="宋体"/>
          <w:color w:val="000000" w:themeColor="text1"/>
          <w:sz w:val="24"/>
          <w:szCs w:val="24"/>
          <w:highlight w:val="none"/>
          <w14:textFill>
            <w14:solidFill>
              <w14:schemeClr w14:val="tx1"/>
            </w14:solidFill>
          </w14:textFill>
        </w:rPr>
        <w:t>。</w:t>
      </w:r>
    </w:p>
    <w:p w14:paraId="72D3C43B">
      <w:pPr>
        <w:pStyle w:val="7"/>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p>
    <w:p w14:paraId="4838BF39">
      <w:pPr>
        <w:bidi w:val="0"/>
        <w:jc w:val="left"/>
        <w:rPr>
          <w:color w:val="000000" w:themeColor="text1"/>
          <w:highlight w:val="none"/>
          <w14:textFill>
            <w14:solidFill>
              <w14:schemeClr w14:val="tx1"/>
            </w14:solidFill>
          </w14:textFill>
        </w:rPr>
      </w:pPr>
    </w:p>
    <w:p w14:paraId="47D6C5D7">
      <w:pPr>
        <w:pStyle w:val="7"/>
        <w:spacing w:before="60" w:after="60" w:line="400" w:lineRule="exact"/>
        <w:jc w:val="center"/>
        <w:rPr>
          <w:rFonts w:ascii="宋体" w:hAnsi="宋体" w:cs="宋体"/>
          <w:b/>
          <w:bCs/>
          <w:color w:val="000000" w:themeColor="text1"/>
          <w:sz w:val="44"/>
          <w:szCs w:val="44"/>
          <w:highlight w:val="none"/>
          <w14:textFill>
            <w14:solidFill>
              <w14:schemeClr w14:val="tx1"/>
            </w14:solidFill>
          </w14:textFill>
        </w:rPr>
      </w:pPr>
      <w:bookmarkStart w:id="11" w:name="_Toc7336"/>
      <w:bookmarkStart w:id="12" w:name="_Toc5971"/>
      <w:bookmarkStart w:id="13" w:name="_Toc120624156"/>
      <w:bookmarkStart w:id="14" w:name="_Toc11069"/>
      <w:bookmarkStart w:id="15" w:name="_Toc141198566"/>
      <w:bookmarkStart w:id="16" w:name="_Toc13119"/>
      <w:bookmarkStart w:id="17" w:name="_Toc14015"/>
      <w:r>
        <w:rPr>
          <w:rFonts w:hint="eastAsia" w:ascii="宋体" w:hAnsi="宋体" w:cs="宋体"/>
          <w:b/>
          <w:bCs/>
          <w:color w:val="000000" w:themeColor="text1"/>
          <w:sz w:val="44"/>
          <w:szCs w:val="44"/>
          <w:highlight w:val="none"/>
          <w14:textFill>
            <w14:solidFill>
              <w14:schemeClr w14:val="tx1"/>
            </w14:solidFill>
          </w14:textFill>
        </w:rPr>
        <w:t>目</w:t>
      </w:r>
      <w:r>
        <w:rPr>
          <w:rFonts w:ascii="宋体" w:hAnsi="宋体" w:cs="宋体"/>
          <w:b/>
          <w:bCs/>
          <w:color w:val="000000" w:themeColor="text1"/>
          <w:sz w:val="44"/>
          <w:szCs w:val="44"/>
          <w:highlight w:val="none"/>
          <w14:textFill>
            <w14:solidFill>
              <w14:schemeClr w14:val="tx1"/>
            </w14:solidFill>
          </w14:textFill>
        </w:rPr>
        <w:t xml:space="preserve">  </w:t>
      </w:r>
      <w:r>
        <w:rPr>
          <w:rFonts w:hint="eastAsia" w:ascii="宋体" w:hAnsi="宋体" w:cs="宋体"/>
          <w:b/>
          <w:bCs/>
          <w:color w:val="000000" w:themeColor="text1"/>
          <w:sz w:val="44"/>
          <w:szCs w:val="44"/>
          <w:highlight w:val="none"/>
          <w14:textFill>
            <w14:solidFill>
              <w14:schemeClr w14:val="tx1"/>
            </w14:solidFill>
          </w14:textFill>
        </w:rPr>
        <w:t>录</w:t>
      </w:r>
      <w:bookmarkEnd w:id="11"/>
      <w:bookmarkEnd w:id="12"/>
      <w:bookmarkEnd w:id="13"/>
      <w:bookmarkEnd w:id="14"/>
      <w:bookmarkEnd w:id="15"/>
      <w:bookmarkEnd w:id="16"/>
      <w:bookmarkEnd w:id="17"/>
    </w:p>
    <w:p w14:paraId="727D1246">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"1-4" \h \z \u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_Toc16124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84"/>
          <w:highlight w:val="none"/>
          <w14:textFill>
            <w14:solidFill>
              <w14:schemeClr w14:val="tx1"/>
            </w14:solidFill>
          </w14:textFill>
        </w:rPr>
        <w:t>第一卷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_Toc16124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FDBFFA1">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_Toc18151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48"/>
          <w:highlight w:val="none"/>
          <w14:textFill>
            <w14:solidFill>
              <w14:schemeClr w14:val="tx1"/>
            </w14:solidFill>
          </w14:textFill>
        </w:rPr>
        <w:t>第一章 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_Toc18151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6E90051">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_Toc6483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val="0"/>
          <w:color w:val="000000" w:themeColor="text1"/>
          <w:highlight w:val="none"/>
          <w14:textFill>
            <w14:solidFill>
              <w14:schemeClr w14:val="tx1"/>
            </w14:solidFill>
          </w14:textFill>
        </w:rPr>
        <w:t>1.</w:t>
      </w:r>
      <w:r>
        <w:rPr>
          <w:rFonts w:hint="eastAsia" w:ascii="宋体" w:hAnsi="宋体" w:cs="宋体"/>
          <w:bCs w:val="0"/>
          <w:color w:val="000000" w:themeColor="text1"/>
          <w:highlight w:val="none"/>
          <w14:textFill>
            <w14:solidFill>
              <w14:schemeClr w14:val="tx1"/>
            </w14:solidFill>
          </w14:textFill>
        </w:rPr>
        <w:t>招标条件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_Toc6483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CB79102">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_Toc9075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val="0"/>
          <w:color w:val="000000" w:themeColor="text1"/>
          <w:highlight w:val="none"/>
          <w14:textFill>
            <w14:solidFill>
              <w14:schemeClr w14:val="tx1"/>
            </w14:solidFill>
          </w14:textFill>
        </w:rPr>
        <w:t>2.</w:t>
      </w:r>
      <w:r>
        <w:rPr>
          <w:rFonts w:hint="eastAsia" w:ascii="宋体" w:hAnsi="宋体" w:cs="宋体"/>
          <w:bCs w:val="0"/>
          <w:color w:val="000000" w:themeColor="text1"/>
          <w:highlight w:val="none"/>
          <w14:textFill>
            <w14:solidFill>
              <w14:schemeClr w14:val="tx1"/>
            </w14:solidFill>
          </w14:textFill>
        </w:rPr>
        <w:t>项目概况与招标范围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_Toc9075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6A2377C">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_Toc284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val="0"/>
          <w:color w:val="000000" w:themeColor="text1"/>
          <w:highlight w:val="none"/>
          <w14:textFill>
            <w14:solidFill>
              <w14:schemeClr w14:val="tx1"/>
            </w14:solidFill>
          </w14:textFill>
        </w:rPr>
        <w:t>3.</w:t>
      </w:r>
      <w:r>
        <w:rPr>
          <w:rFonts w:hint="eastAsia" w:ascii="宋体" w:hAnsi="宋体" w:cs="宋体"/>
          <w:bCs w:val="0"/>
          <w:color w:val="000000" w:themeColor="text1"/>
          <w:highlight w:val="none"/>
          <w14:textFill>
            <w14:solidFill>
              <w14:schemeClr w14:val="tx1"/>
            </w14:solidFill>
          </w14:textFill>
        </w:rPr>
        <w:t>投标人资格要求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C7183ED">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_Toc13172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val="0"/>
          <w:color w:val="000000" w:themeColor="text1"/>
          <w:highlight w:val="none"/>
          <w14:textFill>
            <w14:solidFill>
              <w14:schemeClr w14:val="tx1"/>
            </w14:solidFill>
          </w14:textFill>
        </w:rPr>
        <w:t>4.招标文件的获取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_Toc13172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A2EA07A">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_Toc15390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5.投标保证金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_Toc15390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6366FA8">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_Toc32250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val="0"/>
          <w:color w:val="000000" w:themeColor="text1"/>
          <w:highlight w:val="none"/>
          <w14:textFill>
            <w14:solidFill>
              <w14:schemeClr w14:val="tx1"/>
            </w14:solidFill>
          </w14:textFill>
        </w:rPr>
        <w:t>6</w:t>
      </w:r>
      <w:r>
        <w:rPr>
          <w:rFonts w:ascii="宋体" w:hAnsi="宋体" w:cs="宋体"/>
          <w:bCs w:val="0"/>
          <w:color w:val="000000" w:themeColor="text1"/>
          <w:highlight w:val="none"/>
          <w14:textFill>
            <w14:solidFill>
              <w14:schemeClr w14:val="tx1"/>
            </w14:solidFill>
          </w14:textFill>
        </w:rPr>
        <w:t>.投标文件的递交及相关事宜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725D37B">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_Toc13322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val="0"/>
          <w:color w:val="000000" w:themeColor="text1"/>
          <w:highlight w:val="none"/>
          <w14:textFill>
            <w14:solidFill>
              <w14:schemeClr w14:val="tx1"/>
            </w14:solidFill>
          </w14:textFill>
        </w:rPr>
        <w:t>7</w:t>
      </w:r>
      <w:r>
        <w:rPr>
          <w:rFonts w:ascii="宋体" w:hAnsi="宋体" w:cs="宋体"/>
          <w:bCs w:val="0"/>
          <w:color w:val="000000" w:themeColor="text1"/>
          <w:highlight w:val="none"/>
          <w14:textFill>
            <w14:solidFill>
              <w14:schemeClr w14:val="tx1"/>
            </w14:solidFill>
          </w14:textFill>
        </w:rPr>
        <w:t>.发布公告的媒介</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_Toc13322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4A7A0E1">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_Toc12645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监管机构：</w:t>
      </w:r>
      <w:r>
        <w:rPr>
          <w:rFonts w:hint="eastAsia" w:ascii="宋体" w:hAnsi="宋体" w:eastAsia="宋体" w:cs="宋体"/>
          <w:bCs w:val="0"/>
          <w:color w:val="000000" w:themeColor="text1"/>
          <w:kern w:val="2"/>
          <w:szCs w:val="22"/>
          <w:highlight w:val="none"/>
          <w14:textFill>
            <w14:solidFill>
              <w14:schemeClr w14:val="tx1"/>
            </w14:solidFill>
          </w14:textFill>
        </w:rPr>
        <w:t>绍兴市政务服务办公室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_Toc12645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EFDB400">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_Toc25443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val="0"/>
          <w:color w:val="000000" w:themeColor="text1"/>
          <w:highlight w:val="none"/>
          <w14:textFill>
            <w14:solidFill>
              <w14:schemeClr w14:val="tx1"/>
            </w14:solidFill>
          </w14:textFill>
        </w:rPr>
        <w:t>9</w:t>
      </w:r>
      <w:r>
        <w:rPr>
          <w:rFonts w:ascii="宋体" w:hAnsi="宋体" w:cs="宋体"/>
          <w:bCs w:val="0"/>
          <w:color w:val="000000" w:themeColor="text1"/>
          <w:highlight w:val="none"/>
          <w14:textFill>
            <w14:solidFill>
              <w14:schemeClr w14:val="tx1"/>
            </w14:solidFill>
          </w14:textFill>
        </w:rPr>
        <w:t>.联系方式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235E8CB">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_Toc29990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48"/>
          <w:highlight w:val="none"/>
          <w14:textFill>
            <w14:solidFill>
              <w14:schemeClr w14:val="tx1"/>
            </w14:solidFill>
          </w14:textFill>
        </w:rPr>
        <w:t>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_Toc29990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7F3D3F5">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_Toc5845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val="0"/>
          <w:color w:val="000000" w:themeColor="text1"/>
          <w:szCs w:val="21"/>
          <w:highlight w:val="none"/>
          <w14:textFill>
            <w14:solidFill>
              <w14:schemeClr w14:val="tx1"/>
            </w14:solidFill>
          </w14:textFill>
        </w:rPr>
        <w:t>附录1 资格审查条件（资质最低要求）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_Toc5845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22</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A988C91">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_Toc597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val="0"/>
          <w:color w:val="000000" w:themeColor="text1"/>
          <w:szCs w:val="21"/>
          <w:highlight w:val="none"/>
          <w14:textFill>
            <w14:solidFill>
              <w14:schemeClr w14:val="tx1"/>
            </w14:solidFill>
          </w14:textFill>
        </w:rPr>
        <w:t>附录2 资格审查条件（财务最低要求）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23</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E890DE1">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_Toc3551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val="0"/>
          <w:color w:val="000000" w:themeColor="text1"/>
          <w:szCs w:val="21"/>
          <w:highlight w:val="none"/>
          <w14:textFill>
            <w14:solidFill>
              <w14:schemeClr w14:val="tx1"/>
            </w14:solidFill>
          </w14:textFill>
        </w:rPr>
        <w:t>附录3 资格审查条件（业绩最低要求）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_Toc3551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24</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B0E13CA">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_Toc528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val="0"/>
          <w:color w:val="000000" w:themeColor="text1"/>
          <w:szCs w:val="21"/>
          <w:highlight w:val="none"/>
          <w14:textFill>
            <w14:solidFill>
              <w14:schemeClr w14:val="tx1"/>
            </w14:solidFill>
          </w14:textFill>
        </w:rPr>
        <w:t>附录4 资格审查条件（信誉最低要求）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B659FCC">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_Toc7747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val="0"/>
          <w:color w:val="000000" w:themeColor="text1"/>
          <w:szCs w:val="21"/>
          <w:highlight w:val="none"/>
          <w14:textFill>
            <w14:solidFill>
              <w14:schemeClr w14:val="tx1"/>
            </w14:solidFill>
          </w14:textFill>
        </w:rPr>
        <w:t>附录5 资格审查条件（项目经理、项目技术负责人最低要求）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_Toc7747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F92AAB9">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_Toc26564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1. </w:t>
      </w:r>
      <w:r>
        <w:rPr>
          <w:rFonts w:hint="eastAsia" w:ascii="宋体" w:hAnsi="宋体" w:cs="宋体"/>
          <w:bCs/>
          <w:color w:val="000000" w:themeColor="text1"/>
          <w:szCs w:val="24"/>
          <w:highlight w:val="none"/>
          <w14:textFill>
            <w14:solidFill>
              <w14:schemeClr w14:val="tx1"/>
            </w14:solidFill>
          </w14:textFill>
        </w:rPr>
        <w:t>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_Toc26564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120F395">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_Toc22436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1.2 </w:t>
      </w:r>
      <w:r>
        <w:rPr>
          <w:rFonts w:hint="eastAsia" w:hAnsi="宋体" w:cs="宋体"/>
          <w:bCs/>
          <w:color w:val="000000" w:themeColor="text1"/>
          <w:szCs w:val="21"/>
          <w:highlight w:val="none"/>
          <w14:textFill>
            <w14:solidFill>
              <w14:schemeClr w14:val="tx1"/>
            </w14:solidFill>
          </w14:textFill>
        </w:rPr>
        <w:t>招标项目的资金来源和落实情况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_Toc22436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5AE7206">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_Toc28366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1.3 </w:t>
      </w:r>
      <w:r>
        <w:rPr>
          <w:rFonts w:hint="eastAsia" w:hAnsi="宋体" w:cs="宋体"/>
          <w:bCs/>
          <w:color w:val="000000" w:themeColor="text1"/>
          <w:szCs w:val="21"/>
          <w:highlight w:val="none"/>
          <w14:textFill>
            <w14:solidFill>
              <w14:schemeClr w14:val="tx1"/>
            </w14:solidFill>
          </w14:textFill>
        </w:rPr>
        <w:t>招标范围、计划工期、质量要求和安全目标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_Toc28366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E8CFE5D">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_Toc20771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1.4 </w:t>
      </w:r>
      <w:r>
        <w:rPr>
          <w:rFonts w:hint="eastAsia" w:hAnsi="宋体" w:cs="宋体"/>
          <w:bCs/>
          <w:color w:val="000000" w:themeColor="text1"/>
          <w:szCs w:val="21"/>
          <w:highlight w:val="none"/>
          <w14:textFill>
            <w14:solidFill>
              <w14:schemeClr w14:val="tx1"/>
            </w14:solidFill>
          </w14:textFill>
        </w:rPr>
        <w:t>投标人资格要求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_Toc20771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298AC88">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_Toc24087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1.5 </w:t>
      </w:r>
      <w:r>
        <w:rPr>
          <w:rFonts w:hint="eastAsia" w:hAnsi="宋体" w:cs="宋体"/>
          <w:bCs/>
          <w:color w:val="000000" w:themeColor="text1"/>
          <w:szCs w:val="21"/>
          <w:highlight w:val="none"/>
          <w14:textFill>
            <w14:solidFill>
              <w14:schemeClr w14:val="tx1"/>
            </w14:solidFill>
          </w14:textFill>
        </w:rPr>
        <w:t>费用承担</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_Toc24087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7B9A115">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_Toc22800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1.6 </w:t>
      </w:r>
      <w:r>
        <w:rPr>
          <w:rFonts w:hint="eastAsia" w:hAnsi="宋体" w:cs="宋体"/>
          <w:bCs/>
          <w:color w:val="000000" w:themeColor="text1"/>
          <w:szCs w:val="21"/>
          <w:highlight w:val="none"/>
          <w14:textFill>
            <w14:solidFill>
              <w14:schemeClr w14:val="tx1"/>
            </w14:solidFill>
          </w14:textFill>
        </w:rPr>
        <w:t>保密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_Toc22800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2A08319">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_Toc2455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1.7 </w:t>
      </w:r>
      <w:r>
        <w:rPr>
          <w:rFonts w:hint="eastAsia" w:hAnsi="宋体" w:cs="宋体"/>
          <w:bCs/>
          <w:color w:val="000000" w:themeColor="text1"/>
          <w:szCs w:val="21"/>
          <w:highlight w:val="none"/>
          <w14:textFill>
            <w14:solidFill>
              <w14:schemeClr w14:val="tx1"/>
            </w14:solidFill>
          </w14:textFill>
        </w:rPr>
        <w:t>语言文字</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88D9705">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_Toc16095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1.8 </w:t>
      </w:r>
      <w:r>
        <w:rPr>
          <w:rFonts w:hint="eastAsia" w:hAnsi="宋体" w:cs="宋体"/>
          <w:bCs/>
          <w:color w:val="000000" w:themeColor="text1"/>
          <w:szCs w:val="21"/>
          <w:highlight w:val="none"/>
          <w14:textFill>
            <w14:solidFill>
              <w14:schemeClr w14:val="tx1"/>
            </w14:solidFill>
          </w14:textFill>
        </w:rPr>
        <w:t>计量单位</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_Toc16095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4097E49">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_Toc2272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1.9 </w:t>
      </w:r>
      <w:r>
        <w:rPr>
          <w:rFonts w:hint="eastAsia" w:hAnsi="宋体" w:cs="宋体"/>
          <w:bCs/>
          <w:color w:val="000000" w:themeColor="text1"/>
          <w:szCs w:val="21"/>
          <w:highlight w:val="none"/>
          <w14:textFill>
            <w14:solidFill>
              <w14:schemeClr w14:val="tx1"/>
            </w14:solidFill>
          </w14:textFill>
        </w:rPr>
        <w:t>踏勘现场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DF1014F">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_Toc29183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1.10 </w:t>
      </w:r>
      <w:r>
        <w:rPr>
          <w:rFonts w:hint="eastAsia" w:hAnsi="宋体" w:cs="宋体"/>
          <w:bCs/>
          <w:color w:val="000000" w:themeColor="text1"/>
          <w:szCs w:val="21"/>
          <w:highlight w:val="none"/>
          <w14:textFill>
            <w14:solidFill>
              <w14:schemeClr w14:val="tx1"/>
            </w14:solidFill>
          </w14:textFill>
        </w:rPr>
        <w:t>投标预备会</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_Toc29183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CF8BA08">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_Toc4903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1.11 </w:t>
      </w:r>
      <w:r>
        <w:rPr>
          <w:rFonts w:hint="eastAsia" w:hAnsi="宋体" w:cs="宋体"/>
          <w:bCs/>
          <w:color w:val="000000" w:themeColor="text1"/>
          <w:szCs w:val="21"/>
          <w:highlight w:val="none"/>
          <w14:textFill>
            <w14:solidFill>
              <w14:schemeClr w14:val="tx1"/>
            </w14:solidFill>
          </w14:textFill>
        </w:rPr>
        <w:t>分包</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_Toc4903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A63EC36">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_Toc17489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1.12</w:t>
      </w:r>
      <w:r>
        <w:rPr>
          <w:rFonts w:hint="eastAsia" w:hAnsi="宋体" w:cs="宋体"/>
          <w:bCs/>
          <w:color w:val="000000" w:themeColor="text1"/>
          <w:szCs w:val="21"/>
          <w:highlight w:val="none"/>
          <w14:textFill>
            <w14:solidFill>
              <w14:schemeClr w14:val="tx1"/>
            </w14:solidFill>
          </w14:textFill>
        </w:rPr>
        <w:t xml:space="preserve"> 响应和偏差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_Toc17489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B28B7CD">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_Toc13408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2. </w:t>
      </w:r>
      <w:r>
        <w:rPr>
          <w:rFonts w:hint="eastAsia" w:ascii="宋体" w:hAnsi="宋体" w:cs="宋体"/>
          <w:bCs/>
          <w:color w:val="000000" w:themeColor="text1"/>
          <w:szCs w:val="24"/>
          <w:highlight w:val="none"/>
          <w14:textFill>
            <w14:solidFill>
              <w14:schemeClr w14:val="tx1"/>
            </w14:solidFill>
          </w14:textFill>
        </w:rPr>
        <w:t>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_Toc13408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6367A58">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_Toc21824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2.1 </w:t>
      </w:r>
      <w:r>
        <w:rPr>
          <w:rFonts w:hint="eastAsia" w:hAnsi="宋体" w:cs="宋体"/>
          <w:bCs/>
          <w:color w:val="000000" w:themeColor="text1"/>
          <w:szCs w:val="21"/>
          <w:highlight w:val="none"/>
          <w14:textFill>
            <w14:solidFill>
              <w14:schemeClr w14:val="tx1"/>
            </w14:solidFill>
          </w14:textFill>
        </w:rPr>
        <w:t>招标文件的组成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_Toc21824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2FD036E">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_Toc27749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2.2 </w:t>
      </w:r>
      <w:r>
        <w:rPr>
          <w:rFonts w:hint="eastAsia" w:hAnsi="宋体" w:cs="宋体"/>
          <w:bCs/>
          <w:color w:val="000000" w:themeColor="text1"/>
          <w:szCs w:val="21"/>
          <w:highlight w:val="none"/>
          <w14:textFill>
            <w14:solidFill>
              <w14:schemeClr w14:val="tx1"/>
            </w14:solidFill>
          </w14:textFill>
        </w:rPr>
        <w:t>招标文件的澄清</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_Toc27749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6B73E1E">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_Toc4823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2.3 </w:t>
      </w:r>
      <w:r>
        <w:rPr>
          <w:rFonts w:hint="eastAsia" w:hAnsi="宋体" w:cs="宋体"/>
          <w:bCs/>
          <w:color w:val="000000" w:themeColor="text1"/>
          <w:szCs w:val="21"/>
          <w:highlight w:val="none"/>
          <w14:textFill>
            <w14:solidFill>
              <w14:schemeClr w14:val="tx1"/>
            </w14:solidFill>
          </w14:textFill>
        </w:rPr>
        <w:t>招标文件的修改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94C5DD2">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_Toc4171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2.4 </w:t>
      </w:r>
      <w:r>
        <w:rPr>
          <w:rFonts w:hint="eastAsia" w:hAnsi="宋体" w:cs="宋体"/>
          <w:bCs/>
          <w:color w:val="000000" w:themeColor="text1"/>
          <w:szCs w:val="21"/>
          <w:highlight w:val="none"/>
          <w14:textFill>
            <w14:solidFill>
              <w14:schemeClr w14:val="tx1"/>
            </w14:solidFill>
          </w14:textFill>
        </w:rPr>
        <w:t>招标文件的异议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_Toc4171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C1E66AE">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_Toc26694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3. </w:t>
      </w:r>
      <w:r>
        <w:rPr>
          <w:rFonts w:hint="eastAsia" w:ascii="宋体" w:hAnsi="宋体" w:cs="宋体"/>
          <w:bCs/>
          <w:color w:val="000000" w:themeColor="text1"/>
          <w:szCs w:val="24"/>
          <w:highlight w:val="none"/>
          <w14:textFill>
            <w14:solidFill>
              <w14:schemeClr w14:val="tx1"/>
            </w14:solidFill>
          </w14:textFill>
        </w:rPr>
        <w:t>投标文件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_Toc26694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BBBE09D">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_Toc18244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3.1 </w:t>
      </w:r>
      <w:r>
        <w:rPr>
          <w:rFonts w:hint="eastAsia" w:hAnsi="宋体" w:cs="宋体"/>
          <w:bCs/>
          <w:color w:val="000000" w:themeColor="text1"/>
          <w:szCs w:val="21"/>
          <w:highlight w:val="none"/>
          <w14:textFill>
            <w14:solidFill>
              <w14:schemeClr w14:val="tx1"/>
            </w14:solidFill>
          </w14:textFill>
        </w:rPr>
        <w:t>投标文件的组成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_Toc18244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3BFE9B4">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_Toc11690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3.2 </w:t>
      </w:r>
      <w:r>
        <w:rPr>
          <w:rFonts w:hint="eastAsia" w:hAnsi="宋体" w:cs="宋体"/>
          <w:bCs/>
          <w:color w:val="000000" w:themeColor="text1"/>
          <w:szCs w:val="21"/>
          <w:highlight w:val="none"/>
          <w14:textFill>
            <w14:solidFill>
              <w14:schemeClr w14:val="tx1"/>
            </w14:solidFill>
          </w14:textFill>
        </w:rPr>
        <w:t>投标报价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_Toc11690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32</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F3348C8">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_Toc1994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3.3 </w:t>
      </w:r>
      <w:r>
        <w:rPr>
          <w:rFonts w:hint="eastAsia" w:hAnsi="宋体" w:cs="宋体"/>
          <w:bCs/>
          <w:color w:val="000000" w:themeColor="text1"/>
          <w:szCs w:val="21"/>
          <w:highlight w:val="none"/>
          <w14:textFill>
            <w14:solidFill>
              <w14:schemeClr w14:val="tx1"/>
            </w14:solidFill>
          </w14:textFill>
        </w:rPr>
        <w:t>投标有效期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33</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C396638">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_Toc19232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3.4 </w:t>
      </w:r>
      <w:r>
        <w:rPr>
          <w:rFonts w:hint="eastAsia" w:hAnsi="宋体" w:cs="宋体"/>
          <w:bCs/>
          <w:color w:val="000000" w:themeColor="text1"/>
          <w:szCs w:val="21"/>
          <w:highlight w:val="none"/>
          <w14:textFill>
            <w14:solidFill>
              <w14:schemeClr w14:val="tx1"/>
            </w14:solidFill>
          </w14:textFill>
        </w:rPr>
        <w:t>投标保证金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_Toc19232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33</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0FC9969">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_Toc20843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3.5 </w:t>
      </w:r>
      <w:r>
        <w:rPr>
          <w:rFonts w:hint="eastAsia" w:hAnsi="宋体" w:cs="宋体"/>
          <w:bCs/>
          <w:color w:val="000000" w:themeColor="text1"/>
          <w:szCs w:val="21"/>
          <w:highlight w:val="none"/>
          <w14:textFill>
            <w14:solidFill>
              <w14:schemeClr w14:val="tx1"/>
            </w14:solidFill>
          </w14:textFill>
        </w:rPr>
        <w:t>资格审查资料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_Toc20843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33</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FE9985B">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_Toc23238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3.6 </w:t>
      </w:r>
      <w:r>
        <w:rPr>
          <w:rFonts w:hint="eastAsia" w:hAnsi="宋体" w:cs="宋体"/>
          <w:bCs/>
          <w:color w:val="000000" w:themeColor="text1"/>
          <w:szCs w:val="21"/>
          <w:highlight w:val="none"/>
          <w14:textFill>
            <w14:solidFill>
              <w14:schemeClr w14:val="tx1"/>
            </w14:solidFill>
          </w14:textFill>
        </w:rPr>
        <w:t>备选投标方案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34</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ADEE959">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_Toc7340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3.7 </w:t>
      </w:r>
      <w:r>
        <w:rPr>
          <w:rFonts w:hint="eastAsia" w:hAnsi="宋体" w:cs="宋体"/>
          <w:bCs/>
          <w:color w:val="000000" w:themeColor="text1"/>
          <w:szCs w:val="21"/>
          <w:highlight w:val="none"/>
          <w14:textFill>
            <w14:solidFill>
              <w14:schemeClr w14:val="tx1"/>
            </w14:solidFill>
          </w14:textFill>
        </w:rPr>
        <w:t>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_Toc7340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34</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EC86BEA">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_Toc31496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4. </w:t>
      </w:r>
      <w:r>
        <w:rPr>
          <w:rFonts w:hint="eastAsia" w:ascii="宋体" w:hAnsi="宋体" w:cs="宋体"/>
          <w:bCs/>
          <w:color w:val="000000" w:themeColor="text1"/>
          <w:szCs w:val="24"/>
          <w:highlight w:val="none"/>
          <w14:textFill>
            <w14:solidFill>
              <w14:schemeClr w14:val="tx1"/>
            </w14:solidFill>
          </w14:textFill>
        </w:rPr>
        <w:t>投标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_Toc31496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CF80B43">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_Toc31231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4.1 </w:t>
      </w:r>
      <w:r>
        <w:rPr>
          <w:rFonts w:hint="eastAsia" w:hAnsi="宋体" w:cs="宋体"/>
          <w:bCs/>
          <w:color w:val="000000" w:themeColor="text1"/>
          <w:szCs w:val="21"/>
          <w:highlight w:val="none"/>
          <w14:textFill>
            <w14:solidFill>
              <w14:schemeClr w14:val="tx1"/>
            </w14:solidFill>
          </w14:textFill>
        </w:rPr>
        <w:t>投标文件的密封和标识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6C19BB5">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_Toc23652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4.2 </w:t>
      </w:r>
      <w:r>
        <w:rPr>
          <w:rFonts w:hint="eastAsia" w:hAnsi="宋体" w:cs="宋体"/>
          <w:bCs/>
          <w:color w:val="000000" w:themeColor="text1"/>
          <w:szCs w:val="21"/>
          <w:highlight w:val="none"/>
          <w14:textFill>
            <w14:solidFill>
              <w14:schemeClr w14:val="tx1"/>
            </w14:solidFill>
          </w14:textFill>
        </w:rPr>
        <w:t>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_Toc23652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18E1C89">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_Toc20231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4.3 </w:t>
      </w:r>
      <w:r>
        <w:rPr>
          <w:rFonts w:hint="eastAsia" w:hAnsi="宋体" w:cs="宋体"/>
          <w:bCs/>
          <w:color w:val="000000" w:themeColor="text1"/>
          <w:szCs w:val="21"/>
          <w:highlight w:val="none"/>
          <w14:textFill>
            <w14:solidFill>
              <w14:schemeClr w14:val="tx1"/>
            </w14:solidFill>
          </w14:textFill>
        </w:rPr>
        <w:t>投标文件的修改与撤回</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_Toc20231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A507B1E">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_Toc17050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5. </w:t>
      </w:r>
      <w:r>
        <w:rPr>
          <w:rFonts w:hint="eastAsia" w:ascii="宋体" w:hAnsi="宋体" w:cs="宋体"/>
          <w:bCs/>
          <w:color w:val="000000" w:themeColor="text1"/>
          <w:szCs w:val="24"/>
          <w:highlight w:val="none"/>
          <w14:textFill>
            <w14:solidFill>
              <w14:schemeClr w14:val="tx1"/>
            </w14:solidFill>
          </w14:textFill>
        </w:rPr>
        <w:t>开标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_Toc17050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7DA8965">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_Toc31389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5.1 </w:t>
      </w:r>
      <w:r>
        <w:rPr>
          <w:rFonts w:hint="eastAsia" w:hAnsi="宋体" w:cs="宋体"/>
          <w:bCs/>
          <w:color w:val="000000" w:themeColor="text1"/>
          <w:szCs w:val="21"/>
          <w:highlight w:val="none"/>
          <w14:textFill>
            <w14:solidFill>
              <w14:schemeClr w14:val="tx1"/>
            </w14:solidFill>
          </w14:textFill>
        </w:rPr>
        <w:t>开标时间和地点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_Toc31389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42C2A1E">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_Toc31436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5.2 </w:t>
      </w:r>
      <w:r>
        <w:rPr>
          <w:rFonts w:hint="eastAsia" w:hAnsi="宋体" w:cs="宋体"/>
          <w:bCs/>
          <w:color w:val="000000" w:themeColor="text1"/>
          <w:szCs w:val="21"/>
          <w:highlight w:val="none"/>
          <w14:textFill>
            <w14:solidFill>
              <w14:schemeClr w14:val="tx1"/>
            </w14:solidFill>
          </w14:textFill>
        </w:rPr>
        <w:t>开标程序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_Toc31436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3D0EA40">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_Toc8263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6. </w:t>
      </w:r>
      <w:r>
        <w:rPr>
          <w:rFonts w:hint="eastAsia" w:ascii="宋体" w:hAnsi="宋体" w:cs="宋体"/>
          <w:bCs/>
          <w:color w:val="000000" w:themeColor="text1"/>
          <w:szCs w:val="24"/>
          <w:highlight w:val="none"/>
          <w14:textFill>
            <w14:solidFill>
              <w14:schemeClr w14:val="tx1"/>
            </w14:solidFill>
          </w14:textFill>
        </w:rPr>
        <w:t>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_Toc8263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8025FE3">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_Toc8621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6.1 </w:t>
      </w:r>
      <w:r>
        <w:rPr>
          <w:rFonts w:hint="eastAsia" w:hAnsi="宋体" w:cs="宋体"/>
          <w:bCs/>
          <w:color w:val="000000" w:themeColor="text1"/>
          <w:szCs w:val="21"/>
          <w:highlight w:val="none"/>
          <w14:textFill>
            <w14:solidFill>
              <w14:schemeClr w14:val="tx1"/>
            </w14:solidFill>
          </w14:textFill>
        </w:rPr>
        <w:t>评标委员会</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87BBA8D">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_Toc29743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6.2 </w:t>
      </w:r>
      <w:r>
        <w:rPr>
          <w:rFonts w:hint="eastAsia" w:hAnsi="宋体" w:cs="宋体"/>
          <w:bCs/>
          <w:color w:val="000000" w:themeColor="text1"/>
          <w:szCs w:val="21"/>
          <w:highlight w:val="none"/>
          <w14:textFill>
            <w14:solidFill>
              <w14:schemeClr w14:val="tx1"/>
            </w14:solidFill>
          </w14:textFill>
        </w:rPr>
        <w:t>评标原则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_Toc29743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F83D819">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_Toc2925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6.3 </w:t>
      </w:r>
      <w:r>
        <w:rPr>
          <w:rFonts w:hint="eastAsia" w:hAnsi="宋体" w:cs="宋体"/>
          <w:bCs/>
          <w:color w:val="000000" w:themeColor="text1"/>
          <w:szCs w:val="21"/>
          <w:highlight w:val="none"/>
          <w14:textFill>
            <w14:solidFill>
              <w14:schemeClr w14:val="tx1"/>
            </w14:solidFill>
          </w14:textFill>
        </w:rPr>
        <w:t>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_Toc2925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6619194">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_Toc18067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7. </w:t>
      </w:r>
      <w:r>
        <w:rPr>
          <w:rFonts w:hint="eastAsia" w:ascii="宋体" w:hAnsi="宋体" w:cs="宋体"/>
          <w:bCs/>
          <w:color w:val="000000" w:themeColor="text1"/>
          <w:szCs w:val="24"/>
          <w:highlight w:val="none"/>
          <w14:textFill>
            <w14:solidFill>
              <w14:schemeClr w14:val="tx1"/>
            </w14:solidFill>
          </w14:textFill>
        </w:rPr>
        <w:t>合同授予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_Toc18067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25E3CD0">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_Toc30132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7.1 </w:t>
      </w:r>
      <w:r>
        <w:rPr>
          <w:rFonts w:hint="eastAsia" w:hAnsi="宋体" w:cs="宋体"/>
          <w:bCs/>
          <w:color w:val="000000" w:themeColor="text1"/>
          <w:szCs w:val="21"/>
          <w:highlight w:val="none"/>
          <w14:textFill>
            <w14:solidFill>
              <w14:schemeClr w14:val="tx1"/>
            </w14:solidFill>
          </w14:textFill>
        </w:rPr>
        <w:t>中标候选人公示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_Toc30132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10F14BE">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_Toc23816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7.2 </w:t>
      </w:r>
      <w:r>
        <w:rPr>
          <w:rFonts w:hint="eastAsia" w:hAnsi="宋体" w:cs="宋体"/>
          <w:bCs/>
          <w:color w:val="000000" w:themeColor="text1"/>
          <w:szCs w:val="21"/>
          <w:highlight w:val="none"/>
          <w14:textFill>
            <w14:solidFill>
              <w14:schemeClr w14:val="tx1"/>
            </w14:solidFill>
          </w14:textFill>
        </w:rPr>
        <w:t>评标结果异议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_Toc23816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DE884AE">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_Toc17813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7.3 </w:t>
      </w:r>
      <w:r>
        <w:rPr>
          <w:rFonts w:hint="eastAsia" w:hAnsi="宋体" w:cs="宋体"/>
          <w:bCs/>
          <w:color w:val="000000" w:themeColor="text1"/>
          <w:szCs w:val="21"/>
          <w:highlight w:val="none"/>
          <w14:textFill>
            <w14:solidFill>
              <w14:schemeClr w14:val="tx1"/>
            </w14:solidFill>
          </w14:textFill>
        </w:rPr>
        <w:t>中标候选人履约能力审查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_Toc17813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B270611">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_Toc31297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7.4 </w:t>
      </w:r>
      <w:r>
        <w:rPr>
          <w:rFonts w:hint="eastAsia" w:hAnsi="宋体" w:cs="宋体"/>
          <w:bCs/>
          <w:color w:val="000000" w:themeColor="text1"/>
          <w:szCs w:val="21"/>
          <w:highlight w:val="none"/>
          <w14:textFill>
            <w14:solidFill>
              <w14:schemeClr w14:val="tx1"/>
            </w14:solidFill>
          </w14:textFill>
        </w:rPr>
        <w:t>定标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F89E458">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_Toc29557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7.5 </w:t>
      </w:r>
      <w:r>
        <w:rPr>
          <w:rFonts w:hint="eastAsia" w:hAnsi="宋体" w:cs="宋体"/>
          <w:bCs/>
          <w:color w:val="000000" w:themeColor="text1"/>
          <w:szCs w:val="21"/>
          <w:highlight w:val="none"/>
          <w14:textFill>
            <w14:solidFill>
              <w14:schemeClr w14:val="tx1"/>
            </w14:solidFill>
          </w14:textFill>
        </w:rPr>
        <w:t>中标通知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_Toc29557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2DB287A">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_Toc23458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5.3 </w:t>
      </w:r>
      <w:r>
        <w:rPr>
          <w:rFonts w:hint="eastAsia" w:hAnsi="宋体" w:cs="宋体"/>
          <w:bCs/>
          <w:color w:val="000000" w:themeColor="text1"/>
          <w:szCs w:val="21"/>
          <w:highlight w:val="none"/>
          <w14:textFill>
            <w14:solidFill>
              <w14:schemeClr w14:val="tx1"/>
            </w14:solidFill>
          </w14:textFill>
        </w:rPr>
        <w:t>开标异议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_Toc23458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0E1506B">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_Toc7024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7.6 </w:t>
      </w:r>
      <w:r>
        <w:rPr>
          <w:rFonts w:hint="eastAsia" w:hAnsi="宋体" w:cs="宋体"/>
          <w:bCs/>
          <w:color w:val="000000" w:themeColor="text1"/>
          <w:szCs w:val="21"/>
          <w:highlight w:val="none"/>
          <w14:textFill>
            <w14:solidFill>
              <w14:schemeClr w14:val="tx1"/>
            </w14:solidFill>
          </w14:textFill>
        </w:rPr>
        <w:t>中标结果公告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_Toc7024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9FEA5E1">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_Toc22519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7.7 </w:t>
      </w:r>
      <w:r>
        <w:rPr>
          <w:rFonts w:hint="eastAsia" w:hAnsi="宋体" w:cs="宋体"/>
          <w:bCs/>
          <w:color w:val="000000" w:themeColor="text1"/>
          <w:szCs w:val="21"/>
          <w:highlight w:val="none"/>
          <w14:textFill>
            <w14:solidFill>
              <w14:schemeClr w14:val="tx1"/>
            </w14:solidFill>
          </w14:textFill>
        </w:rPr>
        <w:t>履约保证金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_Toc22519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3884EB2">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_Toc16314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7.8 </w:t>
      </w:r>
      <w:r>
        <w:rPr>
          <w:rFonts w:hint="eastAsia" w:hAnsi="宋体" w:cs="宋体"/>
          <w:bCs/>
          <w:color w:val="000000" w:themeColor="text1"/>
          <w:szCs w:val="21"/>
          <w:highlight w:val="none"/>
          <w14:textFill>
            <w14:solidFill>
              <w14:schemeClr w14:val="tx1"/>
            </w14:solidFill>
          </w14:textFill>
        </w:rPr>
        <w:t>签订合同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_Toc16314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0268995">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_Toc15578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8. </w:t>
      </w:r>
      <w:r>
        <w:rPr>
          <w:rFonts w:hint="eastAsia" w:ascii="宋体" w:hAnsi="宋体" w:cs="宋体"/>
          <w:bCs/>
          <w:color w:val="000000" w:themeColor="text1"/>
          <w:szCs w:val="24"/>
          <w:highlight w:val="none"/>
          <w14:textFill>
            <w14:solidFill>
              <w14:schemeClr w14:val="tx1"/>
            </w14:solidFill>
          </w14:textFill>
        </w:rPr>
        <w:t>纪律和监督</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_Toc15578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DA3C364">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_Toc17140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8.1 </w:t>
      </w:r>
      <w:r>
        <w:rPr>
          <w:rFonts w:hint="eastAsia" w:hAnsi="宋体" w:cs="宋体"/>
          <w:bCs/>
          <w:color w:val="000000" w:themeColor="text1"/>
          <w:szCs w:val="21"/>
          <w:highlight w:val="none"/>
          <w14:textFill>
            <w14:solidFill>
              <w14:schemeClr w14:val="tx1"/>
            </w14:solidFill>
          </w14:textFill>
        </w:rPr>
        <w:t>对招标人的纪律要求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_Toc17140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B1581FD">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_Toc587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8.2 </w:t>
      </w:r>
      <w:r>
        <w:rPr>
          <w:rFonts w:hint="eastAsia" w:hAnsi="宋体" w:cs="宋体"/>
          <w:bCs/>
          <w:color w:val="000000" w:themeColor="text1"/>
          <w:szCs w:val="21"/>
          <w:highlight w:val="none"/>
          <w14:textFill>
            <w14:solidFill>
              <w14:schemeClr w14:val="tx1"/>
            </w14:solidFill>
          </w14:textFill>
        </w:rPr>
        <w:t>对投标人的纪律要求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45E85E9">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_Toc17958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8.3 </w:t>
      </w:r>
      <w:r>
        <w:rPr>
          <w:rFonts w:hint="eastAsia" w:hAnsi="宋体" w:cs="宋体"/>
          <w:bCs/>
          <w:color w:val="000000" w:themeColor="text1"/>
          <w:szCs w:val="21"/>
          <w:highlight w:val="none"/>
          <w14:textFill>
            <w14:solidFill>
              <w14:schemeClr w14:val="tx1"/>
            </w14:solidFill>
          </w14:textFill>
        </w:rPr>
        <w:t>对评标委员会成员的纪律要求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_Toc17958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6380C1F">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_Toc30034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8.4 </w:t>
      </w:r>
      <w:r>
        <w:rPr>
          <w:rFonts w:hint="eastAsia" w:hAnsi="宋体" w:cs="宋体"/>
          <w:bCs/>
          <w:color w:val="000000" w:themeColor="text1"/>
          <w:szCs w:val="21"/>
          <w:highlight w:val="none"/>
          <w14:textFill>
            <w14:solidFill>
              <w14:schemeClr w14:val="tx1"/>
            </w14:solidFill>
          </w14:textFill>
        </w:rPr>
        <w:t>对与评标活动有关的工作人员的纪律要求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_Toc30034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6373283">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_Toc25220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8.5 </w:t>
      </w:r>
      <w:r>
        <w:rPr>
          <w:rFonts w:hint="eastAsia" w:hAnsi="宋体" w:cs="宋体"/>
          <w:bCs/>
          <w:color w:val="000000" w:themeColor="text1"/>
          <w:szCs w:val="21"/>
          <w:highlight w:val="none"/>
          <w14:textFill>
            <w14:solidFill>
              <w14:schemeClr w14:val="tx1"/>
            </w14:solidFill>
          </w14:textFill>
        </w:rPr>
        <w:t>投诉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_Toc25220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4051EFC">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_Toc26838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bCs/>
          <w:color w:val="000000" w:themeColor="text1"/>
          <w:szCs w:val="24"/>
          <w:highlight w:val="none"/>
          <w14:textFill>
            <w14:solidFill>
              <w14:schemeClr w14:val="tx1"/>
            </w14:solidFill>
          </w14:textFill>
        </w:rPr>
        <w:t xml:space="preserve">9. </w:t>
      </w:r>
      <w:r>
        <w:rPr>
          <w:rFonts w:hint="eastAsia" w:ascii="宋体" w:hAnsi="宋体" w:cs="宋体"/>
          <w:bCs/>
          <w:color w:val="000000" w:themeColor="text1"/>
          <w:szCs w:val="24"/>
          <w:highlight w:val="none"/>
          <w14:textFill>
            <w14:solidFill>
              <w14:schemeClr w14:val="tx1"/>
            </w14:solidFill>
          </w14:textFill>
        </w:rPr>
        <w:t>需要补充的其他内容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_Toc26838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E431EFD">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_Toc25897 </w:instrText>
      </w:r>
      <w:r>
        <w:rPr>
          <w:rFonts w:hint="eastAsia" w:ascii="宋体" w:hAnsi="宋体" w:cs="宋体"/>
          <w:color w:val="000000" w:themeColor="text1"/>
          <w:szCs w:val="21"/>
          <w:highlight w:val="none"/>
          <w14:textFill>
            <w14:solidFill>
              <w14:schemeClr w14:val="tx1"/>
            </w14:solidFill>
          </w14:textFill>
        </w:rPr>
        <w:fldChar w:fldCharType="separate"/>
      </w:r>
      <w:r>
        <w:rPr>
          <w:rFonts w:hAnsi="宋体" w:cs="宋体"/>
          <w:bCs/>
          <w:color w:val="000000" w:themeColor="text1"/>
          <w:szCs w:val="21"/>
          <w:highlight w:val="none"/>
          <w14:textFill>
            <w14:solidFill>
              <w14:schemeClr w14:val="tx1"/>
            </w14:solidFill>
          </w14:textFill>
        </w:rPr>
        <w:t xml:space="preserve">9.2 </w:t>
      </w:r>
      <w:r>
        <w:rPr>
          <w:rFonts w:hint="eastAsia" w:hAnsi="宋体" w:cs="宋体"/>
          <w:bCs/>
          <w:color w:val="000000" w:themeColor="text1"/>
          <w:szCs w:val="21"/>
          <w:highlight w:val="none"/>
          <w14:textFill>
            <w14:solidFill>
              <w14:schemeClr w14:val="tx1"/>
            </w14:solidFill>
          </w14:textFill>
        </w:rPr>
        <w:t>其他约定</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_Toc25897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96EAE09">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_Toc7051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8"/>
          <w:highlight w:val="none"/>
          <w14:textFill>
            <w14:solidFill>
              <w14:schemeClr w14:val="tx1"/>
            </w14:solidFill>
          </w14:textFill>
        </w:rPr>
        <w:t>附表一：开标记录表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_Toc7051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6CAA121">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_Toc13447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8"/>
          <w:highlight w:val="none"/>
          <w14:textFill>
            <w14:solidFill>
              <w14:schemeClr w14:val="tx1"/>
            </w14:solidFill>
          </w14:textFill>
        </w:rPr>
        <w:t>附表二：问题澄清通知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_Toc13447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42</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6A260FA">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_Toc15002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8"/>
          <w:highlight w:val="none"/>
          <w14:textFill>
            <w14:solidFill>
              <w14:schemeClr w14:val="tx1"/>
            </w14:solidFill>
          </w14:textFill>
        </w:rPr>
        <w:t>附表三：问题的澄清</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_Toc15002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43</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5026DC4">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_Toc25849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8"/>
          <w:highlight w:val="none"/>
          <w14:textFill>
            <w14:solidFill>
              <w14:schemeClr w14:val="tx1"/>
            </w14:solidFill>
          </w14:textFill>
        </w:rPr>
        <w:t>附表四：中标通知书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_Toc25849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44</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1C60951">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_Toc24838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8"/>
          <w:highlight w:val="none"/>
          <w14:textFill>
            <w14:solidFill>
              <w14:schemeClr w14:val="tx1"/>
            </w14:solidFill>
          </w14:textFill>
        </w:rPr>
        <w:t>附表五：中标结果通知书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_Toc24838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5BC3D11">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_Toc10386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8"/>
          <w:highlight w:val="none"/>
          <w14:textFill>
            <w14:solidFill>
              <w14:schemeClr w14:val="tx1"/>
            </w14:solidFill>
          </w14:textFill>
        </w:rPr>
        <w:t>附表六：确认通知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_Toc10386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1A59D21">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_Toc22341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eastAsia="黑体"/>
          <w:color w:val="000000" w:themeColor="text1"/>
          <w:szCs w:val="48"/>
          <w:highlight w:val="none"/>
          <w14:textFill>
            <w14:solidFill>
              <w14:schemeClr w14:val="tx1"/>
            </w14:solidFill>
          </w14:textFill>
        </w:rPr>
        <w:t>第三章</w:t>
      </w:r>
      <w:r>
        <w:rPr>
          <w:rFonts w:eastAsia="黑体"/>
          <w:color w:val="000000" w:themeColor="text1"/>
          <w:szCs w:val="48"/>
          <w:highlight w:val="none"/>
          <w14:textFill>
            <w14:solidFill>
              <w14:schemeClr w14:val="tx1"/>
            </w14:solidFill>
          </w14:textFill>
        </w:rPr>
        <w:t xml:space="preserve">  </w:t>
      </w:r>
      <w:r>
        <w:rPr>
          <w:rFonts w:hint="eastAsia" w:eastAsia="黑体"/>
          <w:color w:val="000000" w:themeColor="text1"/>
          <w:szCs w:val="48"/>
          <w:highlight w:val="none"/>
          <w14:textFill>
            <w14:solidFill>
              <w14:schemeClr w14:val="tx1"/>
            </w14:solidFill>
          </w14:textFill>
        </w:rPr>
        <w:t>评标办法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_Toc22341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B5183D9">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_Toc20954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32"/>
          <w:highlight w:val="none"/>
          <w14:textFill>
            <w14:solidFill>
              <w14:schemeClr w14:val="tx1"/>
            </w14:solidFill>
          </w14:textFill>
        </w:rPr>
        <w:t>评标办法（技术通过制的合理低价法）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E65EA81">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_Toc18944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Times New Roman" w:hAnsi="Times New Roman"/>
          <w:color w:val="000000" w:themeColor="text1"/>
          <w:szCs w:val="28"/>
          <w:highlight w:val="none"/>
          <w14:textFill>
            <w14:solidFill>
              <w14:schemeClr w14:val="tx1"/>
            </w14:solidFill>
          </w14:textFill>
        </w:rPr>
        <w:t>评标办法前附表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_Toc18944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9AA6FD5">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_Toc30223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Times New Roman" w:hAnsi="Times New Roman"/>
          <w:color w:val="000000" w:themeColor="text1"/>
          <w:szCs w:val="28"/>
          <w:highlight w:val="none"/>
          <w14:textFill>
            <w14:solidFill>
              <w14:schemeClr w14:val="tx1"/>
            </w14:solidFill>
          </w14:textFill>
        </w:rPr>
        <w:t xml:space="preserve">1. </w:t>
      </w:r>
      <w:r>
        <w:rPr>
          <w:rFonts w:hint="eastAsia" w:ascii="Times New Roman" w:hAnsi="Times New Roman"/>
          <w:color w:val="000000" w:themeColor="text1"/>
          <w:szCs w:val="28"/>
          <w:highlight w:val="none"/>
          <w14:textFill>
            <w14:solidFill>
              <w14:schemeClr w14:val="tx1"/>
            </w14:solidFill>
          </w14:textFill>
        </w:rPr>
        <w:t>评标方法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_Toc30223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54</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23E091E">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_Toc4048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Times New Roman" w:hAnsi="Times New Roman"/>
          <w:color w:val="000000" w:themeColor="text1"/>
          <w:szCs w:val="28"/>
          <w:highlight w:val="none"/>
          <w14:textFill>
            <w14:solidFill>
              <w14:schemeClr w14:val="tx1"/>
            </w14:solidFill>
          </w14:textFill>
        </w:rPr>
        <w:t xml:space="preserve">2. </w:t>
      </w:r>
      <w:r>
        <w:rPr>
          <w:rFonts w:hint="eastAsia" w:ascii="Times New Roman" w:hAnsi="Times New Roman"/>
          <w:color w:val="000000" w:themeColor="text1"/>
          <w:szCs w:val="28"/>
          <w:highlight w:val="none"/>
          <w14:textFill>
            <w14:solidFill>
              <w14:schemeClr w14:val="tx1"/>
            </w14:solidFill>
          </w14:textFill>
        </w:rPr>
        <w:t>评审标准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_Toc4048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54</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A9F3391">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_Toc5742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Times New Roman" w:hAnsi="Times New Roman"/>
          <w:color w:val="000000" w:themeColor="text1"/>
          <w:szCs w:val="28"/>
          <w:highlight w:val="none"/>
          <w14:textFill>
            <w14:solidFill>
              <w14:schemeClr w14:val="tx1"/>
            </w14:solidFill>
          </w14:textFill>
        </w:rPr>
        <w:t xml:space="preserve">3. </w:t>
      </w:r>
      <w:r>
        <w:rPr>
          <w:rFonts w:hint="eastAsia" w:ascii="Times New Roman" w:hAnsi="Times New Roman"/>
          <w:color w:val="000000" w:themeColor="text1"/>
          <w:szCs w:val="28"/>
          <w:highlight w:val="none"/>
          <w14:textFill>
            <w14:solidFill>
              <w14:schemeClr w14:val="tx1"/>
            </w14:solidFill>
          </w14:textFill>
        </w:rPr>
        <w:t>评标程序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_Toc5742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3E823F9">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_Toc15842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48"/>
          <w:highlight w:val="none"/>
          <w14:textFill>
            <w14:solidFill>
              <w14:schemeClr w14:val="tx1"/>
            </w14:solidFill>
          </w14:textFill>
        </w:rPr>
        <w:t>第四章 合同条款及格式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_Toc15842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605719F">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_Toc12493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第一节 通用合同条款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_Toc12493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87EF310">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_Toc2722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第二节 专用合同条款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DC493F0">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_Toc23060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A．公路工程专用合同条款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_Toc23060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1A04F0E">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_Toc14047 </w:instrText>
      </w:r>
      <w:r>
        <w:rPr>
          <w:rFonts w:hint="eastAsia" w:ascii="宋体" w:hAnsi="宋体" w:cs="宋体"/>
          <w:color w:val="000000" w:themeColor="text1"/>
          <w:szCs w:val="2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B．项目专用合同条款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_Toc14047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5A6ADA6">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_Toc22859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color w:val="000000" w:themeColor="text1"/>
          <w:szCs w:val="32"/>
          <w:highlight w:val="none"/>
          <w14:textFill>
            <w14:solidFill>
              <w14:schemeClr w14:val="tx1"/>
            </w14:solidFill>
          </w14:textFill>
        </w:rPr>
        <w:t>项目专用合同条款（合同协议书）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_Toc22859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51E2FFA">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_Toc14606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hAnsi="宋体"/>
          <w:bCs/>
          <w:color w:val="000000" w:themeColor="text1"/>
          <w:szCs w:val="21"/>
          <w:highlight w:val="none"/>
          <w14:textFill>
            <w14:solidFill>
              <w14:schemeClr w14:val="tx1"/>
            </w14:solidFill>
          </w14:textFill>
        </w:rPr>
        <w:t>附件一</w:t>
      </w:r>
      <w:r>
        <w:rPr>
          <w:rFonts w:hAnsi="宋体"/>
          <w:bCs/>
          <w:color w:val="000000" w:themeColor="text1"/>
          <w:szCs w:val="21"/>
          <w:highlight w:val="none"/>
          <w14:textFill>
            <w14:solidFill>
              <w14:schemeClr w14:val="tx1"/>
            </w14:solidFill>
          </w14:textFill>
        </w:rPr>
        <w:t xml:space="preserve"> </w:t>
      </w:r>
      <w:r>
        <w:rPr>
          <w:rFonts w:hint="eastAsia" w:hAnsi="宋体"/>
          <w:bCs/>
          <w:color w:val="000000" w:themeColor="text1"/>
          <w:szCs w:val="21"/>
          <w:highlight w:val="none"/>
          <w14:textFill>
            <w14:solidFill>
              <w14:schemeClr w14:val="tx1"/>
            </w14:solidFill>
          </w14:textFill>
        </w:rPr>
        <w:t>廉政合同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_Toc14606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73</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143C8FB">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_Toc12382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hAnsi="宋体"/>
          <w:bCs/>
          <w:color w:val="000000" w:themeColor="text1"/>
          <w:szCs w:val="21"/>
          <w:highlight w:val="none"/>
          <w14:textFill>
            <w14:solidFill>
              <w14:schemeClr w14:val="tx1"/>
            </w14:solidFill>
          </w14:textFill>
        </w:rPr>
        <w:t xml:space="preserve">附件二 </w:t>
      </w:r>
      <w:r>
        <w:rPr>
          <w:rFonts w:hAnsi="宋体"/>
          <w:bCs/>
          <w:color w:val="000000" w:themeColor="text1"/>
          <w:szCs w:val="21"/>
          <w:highlight w:val="none"/>
          <w14:textFill>
            <w14:solidFill>
              <w14:schemeClr w14:val="tx1"/>
            </w14:solidFill>
          </w14:textFill>
        </w:rPr>
        <w:t xml:space="preserve"> </w:t>
      </w:r>
      <w:r>
        <w:rPr>
          <w:rFonts w:hint="eastAsia" w:hAnsi="宋体"/>
          <w:bCs/>
          <w:color w:val="000000" w:themeColor="text1"/>
          <w:szCs w:val="21"/>
          <w:highlight w:val="none"/>
          <w14:textFill>
            <w14:solidFill>
              <w14:schemeClr w14:val="tx1"/>
            </w14:solidFill>
          </w14:textFill>
        </w:rPr>
        <w:t>安全生产合同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_Toc12382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50A37AE">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_Toc911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hAnsi="宋体"/>
          <w:bCs/>
          <w:color w:val="000000" w:themeColor="text1"/>
          <w:szCs w:val="21"/>
          <w:highlight w:val="none"/>
          <w14:textFill>
            <w14:solidFill>
              <w14:schemeClr w14:val="tx1"/>
            </w14:solidFill>
          </w14:textFill>
        </w:rPr>
        <w:t xml:space="preserve">附件三 </w:t>
      </w:r>
      <w:r>
        <w:rPr>
          <w:rFonts w:hAnsi="宋体"/>
          <w:bCs/>
          <w:color w:val="000000" w:themeColor="text1"/>
          <w:szCs w:val="21"/>
          <w:highlight w:val="none"/>
          <w14:textFill>
            <w14:solidFill>
              <w14:schemeClr w14:val="tx1"/>
            </w14:solidFill>
          </w14:textFill>
        </w:rPr>
        <w:t xml:space="preserve"> </w:t>
      </w:r>
      <w:r>
        <w:rPr>
          <w:rFonts w:hint="eastAsia" w:hAnsi="宋体"/>
          <w:bCs/>
          <w:color w:val="000000" w:themeColor="text1"/>
          <w:szCs w:val="21"/>
          <w:highlight w:val="none"/>
          <w14:textFill>
            <w14:solidFill>
              <w14:schemeClr w14:val="tx1"/>
            </w14:solidFill>
          </w14:textFill>
        </w:rPr>
        <w:t>其他主要管理人员和技术人员最低要求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_Toc911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61DA780">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_Toc10187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hAnsi="宋体"/>
          <w:bCs/>
          <w:color w:val="000000" w:themeColor="text1"/>
          <w:szCs w:val="21"/>
          <w:highlight w:val="none"/>
          <w14:textFill>
            <w14:solidFill>
              <w14:schemeClr w14:val="tx1"/>
            </w14:solidFill>
          </w14:textFill>
        </w:rPr>
        <w:t>附件四  主要机械设备和试验检测设备最低要求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_Toc10187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291CFA2">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_Toc17950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hAnsi="宋体"/>
          <w:bCs/>
          <w:color w:val="000000" w:themeColor="text1"/>
          <w:szCs w:val="21"/>
          <w:highlight w:val="none"/>
          <w14:textFill>
            <w14:solidFill>
              <w14:schemeClr w14:val="tx1"/>
            </w14:solidFill>
          </w14:textFill>
        </w:rPr>
        <w:t>附件五</w:t>
      </w:r>
      <w:r>
        <w:rPr>
          <w:rFonts w:hAnsi="宋体"/>
          <w:bCs/>
          <w:color w:val="000000" w:themeColor="text1"/>
          <w:szCs w:val="21"/>
          <w:highlight w:val="none"/>
          <w14:textFill>
            <w14:solidFill>
              <w14:schemeClr w14:val="tx1"/>
            </w14:solidFill>
          </w14:textFill>
        </w:rPr>
        <w:t xml:space="preserve">  </w:t>
      </w:r>
      <w:r>
        <w:rPr>
          <w:rFonts w:hint="eastAsia" w:hAnsi="宋体"/>
          <w:bCs/>
          <w:color w:val="000000" w:themeColor="text1"/>
          <w:szCs w:val="21"/>
          <w:highlight w:val="none"/>
          <w14:textFill>
            <w14:solidFill>
              <w14:schemeClr w14:val="tx1"/>
            </w14:solidFill>
          </w14:textFill>
        </w:rPr>
        <w:t>项目经理委任书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_Toc17950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93B45AC">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_Toc23750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hAnsi="宋体"/>
          <w:bCs/>
          <w:color w:val="000000" w:themeColor="text1"/>
          <w:szCs w:val="21"/>
          <w:highlight w:val="none"/>
          <w14:textFill>
            <w14:solidFill>
              <w14:schemeClr w14:val="tx1"/>
            </w14:solidFill>
          </w14:textFill>
        </w:rPr>
        <w:t>附件六</w:t>
      </w:r>
      <w:r>
        <w:rPr>
          <w:rFonts w:hAnsi="宋体"/>
          <w:bCs/>
          <w:color w:val="000000" w:themeColor="text1"/>
          <w:szCs w:val="21"/>
          <w:highlight w:val="none"/>
          <w14:textFill>
            <w14:solidFill>
              <w14:schemeClr w14:val="tx1"/>
            </w14:solidFill>
          </w14:textFill>
        </w:rPr>
        <w:t xml:space="preserve">  </w:t>
      </w:r>
      <w:r>
        <w:rPr>
          <w:rFonts w:hint="eastAsia" w:hAnsi="宋体"/>
          <w:bCs/>
          <w:color w:val="000000" w:themeColor="text1"/>
          <w:szCs w:val="21"/>
          <w:highlight w:val="none"/>
          <w14:textFill>
            <w14:solidFill>
              <w14:schemeClr w14:val="tx1"/>
            </w14:solidFill>
          </w14:textFill>
        </w:rPr>
        <w:t>履约保证金格式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_Toc23750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6FE3544">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_Toc19418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hAnsi="宋体"/>
          <w:bCs/>
          <w:color w:val="000000" w:themeColor="text1"/>
          <w:szCs w:val="21"/>
          <w:highlight w:val="none"/>
          <w14:textFill>
            <w14:solidFill>
              <w14:schemeClr w14:val="tx1"/>
            </w14:solidFill>
          </w14:textFill>
        </w:rPr>
        <w:t>附件七</w:t>
      </w:r>
      <w:r>
        <w:rPr>
          <w:rFonts w:hAnsi="宋体"/>
          <w:bCs/>
          <w:color w:val="000000" w:themeColor="text1"/>
          <w:szCs w:val="21"/>
          <w:highlight w:val="none"/>
          <w14:textFill>
            <w14:solidFill>
              <w14:schemeClr w14:val="tx1"/>
            </w14:solidFill>
          </w14:textFill>
        </w:rPr>
        <w:t xml:space="preserve">  </w:t>
      </w:r>
      <w:r>
        <w:rPr>
          <w:rFonts w:hint="eastAsia" w:hAnsi="宋体"/>
          <w:bCs/>
          <w:color w:val="000000" w:themeColor="text1"/>
          <w:szCs w:val="21"/>
          <w:highlight w:val="none"/>
          <w14:textFill>
            <w14:solidFill>
              <w14:schemeClr w14:val="tx1"/>
            </w14:solidFill>
          </w14:textFill>
        </w:rPr>
        <w:t>工程质量责任合同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_Toc19418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82</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A1E7488">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_Toc3495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hAnsi="宋体"/>
          <w:bCs/>
          <w:color w:val="000000" w:themeColor="text1"/>
          <w:szCs w:val="21"/>
          <w:highlight w:val="none"/>
          <w14:textFill>
            <w14:solidFill>
              <w14:schemeClr w14:val="tx1"/>
            </w14:solidFill>
          </w14:textFill>
        </w:rPr>
        <w:t>附件八</w:t>
      </w:r>
      <w:r>
        <w:rPr>
          <w:rFonts w:hAnsi="宋体"/>
          <w:bCs/>
          <w:color w:val="000000" w:themeColor="text1"/>
          <w:szCs w:val="21"/>
          <w:highlight w:val="none"/>
          <w14:textFill>
            <w14:solidFill>
              <w14:schemeClr w14:val="tx1"/>
            </w14:solidFill>
          </w14:textFill>
        </w:rPr>
        <w:t xml:space="preserve">  </w:t>
      </w:r>
      <w:r>
        <w:rPr>
          <w:rFonts w:hint="eastAsia" w:hAnsi="宋体"/>
          <w:bCs/>
          <w:color w:val="000000" w:themeColor="text1"/>
          <w:szCs w:val="21"/>
          <w:highlight w:val="none"/>
          <w14:textFill>
            <w14:solidFill>
              <w14:schemeClr w14:val="tx1"/>
            </w14:solidFill>
          </w14:textFill>
        </w:rPr>
        <w:t>相关人员在职承诺书格式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_Toc3495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84</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9E754F1">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_Toc25231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48"/>
          <w:highlight w:val="none"/>
          <w14:textFill>
            <w14:solidFill>
              <w14:schemeClr w14:val="tx1"/>
            </w14:solidFill>
          </w14:textFill>
        </w:rPr>
        <w:t>第五章 工程量清单（另册）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_Toc25231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C265196">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_Toc32412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84"/>
          <w:highlight w:val="none"/>
          <w14:textFill>
            <w14:solidFill>
              <w14:schemeClr w14:val="tx1"/>
            </w14:solidFill>
          </w14:textFill>
        </w:rPr>
        <w:t>第二卷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_Toc32412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A9D0934">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_Toc23832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48"/>
          <w:highlight w:val="none"/>
          <w14:textFill>
            <w14:solidFill>
              <w14:schemeClr w14:val="tx1"/>
            </w14:solidFill>
          </w14:textFill>
        </w:rPr>
        <w:t>第六章  图纸（另册）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_Toc23832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75EE6A8">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_Toc24808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84"/>
          <w:highlight w:val="none"/>
          <w14:textFill>
            <w14:solidFill>
              <w14:schemeClr w14:val="tx1"/>
            </w14:solidFill>
          </w14:textFill>
        </w:rPr>
        <w:t>第三卷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_Toc24808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47775F0">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_Toc4636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48"/>
          <w:highlight w:val="none"/>
          <w14:textFill>
            <w14:solidFill>
              <w14:schemeClr w14:val="tx1"/>
            </w14:solidFill>
          </w14:textFill>
        </w:rPr>
        <w:t>第七章  技术规范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_Toc4636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6A283410">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_Toc14659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48"/>
          <w:highlight w:val="none"/>
          <w14:textFill>
            <w14:solidFill>
              <w14:schemeClr w14:val="tx1"/>
            </w14:solidFill>
          </w14:textFill>
        </w:rPr>
        <w:t>第八章 工程量清单计量规则（另册）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_Toc14659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5B0EF12">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_Toc374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84"/>
          <w:highlight w:val="none"/>
          <w14:textFill>
            <w14:solidFill>
              <w14:schemeClr w14:val="tx1"/>
            </w14:solidFill>
          </w14:textFill>
        </w:rPr>
        <w:t>第四卷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_Toc374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B2E59DC">
      <w:pPr>
        <w:pStyle w:val="17"/>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_Toc26133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48"/>
          <w:highlight w:val="none"/>
          <w14:textFill>
            <w14:solidFill>
              <w14:schemeClr w14:val="tx1"/>
            </w14:solidFill>
          </w14:textFill>
        </w:rPr>
        <w:t>第九章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_Toc26133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92</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E4E5921">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_Toc24064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color w:val="000000" w:themeColor="text1"/>
          <w:szCs w:val="36"/>
          <w:highlight w:val="none"/>
          <w14:textFill>
            <w14:solidFill>
              <w14:schemeClr w14:val="tx1"/>
            </w14:solidFill>
          </w14:textFill>
        </w:rPr>
        <w:t>第一个信封（商务及技术文件）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_Toc24064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93</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BCE5140">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_Toc26268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一、投标函及投标函附录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_Toc26268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177DDB6">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_Toc4278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（一）投标函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_Toc4278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B36381F">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_Toc20932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二、授权委托书或法定代表人身份证明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6420271">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_Toc22413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（一）授权委托书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_Toc22413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2D90988">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_Toc28552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（二）法定代表人身份证明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_Toc28552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767E7BC0">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_Toc24323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三、投标保证金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_Toc24323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2E52DB3">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_Toc4091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四、项目管理机构</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_Toc4091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A95D56D">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_Toc19918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五、资格审查资料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_Toc19918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292168E">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_Toc30035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（一）投标人基本情况表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_Toc30035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1926BCF">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_Toc8758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（二）投标人企业组织机构框图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_Toc8758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D78B5B7">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_Toc7652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（三）近年财务状况表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_Toc7652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102</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47F9D077">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_Toc7626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（四）近年完成的类似项目情况表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_Toc7626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E1F23F5">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_Toc6010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（五）投标人的信誉情况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_Toc6010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106</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765F1DA">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_Toc1967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（六）拟委任的项目经理、项目技术负责人资历表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107</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38FF63D1">
      <w:pPr>
        <w:pStyle w:val="18"/>
        <w:tabs>
          <w:tab w:val="right" w:leader="dot" w:pos="918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_Toc755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eastAsia="宋体"/>
          <w:bCs/>
          <w:color w:val="000000" w:themeColor="text1"/>
          <w:szCs w:val="24"/>
          <w:highlight w:val="none"/>
          <w14:textFill>
            <w14:solidFill>
              <w14:schemeClr w14:val="tx1"/>
            </w14:solidFill>
          </w14:textFill>
        </w:rPr>
        <w:t>（七）履约行为表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108</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EAA4BD1">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_Toc17013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六、承诺函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_Toc17013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109</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2EAD5CE">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_Toc28978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七、其他材料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_Toc28978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110</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ECE2F44">
      <w:pPr>
        <w:pStyle w:val="21"/>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_Toc22942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bCs/>
          <w:color w:val="000000" w:themeColor="text1"/>
          <w:szCs w:val="36"/>
          <w:highlight w:val="none"/>
          <w14:textFill>
            <w14:solidFill>
              <w14:schemeClr w14:val="tx1"/>
            </w14:solidFill>
          </w14:textFill>
        </w:rPr>
        <w:t>第二个信封（报价文件）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_Toc22942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111</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28BC6AEB">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_Toc19746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一、投标函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_Toc19746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113</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13990176">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_Toc3120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二、已标价工程量清单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114</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55998E4A">
      <w:pPr>
        <w:pStyle w:val="14"/>
        <w:tabs>
          <w:tab w:val="right" w:leader="dot" w:pos="9184"/>
          <w:tab w:val="clear" w:pos="9174"/>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\l _Toc25191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32"/>
          <w:highlight w:val="none"/>
          <w14:textFill>
            <w14:solidFill>
              <w14:schemeClr w14:val="tx1"/>
            </w14:solidFill>
          </w14:textFill>
        </w:rPr>
        <w:t>三、合同用款估算表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_Toc25191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115</w:t>
      </w:r>
      <w:r>
        <w:rPr>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fldChar w:fldCharType="end"/>
      </w:r>
    </w:p>
    <w:p w14:paraId="0F999FEA">
      <w:pPr>
        <w:pStyle w:val="7"/>
        <w:widowControl/>
        <w:spacing w:line="32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bookmarkStart w:id="18" w:name="_Toc23573"/>
      <w:bookmarkStart w:id="19" w:name="_Toc19625"/>
      <w:bookmarkStart w:id="20" w:name="_Toc119585466"/>
      <w:bookmarkStart w:id="21" w:name="_Toc29745"/>
      <w:bookmarkStart w:id="22" w:name="_Toc2206"/>
      <w:bookmarkStart w:id="23" w:name="_Toc8212"/>
      <w:bookmarkStart w:id="24" w:name="_Toc8475"/>
      <w:bookmarkStart w:id="25" w:name="_Toc4737"/>
      <w:bookmarkStart w:id="26" w:name="_Toc120624157"/>
      <w:bookmarkStart w:id="27" w:name="_Toc27305"/>
      <w:bookmarkStart w:id="28" w:name="_Toc6588"/>
      <w:bookmarkStart w:id="29" w:name="_Toc19541"/>
      <w:bookmarkStart w:id="30" w:name="_Toc1986"/>
      <w:bookmarkStart w:id="31" w:name="_Toc27794"/>
      <w:bookmarkStart w:id="32" w:name="_Toc23590"/>
      <w:bookmarkStart w:id="33" w:name="_Toc11744"/>
      <w:bookmarkStart w:id="34" w:name="_Toc118195738"/>
      <w:bookmarkStart w:id="35" w:name="_Toc98785234"/>
      <w:bookmarkStart w:id="36" w:name="_Toc31169"/>
    </w:p>
    <w:p w14:paraId="77D3775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p>
    <w:p w14:paraId="3BB8DE5B">
      <w:pPr>
        <w:pStyle w:val="34"/>
        <w:ind w:firstLine="420"/>
        <w:rPr>
          <w:color w:val="000000" w:themeColor="text1"/>
          <w:highlight w:val="none"/>
          <w14:textFill>
            <w14:solidFill>
              <w14:schemeClr w14:val="tx1"/>
            </w14:solidFill>
          </w14:textFill>
        </w:rPr>
      </w:pPr>
    </w:p>
    <w:p w14:paraId="303264A7">
      <w:pPr>
        <w:pStyle w:val="7"/>
        <w:spacing w:line="360" w:lineRule="auto"/>
        <w:rPr>
          <w:rFonts w:ascii="宋体" w:hAnsi="宋体" w:eastAsia="宋体" w:cs="宋体"/>
          <w:color w:val="000000" w:themeColor="text1"/>
          <w:highlight w:val="none"/>
          <w14:textFill>
            <w14:solidFill>
              <w14:schemeClr w14:val="tx1"/>
            </w14:solidFill>
          </w14:textFill>
        </w:rPr>
      </w:pPr>
    </w:p>
    <w:p w14:paraId="703B2162">
      <w:pPr>
        <w:pStyle w:val="7"/>
        <w:spacing w:line="360" w:lineRule="auto"/>
        <w:rPr>
          <w:rFonts w:ascii="宋体" w:hAnsi="宋体" w:eastAsia="宋体" w:cs="宋体"/>
          <w:color w:val="000000" w:themeColor="text1"/>
          <w:highlight w:val="none"/>
          <w14:textFill>
            <w14:solidFill>
              <w14:schemeClr w14:val="tx1"/>
            </w14:solidFill>
          </w14:textFill>
        </w:rPr>
      </w:pPr>
    </w:p>
    <w:p w14:paraId="45DE77E3">
      <w:pPr>
        <w:pStyle w:val="7"/>
        <w:spacing w:line="360" w:lineRule="auto"/>
        <w:rPr>
          <w:rFonts w:ascii="宋体" w:hAnsi="宋体" w:eastAsia="宋体" w:cs="宋体"/>
          <w:color w:val="000000" w:themeColor="text1"/>
          <w:highlight w:val="none"/>
          <w14:textFill>
            <w14:solidFill>
              <w14:schemeClr w14:val="tx1"/>
            </w14:solidFill>
          </w14:textFill>
        </w:rPr>
      </w:pPr>
    </w:p>
    <w:p w14:paraId="702BE8D3">
      <w:pPr>
        <w:pStyle w:val="7"/>
        <w:spacing w:line="360" w:lineRule="auto"/>
        <w:rPr>
          <w:rFonts w:ascii="宋体" w:hAnsi="宋体" w:eastAsia="宋体" w:cs="宋体"/>
          <w:color w:val="000000" w:themeColor="text1"/>
          <w:highlight w:val="none"/>
          <w14:textFill>
            <w14:solidFill>
              <w14:schemeClr w14:val="tx1"/>
            </w14:solidFill>
          </w14:textFill>
        </w:rPr>
      </w:pPr>
    </w:p>
    <w:p w14:paraId="256EB709">
      <w:pPr>
        <w:pStyle w:val="3"/>
        <w:spacing w:line="480" w:lineRule="auto"/>
        <w:ind w:firstLine="3360" w:firstLineChars="400"/>
        <w:rPr>
          <w:rFonts w:ascii="宋体" w:hAnsi="宋体" w:cs="宋体"/>
          <w:b w:val="0"/>
          <w:color w:val="000000" w:themeColor="text1"/>
          <w:sz w:val="84"/>
          <w:szCs w:val="84"/>
          <w:highlight w:val="none"/>
          <w14:textFill>
            <w14:solidFill>
              <w14:schemeClr w14:val="tx1"/>
            </w14:solidFill>
          </w14:textFill>
        </w:rPr>
      </w:pPr>
      <w:bookmarkStart w:id="37" w:name="_Toc8782"/>
      <w:bookmarkStart w:id="38" w:name="_Toc120624154"/>
      <w:bookmarkStart w:id="39" w:name="_Toc16098"/>
      <w:bookmarkStart w:id="40" w:name="_Toc25782"/>
      <w:bookmarkStart w:id="41" w:name="_Toc16124"/>
      <w:bookmarkStart w:id="42" w:name="_Toc14067"/>
      <w:r>
        <w:rPr>
          <w:rFonts w:hint="eastAsia" w:ascii="宋体" w:hAnsi="宋体" w:cs="宋体"/>
          <w:b w:val="0"/>
          <w:color w:val="000000" w:themeColor="text1"/>
          <w:sz w:val="84"/>
          <w:szCs w:val="84"/>
          <w:highlight w:val="none"/>
          <w14:textFill>
            <w14:solidFill>
              <w14:schemeClr w14:val="tx1"/>
            </w14:solidFill>
          </w14:textFill>
        </w:rPr>
        <w:t>第一卷</w:t>
      </w:r>
      <w:bookmarkEnd w:id="37"/>
      <w:bookmarkEnd w:id="38"/>
      <w:bookmarkEnd w:id="39"/>
      <w:bookmarkEnd w:id="40"/>
      <w:bookmarkEnd w:id="41"/>
      <w:bookmarkEnd w:id="42"/>
    </w:p>
    <w:p w14:paraId="74EDB34A">
      <w:pPr>
        <w:rPr>
          <w:rFonts w:ascii="宋体" w:hAnsi="宋体" w:cs="宋体"/>
          <w:color w:val="000000" w:themeColor="text1"/>
          <w:highlight w:val="none"/>
          <w14:textFill>
            <w14:solidFill>
              <w14:schemeClr w14:val="tx1"/>
            </w14:solidFill>
          </w14:textFill>
        </w:rPr>
      </w:pPr>
    </w:p>
    <w:p w14:paraId="1A3C05EF">
      <w:pPr>
        <w:pStyle w:val="34"/>
        <w:ind w:firstLine="420"/>
        <w:rPr>
          <w:color w:val="000000" w:themeColor="text1"/>
          <w:highlight w:val="none"/>
          <w14:textFill>
            <w14:solidFill>
              <w14:schemeClr w14:val="tx1"/>
            </w14:solidFill>
          </w14:textFill>
        </w:rPr>
      </w:pPr>
    </w:p>
    <w:p w14:paraId="507399B2">
      <w:pPr>
        <w:rPr>
          <w:color w:val="000000" w:themeColor="text1"/>
          <w:highlight w:val="none"/>
          <w14:textFill>
            <w14:solidFill>
              <w14:schemeClr w14:val="tx1"/>
            </w14:solidFill>
          </w14:textFill>
        </w:rPr>
      </w:pPr>
    </w:p>
    <w:p w14:paraId="4FF8CC21">
      <w:pPr>
        <w:pStyle w:val="11"/>
        <w:rPr>
          <w:color w:val="000000" w:themeColor="text1"/>
          <w:highlight w:val="none"/>
          <w14:textFill>
            <w14:solidFill>
              <w14:schemeClr w14:val="tx1"/>
            </w14:solidFill>
          </w14:textFill>
        </w:rPr>
      </w:pPr>
    </w:p>
    <w:p w14:paraId="455E00BE">
      <w:pPr>
        <w:pStyle w:val="11"/>
        <w:rPr>
          <w:color w:val="000000" w:themeColor="text1"/>
          <w:highlight w:val="none"/>
          <w14:textFill>
            <w14:solidFill>
              <w14:schemeClr w14:val="tx1"/>
            </w14:solidFill>
          </w14:textFill>
        </w:rPr>
      </w:pPr>
    </w:p>
    <w:p w14:paraId="601FFA5B">
      <w:pPr>
        <w:pStyle w:val="11"/>
        <w:rPr>
          <w:color w:val="000000" w:themeColor="text1"/>
          <w:highlight w:val="none"/>
          <w14:textFill>
            <w14:solidFill>
              <w14:schemeClr w14:val="tx1"/>
            </w14:solidFill>
          </w14:textFill>
        </w:rPr>
      </w:pPr>
    </w:p>
    <w:p w14:paraId="4DB24DC0">
      <w:pPr>
        <w:pStyle w:val="11"/>
        <w:rPr>
          <w:color w:val="000000" w:themeColor="text1"/>
          <w:highlight w:val="none"/>
          <w14:textFill>
            <w14:solidFill>
              <w14:schemeClr w14:val="tx1"/>
            </w14:solidFill>
          </w14:textFill>
        </w:rPr>
      </w:pPr>
    </w:p>
    <w:p w14:paraId="33610D70">
      <w:pPr>
        <w:pStyle w:val="11"/>
        <w:rPr>
          <w:color w:val="000000" w:themeColor="text1"/>
          <w:highlight w:val="none"/>
          <w14:textFill>
            <w14:solidFill>
              <w14:schemeClr w14:val="tx1"/>
            </w14:solidFill>
          </w14:textFill>
        </w:rPr>
      </w:pPr>
    </w:p>
    <w:p w14:paraId="184E2179">
      <w:pPr>
        <w:pStyle w:val="11"/>
        <w:rPr>
          <w:color w:val="000000" w:themeColor="text1"/>
          <w:highlight w:val="none"/>
          <w14:textFill>
            <w14:solidFill>
              <w14:schemeClr w14:val="tx1"/>
            </w14:solidFill>
          </w14:textFill>
        </w:rPr>
      </w:pPr>
    </w:p>
    <w:p w14:paraId="65B2FD53">
      <w:pPr>
        <w:pStyle w:val="11"/>
        <w:rPr>
          <w:color w:val="000000" w:themeColor="text1"/>
          <w:highlight w:val="none"/>
          <w14:textFill>
            <w14:solidFill>
              <w14:schemeClr w14:val="tx1"/>
            </w14:solidFill>
          </w14:textFill>
        </w:rPr>
      </w:pPr>
    </w:p>
    <w:p w14:paraId="50174D81">
      <w:pPr>
        <w:pStyle w:val="11"/>
        <w:rPr>
          <w:color w:val="000000" w:themeColor="text1"/>
          <w:highlight w:val="none"/>
          <w14:textFill>
            <w14:solidFill>
              <w14:schemeClr w14:val="tx1"/>
            </w14:solidFill>
          </w14:textFill>
        </w:rPr>
      </w:pPr>
    </w:p>
    <w:p w14:paraId="1C1742F6">
      <w:pPr>
        <w:pStyle w:val="11"/>
        <w:rPr>
          <w:color w:val="000000" w:themeColor="text1"/>
          <w:highlight w:val="none"/>
          <w14:textFill>
            <w14:solidFill>
              <w14:schemeClr w14:val="tx1"/>
            </w14:solidFill>
          </w14:textFill>
        </w:rPr>
      </w:pPr>
    </w:p>
    <w:p w14:paraId="41A6A923">
      <w:pPr>
        <w:pStyle w:val="11"/>
        <w:rPr>
          <w:color w:val="000000" w:themeColor="text1"/>
          <w:highlight w:val="none"/>
          <w14:textFill>
            <w14:solidFill>
              <w14:schemeClr w14:val="tx1"/>
            </w14:solidFill>
          </w14:textFill>
        </w:rPr>
      </w:pPr>
    </w:p>
    <w:p w14:paraId="2F2AE5C7">
      <w:pPr>
        <w:pStyle w:val="11"/>
        <w:rPr>
          <w:color w:val="000000" w:themeColor="text1"/>
          <w:highlight w:val="none"/>
          <w14:textFill>
            <w14:solidFill>
              <w14:schemeClr w14:val="tx1"/>
            </w14:solidFill>
          </w14:textFill>
        </w:rPr>
      </w:pPr>
    </w:p>
    <w:p w14:paraId="4059EF3A">
      <w:pPr>
        <w:pStyle w:val="11"/>
        <w:rPr>
          <w:color w:val="000000" w:themeColor="text1"/>
          <w:highlight w:val="none"/>
          <w14:textFill>
            <w14:solidFill>
              <w14:schemeClr w14:val="tx1"/>
            </w14:solidFill>
          </w14:textFill>
        </w:rPr>
      </w:pPr>
    </w:p>
    <w:p w14:paraId="7040288D">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56939C6A">
      <w:pPr>
        <w:pStyle w:val="11"/>
        <w:rPr>
          <w:color w:val="000000" w:themeColor="text1"/>
          <w:highlight w:val="none"/>
          <w14:textFill>
            <w14:solidFill>
              <w14:schemeClr w14:val="tx1"/>
            </w14:solidFill>
          </w14:textFill>
        </w:rPr>
      </w:pPr>
    </w:p>
    <w:p w14:paraId="5C80E0A1">
      <w:pPr>
        <w:pStyle w:val="7"/>
        <w:spacing w:line="360" w:lineRule="auto"/>
        <w:rPr>
          <w:rFonts w:ascii="宋体" w:hAnsi="宋体" w:eastAsia="宋体" w:cs="宋体"/>
          <w:color w:val="000000" w:themeColor="text1"/>
          <w:highlight w:val="none"/>
          <w14:textFill>
            <w14:solidFill>
              <w14:schemeClr w14:val="tx1"/>
            </w14:solidFill>
          </w14:textFill>
        </w:rPr>
      </w:pPr>
    </w:p>
    <w:p w14:paraId="59A5847C">
      <w:pPr>
        <w:pStyle w:val="34"/>
        <w:ind w:firstLine="420"/>
        <w:rPr>
          <w:rFonts w:hAnsi="宋体" w:cs="宋体"/>
          <w:color w:val="000000" w:themeColor="text1"/>
          <w:highlight w:val="none"/>
          <w14:textFill>
            <w14:solidFill>
              <w14:schemeClr w14:val="tx1"/>
            </w14:solidFill>
          </w14:textFill>
        </w:rPr>
      </w:pPr>
    </w:p>
    <w:p w14:paraId="7AB23249">
      <w:pPr>
        <w:rPr>
          <w:rFonts w:ascii="宋体" w:hAnsi="宋体" w:cs="宋体"/>
          <w:color w:val="000000" w:themeColor="text1"/>
          <w:highlight w:val="none"/>
          <w14:textFill>
            <w14:solidFill>
              <w14:schemeClr w14:val="tx1"/>
            </w14:solidFill>
          </w14:textFill>
        </w:rPr>
      </w:pPr>
    </w:p>
    <w:p w14:paraId="2995C001">
      <w:pPr>
        <w:pStyle w:val="11"/>
        <w:rPr>
          <w:rFonts w:ascii="宋体" w:hAnsi="宋体" w:cs="宋体"/>
          <w:color w:val="000000" w:themeColor="text1"/>
          <w:highlight w:val="none"/>
          <w14:textFill>
            <w14:solidFill>
              <w14:schemeClr w14:val="tx1"/>
            </w14:solidFill>
          </w14:textFill>
        </w:rPr>
      </w:pPr>
    </w:p>
    <w:p w14:paraId="1C20563D">
      <w:pPr>
        <w:pStyle w:val="11"/>
        <w:ind w:firstLine="0"/>
        <w:rPr>
          <w:rFonts w:ascii="宋体" w:hAnsi="宋体" w:cs="宋体"/>
          <w:color w:val="000000" w:themeColor="text1"/>
          <w:highlight w:val="none"/>
          <w14:textFill>
            <w14:solidFill>
              <w14:schemeClr w14:val="tx1"/>
            </w14:solidFill>
          </w14:textFill>
        </w:rPr>
      </w:pPr>
    </w:p>
    <w:p w14:paraId="6CBD2A08">
      <w:pPr>
        <w:pStyle w:val="36"/>
        <w:spacing w:before="260" w:after="260" w:line="500" w:lineRule="exact"/>
        <w:jc w:val="center"/>
        <w:rPr>
          <w:rFonts w:ascii="宋体" w:hAnsi="宋体" w:cs="宋体"/>
          <w:color w:val="000000" w:themeColor="text1"/>
          <w:sz w:val="48"/>
          <w:szCs w:val="48"/>
          <w:highlight w:val="none"/>
          <w14:textFill>
            <w14:solidFill>
              <w14:schemeClr w14:val="tx1"/>
            </w14:solidFill>
          </w14:textFill>
        </w:rPr>
      </w:pPr>
      <w:bookmarkStart w:id="43" w:name="_Toc18151"/>
      <w:r>
        <w:rPr>
          <w:rFonts w:hint="eastAsia" w:ascii="宋体" w:hAnsi="宋体" w:cs="宋体"/>
          <w:color w:val="000000" w:themeColor="text1"/>
          <w:sz w:val="48"/>
          <w:szCs w:val="48"/>
          <w:highlight w:val="none"/>
          <w14:textFill>
            <w14:solidFill>
              <w14:schemeClr w14:val="tx1"/>
            </w14:solidFill>
          </w14:textFill>
        </w:rPr>
        <w:t>第一章 招标公告</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43"/>
    </w:p>
    <w:p w14:paraId="2B415368">
      <w:pPr>
        <w:pStyle w:val="7"/>
        <w:spacing w:line="360" w:lineRule="auto"/>
        <w:rPr>
          <w:rFonts w:ascii="宋体" w:hAnsi="宋体" w:cs="宋体"/>
          <w:color w:val="000000" w:themeColor="text1"/>
          <w:szCs w:val="32"/>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3F32C20E">
      <w:pPr>
        <w:pStyle w:val="7"/>
        <w:spacing w:line="360" w:lineRule="auto"/>
        <w:jc w:val="center"/>
        <w:rPr>
          <w:rFonts w:ascii="宋体" w:hAnsi="宋体" w:cs="宋体"/>
          <w:b/>
          <w:bCs/>
          <w:color w:val="000000" w:themeColor="text1"/>
          <w:sz w:val="32"/>
          <w:szCs w:val="32"/>
          <w:highlight w:val="none"/>
          <w14:textFill>
            <w14:solidFill>
              <w14:schemeClr w14:val="tx1"/>
            </w14:solidFill>
          </w14:textFill>
        </w:rPr>
      </w:pPr>
      <w:bookmarkStart w:id="44" w:name="_Toc475825717"/>
      <w:bookmarkStart w:id="45" w:name="_Toc452457615"/>
      <w:bookmarkStart w:id="46" w:name="_Toc459237381"/>
      <w:bookmarkStart w:id="47" w:name="OLE_LINK42"/>
      <w:r>
        <w:rPr>
          <w:rFonts w:hint="eastAsia" w:ascii="宋体" w:hAnsi="宋体" w:cs="宋体"/>
          <w:b/>
          <w:bCs/>
          <w:color w:val="000000" w:themeColor="text1"/>
          <w:sz w:val="32"/>
          <w:szCs w:val="32"/>
          <w:highlight w:val="none"/>
          <w14:textFill>
            <w14:solidFill>
              <w14:schemeClr w14:val="tx1"/>
            </w14:solidFill>
          </w14:textFill>
        </w:rPr>
        <w:t>第一章</w:t>
      </w:r>
      <w:r>
        <w:rPr>
          <w:rFonts w:ascii="宋体" w:hAnsi="宋体" w:cs="宋体"/>
          <w:b/>
          <w:bCs/>
          <w:color w:val="000000" w:themeColor="text1"/>
          <w:sz w:val="32"/>
          <w:szCs w:val="32"/>
          <w:highlight w:val="none"/>
          <w14:textFill>
            <w14:solidFill>
              <w14:schemeClr w14:val="tx1"/>
            </w14:solidFill>
          </w14:textFill>
        </w:rPr>
        <w:t xml:space="preserve"> </w:t>
      </w:r>
      <w:r>
        <w:rPr>
          <w:rFonts w:hint="eastAsia" w:ascii="宋体" w:hAnsi="宋体" w:cs="宋体"/>
          <w:b/>
          <w:bCs/>
          <w:color w:val="000000" w:themeColor="text1"/>
          <w:sz w:val="32"/>
          <w:szCs w:val="32"/>
          <w:highlight w:val="none"/>
          <w14:textFill>
            <w14:solidFill>
              <w14:schemeClr w14:val="tx1"/>
            </w14:solidFill>
          </w14:textFill>
        </w:rPr>
        <w:t>招标公告</w:t>
      </w:r>
      <w:bookmarkEnd w:id="44"/>
      <w:bookmarkEnd w:id="45"/>
      <w:bookmarkEnd w:id="46"/>
    </w:p>
    <w:p w14:paraId="3C92986E">
      <w:pPr>
        <w:pStyle w:val="7"/>
        <w:spacing w:line="360" w:lineRule="auto"/>
        <w:jc w:val="center"/>
        <w:rPr>
          <w:rFonts w:ascii="宋体" w:hAnsi="宋体" w:cs="宋体"/>
          <w:b/>
          <w:color w:val="000000" w:themeColor="text1"/>
          <w:sz w:val="28"/>
          <w:szCs w:val="28"/>
          <w:highlight w:val="none"/>
          <w14:textFill>
            <w14:solidFill>
              <w14:schemeClr w14:val="tx1"/>
            </w14:solidFill>
          </w14:textFill>
        </w:rPr>
      </w:pPr>
      <w:bookmarkStart w:id="48" w:name="OLE_LINK26"/>
      <w:bookmarkStart w:id="49" w:name="OLE_LINK18"/>
      <w:bookmarkStart w:id="50" w:name="OLE_LINK43"/>
      <w:bookmarkStart w:id="51" w:name="OLE_LINK53"/>
      <w:r>
        <w:rPr>
          <w:rFonts w:ascii="宋体" w:hAnsi="宋体" w:cs="宋体"/>
          <w:b/>
          <w:color w:val="000000" w:themeColor="text1"/>
          <w:sz w:val="28"/>
          <w:szCs w:val="28"/>
          <w:highlight w:val="none"/>
          <w14:textFill>
            <w14:solidFill>
              <w14:schemeClr w14:val="tx1"/>
            </w14:solidFill>
          </w14:textFill>
        </w:rPr>
        <w:t>柯桥至诸暨高速公路工程（项目名称)</w:t>
      </w:r>
      <w:bookmarkEnd w:id="48"/>
      <w:r>
        <w:rPr>
          <w:rFonts w:hint="eastAsia" w:ascii="宋体" w:hAnsi="宋体" w:cs="宋体"/>
          <w:b/>
          <w:color w:val="000000" w:themeColor="text1"/>
          <w:sz w:val="28"/>
          <w:szCs w:val="28"/>
          <w:highlight w:val="none"/>
          <w14:textFill>
            <w14:solidFill>
              <w14:schemeClr w14:val="tx1"/>
            </w14:solidFill>
          </w14:textFill>
        </w:rPr>
        <w:t>涉03省道综合管线迁改走廊复绿工程</w:t>
      </w:r>
    </w:p>
    <w:p w14:paraId="5187DF8A">
      <w:pPr>
        <w:pStyle w:val="7"/>
        <w:spacing w:line="360" w:lineRule="auto"/>
        <w:jc w:val="center"/>
        <w:rPr>
          <w:rFonts w:ascii="宋体" w:hAnsi="宋体" w:cs="宋体"/>
          <w:b/>
          <w:color w:val="000000" w:themeColor="text1"/>
          <w:sz w:val="28"/>
          <w:szCs w:val="28"/>
          <w:highlight w:val="none"/>
          <w14:textFill>
            <w14:solidFill>
              <w14:schemeClr w14:val="tx1"/>
            </w14:solidFill>
          </w14:textFill>
        </w:rPr>
      </w:pPr>
      <w:bookmarkStart w:id="52" w:name="OLE_LINK19"/>
      <w:r>
        <w:rPr>
          <w:rFonts w:hint="eastAsia" w:ascii="宋体" w:hAnsi="宋体" w:cs="宋体"/>
          <w:b/>
          <w:color w:val="000000" w:themeColor="text1"/>
          <w:sz w:val="28"/>
          <w:szCs w:val="28"/>
          <w:highlight w:val="none"/>
          <w14:textFill>
            <w14:solidFill>
              <w14:schemeClr w14:val="tx1"/>
            </w14:solidFill>
          </w14:textFill>
        </w:rPr>
        <w:t>第FL01标段</w:t>
      </w:r>
      <w:bookmarkEnd w:id="49"/>
      <w:bookmarkEnd w:id="52"/>
      <w:r>
        <w:rPr>
          <w:rFonts w:hint="eastAsia" w:ascii="宋体" w:hAnsi="宋体" w:cs="宋体"/>
          <w:b/>
          <w:color w:val="000000" w:themeColor="text1"/>
          <w:sz w:val="28"/>
          <w:szCs w:val="28"/>
          <w:highlight w:val="none"/>
          <w14:textFill>
            <w14:solidFill>
              <w14:schemeClr w14:val="tx1"/>
            </w14:solidFill>
          </w14:textFill>
        </w:rPr>
        <w:t>施工招标公告</w:t>
      </w:r>
    </w:p>
    <w:p w14:paraId="72C05CB0">
      <w:pPr>
        <w:pStyle w:val="37"/>
        <w:tabs>
          <w:tab w:val="left" w:pos="5073"/>
        </w:tabs>
        <w:spacing w:before="60" w:after="60" w:line="500" w:lineRule="exact"/>
        <w:rPr>
          <w:rFonts w:ascii="宋体" w:hAnsi="宋体" w:eastAsia="宋体" w:cs="宋体"/>
          <w:bCs w:val="0"/>
          <w:color w:val="000000" w:themeColor="text1"/>
          <w:highlight w:val="none"/>
          <w14:textFill>
            <w14:solidFill>
              <w14:schemeClr w14:val="tx1"/>
            </w14:solidFill>
          </w14:textFill>
        </w:rPr>
      </w:pPr>
      <w:bookmarkStart w:id="53" w:name="EBcf55f2e987ce443b848609d47b9b16fd"/>
      <w:bookmarkEnd w:id="53"/>
      <w:bookmarkStart w:id="54" w:name="_Toc13551"/>
      <w:bookmarkStart w:id="55" w:name="_Toc6483"/>
      <w:bookmarkStart w:id="56" w:name="_Toc2185"/>
      <w:bookmarkStart w:id="57" w:name="_Toc119585467"/>
      <w:bookmarkStart w:id="58" w:name="_Toc31671"/>
      <w:bookmarkStart w:id="59" w:name="_Toc459237382"/>
      <w:bookmarkStart w:id="60" w:name="_Toc1075"/>
      <w:bookmarkStart w:id="61" w:name="_Toc12695"/>
      <w:bookmarkStart w:id="62" w:name="_Toc120624158"/>
      <w:bookmarkStart w:id="63" w:name="_Toc475825718"/>
      <w:bookmarkStart w:id="64" w:name="_Toc118195739"/>
      <w:bookmarkStart w:id="65" w:name="_Toc5844"/>
      <w:bookmarkStart w:id="66" w:name="_Toc28284"/>
      <w:bookmarkStart w:id="67" w:name="_Toc98785235"/>
      <w:bookmarkStart w:id="68" w:name="_Toc22957"/>
      <w:bookmarkStart w:id="69" w:name="_Toc24041"/>
      <w:bookmarkStart w:id="70" w:name="_Toc17135"/>
      <w:bookmarkStart w:id="71" w:name="_Toc452457616"/>
      <w:bookmarkStart w:id="72" w:name="_Toc22906"/>
      <w:bookmarkStart w:id="73" w:name="_Toc28457"/>
      <w:bookmarkStart w:id="74" w:name="_Toc15717"/>
      <w:bookmarkStart w:id="75" w:name="_Toc26003"/>
      <w:bookmarkStart w:id="76" w:name="OLE_LINK14"/>
      <w:r>
        <w:rPr>
          <w:rFonts w:ascii="宋体" w:hAnsi="宋体" w:cs="宋体"/>
          <w:bCs w:val="0"/>
          <w:color w:val="000000" w:themeColor="text1"/>
          <w:highlight w:val="none"/>
          <w14:textFill>
            <w14:solidFill>
              <w14:schemeClr w14:val="tx1"/>
            </w14:solidFill>
          </w14:textFill>
        </w:rPr>
        <w:t>1.</w:t>
      </w:r>
      <w:r>
        <w:rPr>
          <w:rFonts w:hint="eastAsia" w:ascii="宋体" w:hAnsi="宋体" w:cs="宋体"/>
          <w:bCs w:val="0"/>
          <w:color w:val="000000" w:themeColor="text1"/>
          <w:highlight w:val="none"/>
          <w14:textFill>
            <w14:solidFill>
              <w14:schemeClr w14:val="tx1"/>
            </w14:solidFill>
          </w14:textFill>
        </w:rPr>
        <w:t>招标条件</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Pr>
          <w:rFonts w:hint="eastAsia" w:ascii="宋体" w:hAnsi="宋体" w:cs="宋体"/>
          <w:bCs w:val="0"/>
          <w:color w:val="000000" w:themeColor="text1"/>
          <w:highlight w:val="none"/>
          <w14:textFill>
            <w14:solidFill>
              <w14:schemeClr w14:val="tx1"/>
            </w14:solidFill>
          </w14:textFill>
        </w:rPr>
        <w:tab/>
      </w:r>
    </w:p>
    <w:p w14:paraId="71A84AE0">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本招标项目</w:t>
      </w:r>
      <w:r>
        <w:rPr>
          <w:rFonts w:ascii="宋体" w:hAnsi="宋体"/>
          <w:color w:val="000000" w:themeColor="text1"/>
          <w:szCs w:val="21"/>
          <w:highlight w:val="none"/>
          <w:u w:val="single"/>
          <w14:textFill>
            <w14:solidFill>
              <w14:schemeClr w14:val="tx1"/>
            </w14:solidFill>
          </w14:textFill>
        </w:rPr>
        <w:t>柯桥至诸暨高速公路工程</w:t>
      </w:r>
      <w:r>
        <w:rPr>
          <w:rFonts w:hint="eastAsia" w:ascii="宋体" w:hAnsi="宋体" w:cs="宋体"/>
          <w:color w:val="000000" w:themeColor="text1"/>
          <w:szCs w:val="21"/>
          <w:highlight w:val="none"/>
          <w14:textFill>
            <w14:solidFill>
              <w14:schemeClr w14:val="tx1"/>
            </w14:solidFill>
          </w14:textFill>
        </w:rPr>
        <w:t>（项目名称）已由</w:t>
      </w:r>
      <w:r>
        <w:rPr>
          <w:rFonts w:hint="eastAsia" w:ascii="宋体" w:hAnsi="宋体"/>
          <w:color w:val="000000" w:themeColor="text1"/>
          <w:szCs w:val="21"/>
          <w:highlight w:val="none"/>
          <w:u w:val="single"/>
          <w14:textFill>
            <w14:solidFill>
              <w14:schemeClr w14:val="tx1"/>
            </w14:solidFill>
          </w14:textFill>
        </w:rPr>
        <w:t>浙江省发展和改革委员会</w:t>
      </w:r>
      <w:r>
        <w:rPr>
          <w:rFonts w:hint="eastAsia" w:ascii="宋体" w:hAnsi="宋体" w:cs="宋体"/>
          <w:color w:val="000000" w:themeColor="text1"/>
          <w:szCs w:val="21"/>
          <w:highlight w:val="none"/>
          <w14:textFill>
            <w14:solidFill>
              <w14:schemeClr w14:val="tx1"/>
            </w14:solidFill>
          </w14:textFill>
        </w:rPr>
        <w:t>（项目审批、核准或备案机关名称）以</w:t>
      </w:r>
      <w:r>
        <w:rPr>
          <w:rFonts w:hint="eastAsia" w:ascii="宋体" w:hAnsi="宋体"/>
          <w:color w:val="000000" w:themeColor="text1"/>
          <w:szCs w:val="21"/>
          <w:highlight w:val="none"/>
          <w:u w:val="single"/>
          <w14:textFill>
            <w14:solidFill>
              <w14:schemeClr w14:val="tx1"/>
            </w14:solidFill>
          </w14:textFill>
        </w:rPr>
        <w:t>浙发改项字〔2022〕51号文</w:t>
      </w:r>
      <w:r>
        <w:rPr>
          <w:rFonts w:hint="eastAsia" w:ascii="宋体" w:hAnsi="宋体" w:cs="宋体"/>
          <w:color w:val="000000" w:themeColor="text1"/>
          <w:szCs w:val="21"/>
          <w:highlight w:val="none"/>
          <w14:textFill>
            <w14:solidFill>
              <w14:schemeClr w14:val="tx1"/>
            </w14:solidFill>
          </w14:textFill>
        </w:rPr>
        <w:t>（批文名称及编号）批准建设，施工图设计已由</w:t>
      </w:r>
      <w:r>
        <w:rPr>
          <w:rFonts w:hint="eastAsia" w:ascii="宋体" w:hAnsi="宋体"/>
          <w:color w:val="000000" w:themeColor="text1"/>
          <w:szCs w:val="21"/>
          <w:highlight w:val="none"/>
          <w:u w:val="single"/>
          <w14:textFill>
            <w14:solidFill>
              <w14:schemeClr w14:val="tx1"/>
            </w14:solidFill>
          </w14:textFill>
        </w:rPr>
        <w:t>浙交许〔2024〕5000135</w:t>
      </w:r>
      <w:r>
        <w:rPr>
          <w:rFonts w:hint="eastAsia" w:ascii="宋体" w:hAnsi="宋体"/>
          <w:color w:val="000000" w:themeColor="text1"/>
          <w:szCs w:val="21"/>
          <w:highlight w:val="none"/>
          <w14:textFill>
            <w14:solidFill>
              <w14:schemeClr w14:val="tx1"/>
            </w14:solidFill>
          </w14:textFill>
        </w:rPr>
        <w:t xml:space="preserve">号文 </w:t>
      </w:r>
      <w:r>
        <w:rPr>
          <w:rFonts w:hint="eastAsia" w:ascii="宋体" w:hAnsi="宋体" w:cs="宋体"/>
          <w:color w:val="000000" w:themeColor="text1"/>
          <w:szCs w:val="21"/>
          <w:highlight w:val="none"/>
          <w14:textFill>
            <w14:solidFill>
              <w14:schemeClr w14:val="tx1"/>
            </w14:solidFill>
          </w14:textFill>
        </w:rPr>
        <w:t>（批文名称及编号）批准，项目业主为</w:t>
      </w:r>
      <w:r>
        <w:rPr>
          <w:rFonts w:hint="eastAsia" w:ascii="宋体" w:hAnsi="宋体"/>
          <w:color w:val="000000" w:themeColor="text1"/>
          <w:szCs w:val="21"/>
          <w:highlight w:val="none"/>
          <w:u w:val="single"/>
          <w14:textFill>
            <w14:solidFill>
              <w14:schemeClr w14:val="tx1"/>
            </w14:solidFill>
          </w14:textFill>
        </w:rPr>
        <w:t>绍兴市柯诸高速公路有限公司</w:t>
      </w:r>
      <w:r>
        <w:rPr>
          <w:rFonts w:hint="eastAsia" w:ascii="宋体" w:hAnsi="宋体" w:cs="宋体"/>
          <w:color w:val="000000" w:themeColor="text1"/>
          <w:szCs w:val="21"/>
          <w:highlight w:val="none"/>
          <w14:textFill>
            <w14:solidFill>
              <w14:schemeClr w14:val="tx1"/>
            </w14:solidFill>
          </w14:textFill>
        </w:rPr>
        <w:t>，建设资金来自</w:t>
      </w:r>
      <w:r>
        <w:rPr>
          <w:rFonts w:hint="eastAsia" w:ascii="宋体" w:hAnsi="宋体"/>
          <w:color w:val="000000" w:themeColor="text1"/>
          <w:szCs w:val="21"/>
          <w:highlight w:val="none"/>
          <w:u w:val="single"/>
          <w14:textFill>
            <w14:solidFill>
              <w14:schemeClr w14:val="tx1"/>
            </w14:solidFill>
          </w14:textFill>
        </w:rPr>
        <w:t xml:space="preserve"> 自筹 </w:t>
      </w:r>
      <w:r>
        <w:rPr>
          <w:rFonts w:hint="eastAsia" w:ascii="宋体" w:hAnsi="宋体" w:cs="宋体"/>
          <w:color w:val="000000" w:themeColor="text1"/>
          <w:szCs w:val="21"/>
          <w:highlight w:val="none"/>
          <w14:textFill>
            <w14:solidFill>
              <w14:schemeClr w14:val="tx1"/>
            </w14:solidFill>
          </w14:textFill>
        </w:rPr>
        <w:t>（资金来源），资金已落实，招标人为</w:t>
      </w:r>
      <w:bookmarkStart w:id="77" w:name="OLE_LINK35"/>
      <w:r>
        <w:rPr>
          <w:rFonts w:hint="eastAsia" w:ascii="宋体" w:hAnsi="宋体"/>
          <w:color w:val="000000" w:themeColor="text1"/>
          <w:spacing w:val="-1"/>
          <w:highlight w:val="none"/>
          <w:u w:val="single"/>
          <w14:textFill>
            <w14:solidFill>
              <w14:schemeClr w14:val="tx1"/>
            </w14:solidFill>
          </w14:textFill>
        </w:rPr>
        <w:t>绍兴市柯诸高速公路有限公司</w:t>
      </w:r>
      <w:bookmarkEnd w:id="77"/>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招标代理机构为</w:t>
      </w:r>
      <w:bookmarkStart w:id="78" w:name="EBa10babd74b754e998c7a1e755dafa966"/>
      <w:r>
        <w:rPr>
          <w:rFonts w:hint="eastAsia" w:ascii="宋体" w:hAnsi="宋体"/>
          <w:color w:val="000000" w:themeColor="text1"/>
          <w:szCs w:val="21"/>
          <w:highlight w:val="none"/>
          <w:u w:val="single"/>
          <w14:textFill>
            <w14:solidFill>
              <w14:schemeClr w14:val="tx1"/>
            </w14:solidFill>
          </w14:textFill>
        </w:rPr>
        <w:t>浙江远大工程咨询有限公司</w:t>
      </w:r>
      <w:bookmarkEnd w:id="78"/>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因柯诸高速涉03省管线综合迁改破坏原有绿化工程，依据柯诸高速公路诸暨段工程建设指挥部《关于柯桥至诸暨高速公路工程涉03省道综合管线迁改走廊复绿的函》，管线迁改完成后需对原有绿化工程进行复绿，现该</w:t>
      </w:r>
      <w:r>
        <w:rPr>
          <w:rFonts w:hint="eastAsia" w:ascii="宋体" w:hAnsi="宋体" w:cs="宋体"/>
          <w:color w:val="000000" w:themeColor="text1"/>
          <w:szCs w:val="21"/>
          <w:highlight w:val="none"/>
          <w14:textFill>
            <w14:solidFill>
              <w14:schemeClr w14:val="tx1"/>
            </w14:solidFill>
          </w14:textFill>
        </w:rPr>
        <w:t>项目已具备招标条件，</w:t>
      </w:r>
      <w:r>
        <w:rPr>
          <w:rFonts w:hint="eastAsia" w:ascii="宋体" w:hAnsi="宋体" w:cs="宋体"/>
          <w:color w:val="000000" w:themeColor="text1"/>
          <w:szCs w:val="21"/>
          <w:highlight w:val="none"/>
          <w:lang w:val="en-US" w:eastAsia="zh-CN"/>
          <w14:textFill>
            <w14:solidFill>
              <w14:schemeClr w14:val="tx1"/>
            </w14:solidFill>
          </w14:textFill>
        </w:rPr>
        <w:t>对</w:t>
      </w:r>
      <w:r>
        <w:rPr>
          <w:rFonts w:hint="eastAsia" w:ascii="宋体" w:hAnsi="宋体" w:cs="宋体"/>
          <w:color w:val="000000" w:themeColor="text1"/>
          <w:szCs w:val="21"/>
          <w:highlight w:val="none"/>
          <w14:textFill>
            <w14:solidFill>
              <w14:schemeClr w14:val="tx1"/>
            </w14:solidFill>
          </w14:textFill>
        </w:rPr>
        <w:t>复绿工程施工进行公开招标，实行资格后审。</w:t>
      </w:r>
      <w:bookmarkStart w:id="79" w:name="EB386a89eac0dd449fbb3c53607015cfaa"/>
      <w:bookmarkEnd w:id="79"/>
      <w:bookmarkStart w:id="80" w:name="EB856e1b0d79494b8789433c3cd79caf23"/>
      <w:bookmarkEnd w:id="80"/>
    </w:p>
    <w:p w14:paraId="2765B0E1">
      <w:pPr>
        <w:pStyle w:val="37"/>
        <w:spacing w:before="60" w:after="60" w:line="500" w:lineRule="exact"/>
        <w:rPr>
          <w:rFonts w:ascii="宋体" w:hAnsi="宋体" w:cs="宋体"/>
          <w:bCs w:val="0"/>
          <w:color w:val="000000" w:themeColor="text1"/>
          <w:highlight w:val="none"/>
          <w14:textFill>
            <w14:solidFill>
              <w14:schemeClr w14:val="tx1"/>
            </w14:solidFill>
          </w14:textFill>
        </w:rPr>
      </w:pPr>
      <w:bookmarkStart w:id="81" w:name="_Toc32697"/>
      <w:bookmarkStart w:id="82" w:name="_Toc118195740"/>
      <w:bookmarkStart w:id="83" w:name="_Toc23194"/>
      <w:bookmarkStart w:id="84" w:name="_Toc16733"/>
      <w:bookmarkStart w:id="85" w:name="_Toc21310"/>
      <w:bookmarkStart w:id="86" w:name="_Toc119585468"/>
      <w:bookmarkStart w:id="87" w:name="_Toc14315"/>
      <w:bookmarkStart w:id="88" w:name="_Toc2009"/>
      <w:bookmarkStart w:id="89" w:name="_Toc30419"/>
      <w:bookmarkStart w:id="90" w:name="_Toc120624159"/>
      <w:bookmarkStart w:id="91" w:name="_Toc9075"/>
      <w:bookmarkStart w:id="92" w:name="_Toc452457617"/>
      <w:bookmarkStart w:id="93" w:name="_Toc26921"/>
      <w:bookmarkStart w:id="94" w:name="_Toc19977"/>
      <w:bookmarkStart w:id="95" w:name="_Toc98785236"/>
      <w:bookmarkStart w:id="96" w:name="_Toc18008"/>
      <w:bookmarkStart w:id="97" w:name="_Toc8636"/>
      <w:bookmarkStart w:id="98" w:name="_Toc5541"/>
      <w:bookmarkStart w:id="99" w:name="_Toc9395"/>
      <w:bookmarkStart w:id="100" w:name="_Toc90"/>
      <w:r>
        <w:rPr>
          <w:rFonts w:ascii="宋体" w:hAnsi="宋体" w:cs="宋体"/>
          <w:bCs w:val="0"/>
          <w:color w:val="000000" w:themeColor="text1"/>
          <w:highlight w:val="none"/>
          <w14:textFill>
            <w14:solidFill>
              <w14:schemeClr w14:val="tx1"/>
            </w14:solidFill>
          </w14:textFill>
        </w:rPr>
        <w:t>2.</w:t>
      </w:r>
      <w:r>
        <w:rPr>
          <w:rFonts w:hint="eastAsia" w:ascii="宋体" w:hAnsi="宋体" w:cs="宋体"/>
          <w:bCs w:val="0"/>
          <w:color w:val="000000" w:themeColor="text1"/>
          <w:highlight w:val="none"/>
          <w14:textFill>
            <w14:solidFill>
              <w14:schemeClr w14:val="tx1"/>
            </w14:solidFill>
          </w14:textFill>
        </w:rPr>
        <w:t>项目概况与招标范围</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3B20F6C8">
      <w:pPr>
        <w:pStyle w:val="7"/>
        <w:spacing w:line="440" w:lineRule="exact"/>
        <w:ind w:firstLine="440" w:firstLineChars="200"/>
        <w:rPr>
          <w:rFonts w:ascii="宋体" w:hAnsi="宋体" w:cs="宋体"/>
          <w:color w:val="000000" w:themeColor="text1"/>
          <w:spacing w:val="5"/>
          <w:szCs w:val="21"/>
          <w:highlight w:val="none"/>
          <w14:textFill>
            <w14:solidFill>
              <w14:schemeClr w14:val="tx1"/>
            </w14:solidFill>
          </w14:textFill>
        </w:rPr>
      </w:pPr>
      <w:bookmarkStart w:id="101" w:name="EB3e450f6644fd4894b10d83e053028dbc"/>
      <w:r>
        <w:rPr>
          <w:rFonts w:ascii="宋体" w:hAnsi="宋体" w:cs="宋体"/>
          <w:color w:val="000000" w:themeColor="text1"/>
          <w:spacing w:val="5"/>
          <w:szCs w:val="21"/>
          <w:highlight w:val="none"/>
          <w14:textFill>
            <w14:solidFill>
              <w14:schemeClr w14:val="tx1"/>
            </w14:solidFill>
          </w14:textFill>
        </w:rPr>
        <w:t xml:space="preserve">2.1 </w:t>
      </w:r>
      <w:r>
        <w:rPr>
          <w:rFonts w:hint="eastAsia" w:ascii="宋体" w:hAnsi="宋体" w:cs="宋体"/>
          <w:color w:val="000000" w:themeColor="text1"/>
          <w:spacing w:val="5"/>
          <w:szCs w:val="21"/>
          <w:highlight w:val="none"/>
          <w14:textFill>
            <w14:solidFill>
              <w14:schemeClr w14:val="tx1"/>
            </w14:solidFill>
          </w14:textFill>
        </w:rPr>
        <w:t>项目概况</w:t>
      </w:r>
    </w:p>
    <w:p w14:paraId="13F617FC">
      <w:pPr>
        <w:pStyle w:val="7"/>
        <w:spacing w:line="44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柯桥至诸暨高速公路工程路线起点位于柯桥区福全街道王七墩村附近,与杭绍台高速公路相交，</w:t>
      </w:r>
    </w:p>
    <w:p w14:paraId="08043E9A">
      <w:pPr>
        <w:pStyle w:val="7"/>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并与杭金衢高速至杭绍台高速联络线一道形成福全枢纽，起点桩号K0+000，路线向西南途经福全、柯岩、湖塘、漓渚、店口、姚江、暨阳等乡镇街道，接诸永高速的姚江枢纽，终点位于诸暨市暨阳街道浦阳新村附近学院路与浦阳路交叉口处，顺接诸暨市柯诸高速与二环北路互通立交建设工程，终点桩号K39+271.577，路线全长约39.272公里。其中柯桥段长约10.658公里，诸暨段长约28.614公里。概算总投资为1748003万元。</w:t>
      </w:r>
    </w:p>
    <w:p w14:paraId="3242A160">
      <w:pPr>
        <w:pStyle w:val="7"/>
        <w:spacing w:line="44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本项目为柯桥至诸暨高速公路工程</w:t>
      </w:r>
      <w:bookmarkStart w:id="102" w:name="OLE_LINK59"/>
      <w:r>
        <w:rPr>
          <w:rFonts w:hint="eastAsia" w:ascii="宋体" w:hAnsi="宋体"/>
          <w:color w:val="000000" w:themeColor="text1"/>
          <w:szCs w:val="21"/>
          <w:highlight w:val="none"/>
          <w14:textFill>
            <w14:solidFill>
              <w14:schemeClr w14:val="tx1"/>
            </w14:solidFill>
          </w14:textFill>
        </w:rPr>
        <w:t>涉03省道综合管线迁改走廊复绿工程</w:t>
      </w:r>
      <w:bookmarkEnd w:id="102"/>
      <w:r>
        <w:rPr>
          <w:rFonts w:hint="eastAsia" w:ascii="宋体" w:hAnsi="宋体"/>
          <w:color w:val="000000" w:themeColor="text1"/>
          <w:szCs w:val="21"/>
          <w:highlight w:val="none"/>
          <w14:textFill>
            <w14:solidFill>
              <w14:schemeClr w14:val="tx1"/>
            </w14:solidFill>
          </w14:textFill>
        </w:rPr>
        <w:t>，本次绿化面积约7万多平方米。</w:t>
      </w:r>
    </w:p>
    <w:p w14:paraId="4CAF4676">
      <w:pPr>
        <w:pStyle w:val="7"/>
        <w:spacing w:line="440" w:lineRule="exact"/>
        <w:ind w:firstLine="440" w:firstLineChars="200"/>
        <w:rPr>
          <w:rFonts w:ascii="宋体" w:hAnsi="宋体" w:cs="宋体"/>
          <w:color w:val="000000" w:themeColor="text1"/>
          <w:spacing w:val="5"/>
          <w:szCs w:val="21"/>
          <w:highlight w:val="none"/>
          <w14:textFill>
            <w14:solidFill>
              <w14:schemeClr w14:val="tx1"/>
            </w14:solidFill>
          </w14:textFill>
        </w:rPr>
      </w:pPr>
      <w:r>
        <w:rPr>
          <w:rFonts w:ascii="宋体" w:hAnsi="宋体" w:cs="宋体"/>
          <w:color w:val="000000" w:themeColor="text1"/>
          <w:spacing w:val="5"/>
          <w:szCs w:val="21"/>
          <w:highlight w:val="none"/>
          <w14:textFill>
            <w14:solidFill>
              <w14:schemeClr w14:val="tx1"/>
            </w14:solidFill>
          </w14:textFill>
        </w:rPr>
        <w:t>2.</w:t>
      </w:r>
      <w:r>
        <w:rPr>
          <w:rFonts w:hint="eastAsia" w:ascii="宋体" w:hAnsi="宋体" w:cs="宋体"/>
          <w:color w:val="000000" w:themeColor="text1"/>
          <w:spacing w:val="5"/>
          <w:szCs w:val="21"/>
          <w:highlight w:val="none"/>
          <w14:textFill>
            <w14:solidFill>
              <w14:schemeClr w14:val="tx1"/>
            </w14:solidFill>
          </w14:textFill>
        </w:rPr>
        <w:t>2</w:t>
      </w:r>
      <w:r>
        <w:rPr>
          <w:rFonts w:ascii="宋体" w:hAnsi="宋体" w:cs="宋体"/>
          <w:color w:val="000000" w:themeColor="text1"/>
          <w:spacing w:val="5"/>
          <w:szCs w:val="21"/>
          <w:highlight w:val="none"/>
          <w14:textFill>
            <w14:solidFill>
              <w14:schemeClr w14:val="tx1"/>
            </w14:solidFill>
          </w14:textFill>
        </w:rPr>
        <w:t xml:space="preserve"> </w:t>
      </w:r>
      <w:r>
        <w:rPr>
          <w:rFonts w:hint="eastAsia" w:ascii="宋体" w:hAnsi="宋体" w:cs="宋体"/>
          <w:color w:val="000000" w:themeColor="text1"/>
          <w:spacing w:val="5"/>
          <w:szCs w:val="21"/>
          <w:highlight w:val="none"/>
          <w14:textFill>
            <w14:solidFill>
              <w14:schemeClr w14:val="tx1"/>
            </w14:solidFill>
          </w14:textFill>
        </w:rPr>
        <w:t>招标范围及标段划分</w:t>
      </w:r>
    </w:p>
    <w:p w14:paraId="2835C9C5">
      <w:pPr>
        <w:pStyle w:val="7"/>
        <w:spacing w:line="440" w:lineRule="exact"/>
        <w:ind w:firstLine="420" w:firstLineChars="200"/>
        <w:rPr>
          <w:rFonts w:ascii="宋体" w:hAnsi="宋体"/>
          <w:color w:val="000000" w:themeColor="text1"/>
          <w:szCs w:val="21"/>
          <w:highlight w:val="none"/>
          <w14:textFill>
            <w14:solidFill>
              <w14:schemeClr w14:val="tx1"/>
            </w14:solidFill>
          </w14:textFill>
        </w:rPr>
      </w:pPr>
      <w:bookmarkStart w:id="103" w:name="OLE_LINK17"/>
      <w:r>
        <w:rPr>
          <w:rFonts w:hint="eastAsia" w:ascii="宋体" w:hAnsi="宋体" w:eastAsia="宋体"/>
          <w:color w:val="000000" w:themeColor="text1"/>
          <w:szCs w:val="21"/>
          <w:highlight w:val="none"/>
          <w14:textFill>
            <w14:solidFill>
              <w14:schemeClr w14:val="tx1"/>
            </w14:solidFill>
          </w14:textFill>
        </w:rPr>
        <w:t>本次招标为柯桥至诸暨高速公路工程</w:t>
      </w:r>
      <w:r>
        <w:rPr>
          <w:rFonts w:hint="eastAsia" w:ascii="宋体" w:hAnsi="宋体"/>
          <w:color w:val="000000" w:themeColor="text1"/>
          <w:szCs w:val="21"/>
          <w:highlight w:val="none"/>
          <w14:textFill>
            <w14:solidFill>
              <w14:schemeClr w14:val="tx1"/>
            </w14:solidFill>
          </w14:textFill>
        </w:rPr>
        <w:t>涉03省道综合管线迁改走廊复绿工程招</w:t>
      </w:r>
      <w:r>
        <w:rPr>
          <w:rFonts w:hint="eastAsia" w:ascii="宋体" w:hAnsi="宋体" w:eastAsia="宋体"/>
          <w:color w:val="000000" w:themeColor="text1"/>
          <w:szCs w:val="21"/>
          <w:highlight w:val="none"/>
          <w14:textFill>
            <w14:solidFill>
              <w14:schemeClr w14:val="tx1"/>
            </w14:solidFill>
          </w14:textFill>
        </w:rPr>
        <w:t>标，共分1标段：即第</w:t>
      </w:r>
      <w:r>
        <w:rPr>
          <w:rFonts w:hint="eastAsia" w:ascii="宋体" w:hAnsi="宋体"/>
          <w:color w:val="000000" w:themeColor="text1"/>
          <w:szCs w:val="21"/>
          <w:highlight w:val="none"/>
          <w14:textFill>
            <w14:solidFill>
              <w14:schemeClr w14:val="tx1"/>
            </w14:solidFill>
          </w14:textFill>
        </w:rPr>
        <w:t>FL01</w:t>
      </w:r>
      <w:r>
        <w:rPr>
          <w:rFonts w:hint="eastAsia" w:ascii="宋体" w:hAnsi="宋体" w:eastAsia="宋体"/>
          <w:color w:val="000000" w:themeColor="text1"/>
          <w:szCs w:val="21"/>
          <w:highlight w:val="none"/>
          <w14:textFill>
            <w14:solidFill>
              <w14:schemeClr w14:val="tx1"/>
            </w14:solidFill>
          </w14:textFill>
        </w:rPr>
        <w:t>标段，</w:t>
      </w:r>
      <w:r>
        <w:rPr>
          <w:rFonts w:hint="eastAsia" w:ascii="宋体" w:hAnsi="宋体"/>
          <w:color w:val="000000" w:themeColor="text1"/>
          <w:szCs w:val="21"/>
          <w:highlight w:val="none"/>
          <w14:textFill>
            <w14:solidFill>
              <w14:schemeClr w14:val="tx1"/>
            </w14:solidFill>
          </w14:textFill>
        </w:rPr>
        <w:t>主要工程内容为：绿化工程的</w:t>
      </w:r>
      <w:r>
        <w:rPr>
          <w:rFonts w:hint="eastAsia" w:ascii="宋体" w:hAnsi="宋体" w:eastAsia="宋体"/>
          <w:color w:val="000000" w:themeColor="text1"/>
          <w:szCs w:val="21"/>
          <w:highlight w:val="none"/>
          <w14:textFill>
            <w14:solidFill>
              <w14:schemeClr w14:val="tx1"/>
            </w14:solidFill>
          </w14:textFill>
        </w:rPr>
        <w:t>实施</w:t>
      </w:r>
      <w:r>
        <w:rPr>
          <w:rFonts w:hint="eastAsia" w:ascii="宋体" w:hAnsi="宋体"/>
          <w:color w:val="000000" w:themeColor="text1"/>
          <w:szCs w:val="21"/>
          <w:highlight w:val="none"/>
          <w14:textFill>
            <w14:solidFill>
              <w14:schemeClr w14:val="tx1"/>
            </w14:solidFill>
          </w14:textFill>
        </w:rPr>
        <w:t>、完成、缺陷责任期缺陷修复及保修期保修责任。绿化工程施工图预算约821.7万元。（具体实施内容以图纸及工程量清单为准）</w:t>
      </w:r>
    </w:p>
    <w:bookmarkEnd w:id="103"/>
    <w:p w14:paraId="652385F4">
      <w:pPr>
        <w:pStyle w:val="7"/>
        <w:spacing w:line="440" w:lineRule="exact"/>
        <w:ind w:firstLine="440" w:firstLineChars="200"/>
        <w:rPr>
          <w:rFonts w:ascii="宋体" w:hAnsi="宋体" w:cs="宋体"/>
          <w:color w:val="000000" w:themeColor="text1"/>
          <w:spacing w:val="5"/>
          <w:szCs w:val="21"/>
          <w:highlight w:val="none"/>
          <w14:textFill>
            <w14:solidFill>
              <w14:schemeClr w14:val="tx1"/>
            </w14:solidFill>
          </w14:textFill>
        </w:rPr>
      </w:pPr>
      <w:r>
        <w:rPr>
          <w:rFonts w:ascii="宋体" w:hAnsi="宋体" w:cs="宋体"/>
          <w:color w:val="000000" w:themeColor="text1"/>
          <w:spacing w:val="5"/>
          <w:szCs w:val="21"/>
          <w:highlight w:val="none"/>
          <w14:textFill>
            <w14:solidFill>
              <w14:schemeClr w14:val="tx1"/>
            </w14:solidFill>
          </w14:textFill>
        </w:rPr>
        <w:t>2.</w:t>
      </w:r>
      <w:r>
        <w:rPr>
          <w:rFonts w:hint="eastAsia" w:ascii="宋体" w:hAnsi="宋体" w:cs="宋体"/>
          <w:color w:val="000000" w:themeColor="text1"/>
          <w:spacing w:val="5"/>
          <w:szCs w:val="21"/>
          <w:highlight w:val="none"/>
          <w14:textFill>
            <w14:solidFill>
              <w14:schemeClr w14:val="tx1"/>
            </w14:solidFill>
          </w14:textFill>
        </w:rPr>
        <w:t>3</w:t>
      </w:r>
      <w:r>
        <w:rPr>
          <w:rFonts w:ascii="宋体" w:hAnsi="宋体" w:cs="宋体"/>
          <w:color w:val="000000" w:themeColor="text1"/>
          <w:spacing w:val="5"/>
          <w:szCs w:val="21"/>
          <w:highlight w:val="none"/>
          <w14:textFill>
            <w14:solidFill>
              <w14:schemeClr w14:val="tx1"/>
            </w14:solidFill>
          </w14:textFill>
        </w:rPr>
        <w:t>计划工期：</w:t>
      </w:r>
    </w:p>
    <w:p w14:paraId="486A64C6">
      <w:pPr>
        <w:spacing w:line="440" w:lineRule="exact"/>
        <w:ind w:firstLine="420" w:firstLineChars="200"/>
        <w:rPr>
          <w:rFonts w:ascii="宋体" w:hAnsi="宋体"/>
          <w:color w:val="000000" w:themeColor="text1"/>
          <w:szCs w:val="21"/>
          <w:highlight w:val="none"/>
          <w14:textFill>
            <w14:solidFill>
              <w14:schemeClr w14:val="tx1"/>
            </w14:solidFill>
          </w14:textFill>
        </w:rPr>
      </w:pPr>
      <w:bookmarkStart w:id="104" w:name="OLE_LINK24"/>
      <w:r>
        <w:rPr>
          <w:rFonts w:hint="eastAsia" w:ascii="宋体" w:hAnsi="宋体"/>
          <w:color w:val="000000" w:themeColor="text1"/>
          <w:szCs w:val="21"/>
          <w:highlight w:val="none"/>
          <w14:textFill>
            <w14:solidFill>
              <w14:schemeClr w14:val="tx1"/>
            </w14:solidFill>
          </w14:textFill>
        </w:rPr>
        <w:t>施工工期：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2</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个月（</w:t>
      </w:r>
      <w:r>
        <w:rPr>
          <w:rFonts w:hint="eastAsia" w:ascii="宋体" w:hAnsi="宋体"/>
          <w:color w:val="000000" w:themeColor="text1"/>
          <w:szCs w:val="21"/>
          <w:highlight w:val="none"/>
          <w:lang w:val="en-US" w:eastAsia="zh-CN"/>
          <w14:textFill>
            <w14:solidFill>
              <w14:schemeClr w14:val="tx1"/>
            </w14:solidFill>
          </w14:textFill>
        </w:rPr>
        <w:t>60</w:t>
      </w:r>
      <w:r>
        <w:rPr>
          <w:rFonts w:hint="eastAsia" w:ascii="宋体" w:hAnsi="宋体"/>
          <w:color w:val="000000" w:themeColor="text1"/>
          <w:szCs w:val="21"/>
          <w:highlight w:val="none"/>
          <w14:textFill>
            <w14:solidFill>
              <w14:schemeClr w14:val="tx1"/>
            </w14:solidFill>
          </w14:textFill>
        </w:rPr>
        <w:t>个日历天,自监理人签发开工令注明的时间开始计算工期），</w:t>
      </w:r>
      <w:bookmarkEnd w:id="104"/>
      <w:r>
        <w:rPr>
          <w:rFonts w:hint="eastAsia" w:ascii="宋体" w:hAnsi="宋体"/>
          <w:color w:val="000000" w:themeColor="text1"/>
          <w:szCs w:val="21"/>
          <w:highlight w:val="none"/>
          <w14:textFill>
            <w14:solidFill>
              <w14:schemeClr w14:val="tx1"/>
            </w14:solidFill>
          </w14:textFill>
        </w:rPr>
        <w:t>保活期12个月，缺陷责任期（保修期）12个月。</w:t>
      </w:r>
    </w:p>
    <w:p w14:paraId="74F89A15">
      <w:pPr>
        <w:pStyle w:val="7"/>
        <w:spacing w:line="440" w:lineRule="exact"/>
        <w:ind w:firstLine="440" w:firstLineChars="200"/>
        <w:rPr>
          <w:rFonts w:ascii="宋体" w:hAnsi="宋体" w:cs="宋体"/>
          <w:color w:val="000000" w:themeColor="text1"/>
          <w:spacing w:val="5"/>
          <w:szCs w:val="21"/>
          <w:highlight w:val="none"/>
          <w14:textFill>
            <w14:solidFill>
              <w14:schemeClr w14:val="tx1"/>
            </w14:solidFill>
          </w14:textFill>
        </w:rPr>
      </w:pPr>
      <w:bookmarkStart w:id="105" w:name="EB36e163d1629046c197c9564d50b951c5"/>
      <w:r>
        <w:rPr>
          <w:rFonts w:hint="eastAsia" w:ascii="宋体" w:hAnsi="宋体" w:cs="宋体"/>
          <w:color w:val="000000" w:themeColor="text1"/>
          <w:spacing w:val="5"/>
          <w:szCs w:val="21"/>
          <w:highlight w:val="none"/>
          <w14:textFill>
            <w14:solidFill>
              <w14:schemeClr w14:val="tx1"/>
            </w14:solidFill>
          </w14:textFill>
        </w:rPr>
        <w:t>2.4是否属于政府采购工程: □是  ☑否</w:t>
      </w:r>
    </w:p>
    <w:p w14:paraId="77BB7D07">
      <w:pPr>
        <w:spacing w:line="440" w:lineRule="exact"/>
        <w:ind w:firstLine="440" w:firstLineChars="20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2.5是否专门面向中小企业预留:□是  ☑否</w:t>
      </w:r>
      <w:r>
        <w:rPr>
          <w:rFonts w:hint="eastAsia" w:ascii="宋体" w:hAnsi="宋体"/>
          <w:color w:val="000000" w:themeColor="text1"/>
          <w:szCs w:val="21"/>
          <w:highlight w:val="none"/>
          <w:u w:val="single"/>
          <w14:textFill>
            <w14:solidFill>
              <w14:schemeClr w14:val="tx1"/>
            </w14:solidFill>
          </w14:textFill>
        </w:rPr>
        <w:t>（</w:t>
      </w:r>
      <w:r>
        <w:rPr>
          <w:rFonts w:hint="eastAsia"/>
          <w:color w:val="000000" w:themeColor="text1"/>
          <w:szCs w:val="21"/>
          <w:highlight w:val="none"/>
          <w:u w:val="single"/>
          <w:shd w:val="clear" w:color="auto" w:fill="FFFFFF"/>
          <w14:textFill>
            <w14:solidFill>
              <w14:schemeClr w14:val="tx1"/>
            </w14:solidFill>
          </w14:textFill>
        </w:rPr>
        <w:t>本项目非政府采购工程，故不专门面向中小企业</w:t>
      </w:r>
      <w:r>
        <w:rPr>
          <w:rFonts w:hint="eastAsia" w:ascii="宋体" w:hAnsi="宋体"/>
          <w:color w:val="000000" w:themeColor="text1"/>
          <w:szCs w:val="21"/>
          <w:highlight w:val="none"/>
          <w:u w:val="single"/>
          <w14:textFill>
            <w14:solidFill>
              <w14:schemeClr w14:val="tx1"/>
            </w14:solidFill>
          </w14:textFill>
        </w:rPr>
        <w:t>）。</w:t>
      </w:r>
    </w:p>
    <w:p w14:paraId="7F20035B">
      <w:pPr>
        <w:pStyle w:val="7"/>
        <w:spacing w:line="440" w:lineRule="exact"/>
        <w:ind w:firstLine="440" w:firstLineChars="200"/>
        <w:rPr>
          <w:rFonts w:ascii="宋体" w:hAnsi="宋体" w:cs="宋体"/>
          <w:color w:val="000000" w:themeColor="text1"/>
          <w:spacing w:val="5"/>
          <w:szCs w:val="21"/>
          <w:highlight w:val="none"/>
          <w14:textFill>
            <w14:solidFill>
              <w14:schemeClr w14:val="tx1"/>
            </w14:solidFill>
          </w14:textFill>
        </w:rPr>
      </w:pPr>
    </w:p>
    <w:p w14:paraId="7752196A">
      <w:pPr>
        <w:pStyle w:val="7"/>
        <w:spacing w:line="440" w:lineRule="exact"/>
        <w:ind w:firstLine="440" w:firstLineChars="200"/>
        <w:rPr>
          <w:rFonts w:ascii="宋体" w:hAnsi="宋体" w:cs="宋体"/>
          <w:color w:val="000000" w:themeColor="text1"/>
          <w:spacing w:val="5"/>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2.6专门面向中小企业预留的实施方式:</w:t>
      </w:r>
    </w:p>
    <w:p w14:paraId="0060ECBD">
      <w:pPr>
        <w:pStyle w:val="7"/>
        <w:spacing w:line="440" w:lineRule="exact"/>
        <w:ind w:firstLine="440" w:firstLineChars="200"/>
        <w:rPr>
          <w:rFonts w:ascii="宋体" w:hAnsi="宋体" w:cs="宋体"/>
          <w:color w:val="000000" w:themeColor="text1"/>
          <w:spacing w:val="5"/>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□本标段整体面向中小企业；</w:t>
      </w:r>
    </w:p>
    <w:p w14:paraId="40383D90">
      <w:pPr>
        <w:pStyle w:val="7"/>
        <w:spacing w:line="440" w:lineRule="exact"/>
        <w:ind w:firstLine="440" w:firstLineChars="200"/>
        <w:rPr>
          <w:rFonts w:ascii="宋体" w:hAnsi="宋体" w:cs="宋体"/>
          <w:color w:val="000000" w:themeColor="text1"/>
          <w:spacing w:val="5"/>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□本标段联合体形式面向中小企业，以联合体形式参加本次投标的，联合体中中小企业承担的合同份额需达到（不低于40%）以上。</w:t>
      </w:r>
      <w:bookmarkEnd w:id="105"/>
    </w:p>
    <w:bookmarkEnd w:id="101"/>
    <w:p w14:paraId="5E102DE5">
      <w:pPr>
        <w:pStyle w:val="37"/>
        <w:spacing w:before="60" w:after="60" w:line="500" w:lineRule="exact"/>
        <w:rPr>
          <w:rFonts w:ascii="宋体" w:hAnsi="宋体" w:cs="宋体"/>
          <w:color w:val="000000" w:themeColor="text1"/>
          <w:szCs w:val="21"/>
          <w:highlight w:val="none"/>
          <w14:textFill>
            <w14:solidFill>
              <w14:schemeClr w14:val="tx1"/>
            </w14:solidFill>
          </w14:textFill>
        </w:rPr>
      </w:pPr>
      <w:bookmarkStart w:id="106" w:name="_Toc29834"/>
      <w:bookmarkStart w:id="107" w:name="_Toc10951"/>
      <w:bookmarkStart w:id="108" w:name="_Toc118195741"/>
      <w:bookmarkStart w:id="109" w:name="_Toc14316"/>
      <w:bookmarkStart w:id="110" w:name="_Toc14045"/>
      <w:bookmarkStart w:id="111" w:name="_Toc10662"/>
      <w:bookmarkStart w:id="112" w:name="_Toc98785237"/>
      <w:bookmarkStart w:id="113" w:name="_Toc6443"/>
      <w:bookmarkStart w:id="114" w:name="_Toc284"/>
      <w:bookmarkStart w:id="115" w:name="_Toc14955"/>
      <w:bookmarkStart w:id="116" w:name="_Toc3005"/>
      <w:bookmarkStart w:id="117" w:name="_Toc452457618"/>
      <w:bookmarkStart w:id="118" w:name="_Toc120624160"/>
      <w:bookmarkStart w:id="119" w:name="_Toc21891"/>
      <w:bookmarkStart w:id="120" w:name="_Toc3916"/>
      <w:bookmarkStart w:id="121" w:name="_Toc8528"/>
      <w:bookmarkStart w:id="122" w:name="_Toc119585469"/>
      <w:bookmarkStart w:id="123" w:name="_Toc31086"/>
      <w:bookmarkStart w:id="124" w:name="_Toc19886"/>
      <w:bookmarkStart w:id="125" w:name="_Toc9329"/>
      <w:r>
        <w:rPr>
          <w:rFonts w:ascii="宋体" w:hAnsi="宋体" w:cs="宋体"/>
          <w:bCs w:val="0"/>
          <w:color w:val="000000" w:themeColor="text1"/>
          <w:highlight w:val="none"/>
          <w14:textFill>
            <w14:solidFill>
              <w14:schemeClr w14:val="tx1"/>
            </w14:solidFill>
          </w14:textFill>
        </w:rPr>
        <w:t>3.</w:t>
      </w:r>
      <w:r>
        <w:rPr>
          <w:rFonts w:hint="eastAsia" w:ascii="宋体" w:hAnsi="宋体" w:cs="宋体"/>
          <w:bCs w:val="0"/>
          <w:color w:val="000000" w:themeColor="text1"/>
          <w:highlight w:val="none"/>
          <w14:textFill>
            <w14:solidFill>
              <w14:schemeClr w14:val="tx1"/>
            </w14:solidFill>
          </w14:textFill>
        </w:rPr>
        <w:t>投标人资格要求</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6BA39C1A">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本次招标要求投标人须具备</w:t>
      </w:r>
      <w:r>
        <w:rPr>
          <w:rFonts w:hint="eastAsia" w:ascii="宋体" w:hAnsi="宋体"/>
          <w:color w:val="000000" w:themeColor="text1"/>
          <w:szCs w:val="21"/>
          <w:highlight w:val="none"/>
          <w14:textFill>
            <w14:solidFill>
              <w14:schemeClr w14:val="tx1"/>
            </w14:solidFill>
          </w14:textFill>
        </w:rPr>
        <w:t>独立法人资格,具有满足投标人须知附录3资格审查条件业绩最低要求中规定的施工</w:t>
      </w:r>
      <w:r>
        <w:rPr>
          <w:rFonts w:hint="eastAsia" w:ascii="宋体" w:hAnsi="宋体" w:cs="宋体"/>
          <w:color w:val="000000" w:themeColor="text1"/>
          <w:szCs w:val="21"/>
          <w:highlight w:val="none"/>
          <w14:textFill>
            <w14:solidFill>
              <w14:schemeClr w14:val="tx1"/>
            </w14:solidFill>
          </w14:textFill>
        </w:rPr>
        <w:t>业绩，并在人员、设备、资金等方面具有相应的施工能力。</w:t>
      </w:r>
    </w:p>
    <w:p w14:paraId="37C040F6">
      <w:pPr>
        <w:pStyle w:val="7"/>
        <w:spacing w:line="440" w:lineRule="exact"/>
        <w:ind w:firstLine="420" w:firstLineChars="200"/>
        <w:rPr>
          <w:rFonts w:ascii="宋体" w:hAnsi="宋体" w:eastAsia="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eastAsia="宋体"/>
          <w:color w:val="000000" w:themeColor="text1"/>
          <w:szCs w:val="21"/>
          <w:highlight w:val="none"/>
          <w14:textFill>
            <w14:solidFill>
              <w14:schemeClr w14:val="tx1"/>
            </w14:solidFill>
          </w14:textFill>
        </w:rPr>
        <w:t>3.2 本次招标不接受联合体投标。</w:t>
      </w:r>
    </w:p>
    <w:p w14:paraId="3591BF37">
      <w:pPr>
        <w:pStyle w:val="7"/>
        <w:spacing w:line="440" w:lineRule="exact"/>
        <w:ind w:firstLine="420" w:firstLineChars="200"/>
        <w:rPr>
          <w:rFonts w:ascii="宋体" w:hAnsi="宋体" w:eastAsia="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r>
        <w:rPr>
          <w:rFonts w:hint="eastAsia" w:ascii="宋体" w:hAnsi="宋体" w:eastAsia="宋体"/>
          <w:color w:val="000000" w:themeColor="text1"/>
          <w:szCs w:val="21"/>
          <w:highlight w:val="none"/>
          <w14:textFill>
            <w14:solidFill>
              <w14:schemeClr w14:val="tx1"/>
            </w14:solidFill>
          </w14:textFill>
        </w:rPr>
        <w:t>3.2 本次招标接受联合体投标。</w:t>
      </w:r>
    </w:p>
    <w:p w14:paraId="0A8EAB21">
      <w:pPr>
        <w:pStyle w:val="7"/>
        <w:spacing w:line="440" w:lineRule="exact"/>
        <w:ind w:firstLine="420" w:firstLineChars="200"/>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联合体投标的，应满足下列要求：</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10ACF1AA">
      <w:pPr>
        <w:pStyle w:val="7"/>
        <w:spacing w:line="440" w:lineRule="exact"/>
        <w:ind w:firstLine="420" w:firstLineChars="200"/>
        <w:rPr>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r>
        <w:rPr>
          <w:rFonts w:ascii="宋体" w:hAnsi="宋体" w:eastAsia="宋体" w:cs="宋体"/>
          <w:color w:val="000000" w:themeColor="text1"/>
          <w:szCs w:val="21"/>
          <w:highlight w:val="none"/>
          <w14:textFill>
            <w14:solidFill>
              <w14:schemeClr w14:val="tx1"/>
            </w14:solidFill>
          </w14:textFill>
        </w:rPr>
        <w:t xml:space="preserve">3.3 </w:t>
      </w:r>
      <w:r>
        <w:rPr>
          <w:rFonts w:hint="eastAsia"/>
          <w:color w:val="000000" w:themeColor="text1"/>
          <w:szCs w:val="21"/>
          <w:highlight w:val="none"/>
          <w14:textFill>
            <w14:solidFill>
              <w14:schemeClr w14:val="tx1"/>
            </w14:solidFill>
          </w14:textFill>
        </w:rPr>
        <w:t>根据浙江省交通运输厅公布的信用评价结果（以投标截止时间有效的信用评价结果为准），投标截止时间当期及上一期均为</w:t>
      </w:r>
      <w:r>
        <w:rPr>
          <w:color w:val="000000" w:themeColor="text1"/>
          <w:szCs w:val="21"/>
          <w:highlight w:val="none"/>
          <w14:textFill>
            <w14:solidFill>
              <w14:schemeClr w14:val="tx1"/>
            </w14:solidFill>
          </w14:textFill>
        </w:rPr>
        <w:t>AA</w:t>
      </w:r>
      <w:r>
        <w:rPr>
          <w:rFonts w:hint="eastAsia"/>
          <w:color w:val="000000" w:themeColor="text1"/>
          <w:szCs w:val="21"/>
          <w:highlight w:val="none"/>
          <w14:textFill>
            <w14:solidFill>
              <w14:schemeClr w14:val="tx1"/>
            </w14:solidFill>
          </w14:textFill>
        </w:rPr>
        <w:t>级信用等级的企业，最多可参加</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个标段的投标（允许中</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个标段），其它企业可参加</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个标段的投标</w:t>
      </w:r>
      <w:r>
        <w:rPr>
          <w:rFonts w:hint="eastAsia"/>
          <w:color w:val="000000" w:themeColor="text1"/>
          <w:highlight w:val="none"/>
          <w14:textFill>
            <w14:solidFill>
              <w14:schemeClr w14:val="tx1"/>
            </w14:solidFill>
          </w14:textFill>
        </w:rPr>
        <w:t>，否则相关投标均无效</w:t>
      </w:r>
      <w:r>
        <w:rPr>
          <w:rFonts w:hint="eastAsia"/>
          <w:color w:val="000000" w:themeColor="text1"/>
          <w:szCs w:val="21"/>
          <w:highlight w:val="none"/>
          <w14:textFill>
            <w14:solidFill>
              <w14:schemeClr w14:val="tx1"/>
            </w14:solidFill>
          </w14:textFill>
        </w:rPr>
        <w:t>。</w:t>
      </w:r>
    </w:p>
    <w:p w14:paraId="064861F2">
      <w:pPr>
        <w:pStyle w:val="7"/>
        <w:spacing w:line="440" w:lineRule="exact"/>
        <w:ind w:firstLine="420" w:firstLineChars="200"/>
        <w:rPr>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r>
        <w:rPr>
          <w:rFonts w:ascii="宋体" w:hAnsi="宋体" w:eastAsia="宋体" w:cs="宋体"/>
          <w:color w:val="000000" w:themeColor="text1"/>
          <w:szCs w:val="21"/>
          <w:highlight w:val="none"/>
          <w14:textFill>
            <w14:solidFill>
              <w14:schemeClr w14:val="tx1"/>
            </w14:solidFill>
          </w14:textFill>
        </w:rPr>
        <w:t xml:space="preserve">3.3 </w:t>
      </w:r>
      <w:r>
        <w:rPr>
          <w:rFonts w:hint="eastAsia"/>
          <w:color w:val="000000" w:themeColor="text1"/>
          <w:szCs w:val="21"/>
          <w:highlight w:val="none"/>
          <w14:textFill>
            <w14:solidFill>
              <w14:schemeClr w14:val="tx1"/>
            </w14:solidFill>
          </w14:textFill>
        </w:rPr>
        <w:t>投标人可参加</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个标段的投标</w:t>
      </w:r>
      <w:r>
        <w:rPr>
          <w:rFonts w:hint="eastAsia"/>
          <w:color w:val="000000" w:themeColor="text1"/>
          <w:highlight w:val="none"/>
          <w14:textFill>
            <w14:solidFill>
              <w14:schemeClr w14:val="tx1"/>
            </w14:solidFill>
          </w14:textFill>
        </w:rPr>
        <w:t>，否则作否决投标处理</w:t>
      </w:r>
      <w:r>
        <w:rPr>
          <w:rFonts w:hint="eastAsia"/>
          <w:color w:val="000000" w:themeColor="text1"/>
          <w:szCs w:val="21"/>
          <w:highlight w:val="none"/>
          <w14:textFill>
            <w14:solidFill>
              <w14:schemeClr w14:val="tx1"/>
            </w14:solidFill>
          </w14:textFill>
        </w:rPr>
        <w:t>。</w:t>
      </w:r>
    </w:p>
    <w:p w14:paraId="002F727F">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3.4</w:t>
      </w: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与招标人存在利害关系可能影响招标公正性的单位</w:t>
      </w:r>
      <w:r>
        <w:rPr>
          <w:rFonts w:hint="eastAsia" w:ascii="宋体" w:hAnsi="宋体"/>
          <w:color w:val="000000" w:themeColor="text1"/>
          <w:szCs w:val="21"/>
          <w:highlight w:val="none"/>
          <w14:textFill>
            <w14:solidFill>
              <w14:schemeClr w14:val="tx1"/>
            </w14:solidFill>
          </w14:textFill>
        </w:rPr>
        <w:t>（联合体投标的，包括联合体各成员）</w:t>
      </w:r>
      <w:r>
        <w:rPr>
          <w:rFonts w:ascii="宋体" w:hAnsi="宋体" w:cs="宋体"/>
          <w:color w:val="000000" w:themeColor="text1"/>
          <w:szCs w:val="21"/>
          <w:highlight w:val="none"/>
          <w14:textFill>
            <w14:solidFill>
              <w14:schemeClr w14:val="tx1"/>
            </w14:solidFill>
          </w14:textFill>
        </w:rPr>
        <w:t>，不得参加投标。单位负责人为同</w:t>
      </w:r>
      <w:r>
        <w:rPr>
          <w:rFonts w:hint="eastAsia" w:ascii="宋体" w:hAnsi="宋体" w:cs="宋体"/>
          <w:b/>
          <w:color w:val="000000" w:themeColor="text1"/>
          <w:szCs w:val="21"/>
          <w:highlight w:val="none"/>
          <w14:textFill>
            <w14:solidFill>
              <w14:schemeClr w14:val="tx1"/>
            </w14:solidFill>
          </w14:textFill>
        </w:rPr>
        <w:t>一</w:t>
      </w:r>
      <w:r>
        <w:rPr>
          <w:rFonts w:hint="eastAsia" w:ascii="宋体" w:hAnsi="宋体" w:cs="宋体"/>
          <w:color w:val="000000" w:themeColor="text1"/>
          <w:szCs w:val="21"/>
          <w:highlight w:val="none"/>
          <w14:textFill>
            <w14:solidFill>
              <w14:schemeClr w14:val="tx1"/>
            </w14:solidFill>
          </w14:textFill>
        </w:rPr>
        <w:t>人或者存在控股（含法定代表人控股）、管理关系的不同单位，不得参加同一标段的投标，否则，相关投标均无效。</w:t>
      </w:r>
    </w:p>
    <w:p w14:paraId="6D773504">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w:t>
      </w: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在“信用中国”网站（http://www.creditchina.gov.cn/）中被列入失信被执行人名单的投标人，不得参加投标。</w:t>
      </w:r>
    </w:p>
    <w:p w14:paraId="504E974B">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□3.6面向中小企业招标的，投标人（或联合体中的中小企业）须为中小企业，并提供《中小企业声明函》。</w:t>
      </w:r>
    </w:p>
    <w:p w14:paraId="5022289A">
      <w:pPr>
        <w:widowControl/>
        <w:tabs>
          <w:tab w:val="left" w:pos="3513"/>
        </w:tabs>
        <w:spacing w:line="440" w:lineRule="exact"/>
        <w:ind w:firstLine="420" w:firstLineChars="200"/>
        <w:jc w:val="left"/>
        <w:rPr>
          <w:b/>
          <w:bCs/>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3.7其他要求：</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ab/>
      </w:r>
    </w:p>
    <w:p w14:paraId="12C558D2">
      <w:pPr>
        <w:pStyle w:val="37"/>
        <w:spacing w:before="60" w:after="60" w:line="440" w:lineRule="exact"/>
        <w:rPr>
          <w:rFonts w:ascii="宋体" w:hAnsi="宋体" w:cs="宋体"/>
          <w:bCs w:val="0"/>
          <w:color w:val="000000" w:themeColor="text1"/>
          <w:highlight w:val="none"/>
          <w14:textFill>
            <w14:solidFill>
              <w14:schemeClr w14:val="tx1"/>
            </w14:solidFill>
          </w14:textFill>
        </w:rPr>
      </w:pPr>
      <w:bookmarkStart w:id="126" w:name="_Toc26064"/>
      <w:bookmarkStart w:id="127" w:name="_Toc18725"/>
      <w:bookmarkStart w:id="128" w:name="_Toc13172"/>
      <w:bookmarkStart w:id="129" w:name="_Toc8063"/>
      <w:bookmarkStart w:id="130" w:name="_Toc7646"/>
      <w:bookmarkStart w:id="131" w:name="_Toc19808"/>
      <w:bookmarkStart w:id="132" w:name="_Toc120624161"/>
      <w:bookmarkStart w:id="133" w:name="_Toc119585470"/>
      <w:bookmarkStart w:id="134" w:name="_Toc5379"/>
      <w:bookmarkStart w:id="135" w:name="_Toc17874"/>
      <w:bookmarkStart w:id="136" w:name="_Toc16410"/>
      <w:bookmarkStart w:id="137" w:name="_Toc118195742"/>
      <w:bookmarkStart w:id="138" w:name="_Toc32233"/>
      <w:bookmarkStart w:id="139" w:name="_Toc22104"/>
      <w:bookmarkStart w:id="140" w:name="_Toc11878"/>
      <w:bookmarkStart w:id="141" w:name="_Toc26939"/>
      <w:bookmarkStart w:id="142" w:name="_Toc30430"/>
      <w:bookmarkStart w:id="143" w:name="_Toc475825721"/>
      <w:bookmarkStart w:id="144" w:name="_Toc459237385"/>
      <w:bookmarkStart w:id="145" w:name="_Toc10227"/>
      <w:bookmarkStart w:id="146" w:name="_Toc98785238"/>
      <w:bookmarkStart w:id="147" w:name="_Toc452457619"/>
      <w:r>
        <w:rPr>
          <w:rFonts w:ascii="宋体" w:hAnsi="宋体" w:cs="宋体"/>
          <w:bCs w:val="0"/>
          <w:color w:val="000000" w:themeColor="text1"/>
          <w:highlight w:val="none"/>
          <w14:textFill>
            <w14:solidFill>
              <w14:schemeClr w14:val="tx1"/>
            </w14:solidFill>
          </w14:textFill>
        </w:rPr>
        <w:t>4.招标文件的获取</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bookmarkEnd w:id="142"/>
    <w:bookmarkEnd w:id="143"/>
    <w:bookmarkEnd w:id="144"/>
    <w:bookmarkEnd w:id="145"/>
    <w:bookmarkEnd w:id="146"/>
    <w:bookmarkEnd w:id="147"/>
    <w:p w14:paraId="131A28E4">
      <w:pPr>
        <w:pStyle w:val="7"/>
        <w:spacing w:line="440" w:lineRule="exact"/>
        <w:ind w:firstLine="420" w:firstLineChars="200"/>
        <w:rPr>
          <w:rFonts w:hint="eastAsia" w:ascii="宋体" w:hAnsi="宋体" w:eastAsia="宋体" w:cs="宋体"/>
          <w:snapToGrid w:val="0"/>
          <w:color w:val="auto"/>
          <w:sz w:val="21"/>
          <w:szCs w:val="21"/>
          <w:highlight w:val="none"/>
        </w:rPr>
      </w:pPr>
      <w:bookmarkStart w:id="148" w:name="_Toc15390"/>
      <w:bookmarkStart w:id="149" w:name="_Toc118195743"/>
      <w:bookmarkStart w:id="150" w:name="_Toc119585471"/>
      <w:bookmarkStart w:id="151" w:name="_Toc24194"/>
      <w:bookmarkStart w:id="152" w:name="_Toc8223"/>
      <w:bookmarkStart w:id="153" w:name="_Toc25306"/>
      <w:bookmarkStart w:id="154" w:name="_Toc28263"/>
      <w:bookmarkStart w:id="155" w:name="_Toc30152"/>
      <w:bookmarkStart w:id="156" w:name="_Toc23008"/>
      <w:bookmarkStart w:id="157" w:name="_Toc13173"/>
      <w:bookmarkStart w:id="158" w:name="_Toc22112"/>
      <w:bookmarkStart w:id="159" w:name="_Toc434"/>
      <w:bookmarkStart w:id="160" w:name="_Toc19414"/>
      <w:bookmarkStart w:id="161" w:name="_Toc27148"/>
      <w:bookmarkStart w:id="162" w:name="_Toc1882"/>
      <w:bookmarkStart w:id="163" w:name="_Toc120624162"/>
      <w:bookmarkStart w:id="164" w:name="_Toc475825722"/>
      <w:bookmarkStart w:id="165" w:name="_Toc452457620"/>
      <w:bookmarkStart w:id="166" w:name="_Toc98785239"/>
      <w:bookmarkStart w:id="167" w:name="_Toc459237386"/>
      <w:bookmarkStart w:id="168" w:name="_Toc21374"/>
      <w:bookmarkStart w:id="169" w:name="_Toc26319"/>
      <w:r>
        <w:rPr>
          <w:rFonts w:hint="eastAsia" w:ascii="宋体" w:hAnsi="宋体" w:eastAsia="宋体" w:cs="宋体"/>
          <w:snapToGrid w:val="0"/>
          <w:color w:val="auto"/>
          <w:sz w:val="21"/>
          <w:szCs w:val="21"/>
          <w:highlight w:val="none"/>
          <w:lang w:val="en-US" w:eastAsia="zh-CN"/>
        </w:rPr>
        <w:t>4.1</w:t>
      </w:r>
      <w:r>
        <w:rPr>
          <w:rFonts w:hint="eastAsia" w:ascii="宋体" w:hAnsi="宋体" w:eastAsia="宋体" w:cs="宋体"/>
          <w:snapToGrid w:val="0"/>
          <w:color w:val="auto"/>
          <w:sz w:val="21"/>
          <w:szCs w:val="21"/>
          <w:highlight w:val="none"/>
        </w:rPr>
        <w:t>凡有意参加投标者，请于2024年11月</w:t>
      </w:r>
      <w:r>
        <w:rPr>
          <w:rFonts w:hint="eastAsia" w:ascii="宋体" w:hAnsi="宋体" w:eastAsia="宋体" w:cs="宋体"/>
          <w:snapToGrid w:val="0"/>
          <w:color w:val="auto"/>
          <w:sz w:val="21"/>
          <w:szCs w:val="21"/>
          <w:highlight w:val="none"/>
          <w:lang w:val="en-US" w:eastAsia="zh-CN"/>
        </w:rPr>
        <w:t>16</w:t>
      </w:r>
      <w:r>
        <w:rPr>
          <w:rFonts w:hint="eastAsia" w:ascii="宋体" w:hAnsi="宋体" w:eastAsia="宋体" w:cs="宋体"/>
          <w:snapToGrid w:val="0"/>
          <w:color w:val="auto"/>
          <w:sz w:val="21"/>
          <w:szCs w:val="21"/>
          <w:highlight w:val="none"/>
        </w:rPr>
        <w:t>日8：30时至2024年12月1</w:t>
      </w:r>
      <w:r>
        <w:rPr>
          <w:rFonts w:hint="eastAsia" w:ascii="宋体" w:hAnsi="宋体" w:eastAsia="宋体" w:cs="宋体"/>
          <w:snapToGrid w:val="0"/>
          <w:color w:val="auto"/>
          <w:sz w:val="21"/>
          <w:szCs w:val="21"/>
          <w:highlight w:val="none"/>
          <w:lang w:val="en-US" w:eastAsia="zh-CN"/>
        </w:rPr>
        <w:t>2</w:t>
      </w:r>
      <w:r>
        <w:rPr>
          <w:rFonts w:hint="eastAsia" w:ascii="宋体" w:hAnsi="宋体" w:eastAsia="宋体" w:cs="宋体"/>
          <w:snapToGrid w:val="0"/>
          <w:color w:val="auto"/>
          <w:sz w:val="21"/>
          <w:szCs w:val="21"/>
          <w:highlight w:val="none"/>
        </w:rPr>
        <w:t>日9：30时（北京时间，下同），登录“绍兴市公共资源交易中心电子招投标交易平台”（以下简称“交易平台”，网址：http://p.ggb.sx.gov.cn:6081/TPBidder/）（电子招标投标交易平台名称）下载电子招标文件。本项目招标文件（含图纸）和补充文件（答疑、澄清）、修改文件均以网上下载方式发放。请各潜在投标人使用CA锁登录绍兴市公共资源交易中心电子招投标交易平台（http://oa.ggb.sx.gov.cn/TPBidder-ztk）获取。本招标公告附件文档仅作查看，未使用CA锁登录并获取招标文件的投标将被拒绝（首次参与的潜在投标人可自行注册登记并领取CA锁）。</w:t>
      </w:r>
    </w:p>
    <w:p w14:paraId="545F391F">
      <w:pPr>
        <w:pStyle w:val="7"/>
        <w:spacing w:line="440" w:lineRule="exact"/>
        <w:ind w:firstLine="420" w:firstLineChars="200"/>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w:t>
      </w:r>
      <w:bookmarkStart w:id="170" w:name="OLE_LINK51"/>
      <w:r>
        <w:rPr>
          <w:rFonts w:hint="eastAsia" w:ascii="宋体" w:hAnsi="宋体" w:eastAsia="宋体" w:cs="宋体"/>
          <w:snapToGrid w:val="0"/>
          <w:color w:val="auto"/>
          <w:sz w:val="21"/>
          <w:szCs w:val="21"/>
          <w:highlight w:val="none"/>
          <w:lang w:val="en-US" w:eastAsia="zh-CN"/>
        </w:rPr>
        <w:t>2</w:t>
      </w:r>
      <w:r>
        <w:rPr>
          <w:rFonts w:hint="eastAsia" w:ascii="宋体" w:hAnsi="宋体" w:eastAsia="宋体" w:cs="宋体"/>
          <w:snapToGrid w:val="0"/>
          <w:color w:val="auto"/>
          <w:sz w:val="21"/>
          <w:szCs w:val="21"/>
          <w:highlight w:val="none"/>
        </w:rPr>
        <w:t xml:space="preserve"> </w:t>
      </w:r>
      <w:bookmarkStart w:id="171" w:name="OLE_LINK54"/>
      <w:r>
        <w:rPr>
          <w:rFonts w:hint="eastAsia" w:ascii="宋体" w:hAnsi="宋体" w:eastAsia="宋体" w:cs="宋体"/>
          <w:snapToGrid w:val="0"/>
          <w:color w:val="auto"/>
          <w:sz w:val="21"/>
          <w:szCs w:val="21"/>
          <w:highlight w:val="none"/>
        </w:rPr>
        <w:t>潜在投标人对招标文件有疑问的，通过发送提疑函至电子邮箱940929052@qq.com提问。</w:t>
      </w:r>
      <w:bookmarkEnd w:id="170"/>
      <w:bookmarkEnd w:id="171"/>
      <w:r>
        <w:rPr>
          <w:rFonts w:hint="eastAsia" w:ascii="宋体" w:hAnsi="宋体" w:eastAsia="宋体" w:cs="宋体"/>
          <w:snapToGrid w:val="0"/>
          <w:color w:val="auto"/>
          <w:sz w:val="21"/>
          <w:szCs w:val="21"/>
          <w:highlight w:val="none"/>
        </w:rPr>
        <w:t>提交疑问截止日为</w:t>
      </w:r>
      <w:bookmarkStart w:id="172" w:name="EB1973e648b859472382fa2e30f6d4163a"/>
      <w:r>
        <w:rPr>
          <w:rFonts w:hint="eastAsia" w:ascii="宋体" w:hAnsi="宋体" w:eastAsia="宋体" w:cs="宋体"/>
          <w:snapToGrid w:val="0"/>
          <w:color w:val="auto"/>
          <w:sz w:val="21"/>
          <w:szCs w:val="21"/>
          <w:highlight w:val="none"/>
        </w:rPr>
        <w:t>2024年</w:t>
      </w:r>
      <w:r>
        <w:rPr>
          <w:rFonts w:hint="eastAsia" w:ascii="宋体" w:hAnsi="宋体" w:eastAsia="宋体" w:cs="宋体"/>
          <w:snapToGrid w:val="0"/>
          <w:color w:val="auto"/>
          <w:sz w:val="21"/>
          <w:szCs w:val="21"/>
          <w:highlight w:val="none"/>
          <w:lang w:val="en-US" w:eastAsia="zh-CN"/>
        </w:rPr>
        <w:t>11</w:t>
      </w:r>
      <w:r>
        <w:rPr>
          <w:rFonts w:hint="eastAsia" w:ascii="宋体" w:hAnsi="宋体" w:eastAsia="宋体" w:cs="宋体"/>
          <w:snapToGrid w:val="0"/>
          <w:color w:val="auto"/>
          <w:sz w:val="21"/>
          <w:szCs w:val="21"/>
          <w:highlight w:val="none"/>
        </w:rPr>
        <w:t>月</w:t>
      </w:r>
      <w:r>
        <w:rPr>
          <w:rFonts w:hint="eastAsia" w:ascii="宋体" w:hAnsi="宋体" w:eastAsia="宋体" w:cs="宋体"/>
          <w:snapToGrid w:val="0"/>
          <w:color w:val="auto"/>
          <w:sz w:val="21"/>
          <w:szCs w:val="21"/>
          <w:highlight w:val="none"/>
          <w:lang w:val="en-US" w:eastAsia="zh-CN"/>
        </w:rPr>
        <w:t>24</w:t>
      </w:r>
      <w:r>
        <w:rPr>
          <w:rFonts w:hint="eastAsia" w:ascii="宋体" w:hAnsi="宋体" w:eastAsia="宋体" w:cs="宋体"/>
          <w:snapToGrid w:val="0"/>
          <w:color w:val="auto"/>
          <w:sz w:val="21"/>
          <w:szCs w:val="21"/>
          <w:highlight w:val="none"/>
        </w:rPr>
        <w:t>日</w:t>
      </w:r>
      <w:bookmarkEnd w:id="172"/>
      <w:r>
        <w:rPr>
          <w:rFonts w:hint="eastAsia" w:ascii="宋体" w:hAnsi="宋体" w:eastAsia="宋体" w:cs="宋体"/>
          <w:snapToGrid w:val="0"/>
          <w:color w:val="auto"/>
          <w:sz w:val="21"/>
          <w:szCs w:val="21"/>
          <w:highlight w:val="none"/>
        </w:rPr>
        <w:t>17：30（北京时间，下同）。招标人将于</w:t>
      </w:r>
      <w:bookmarkStart w:id="173" w:name="EB9a42fb5566b74b6abe20acf8c73b6c41"/>
      <w:r>
        <w:rPr>
          <w:rFonts w:hint="eastAsia" w:ascii="宋体" w:hAnsi="宋体" w:eastAsia="宋体" w:cs="宋体"/>
          <w:snapToGrid w:val="0"/>
          <w:color w:val="auto"/>
          <w:sz w:val="21"/>
          <w:szCs w:val="21"/>
          <w:highlight w:val="none"/>
        </w:rPr>
        <w:t>2024年</w:t>
      </w:r>
      <w:r>
        <w:rPr>
          <w:rFonts w:hint="eastAsia" w:ascii="宋体" w:hAnsi="宋体" w:eastAsia="宋体" w:cs="宋体"/>
          <w:snapToGrid w:val="0"/>
          <w:color w:val="auto"/>
          <w:sz w:val="21"/>
          <w:szCs w:val="21"/>
          <w:highlight w:val="none"/>
          <w:lang w:val="en-US" w:eastAsia="zh-CN"/>
        </w:rPr>
        <w:t>11</w:t>
      </w:r>
      <w:r>
        <w:rPr>
          <w:rFonts w:hint="eastAsia" w:ascii="宋体" w:hAnsi="宋体" w:eastAsia="宋体" w:cs="宋体"/>
          <w:snapToGrid w:val="0"/>
          <w:color w:val="auto"/>
          <w:sz w:val="21"/>
          <w:szCs w:val="21"/>
          <w:highlight w:val="none"/>
        </w:rPr>
        <w:t>月</w:t>
      </w:r>
      <w:r>
        <w:rPr>
          <w:rFonts w:hint="eastAsia" w:ascii="宋体" w:hAnsi="宋体" w:eastAsia="宋体" w:cs="宋体"/>
          <w:snapToGrid w:val="0"/>
          <w:color w:val="auto"/>
          <w:sz w:val="21"/>
          <w:szCs w:val="21"/>
          <w:highlight w:val="none"/>
          <w:lang w:val="en-US" w:eastAsia="zh-CN"/>
        </w:rPr>
        <w:t>27</w:t>
      </w:r>
      <w:r>
        <w:rPr>
          <w:rFonts w:hint="eastAsia" w:ascii="宋体" w:hAnsi="宋体" w:eastAsia="宋体" w:cs="宋体"/>
          <w:snapToGrid w:val="0"/>
          <w:color w:val="auto"/>
          <w:sz w:val="21"/>
          <w:szCs w:val="21"/>
          <w:highlight w:val="none"/>
        </w:rPr>
        <w:t>日</w:t>
      </w:r>
      <w:bookmarkEnd w:id="173"/>
      <w:r>
        <w:rPr>
          <w:rFonts w:hint="eastAsia" w:ascii="宋体" w:hAnsi="宋体" w:eastAsia="宋体" w:cs="宋体"/>
          <w:snapToGrid w:val="0"/>
          <w:color w:val="auto"/>
          <w:sz w:val="21"/>
          <w:szCs w:val="21"/>
          <w:highlight w:val="none"/>
        </w:rPr>
        <w:t>17：30在网上发布补充补遗书。潜在投标人应自行关注网站公告，招标人不再一一通知。投标人因自身贻误行为导致投标失败的，责任自负。</w:t>
      </w:r>
    </w:p>
    <w:p w14:paraId="402C87AF">
      <w:pPr>
        <w:pStyle w:val="37"/>
        <w:spacing w:before="60" w:after="60" w:line="50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5.投标保证金</w:t>
      </w:r>
      <w:bookmarkEnd w:id="148"/>
    </w:p>
    <w:p w14:paraId="1BCE489D">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投标保证金的金额：人民币</w:t>
      </w:r>
      <w:r>
        <w:rPr>
          <w:rFonts w:hint="eastAsia" w:ascii="宋体" w:hAnsi="宋体" w:cs="宋体"/>
          <w:color w:val="000000" w:themeColor="text1"/>
          <w:sz w:val="21"/>
          <w:szCs w:val="21"/>
          <w:highlight w:val="none"/>
          <w:u w:val="single"/>
          <w:shd w:val="clear" w:color="auto" w:fill="FFFFFF"/>
          <w14:textFill>
            <w14:solidFill>
              <w14:schemeClr w14:val="tx1"/>
            </w14:solidFill>
          </w14:textFill>
        </w:rPr>
        <w:t xml:space="preserve">10 </w:t>
      </w:r>
      <w:r>
        <w:rPr>
          <w:rFonts w:hint="eastAsia" w:ascii="宋体" w:hAnsi="宋体" w:cs="宋体"/>
          <w:color w:val="000000" w:themeColor="text1"/>
          <w:sz w:val="21"/>
          <w:szCs w:val="21"/>
          <w:highlight w:val="none"/>
          <w:shd w:val="clear" w:color="auto" w:fill="FFFFFF"/>
          <w14:textFill>
            <w14:solidFill>
              <w14:schemeClr w14:val="tx1"/>
            </w14:solidFill>
          </w14:textFill>
        </w:rPr>
        <w:t>万元,投标保证金在投标人自行获取招标文件后，在</w:t>
      </w:r>
      <w:r>
        <w:rPr>
          <w:rFonts w:hint="eastAsia" w:ascii="宋体" w:hAnsi="宋体" w:cs="宋体"/>
          <w:color w:val="000000" w:themeColor="text1"/>
          <w:sz w:val="21"/>
          <w:szCs w:val="21"/>
          <w:highlight w:val="none"/>
          <w:u w:val="single"/>
          <w:shd w:val="clear" w:color="auto" w:fill="FFFFFF"/>
          <w14:textFill>
            <w14:solidFill>
              <w14:schemeClr w14:val="tx1"/>
            </w14:solidFill>
          </w14:textFill>
        </w:rPr>
        <w:t>投标截止时间前</w:t>
      </w:r>
      <w:r>
        <w:rPr>
          <w:rFonts w:hint="eastAsia" w:ascii="宋体" w:hAnsi="宋体" w:cs="宋体"/>
          <w:color w:val="000000" w:themeColor="text1"/>
          <w:sz w:val="21"/>
          <w:szCs w:val="21"/>
          <w:highlight w:val="none"/>
          <w:shd w:val="clear" w:color="auto" w:fill="FFFFFF"/>
          <w14:textFill>
            <w14:solidFill>
              <w14:schemeClr w14:val="tx1"/>
            </w14:solidFill>
          </w14:textFill>
        </w:rPr>
        <w:t>缴纳。</w:t>
      </w:r>
    </w:p>
    <w:p w14:paraId="1FA8918D">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（1）投标人基本账户开具的保函/保证保险/担保公司担保/转账/数字保函等(不包括现金）。</w:t>
      </w:r>
    </w:p>
    <w:p w14:paraId="05E38DD7">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bookmarkStart w:id="174" w:name="OLE_LINK57"/>
      <w:r>
        <w:rPr>
          <w:rFonts w:hint="eastAsia" w:ascii="宋体" w:hAnsi="宋体" w:cs="宋体"/>
          <w:color w:val="000000" w:themeColor="text1"/>
          <w:sz w:val="21"/>
          <w:szCs w:val="21"/>
          <w:highlight w:val="none"/>
          <w:shd w:val="clear" w:color="auto" w:fill="FFFFFF"/>
          <w14:textFill>
            <w14:solidFill>
              <w14:schemeClr w14:val="tx1"/>
            </w14:solidFill>
          </w14:textFill>
        </w:rPr>
        <w:t>保证金缴入账户：</w:t>
      </w:r>
    </w:p>
    <w:p w14:paraId="35354E6C">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账户一：开户单位名称：绍兴市公共资源交易中心保证金专户，</w:t>
      </w:r>
    </w:p>
    <w:p w14:paraId="787CA301">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开户行:</w:t>
      </w:r>
      <w:bookmarkStart w:id="175" w:name="OLE_LINK37"/>
      <w:r>
        <w:rPr>
          <w:rFonts w:hint="eastAsia" w:ascii="宋体" w:hAnsi="宋体" w:cs="宋体"/>
          <w:color w:val="000000" w:themeColor="text1"/>
          <w:sz w:val="21"/>
          <w:szCs w:val="21"/>
          <w:highlight w:val="none"/>
          <w:u w:val="single"/>
          <w:shd w:val="clear" w:color="auto" w:fill="FFFFFF"/>
          <w14:textFill>
            <w14:solidFill>
              <w14:schemeClr w14:val="tx1"/>
            </w14:solidFill>
          </w14:textFill>
        </w:rPr>
        <w:t>绍兴银行营业部</w:t>
      </w:r>
      <w:bookmarkEnd w:id="175"/>
      <w:r>
        <w:rPr>
          <w:rFonts w:hint="eastAsia" w:ascii="宋体" w:hAnsi="宋体" w:cs="宋体"/>
          <w:color w:val="000000" w:themeColor="text1"/>
          <w:sz w:val="21"/>
          <w:szCs w:val="21"/>
          <w:highlight w:val="none"/>
          <w:shd w:val="clear" w:color="auto" w:fill="FFFFFF"/>
          <w14:textFill>
            <w14:solidFill>
              <w14:schemeClr w14:val="tx1"/>
            </w14:solidFill>
          </w14:textFill>
        </w:rPr>
        <w:t>；账号：</w:t>
      </w:r>
      <w:bookmarkStart w:id="176" w:name="OLE_LINK20"/>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6224861565799128990</w:t>
      </w:r>
      <w:r>
        <w:rPr>
          <w:rFonts w:hint="eastAsia" w:ascii="宋体" w:hAnsi="宋体" w:cs="宋体"/>
          <w:color w:val="000000" w:themeColor="text1"/>
          <w:sz w:val="21"/>
          <w:szCs w:val="21"/>
          <w:highlight w:val="none"/>
          <w:shd w:val="clear" w:color="auto" w:fill="FFFFFF"/>
          <w14:textFill>
            <w14:solidFill>
              <w14:schemeClr w14:val="tx1"/>
            </w14:solidFill>
          </w14:textFill>
        </w:rPr>
        <w:t>；</w:t>
      </w:r>
      <w:bookmarkEnd w:id="176"/>
    </w:p>
    <w:p w14:paraId="08EC2CC9">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账户二：开户单位名称：绍兴市公共资源交易中心保证金专户，</w:t>
      </w:r>
    </w:p>
    <w:p w14:paraId="4A351F6F">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开户行:</w:t>
      </w:r>
      <w:bookmarkStart w:id="177" w:name="OLE_LINK38"/>
      <w:r>
        <w:rPr>
          <w:rFonts w:hint="eastAsia" w:ascii="宋体" w:hAnsi="宋体" w:cs="宋体"/>
          <w:color w:val="000000" w:themeColor="text1"/>
          <w:sz w:val="21"/>
          <w:szCs w:val="21"/>
          <w:highlight w:val="none"/>
          <w:u w:val="single"/>
          <w:shd w:val="clear" w:color="auto" w:fill="FFFFFF"/>
          <w14:textFill>
            <w14:solidFill>
              <w14:schemeClr w14:val="tx1"/>
            </w14:solidFill>
          </w14:textFill>
        </w:rPr>
        <w:t>中信银行绍兴袍江支行</w:t>
      </w:r>
      <w:bookmarkEnd w:id="177"/>
      <w:r>
        <w:rPr>
          <w:rFonts w:hint="eastAsia" w:ascii="宋体" w:hAnsi="宋体" w:cs="宋体"/>
          <w:color w:val="000000" w:themeColor="text1"/>
          <w:sz w:val="21"/>
          <w:szCs w:val="21"/>
          <w:highlight w:val="none"/>
          <w:shd w:val="clear" w:color="auto" w:fill="FFFFFF"/>
          <w14:textFill>
            <w14:solidFill>
              <w14:schemeClr w14:val="tx1"/>
            </w14:solidFill>
          </w14:textFill>
        </w:rPr>
        <w:t>；账号：</w:t>
      </w:r>
      <w:r>
        <w:rPr>
          <w:rFonts w:hint="eastAsia" w:ascii="宋体" w:hAnsi="宋体" w:cs="宋体"/>
          <w:color w:val="000000" w:themeColor="text1"/>
          <w:sz w:val="21"/>
          <w:szCs w:val="21"/>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3110810043370000708</w:t>
      </w:r>
      <w:r>
        <w:rPr>
          <w:rFonts w:hint="eastAsia" w:ascii="宋体" w:hAnsi="宋体" w:cs="宋体"/>
          <w:color w:val="000000" w:themeColor="text1"/>
          <w:sz w:val="21"/>
          <w:szCs w:val="21"/>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1"/>
          <w:szCs w:val="21"/>
          <w:highlight w:val="none"/>
          <w:shd w:val="clear" w:color="auto" w:fill="FFFFFF"/>
          <w14:textFill>
            <w14:solidFill>
              <w14:schemeClr w14:val="tx1"/>
            </w14:solidFill>
          </w14:textFill>
        </w:rPr>
        <w:t>；</w:t>
      </w:r>
    </w:p>
    <w:bookmarkEnd w:id="174"/>
    <w:p w14:paraId="13BC89A7">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投标人须选择以上账户之一缴纳投标保证金。</w:t>
      </w:r>
    </w:p>
    <w:p w14:paraId="3C9018D2">
      <w:pPr>
        <w:pStyle w:val="23"/>
        <w:widowControl/>
        <w:numPr>
          <w:ilvl w:val="0"/>
          <w:numId w:val="1"/>
        </w:numPr>
        <w:shd w:val="clear" w:color="auto" w:fill="FFFFFF"/>
        <w:spacing w:before="0" w:beforeAutospacing="0" w:after="0" w:afterAutospacing="0" w:line="440" w:lineRule="exact"/>
        <w:ind w:firstLine="420"/>
        <w:rPr>
          <w:rFonts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招标人接受投标保证金银行保函、电子保险保函、担保保函。投标人自行在电子招投标交易平台（</w:t>
      </w:r>
      <w:r>
        <w:rPr>
          <w:rFonts w:hint="eastAsia" w:ascii="宋体" w:hAnsi="宋体"/>
          <w:color w:val="000000" w:themeColor="text1"/>
          <w:sz w:val="21"/>
          <w:szCs w:val="21"/>
          <w:highlight w:val="none"/>
          <w:u w:val="single"/>
          <w14:textFill>
            <w14:solidFill>
              <w14:schemeClr w14:val="tx1"/>
            </w14:solidFill>
          </w14:textFill>
        </w:rPr>
        <w:t>http://oa.ggb.sx.gov.cn/TPBidder-ztk</w:t>
      </w:r>
      <w:r>
        <w:rPr>
          <w:rFonts w:hint="eastAsia" w:ascii="宋体" w:hAnsi="宋体" w:cs="宋体"/>
          <w:color w:val="000000" w:themeColor="text1"/>
          <w:sz w:val="21"/>
          <w:szCs w:val="21"/>
          <w:highlight w:val="none"/>
          <w:shd w:val="clear" w:color="auto" w:fill="FFFFFF"/>
          <w14:textFill>
            <w14:solidFill>
              <w14:schemeClr w14:val="tx1"/>
            </w14:solidFill>
          </w14:textFill>
        </w:rPr>
        <w:t>）中自主选择办理。</w:t>
      </w:r>
    </w:p>
    <w:p w14:paraId="0824AEAD">
      <w:pPr>
        <w:pStyle w:val="23"/>
        <w:widowControl/>
        <w:shd w:val="clear" w:color="auto" w:fill="FFFFFF"/>
        <w:spacing w:before="0" w:beforeAutospacing="0" w:after="0" w:afterAutospacing="0" w:line="440" w:lineRule="exact"/>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（3）购买保险、保函、担保的费用及转账资金应从投标人基本账户支出，并在投标文件递交截止时间前办妥相应手续。</w:t>
      </w:r>
    </w:p>
    <w:p w14:paraId="19069863">
      <w:pPr>
        <w:pStyle w:val="23"/>
        <w:widowControl/>
        <w:shd w:val="clear" w:color="auto" w:fill="FFFFFF"/>
        <w:spacing w:before="0" w:beforeAutospacing="0" w:after="0" w:afterAutospacing="0" w:line="440" w:lineRule="exact"/>
        <w:ind w:firstLine="420"/>
        <w:rPr>
          <w:rFonts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（4）注:请各投标人在缴纳投标保证金前自行核对统一主体库内填写的基本账户信息，避免出现保证金缴纳后无法匹配的现象。</w:t>
      </w:r>
    </w:p>
    <w:p w14:paraId="3750AB5A">
      <w:pPr>
        <w:pStyle w:val="37"/>
        <w:spacing w:before="60" w:after="60" w:line="500" w:lineRule="exact"/>
        <w:rPr>
          <w:rFonts w:ascii="宋体" w:hAnsi="宋体" w:cs="宋体"/>
          <w:bCs w:val="0"/>
          <w:color w:val="000000" w:themeColor="text1"/>
          <w:highlight w:val="none"/>
          <w14:textFill>
            <w14:solidFill>
              <w14:schemeClr w14:val="tx1"/>
            </w14:solidFill>
          </w14:textFill>
        </w:rPr>
      </w:pPr>
      <w:bookmarkStart w:id="178" w:name="_Toc32250"/>
      <w:r>
        <w:rPr>
          <w:rFonts w:hint="eastAsia" w:ascii="宋体" w:hAnsi="宋体" w:cs="宋体"/>
          <w:bCs w:val="0"/>
          <w:color w:val="000000" w:themeColor="text1"/>
          <w:highlight w:val="none"/>
          <w14:textFill>
            <w14:solidFill>
              <w14:schemeClr w14:val="tx1"/>
            </w14:solidFill>
          </w14:textFill>
        </w:rPr>
        <w:t>6</w:t>
      </w:r>
      <w:r>
        <w:rPr>
          <w:rFonts w:ascii="宋体" w:hAnsi="宋体" w:cs="宋体"/>
          <w:bCs w:val="0"/>
          <w:color w:val="000000" w:themeColor="text1"/>
          <w:highlight w:val="none"/>
          <w14:textFill>
            <w14:solidFill>
              <w14:schemeClr w14:val="tx1"/>
            </w14:solidFill>
          </w14:textFill>
        </w:rPr>
        <w:t>.投标文件的递交及相关事宜</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78"/>
    </w:p>
    <w:bookmarkEnd w:id="164"/>
    <w:bookmarkEnd w:id="165"/>
    <w:bookmarkEnd w:id="166"/>
    <w:bookmarkEnd w:id="167"/>
    <w:bookmarkEnd w:id="168"/>
    <w:bookmarkEnd w:id="169"/>
    <w:p w14:paraId="73C6027C">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Segoe UI Symbol" w:hAnsi="Segoe UI Symbol" w:cs="Segoe UI Symbol"/>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ascii="宋体" w:hAnsi="宋体" w:cs="宋体"/>
          <w:color w:val="000000" w:themeColor="text1"/>
          <w:szCs w:val="21"/>
          <w:highlight w:val="none"/>
          <w14:textFill>
            <w14:solidFill>
              <w14:schemeClr w14:val="tx1"/>
            </w14:solidFill>
          </w14:textFill>
        </w:rPr>
        <w:t xml:space="preserve">.1 </w:t>
      </w:r>
      <w:r>
        <w:rPr>
          <w:rFonts w:hint="eastAsia" w:ascii="宋体" w:hAnsi="宋体" w:cs="宋体"/>
          <w:color w:val="000000" w:themeColor="text1"/>
          <w:szCs w:val="21"/>
          <w:highlight w:val="none"/>
          <w14:textFill>
            <w14:solidFill>
              <w14:schemeClr w14:val="tx1"/>
            </w14:solidFill>
          </w14:textFill>
        </w:rPr>
        <w:t>招标人不组织工程现场踏勘，不召开投标预备会。</w:t>
      </w:r>
    </w:p>
    <w:p w14:paraId="12F3C920">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r>
        <w:rPr>
          <w:rFonts w:ascii="宋体" w:hAnsi="宋体" w:cs="宋体"/>
          <w:color w:val="000000" w:themeColor="text1"/>
          <w:szCs w:val="21"/>
          <w:highlight w:val="none"/>
          <w14:textFill>
            <w14:solidFill>
              <w14:schemeClr w14:val="tx1"/>
            </w14:solidFill>
          </w14:textFill>
        </w:rPr>
        <w:t xml:space="preserve">.1 </w:t>
      </w:r>
      <w:r>
        <w:rPr>
          <w:rFonts w:hint="eastAsia" w:ascii="宋体" w:hAnsi="宋体" w:cs="宋体"/>
          <w:color w:val="000000" w:themeColor="text1"/>
          <w:szCs w:val="21"/>
          <w:highlight w:val="none"/>
          <w14:textFill>
            <w14:solidFill>
              <w14:schemeClr w14:val="tx1"/>
            </w14:solidFill>
          </w14:textFill>
        </w:rPr>
        <w:t>招标人将于下列时间和地点组织进行工程现场踏勘并召开投标预备会。</w:t>
      </w:r>
    </w:p>
    <w:p w14:paraId="0F0808EE">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踏勘现场时间：</w:t>
      </w:r>
      <w:r>
        <w:rPr>
          <w:color w:val="000000" w:themeColor="text1"/>
          <w:szCs w:val="21"/>
          <w:highlight w:val="none"/>
          <w14:textFill>
            <w14:solidFill>
              <w14:schemeClr w14:val="tx1"/>
            </w14:solidFill>
          </w14:textFill>
        </w:rPr>
        <w:t>________________</w:t>
      </w:r>
      <w:r>
        <w:rPr>
          <w:rFonts w:ascii="宋体" w:hAnsi="宋体" w:cs="宋体"/>
          <w:color w:val="000000" w:themeColor="text1"/>
          <w:szCs w:val="21"/>
          <w:highlight w:val="none"/>
          <w14:textFill>
            <w14:solidFill>
              <w14:schemeClr w14:val="tx1"/>
            </w14:solidFill>
          </w14:textFill>
        </w:rPr>
        <w:t>，集中地点</w:t>
      </w:r>
      <w:r>
        <w:rPr>
          <w:color w:val="000000" w:themeColor="text1"/>
          <w:szCs w:val="21"/>
          <w:highlight w:val="none"/>
          <w14:textFill>
            <w14:solidFill>
              <w14:schemeClr w14:val="tx1"/>
            </w14:solidFill>
          </w14:textFill>
        </w:rPr>
        <w:t>________________</w:t>
      </w:r>
      <w:r>
        <w:rPr>
          <w:rFonts w:ascii="宋体" w:hAnsi="宋体" w:cs="宋体"/>
          <w:color w:val="000000" w:themeColor="text1"/>
          <w:szCs w:val="21"/>
          <w:highlight w:val="none"/>
          <w14:textFill>
            <w14:solidFill>
              <w14:schemeClr w14:val="tx1"/>
            </w14:solidFill>
          </w14:textFill>
        </w:rPr>
        <w:t>；</w:t>
      </w:r>
    </w:p>
    <w:p w14:paraId="6C33C796">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投标预备会时间：</w:t>
      </w:r>
      <w:r>
        <w:rPr>
          <w:color w:val="000000" w:themeColor="text1"/>
          <w:szCs w:val="21"/>
          <w:highlight w:val="none"/>
          <w14:textFill>
            <w14:solidFill>
              <w14:schemeClr w14:val="tx1"/>
            </w14:solidFill>
          </w14:textFill>
        </w:rPr>
        <w:t>________________</w:t>
      </w:r>
      <w:r>
        <w:rPr>
          <w:rFonts w:ascii="宋体" w:hAnsi="宋体" w:cs="宋体"/>
          <w:color w:val="000000" w:themeColor="text1"/>
          <w:szCs w:val="21"/>
          <w:highlight w:val="none"/>
          <w14:textFill>
            <w14:solidFill>
              <w14:schemeClr w14:val="tx1"/>
            </w14:solidFill>
          </w14:textFill>
        </w:rPr>
        <w:t>，地点</w:t>
      </w:r>
      <w:r>
        <w:rPr>
          <w:color w:val="000000" w:themeColor="text1"/>
          <w:szCs w:val="21"/>
          <w:highlight w:val="none"/>
          <w14:textFill>
            <w14:solidFill>
              <w14:schemeClr w14:val="tx1"/>
            </w14:solidFill>
          </w14:textFill>
        </w:rPr>
        <w:t>________________</w:t>
      </w:r>
      <w:r>
        <w:rPr>
          <w:rFonts w:ascii="宋体" w:hAnsi="宋体" w:cs="宋体"/>
          <w:color w:val="000000" w:themeColor="text1"/>
          <w:szCs w:val="21"/>
          <w:highlight w:val="none"/>
          <w14:textFill>
            <w14:solidFill>
              <w14:schemeClr w14:val="tx1"/>
            </w14:solidFill>
          </w14:textFill>
        </w:rPr>
        <w:t>。</w:t>
      </w:r>
    </w:p>
    <w:p w14:paraId="07BF67E5">
      <w:pPr>
        <w:pStyle w:val="7"/>
        <w:spacing w:line="440" w:lineRule="exact"/>
        <w:ind w:firstLine="420" w:firstLineChars="200"/>
        <w:rPr>
          <w:rFonts w:hint="eastAsia" w:ascii="宋体" w:hAnsi="宋体" w:eastAsia="宋体" w:cs="宋体"/>
          <w:snapToGrid w:val="0"/>
          <w:color w:val="000000" w:themeColor="text1"/>
          <w:sz w:val="21"/>
          <w:szCs w:val="21"/>
          <w:highlight w:val="none"/>
          <w14:textFill>
            <w14:solidFill>
              <w14:schemeClr w14:val="tx1"/>
            </w14:solidFill>
          </w14:textFill>
        </w:rPr>
      </w:pPr>
      <w:r>
        <w:rPr>
          <w:rFonts w:hint="eastAsia" w:ascii="宋体" w:hAnsi="宋体" w:eastAsia="宋体" w:cs="宋体"/>
          <w:snapToGrid w:val="0"/>
          <w:color w:val="000000" w:themeColor="text1"/>
          <w:sz w:val="21"/>
          <w:szCs w:val="21"/>
          <w:highlight w:val="none"/>
          <w14:textFill>
            <w14:solidFill>
              <w14:schemeClr w14:val="tx1"/>
            </w14:solidFill>
          </w14:textFill>
        </w:rPr>
        <w:t xml:space="preserve">6.2 </w:t>
      </w:r>
      <w:r>
        <w:rPr>
          <w:rFonts w:hint="eastAsia" w:ascii="宋体" w:hAnsi="宋体" w:eastAsia="宋体" w:cs="宋体"/>
          <w:snapToGrid w:val="0"/>
          <w:color w:val="auto"/>
          <w:sz w:val="21"/>
          <w:szCs w:val="21"/>
          <w:highlight w:val="none"/>
        </w:rPr>
        <w:t>投标文件递交截止时间</w:t>
      </w:r>
      <w:bookmarkStart w:id="179" w:name="EB0de7c3fd24e94b83a138302702f19a8b"/>
      <w:r>
        <w:rPr>
          <w:rFonts w:hint="eastAsia" w:ascii="宋体" w:hAnsi="宋体" w:eastAsia="宋体" w:cs="宋体"/>
          <w:color w:val="auto"/>
          <w:sz w:val="21"/>
          <w:szCs w:val="21"/>
          <w:highlight w:val="none"/>
          <w:u w:val="single"/>
        </w:rPr>
        <w:t>2024年</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日</w:t>
      </w:r>
      <w:bookmarkEnd w:id="179"/>
      <w:r>
        <w:rPr>
          <w:rFonts w:hint="eastAsia" w:ascii="宋体" w:hAnsi="宋体" w:eastAsia="宋体" w:cs="宋体"/>
          <w:color w:val="auto"/>
          <w:sz w:val="21"/>
          <w:szCs w:val="21"/>
          <w:highlight w:val="none"/>
          <w:u w:val="single"/>
          <w:lang w:val="en-US" w:eastAsia="zh-CN"/>
        </w:rPr>
        <w:t>9：30</w:t>
      </w:r>
      <w:r>
        <w:rPr>
          <w:rFonts w:hint="eastAsia" w:ascii="宋体" w:hAnsi="宋体" w:eastAsia="宋体" w:cs="宋体"/>
          <w:color w:val="auto"/>
          <w:sz w:val="21"/>
          <w:szCs w:val="21"/>
          <w:highlight w:val="none"/>
          <w:u w:val="single"/>
        </w:rPr>
        <w:t xml:space="preserve"> </w:t>
      </w:r>
      <w:r>
        <w:rPr>
          <w:rFonts w:hint="eastAsia" w:ascii="宋体" w:hAnsi="宋体" w:eastAsia="宋体" w:cs="宋体"/>
          <w:snapToGrid w:val="0"/>
          <w:color w:val="000000" w:themeColor="text1"/>
          <w:sz w:val="21"/>
          <w:szCs w:val="21"/>
          <w:highlight w:val="none"/>
          <w14:textFill>
            <w14:solidFill>
              <w14:schemeClr w14:val="tx1"/>
            </w14:solidFill>
          </w14:textFill>
        </w:rPr>
        <w:t>；</w:t>
      </w:r>
    </w:p>
    <w:p w14:paraId="6B5B8EAD">
      <w:pPr>
        <w:pStyle w:val="23"/>
        <w:widowControl/>
        <w:shd w:val="clear" w:color="auto" w:fill="FFFFFF"/>
        <w:spacing w:before="0" w:beforeAutospacing="0" w:after="0" w:afterAutospacing="0" w:line="440" w:lineRule="exact"/>
        <w:ind w:firstLine="420"/>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6.3 投标文件递交方式 ：本项目采用投标人现场递交投标文件</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w:t>
      </w:r>
      <w:r>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按照招标文件要求装订、密封和标记好的投标文件在投标截止时间前递交至绍兴市公共资源交易中心四楼指定开标室，投标文件递交后可即交即走</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投标文件递交后即交即走</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，投标人在开标现场不需要书面签字确认等有关操</w:t>
      </w:r>
      <w:bookmarkStart w:id="180" w:name="_Toc22335"/>
      <w:bookmarkStart w:id="181" w:name="_Toc21643"/>
      <w:bookmarkStart w:id="182" w:name="_Toc25987"/>
      <w:bookmarkStart w:id="183" w:name="_Toc118195744"/>
      <w:bookmarkStart w:id="184" w:name="_Toc24234"/>
      <w:bookmarkStart w:id="185" w:name="_Toc120"/>
      <w:bookmarkStart w:id="186" w:name="_Toc31617"/>
      <w:bookmarkStart w:id="187" w:name="_Toc120624163"/>
      <w:bookmarkStart w:id="188" w:name="_Toc25649"/>
      <w:bookmarkStart w:id="189" w:name="_Toc30340"/>
      <w:bookmarkStart w:id="190" w:name="_Toc27106"/>
      <w:bookmarkStart w:id="191" w:name="_Toc2502"/>
      <w:bookmarkStart w:id="192" w:name="_Toc26030"/>
      <w:bookmarkStart w:id="193" w:name="_Toc119585472"/>
      <w:bookmarkStart w:id="194" w:name="_Toc8157"/>
      <w:bookmarkStart w:id="195" w:name="_Toc25421"/>
      <w:bookmarkStart w:id="196" w:name="_Toc452457621"/>
      <w:bookmarkStart w:id="197" w:name="_Toc98785240"/>
      <w:bookmarkStart w:id="198" w:name="_Toc30294"/>
    </w:p>
    <w:p w14:paraId="29551060">
      <w:pPr>
        <w:pStyle w:val="23"/>
        <w:widowControl/>
        <w:shd w:val="clear" w:color="auto" w:fill="FFFFFF"/>
        <w:spacing w:before="0" w:beforeAutospacing="0" w:after="0" w:afterAutospacing="0" w:line="440" w:lineRule="exact"/>
        <w:ind w:firstLine="420"/>
        <w:rPr>
          <w:rFonts w:hint="eastAsia" w:ascii="宋体" w:hAnsi="宋体" w:eastAsia="宋体" w:cs="宋体"/>
          <w:color w:val="000000" w:themeColor="text1"/>
          <w:kern w:val="0"/>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shd w:val="clear" w:color="auto" w:fill="FFFFFF"/>
          <w:lang w:val="en-US" w:eastAsia="zh-CN" w:bidi="ar-SA"/>
          <w14:textFill>
            <w14:solidFill>
              <w14:schemeClr w14:val="tx1"/>
            </w14:solidFill>
          </w14:textFill>
        </w:rPr>
        <w:t>6.4 逾期送达的或未送达指定地点的投标文件，招标人将不予受理。</w:t>
      </w:r>
    </w:p>
    <w:p w14:paraId="1B1E67EB">
      <w:pPr>
        <w:pStyle w:val="37"/>
        <w:spacing w:before="60" w:after="60" w:line="500" w:lineRule="exact"/>
        <w:rPr>
          <w:rFonts w:ascii="宋体" w:hAnsi="宋体" w:cs="宋体"/>
          <w:bCs w:val="0"/>
          <w:color w:val="000000" w:themeColor="text1"/>
          <w:highlight w:val="none"/>
          <w14:textFill>
            <w14:solidFill>
              <w14:schemeClr w14:val="tx1"/>
            </w14:solidFill>
          </w14:textFill>
        </w:rPr>
      </w:pPr>
      <w:bookmarkStart w:id="199" w:name="_Toc13322"/>
      <w:r>
        <w:rPr>
          <w:rFonts w:hint="eastAsia" w:ascii="宋体" w:hAnsi="宋体" w:cs="宋体"/>
          <w:bCs w:val="0"/>
          <w:color w:val="000000" w:themeColor="text1"/>
          <w:highlight w:val="none"/>
          <w14:textFill>
            <w14:solidFill>
              <w14:schemeClr w14:val="tx1"/>
            </w14:solidFill>
          </w14:textFill>
        </w:rPr>
        <w:t>7</w:t>
      </w:r>
      <w:r>
        <w:rPr>
          <w:rFonts w:ascii="宋体" w:hAnsi="宋体" w:cs="宋体"/>
          <w:bCs w:val="0"/>
          <w:color w:val="000000" w:themeColor="text1"/>
          <w:highlight w:val="none"/>
          <w14:textFill>
            <w14:solidFill>
              <w14:schemeClr w14:val="tx1"/>
            </w14:solidFill>
          </w14:textFill>
        </w:rPr>
        <w:t>.发布公告的媒介</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9"/>
    </w:p>
    <w:bookmarkEnd w:id="195"/>
    <w:bookmarkEnd w:id="196"/>
    <w:bookmarkEnd w:id="197"/>
    <w:bookmarkEnd w:id="198"/>
    <w:p w14:paraId="40D24766">
      <w:pPr>
        <w:pStyle w:val="7"/>
        <w:spacing w:line="440" w:lineRule="exact"/>
        <w:ind w:firstLine="420" w:firstLineChars="200"/>
        <w:rPr>
          <w:rFonts w:ascii="宋体" w:hAnsi="宋体" w:cs="宋体"/>
          <w:snapToGrid w:val="0"/>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本次招标公告同时在</w:t>
      </w:r>
      <w:bookmarkStart w:id="200" w:name="OLE_LINK44"/>
      <w:r>
        <w:rPr>
          <w:rFonts w:hint="eastAsia" w:ascii="宋体" w:hAnsi="宋体"/>
          <w:color w:val="000000" w:themeColor="text1"/>
          <w:highlight w:val="none"/>
          <w14:textFill>
            <w14:solidFill>
              <w14:schemeClr w14:val="tx1"/>
            </w14:solidFill>
          </w14:textFill>
        </w:rPr>
        <w:t>绍兴市公共资源交易中心电子招投标交易平台（http://oa.ggb.sx.gov.cn/TPBidder-ztk）</w:t>
      </w:r>
      <w:r>
        <w:rPr>
          <w:rFonts w:hint="eastAsia" w:ascii="宋体" w:hAnsi="宋体"/>
          <w:color w:val="000000" w:themeColor="text1"/>
          <w:szCs w:val="21"/>
          <w:highlight w:val="none"/>
          <w14:textFill>
            <w14:solidFill>
              <w14:schemeClr w14:val="tx1"/>
            </w14:solidFill>
          </w14:textFill>
        </w:rPr>
        <w:t>、浙江省公共资源交易服务平台（http://zjpubservice.zjzwfw.gov.cn）和</w:t>
      </w:r>
      <w:r>
        <w:rPr>
          <w:rFonts w:hint="eastAsia" w:ascii="宋体"/>
          <w:color w:val="000000" w:themeColor="text1"/>
          <w:spacing w:val="-6"/>
          <w:szCs w:val="21"/>
          <w:highlight w:val="none"/>
          <w14:textFill>
            <w14:solidFill>
              <w14:schemeClr w14:val="tx1"/>
            </w14:solidFill>
          </w14:textFill>
        </w:rPr>
        <w:t>绍兴市交通投资集团有限公司网（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"http://www.sxsjttz.com" </w:instrText>
      </w:r>
      <w:r>
        <w:rPr>
          <w:color w:val="000000" w:themeColor="text1"/>
          <w:highlight w:val="none"/>
          <w14:textFill>
            <w14:solidFill>
              <w14:schemeClr w14:val="tx1"/>
            </w14:solidFill>
          </w14:textFill>
        </w:rPr>
        <w:fldChar w:fldCharType="separate"/>
      </w:r>
      <w:r>
        <w:rPr>
          <w:rFonts w:hint="eastAsia" w:ascii="宋体"/>
          <w:color w:val="000000" w:themeColor="text1"/>
          <w:highlight w:val="none"/>
          <w14:textFill>
            <w14:solidFill>
              <w14:schemeClr w14:val="tx1"/>
            </w14:solidFill>
          </w14:textFill>
        </w:rPr>
        <w:t>http://www.sxsjttz.cn</w:t>
      </w:r>
      <w:r>
        <w:rPr>
          <w:rFonts w:hint="eastAsia" w:ascii="宋体"/>
          <w:color w:val="000000" w:themeColor="text1"/>
          <w:highlight w:val="none"/>
          <w14:textFill>
            <w14:solidFill>
              <w14:schemeClr w14:val="tx1"/>
            </w14:solidFill>
          </w14:textFill>
        </w:rPr>
        <w:fldChar w:fldCharType="end"/>
      </w:r>
      <w:r>
        <w:rPr>
          <w:rFonts w:hint="eastAsia" w:ascii="宋体"/>
          <w:color w:val="000000" w:themeColor="text1"/>
          <w:spacing w:val="-6"/>
          <w:szCs w:val="21"/>
          <w:highlight w:val="none"/>
          <w14:textFill>
            <w14:solidFill>
              <w14:schemeClr w14:val="tx1"/>
            </w14:solidFill>
          </w14:textFill>
        </w:rPr>
        <w:t>）</w:t>
      </w:r>
      <w:bookmarkEnd w:id="200"/>
      <w:r>
        <w:rPr>
          <w:rFonts w:hint="eastAsia" w:ascii="宋体" w:hAnsi="宋体"/>
          <w:color w:val="000000" w:themeColor="text1"/>
          <w:szCs w:val="21"/>
          <w:highlight w:val="none"/>
          <w14:textFill>
            <w14:solidFill>
              <w14:schemeClr w14:val="tx1"/>
            </w14:solidFill>
          </w14:textFill>
        </w:rPr>
        <w:t>上发布</w:t>
      </w:r>
      <w:r>
        <w:rPr>
          <w:rFonts w:hint="eastAsia" w:ascii="宋体" w:hAnsi="宋体" w:cs="宋体"/>
          <w:snapToGrid w:val="0"/>
          <w:color w:val="000000" w:themeColor="text1"/>
          <w:highlight w:val="none"/>
          <w14:textFill>
            <w14:solidFill>
              <w14:schemeClr w14:val="tx1"/>
            </w14:solidFill>
          </w14:textFill>
        </w:rPr>
        <w:t>。</w:t>
      </w:r>
    </w:p>
    <w:p w14:paraId="4F6423D0">
      <w:pPr>
        <w:pStyle w:val="37"/>
        <w:spacing w:before="60" w:after="60" w:line="500" w:lineRule="exact"/>
        <w:rPr>
          <w:rFonts w:ascii="宋体" w:hAnsi="宋体" w:eastAsia="宋体" w:cs="宋体"/>
          <w:b w:val="0"/>
          <w:bCs w:val="0"/>
          <w:color w:val="000000" w:themeColor="text1"/>
          <w:kern w:val="2"/>
          <w:sz w:val="21"/>
          <w:szCs w:val="22"/>
          <w:highlight w:val="none"/>
          <w14:textFill>
            <w14:solidFill>
              <w14:schemeClr w14:val="tx1"/>
            </w14:solidFill>
          </w14:textFill>
        </w:rPr>
      </w:pPr>
      <w:bookmarkStart w:id="201" w:name="_Toc12645"/>
      <w:r>
        <w:rPr>
          <w:rFonts w:hint="eastAsia" w:ascii="宋体" w:hAnsi="宋体" w:cs="宋体"/>
          <w:color w:val="000000" w:themeColor="text1"/>
          <w:highlight w:val="none"/>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监管机构：</w:t>
      </w:r>
      <w:r>
        <w:rPr>
          <w:rFonts w:hint="eastAsia" w:ascii="宋体" w:hAnsi="宋体" w:eastAsia="宋体" w:cs="宋体"/>
          <w:b w:val="0"/>
          <w:bCs w:val="0"/>
          <w:color w:val="000000" w:themeColor="text1"/>
          <w:kern w:val="2"/>
          <w:sz w:val="21"/>
          <w:szCs w:val="22"/>
          <w:highlight w:val="none"/>
          <w14:textFill>
            <w14:solidFill>
              <w14:schemeClr w14:val="tx1"/>
            </w14:solidFill>
          </w14:textFill>
        </w:rPr>
        <w:t>绍兴市政务服务办公室</w:t>
      </w:r>
      <w:bookmarkEnd w:id="201"/>
    </w:p>
    <w:bookmarkEnd w:id="47"/>
    <w:p w14:paraId="2140FCF9">
      <w:pPr>
        <w:pStyle w:val="37"/>
        <w:spacing w:before="60" w:after="60" w:line="500" w:lineRule="exact"/>
        <w:rPr>
          <w:rFonts w:ascii="宋体" w:hAnsi="宋体" w:cs="宋体"/>
          <w:bCs w:val="0"/>
          <w:color w:val="000000" w:themeColor="text1"/>
          <w:highlight w:val="none"/>
          <w14:textFill>
            <w14:solidFill>
              <w14:schemeClr w14:val="tx1"/>
            </w14:solidFill>
          </w14:textFill>
        </w:rPr>
      </w:pPr>
      <w:bookmarkStart w:id="202" w:name="_Toc25443"/>
      <w:bookmarkStart w:id="203" w:name="_Toc14626"/>
      <w:bookmarkStart w:id="204" w:name="_Toc18037"/>
      <w:bookmarkStart w:id="205" w:name="_Toc27286"/>
      <w:bookmarkStart w:id="206" w:name="_Toc28378"/>
      <w:bookmarkStart w:id="207" w:name="_Toc118195745"/>
      <w:bookmarkStart w:id="208" w:name="_Toc28964"/>
      <w:bookmarkStart w:id="209" w:name="_Toc30993"/>
      <w:bookmarkStart w:id="210" w:name="_Toc4043"/>
      <w:bookmarkStart w:id="211" w:name="_Toc25535"/>
      <w:bookmarkStart w:id="212" w:name="_Toc22761"/>
      <w:bookmarkStart w:id="213" w:name="_Toc9846"/>
      <w:bookmarkStart w:id="214" w:name="_Toc28560"/>
      <w:bookmarkStart w:id="215" w:name="_Toc120624164"/>
      <w:bookmarkStart w:id="216" w:name="_Toc7203"/>
      <w:bookmarkStart w:id="217" w:name="_Toc10417"/>
      <w:bookmarkStart w:id="218" w:name="_Toc452457622"/>
      <w:bookmarkStart w:id="219" w:name="_Toc98785241"/>
      <w:bookmarkStart w:id="220" w:name="_Toc10969"/>
      <w:bookmarkStart w:id="221" w:name="_Toc119585473"/>
      <w:bookmarkStart w:id="222" w:name="OLE_LINK41"/>
      <w:r>
        <w:rPr>
          <w:rFonts w:hint="eastAsia" w:ascii="宋体" w:hAnsi="宋体" w:cs="宋体"/>
          <w:bCs w:val="0"/>
          <w:color w:val="000000" w:themeColor="text1"/>
          <w:highlight w:val="none"/>
          <w14:textFill>
            <w14:solidFill>
              <w14:schemeClr w14:val="tx1"/>
            </w14:solidFill>
          </w14:textFill>
        </w:rPr>
        <w:t>9</w:t>
      </w:r>
      <w:r>
        <w:rPr>
          <w:rFonts w:ascii="宋体" w:hAnsi="宋体" w:cs="宋体"/>
          <w:bCs w:val="0"/>
          <w:color w:val="000000" w:themeColor="text1"/>
          <w:highlight w:val="none"/>
          <w14:textFill>
            <w14:solidFill>
              <w14:schemeClr w14:val="tx1"/>
            </w14:solidFill>
          </w14:textFill>
        </w:rPr>
        <w:t>.联系方式</w:t>
      </w:r>
      <w:bookmarkEnd w:id="202"/>
    </w:p>
    <w:tbl>
      <w:tblPr>
        <w:tblStyle w:val="28"/>
        <w:tblW w:w="9198" w:type="dxa"/>
        <w:jc w:val="center"/>
        <w:tblLayout w:type="autofit"/>
        <w:tblCellMar>
          <w:top w:w="0" w:type="dxa"/>
          <w:left w:w="108" w:type="dxa"/>
          <w:bottom w:w="0" w:type="dxa"/>
          <w:right w:w="108" w:type="dxa"/>
        </w:tblCellMar>
      </w:tblPr>
      <w:tblGrid>
        <w:gridCol w:w="1266"/>
        <w:gridCol w:w="3520"/>
        <w:gridCol w:w="1650"/>
        <w:gridCol w:w="2762"/>
      </w:tblGrid>
      <w:tr w14:paraId="021C724A">
        <w:tblPrEx>
          <w:tblCellMar>
            <w:top w:w="0" w:type="dxa"/>
            <w:left w:w="108" w:type="dxa"/>
            <w:bottom w:w="0" w:type="dxa"/>
            <w:right w:w="108" w:type="dxa"/>
          </w:tblCellMar>
        </w:tblPrEx>
        <w:trPr>
          <w:trHeight w:val="795" w:hRule="atLeast"/>
          <w:jc w:val="center"/>
        </w:trPr>
        <w:tc>
          <w:tcPr>
            <w:tcW w:w="1266" w:type="dxa"/>
            <w:vAlign w:val="center"/>
          </w:tcPr>
          <w:p w14:paraId="465DB248">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 标 人：</w:t>
            </w:r>
          </w:p>
        </w:tc>
        <w:tc>
          <w:tcPr>
            <w:tcW w:w="3520" w:type="dxa"/>
            <w:vAlign w:val="center"/>
          </w:tcPr>
          <w:p w14:paraId="274C81E5">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绍兴市柯诸高速公路有限公司</w:t>
            </w:r>
          </w:p>
        </w:tc>
        <w:tc>
          <w:tcPr>
            <w:tcW w:w="1650" w:type="dxa"/>
            <w:vAlign w:val="center"/>
          </w:tcPr>
          <w:p w14:paraId="4ED1719B">
            <w:pPr>
              <w:pStyle w:val="7"/>
              <w:spacing w:line="320" w:lineRule="exact"/>
              <w:jc w:val="distribute"/>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招标代理机构：</w:t>
            </w:r>
          </w:p>
        </w:tc>
        <w:tc>
          <w:tcPr>
            <w:tcW w:w="2762" w:type="dxa"/>
            <w:vAlign w:val="center"/>
          </w:tcPr>
          <w:p w14:paraId="171F1831">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浙江远大工程咨询有限公司</w:t>
            </w:r>
          </w:p>
        </w:tc>
      </w:tr>
      <w:tr w14:paraId="738965D9">
        <w:tblPrEx>
          <w:tblCellMar>
            <w:top w:w="0" w:type="dxa"/>
            <w:left w:w="108" w:type="dxa"/>
            <w:bottom w:w="0" w:type="dxa"/>
            <w:right w:w="108" w:type="dxa"/>
          </w:tblCellMar>
        </w:tblPrEx>
        <w:trPr>
          <w:trHeight w:val="795" w:hRule="atLeast"/>
          <w:jc w:val="center"/>
        </w:trPr>
        <w:tc>
          <w:tcPr>
            <w:tcW w:w="1266" w:type="dxa"/>
            <w:vAlign w:val="center"/>
          </w:tcPr>
          <w:p w14:paraId="09C83491">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tc>
        <w:tc>
          <w:tcPr>
            <w:tcW w:w="3520" w:type="dxa"/>
            <w:vAlign w:val="center"/>
          </w:tcPr>
          <w:p w14:paraId="0B14E8AB">
            <w:pPr>
              <w:pStyle w:val="7"/>
              <w:spacing w:line="32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绍兴市镜湖新区凤林西路135号交投大厦</w:t>
            </w:r>
          </w:p>
        </w:tc>
        <w:tc>
          <w:tcPr>
            <w:tcW w:w="1650" w:type="dxa"/>
            <w:vAlign w:val="center"/>
          </w:tcPr>
          <w:p w14:paraId="39AC81C2">
            <w:pPr>
              <w:pStyle w:val="7"/>
              <w:spacing w:line="320" w:lineRule="exact"/>
              <w:jc w:val="distribute"/>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tc>
        <w:tc>
          <w:tcPr>
            <w:tcW w:w="2762" w:type="dxa"/>
            <w:vAlign w:val="center"/>
          </w:tcPr>
          <w:p w14:paraId="2827AC91">
            <w:pPr>
              <w:pStyle w:val="7"/>
              <w:spacing w:line="320" w:lineRule="exact"/>
              <w:jc w:val="left"/>
              <w:rPr>
                <w:rFonts w:ascii="宋体" w:hAnsi="宋体" w:cs="宋体"/>
                <w:color w:val="000000" w:themeColor="text1"/>
                <w:highlight w:val="none"/>
                <w:u w:val="single"/>
                <w14:textFill>
                  <w14:solidFill>
                    <w14:schemeClr w14:val="tx1"/>
                  </w14:solidFill>
                </w14:textFill>
              </w:rPr>
            </w:pPr>
            <w:bookmarkStart w:id="223" w:name="EB1bd6b2f4818140c78f53f325234973a3"/>
            <w:r>
              <w:rPr>
                <w:rFonts w:hint="eastAsia" w:ascii="宋体" w:hAnsi="宋体" w:cs="宋体"/>
                <w:color w:val="000000" w:themeColor="text1"/>
                <w:highlight w:val="none"/>
                <w14:textFill>
                  <w14:solidFill>
                    <w14:schemeClr w14:val="tx1"/>
                  </w14:solidFill>
                </w14:textFill>
              </w:rPr>
              <w:t>杭州市朝晖路203号深蓝广场办公楼13楼</w:t>
            </w:r>
            <w:bookmarkEnd w:id="223"/>
          </w:p>
        </w:tc>
      </w:tr>
      <w:tr w14:paraId="27B338E4">
        <w:tblPrEx>
          <w:tblCellMar>
            <w:top w:w="0" w:type="dxa"/>
            <w:left w:w="108" w:type="dxa"/>
            <w:bottom w:w="0" w:type="dxa"/>
            <w:right w:w="108" w:type="dxa"/>
          </w:tblCellMar>
        </w:tblPrEx>
        <w:trPr>
          <w:trHeight w:val="519" w:hRule="atLeast"/>
          <w:jc w:val="center"/>
        </w:trPr>
        <w:tc>
          <w:tcPr>
            <w:tcW w:w="1266" w:type="dxa"/>
            <w:vAlign w:val="center"/>
          </w:tcPr>
          <w:p w14:paraId="2F02B934">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tc>
        <w:tc>
          <w:tcPr>
            <w:tcW w:w="3520" w:type="dxa"/>
            <w:vAlign w:val="center"/>
          </w:tcPr>
          <w:p w14:paraId="6E3F3E98">
            <w:pPr>
              <w:pStyle w:val="7"/>
              <w:spacing w:line="32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312000</w:t>
            </w:r>
          </w:p>
        </w:tc>
        <w:tc>
          <w:tcPr>
            <w:tcW w:w="1650" w:type="dxa"/>
            <w:vAlign w:val="center"/>
          </w:tcPr>
          <w:p w14:paraId="7A53707F">
            <w:pPr>
              <w:pStyle w:val="7"/>
              <w:spacing w:line="320" w:lineRule="exact"/>
              <w:jc w:val="distribute"/>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 政 编 码 ：</w:t>
            </w:r>
          </w:p>
        </w:tc>
        <w:tc>
          <w:tcPr>
            <w:tcW w:w="2762" w:type="dxa"/>
          </w:tcPr>
          <w:p w14:paraId="478177C0">
            <w:pPr>
              <w:pStyle w:val="7"/>
              <w:spacing w:line="32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310014</w:t>
            </w:r>
          </w:p>
        </w:tc>
      </w:tr>
      <w:tr w14:paraId="7DD91A15">
        <w:tblPrEx>
          <w:tblCellMar>
            <w:top w:w="0" w:type="dxa"/>
            <w:left w:w="108" w:type="dxa"/>
            <w:bottom w:w="0" w:type="dxa"/>
            <w:right w:w="108" w:type="dxa"/>
          </w:tblCellMar>
        </w:tblPrEx>
        <w:trPr>
          <w:trHeight w:val="519" w:hRule="atLeast"/>
          <w:jc w:val="center"/>
        </w:trPr>
        <w:tc>
          <w:tcPr>
            <w:tcW w:w="1266" w:type="dxa"/>
            <w:vAlign w:val="center"/>
          </w:tcPr>
          <w:p w14:paraId="3A288727">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 系 人：</w:t>
            </w:r>
          </w:p>
        </w:tc>
        <w:tc>
          <w:tcPr>
            <w:tcW w:w="3520" w:type="dxa"/>
            <w:vAlign w:val="center"/>
          </w:tcPr>
          <w:p w14:paraId="67A84EDE">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陈艳       </w:t>
            </w:r>
          </w:p>
        </w:tc>
        <w:tc>
          <w:tcPr>
            <w:tcW w:w="1650" w:type="dxa"/>
            <w:vAlign w:val="center"/>
          </w:tcPr>
          <w:p w14:paraId="0B484F00">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   系   人：</w:t>
            </w:r>
          </w:p>
        </w:tc>
        <w:tc>
          <w:tcPr>
            <w:tcW w:w="2762" w:type="dxa"/>
            <w:vAlign w:val="center"/>
          </w:tcPr>
          <w:p w14:paraId="2A32241C">
            <w:pPr>
              <w:pStyle w:val="7"/>
              <w:spacing w:line="320" w:lineRule="exact"/>
              <w:rPr>
                <w:rFonts w:ascii="宋体" w:hAnsi="宋体" w:eastAsia="宋体" w:cs="宋体"/>
                <w:color w:val="000000" w:themeColor="text1"/>
                <w:highlight w:val="none"/>
                <w14:textFill>
                  <w14:solidFill>
                    <w14:schemeClr w14:val="tx1"/>
                  </w14:solidFill>
                </w14:textFill>
              </w:rPr>
            </w:pPr>
            <w:bookmarkStart w:id="224" w:name="EB1dfeb4e2016f424591ea7b65bba089f2"/>
            <w:r>
              <w:rPr>
                <w:rFonts w:hint="eastAsia" w:ascii="宋体" w:hAnsi="宋体" w:cs="宋体"/>
                <w:color w:val="000000" w:themeColor="text1"/>
                <w:highlight w:val="none"/>
                <w14:textFill>
                  <w14:solidFill>
                    <w14:schemeClr w14:val="tx1"/>
                  </w14:solidFill>
                </w14:textFill>
              </w:rPr>
              <w:t>熊武平、</w:t>
            </w:r>
            <w:bookmarkEnd w:id="224"/>
            <w:r>
              <w:rPr>
                <w:rFonts w:hint="eastAsia" w:ascii="宋体" w:hAnsi="宋体" w:cs="宋体"/>
                <w:color w:val="000000" w:themeColor="text1"/>
                <w:highlight w:val="none"/>
                <w14:textFill>
                  <w14:solidFill>
                    <w14:schemeClr w14:val="tx1"/>
                  </w14:solidFill>
                </w14:textFill>
              </w:rPr>
              <w:t>楼梅晶</w:t>
            </w:r>
          </w:p>
        </w:tc>
      </w:tr>
      <w:tr w14:paraId="04A51A46">
        <w:tblPrEx>
          <w:tblCellMar>
            <w:top w:w="0" w:type="dxa"/>
            <w:left w:w="108" w:type="dxa"/>
            <w:bottom w:w="0" w:type="dxa"/>
            <w:right w:w="108" w:type="dxa"/>
          </w:tblCellMar>
        </w:tblPrEx>
        <w:trPr>
          <w:trHeight w:val="519" w:hRule="atLeast"/>
          <w:jc w:val="center"/>
        </w:trPr>
        <w:tc>
          <w:tcPr>
            <w:tcW w:w="1266" w:type="dxa"/>
            <w:vAlign w:val="center"/>
          </w:tcPr>
          <w:p w14:paraId="165E8609">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电子邮件：  </w:t>
            </w:r>
          </w:p>
        </w:tc>
        <w:tc>
          <w:tcPr>
            <w:tcW w:w="3520" w:type="dxa"/>
            <w:vAlign w:val="center"/>
          </w:tcPr>
          <w:p w14:paraId="5A09F847">
            <w:pPr>
              <w:pStyle w:val="7"/>
              <w:spacing w:line="320" w:lineRule="exact"/>
              <w:rPr>
                <w:rFonts w:ascii="宋体" w:hAnsi="宋体" w:cs="宋体"/>
                <w:color w:val="000000" w:themeColor="text1"/>
                <w:highlight w:val="none"/>
                <w14:textFill>
                  <w14:solidFill>
                    <w14:schemeClr w14:val="tx1"/>
                  </w14:solidFill>
                </w14:textFill>
              </w:rPr>
            </w:pPr>
          </w:p>
        </w:tc>
        <w:tc>
          <w:tcPr>
            <w:tcW w:w="1650" w:type="dxa"/>
            <w:vAlign w:val="center"/>
          </w:tcPr>
          <w:p w14:paraId="3EEF3A5A">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电 子 邮 件：</w:t>
            </w:r>
          </w:p>
        </w:tc>
        <w:tc>
          <w:tcPr>
            <w:tcW w:w="2762" w:type="dxa"/>
            <w:vAlign w:val="center"/>
          </w:tcPr>
          <w:p w14:paraId="0AC3BF0F">
            <w:pPr>
              <w:pStyle w:val="7"/>
              <w:spacing w:line="320" w:lineRule="exact"/>
              <w:rPr>
                <w:rFonts w:ascii="宋体" w:hAnsi="宋体" w:cs="宋体"/>
                <w:color w:val="000000" w:themeColor="text1"/>
                <w:highlight w:val="none"/>
                <w14:textFill>
                  <w14:solidFill>
                    <w14:schemeClr w14:val="tx1"/>
                  </w14:solidFill>
                </w14:textFill>
              </w:rPr>
            </w:pPr>
            <w:bookmarkStart w:id="225" w:name="OLE_LINK47"/>
            <w:r>
              <w:rPr>
                <w:rFonts w:hint="eastAsia" w:ascii="宋体" w:hAnsi="宋体" w:cs="宋体"/>
                <w:color w:val="000000" w:themeColor="text1"/>
                <w:highlight w:val="none"/>
                <w14:textFill>
                  <w14:solidFill>
                    <w14:schemeClr w14:val="tx1"/>
                  </w14:solidFill>
                </w14:textFill>
              </w:rPr>
              <w:t>940929052@qq.com</w:t>
            </w:r>
            <w:bookmarkEnd w:id="225"/>
          </w:p>
        </w:tc>
      </w:tr>
      <w:tr w14:paraId="1CD13BEE">
        <w:tblPrEx>
          <w:tblCellMar>
            <w:top w:w="0" w:type="dxa"/>
            <w:left w:w="108" w:type="dxa"/>
            <w:bottom w:w="0" w:type="dxa"/>
            <w:right w:w="108" w:type="dxa"/>
          </w:tblCellMar>
        </w:tblPrEx>
        <w:trPr>
          <w:trHeight w:val="537" w:hRule="atLeast"/>
          <w:jc w:val="center"/>
        </w:trPr>
        <w:tc>
          <w:tcPr>
            <w:tcW w:w="1266" w:type="dxa"/>
            <w:vAlign w:val="center"/>
          </w:tcPr>
          <w:p w14:paraId="7A2F12A9">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tc>
        <w:tc>
          <w:tcPr>
            <w:tcW w:w="3520" w:type="dxa"/>
            <w:vAlign w:val="center"/>
          </w:tcPr>
          <w:p w14:paraId="408E7D6A">
            <w:pPr>
              <w:pStyle w:val="7"/>
              <w:spacing w:line="320" w:lineRule="exact"/>
              <w:rPr>
                <w:rFonts w:ascii="宋体" w:hAnsi="宋体" w:cs="宋体"/>
                <w:color w:val="000000" w:themeColor="text1"/>
                <w:highlight w:val="none"/>
                <w14:textFill>
                  <w14:solidFill>
                    <w14:schemeClr w14:val="tx1"/>
                  </w14:solidFill>
                </w14:textFill>
              </w:rPr>
            </w:pPr>
            <w:bookmarkStart w:id="226" w:name="EB5f178a4de28e4876a78c352c751eca0f"/>
            <w:r>
              <w:rPr>
                <w:rFonts w:hint="eastAsia" w:ascii="宋体" w:hAnsi="宋体" w:cs="宋体"/>
                <w:color w:val="000000" w:themeColor="text1"/>
                <w:highlight w:val="none"/>
                <w14:textFill>
                  <w14:solidFill>
                    <w14:schemeClr w14:val="tx1"/>
                  </w14:solidFill>
                </w14:textFill>
              </w:rPr>
              <w:t>0575-85223919</w:t>
            </w:r>
            <w:bookmarkEnd w:id="226"/>
          </w:p>
        </w:tc>
        <w:tc>
          <w:tcPr>
            <w:tcW w:w="1650" w:type="dxa"/>
            <w:vAlign w:val="center"/>
          </w:tcPr>
          <w:p w14:paraId="4C1FB02B">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tc>
        <w:tc>
          <w:tcPr>
            <w:tcW w:w="2762" w:type="dxa"/>
            <w:vAlign w:val="center"/>
          </w:tcPr>
          <w:p w14:paraId="2F7ADA31">
            <w:pPr>
              <w:pStyle w:val="7"/>
              <w:widowControl/>
              <w:spacing w:line="320" w:lineRule="exact"/>
              <w:jc w:val="left"/>
              <w:rPr>
                <w:rFonts w:ascii="宋体" w:hAnsi="宋体" w:cs="宋体"/>
                <w:color w:val="000000" w:themeColor="text1"/>
                <w:highlight w:val="none"/>
                <w:u w:val="single"/>
                <w14:textFill>
                  <w14:solidFill>
                    <w14:schemeClr w14:val="tx1"/>
                  </w14:solidFill>
                </w14:textFill>
              </w:rPr>
            </w:pPr>
            <w:bookmarkStart w:id="227" w:name="EBbd1af052ff5b4a87b0431232a5ebc821"/>
            <w:r>
              <w:rPr>
                <w:rFonts w:hint="eastAsia" w:ascii="宋体" w:hAnsi="宋体" w:cs="宋体"/>
                <w:color w:val="000000" w:themeColor="text1"/>
                <w:highlight w:val="none"/>
                <w14:textFill>
                  <w14:solidFill>
                    <w14:schemeClr w14:val="tx1"/>
                  </w14:solidFill>
                </w14:textFill>
              </w:rPr>
              <w:t>0571-85192613、</w:t>
            </w:r>
            <w:bookmarkStart w:id="228" w:name="OLE_LINK21"/>
            <w:r>
              <w:rPr>
                <w:rFonts w:hint="eastAsia" w:ascii="宋体" w:hAnsi="宋体" w:cs="宋体"/>
                <w:color w:val="000000" w:themeColor="text1"/>
                <w:highlight w:val="none"/>
                <w14:textFill>
                  <w14:solidFill>
                    <w14:schemeClr w14:val="tx1"/>
                  </w14:solidFill>
                </w14:textFill>
              </w:rPr>
              <w:t>87825213</w:t>
            </w:r>
            <w:bookmarkEnd w:id="227"/>
            <w:bookmarkEnd w:id="228"/>
          </w:p>
        </w:tc>
      </w:tr>
      <w:tr w14:paraId="57026E41">
        <w:tblPrEx>
          <w:tblCellMar>
            <w:top w:w="0" w:type="dxa"/>
            <w:left w:w="108" w:type="dxa"/>
            <w:bottom w:w="0" w:type="dxa"/>
            <w:right w:w="108" w:type="dxa"/>
          </w:tblCellMar>
        </w:tblPrEx>
        <w:trPr>
          <w:trHeight w:val="519" w:hRule="atLeast"/>
          <w:jc w:val="center"/>
        </w:trPr>
        <w:tc>
          <w:tcPr>
            <w:tcW w:w="1266" w:type="dxa"/>
            <w:vAlign w:val="center"/>
          </w:tcPr>
          <w:p w14:paraId="6397DB7E">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tc>
        <w:tc>
          <w:tcPr>
            <w:tcW w:w="3520" w:type="dxa"/>
            <w:vAlign w:val="center"/>
          </w:tcPr>
          <w:p w14:paraId="62C19171">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0575-85223919</w:t>
            </w:r>
          </w:p>
        </w:tc>
        <w:tc>
          <w:tcPr>
            <w:tcW w:w="1650" w:type="dxa"/>
            <w:vAlign w:val="center"/>
          </w:tcPr>
          <w:p w14:paraId="58DBCED1">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tc>
        <w:tc>
          <w:tcPr>
            <w:tcW w:w="2762" w:type="dxa"/>
            <w:vAlign w:val="center"/>
          </w:tcPr>
          <w:p w14:paraId="4774C2D0">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0571-87825213         </w:t>
            </w:r>
          </w:p>
        </w:tc>
      </w:tr>
      <w:tr w14:paraId="0C03118E">
        <w:tblPrEx>
          <w:tblCellMar>
            <w:top w:w="0" w:type="dxa"/>
            <w:left w:w="108" w:type="dxa"/>
            <w:bottom w:w="0" w:type="dxa"/>
            <w:right w:w="108" w:type="dxa"/>
          </w:tblCellMar>
        </w:tblPrEx>
        <w:trPr>
          <w:trHeight w:val="551" w:hRule="atLeast"/>
          <w:jc w:val="center"/>
        </w:trPr>
        <w:tc>
          <w:tcPr>
            <w:tcW w:w="1266" w:type="dxa"/>
            <w:vAlign w:val="center"/>
          </w:tcPr>
          <w:p w14:paraId="5A9CC51A">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w:t>
            </w:r>
          </w:p>
        </w:tc>
        <w:tc>
          <w:tcPr>
            <w:tcW w:w="7932" w:type="dxa"/>
            <w:gridSpan w:val="3"/>
            <w:vAlign w:val="center"/>
          </w:tcPr>
          <w:p w14:paraId="5DD8C084">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2024年</w:t>
            </w:r>
            <w:r>
              <w:rPr>
                <w:rFonts w:hint="eastAsia" w:ascii="宋体" w:hAnsi="宋体" w:cs="宋体"/>
                <w:color w:val="000000" w:themeColor="text1"/>
                <w:highlight w:val="none"/>
                <w:lang w:val="en-US" w:eastAsia="zh-CN"/>
                <w14:textFill>
                  <w14:solidFill>
                    <w14:schemeClr w14:val="tx1"/>
                  </w14:solidFill>
                </w14:textFill>
              </w:rPr>
              <w:t>11</w:t>
            </w:r>
            <w:r>
              <w:rPr>
                <w:rFonts w:hint="eastAsia" w:ascii="宋体" w:hAnsi="宋体" w:cs="宋体"/>
                <w:color w:val="000000" w:themeColor="text1"/>
                <w:highlight w:val="none"/>
                <w14:textFill>
                  <w14:solidFill>
                    <w14:schemeClr w14:val="tx1"/>
                  </w14:solidFill>
                </w14:textFill>
              </w:rPr>
              <w:t>月</w:t>
            </w:r>
            <w:r>
              <w:rPr>
                <w:rFonts w:hint="eastAsia" w:ascii="宋体" w:hAnsi="宋体" w:cs="宋体"/>
                <w:color w:val="000000" w:themeColor="text1"/>
                <w:highlight w:val="none"/>
                <w:lang w:val="en-US" w:eastAsia="zh-CN"/>
                <w14:textFill>
                  <w14:solidFill>
                    <w14:schemeClr w14:val="tx1"/>
                  </w14:solidFill>
                </w14:textFill>
              </w:rPr>
              <w:t>15</w:t>
            </w:r>
            <w:r>
              <w:rPr>
                <w:rFonts w:hint="eastAsia" w:ascii="宋体" w:hAnsi="宋体" w:cs="宋体"/>
                <w:color w:val="000000" w:themeColor="text1"/>
                <w:highlight w:val="none"/>
                <w14:textFill>
                  <w14:solidFill>
                    <w14:schemeClr w14:val="tx1"/>
                  </w14:solidFill>
                </w14:textFill>
              </w:rPr>
              <w:t>日</w:t>
            </w:r>
          </w:p>
        </w:tc>
      </w:tr>
      <w:bookmarkEnd w:id="50"/>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tbl>
    <w:p w14:paraId="617B8384">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1F34E797">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bookmarkEnd w:id="222"/>
    <w:p w14:paraId="00417E50">
      <w:pPr>
        <w:pStyle w:val="7"/>
        <w:widowControl/>
        <w:spacing w:line="360" w:lineRule="auto"/>
        <w:jc w:val="left"/>
        <w:rPr>
          <w:rFonts w:ascii="宋体" w:hAnsi="宋体" w:cs="宋体"/>
          <w:color w:val="000000" w:themeColor="text1"/>
          <w:szCs w:val="21"/>
          <w:highlight w:val="none"/>
          <w14:textFill>
            <w14:solidFill>
              <w14:schemeClr w14:val="tx1"/>
            </w14:solidFill>
          </w14:textFill>
        </w:rPr>
      </w:pPr>
    </w:p>
    <w:p w14:paraId="6DD6173D">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bookmarkEnd w:id="51"/>
    <w:bookmarkEnd w:id="76"/>
    <w:p w14:paraId="027B4953">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2FBA2748">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3A52157D">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36CEB48F">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6537E337">
      <w:pPr>
        <w:pStyle w:val="20"/>
        <w:rPr>
          <w:rFonts w:ascii="宋体" w:hAnsi="宋体" w:cs="宋体"/>
          <w:color w:val="000000" w:themeColor="text1"/>
          <w:szCs w:val="21"/>
          <w:highlight w:val="none"/>
          <w14:textFill>
            <w14:solidFill>
              <w14:schemeClr w14:val="tx1"/>
            </w14:solidFill>
          </w14:textFill>
        </w:rPr>
      </w:pPr>
    </w:p>
    <w:p w14:paraId="16B20B77">
      <w:pPr>
        <w:pStyle w:val="7"/>
        <w:rPr>
          <w:color w:val="000000" w:themeColor="text1"/>
          <w:highlight w:val="none"/>
          <w14:textFill>
            <w14:solidFill>
              <w14:schemeClr w14:val="tx1"/>
            </w14:solidFill>
          </w14:textFill>
        </w:rPr>
      </w:pPr>
    </w:p>
    <w:p w14:paraId="043655EF">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7FE14A50">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2A590EC0">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2A495260">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1AFA44A9">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4EE23F4B">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0985D3BA">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649131BC">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3F0B6E32">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3C71D055">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7148966B">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177092AD">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4982F6CD">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111E4123">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42328F9C">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4483775E">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58BC40F4">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1A74E415">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55A87DBD">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39E98907">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191821CA">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6BD56348">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0DE60533">
      <w:pPr>
        <w:pStyle w:val="36"/>
        <w:spacing w:before="260" w:after="260" w:line="500" w:lineRule="exact"/>
        <w:jc w:val="center"/>
        <w:rPr>
          <w:rFonts w:ascii="宋体" w:hAnsi="宋体" w:cs="宋体"/>
          <w:color w:val="000000" w:themeColor="text1"/>
          <w:sz w:val="48"/>
          <w:szCs w:val="48"/>
          <w:highlight w:val="none"/>
          <w14:textFill>
            <w14:solidFill>
              <w14:schemeClr w14:val="tx1"/>
            </w14:solidFill>
          </w14:textFill>
        </w:rPr>
      </w:pPr>
      <w:bookmarkStart w:id="229" w:name="_Toc118195746"/>
      <w:bookmarkStart w:id="230" w:name="_Toc16076"/>
      <w:bookmarkStart w:id="231" w:name="_Toc25743"/>
      <w:bookmarkStart w:id="232" w:name="_Toc30863"/>
      <w:bookmarkStart w:id="233" w:name="_Toc29219"/>
      <w:bookmarkStart w:id="234" w:name="_Toc98785242"/>
      <w:bookmarkStart w:id="235" w:name="_Toc119585474"/>
      <w:bookmarkStart w:id="236" w:name="_Toc120624165"/>
      <w:bookmarkStart w:id="237" w:name="_Toc16417"/>
      <w:bookmarkStart w:id="238" w:name="_Toc11257"/>
      <w:bookmarkStart w:id="239" w:name="_Toc764"/>
      <w:bookmarkStart w:id="240" w:name="_Toc13252"/>
      <w:bookmarkStart w:id="241" w:name="_Toc2273"/>
      <w:bookmarkStart w:id="242" w:name="_Toc14048"/>
      <w:bookmarkStart w:id="243" w:name="_Toc8091"/>
      <w:bookmarkStart w:id="244" w:name="_Toc5699"/>
      <w:bookmarkStart w:id="245" w:name="_Toc12349"/>
      <w:bookmarkStart w:id="246" w:name="_Toc32343"/>
      <w:bookmarkStart w:id="247" w:name="_Toc23866"/>
      <w:bookmarkStart w:id="248" w:name="_Toc29990"/>
      <w:r>
        <w:rPr>
          <w:rFonts w:hint="eastAsia" w:ascii="宋体" w:hAnsi="宋体" w:cs="宋体"/>
          <w:color w:val="000000" w:themeColor="text1"/>
          <w:sz w:val="48"/>
          <w:szCs w:val="48"/>
          <w:highlight w:val="none"/>
          <w14:textFill>
            <w14:solidFill>
              <w14:schemeClr w14:val="tx1"/>
            </w14:solidFill>
          </w14:textFill>
        </w:rPr>
        <w:t>第二章 投标人须知</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0C261483">
      <w:pPr>
        <w:pStyle w:val="7"/>
        <w:spacing w:line="360" w:lineRule="auto"/>
        <w:jc w:val="center"/>
        <w:rPr>
          <w:rFonts w:ascii="宋体" w:hAnsi="宋体" w:cs="宋体"/>
          <w:color w:val="000000" w:themeColor="text1"/>
          <w:szCs w:val="32"/>
          <w:highlight w:val="none"/>
          <w14:textFill>
            <w14:solidFill>
              <w14:schemeClr w14:val="tx1"/>
            </w14:solidFill>
          </w14:textFill>
        </w:rPr>
      </w:pPr>
      <w:r>
        <w:rPr>
          <w:rFonts w:ascii="宋体" w:hAnsi="宋体" w:cs="宋体"/>
          <w:color w:val="000000" w:themeColor="text1"/>
          <w:szCs w:val="32"/>
          <w:highlight w:val="none"/>
          <w14:textFill>
            <w14:solidFill>
              <w14:schemeClr w14:val="tx1"/>
            </w14:solidFill>
          </w14:textFill>
        </w:rPr>
        <w:br w:type="page"/>
      </w:r>
      <w:bookmarkStart w:id="249" w:name="_Toc26444"/>
      <w:bookmarkStart w:id="250" w:name="_Toc30972"/>
      <w:bookmarkStart w:id="251" w:name="_Toc7006"/>
      <w:bookmarkStart w:id="252" w:name="_Toc18714"/>
      <w:bookmarkStart w:id="253" w:name="_Toc118195747"/>
      <w:bookmarkStart w:id="254" w:name="_Toc119585475"/>
      <w:bookmarkStart w:id="255" w:name="_Toc2953"/>
      <w:bookmarkStart w:id="256" w:name="_Toc26185"/>
      <w:bookmarkStart w:id="257" w:name="_Toc8455"/>
      <w:bookmarkStart w:id="258" w:name="_Toc120624166"/>
      <w:bookmarkStart w:id="259" w:name="_Toc29775"/>
      <w:bookmarkStart w:id="260" w:name="_Toc27448"/>
      <w:bookmarkStart w:id="261" w:name="_Toc4092"/>
      <w:bookmarkStart w:id="262" w:name="_Toc17005"/>
      <w:bookmarkStart w:id="263" w:name="_Toc14381"/>
      <w:bookmarkStart w:id="264" w:name="_Toc16097"/>
      <w:bookmarkStart w:id="265" w:name="_Toc98785243"/>
      <w:bookmarkStart w:id="266" w:name="_Toc475825726"/>
      <w:bookmarkStart w:id="267" w:name="_Toc7722"/>
      <w:bookmarkStart w:id="268" w:name="_Toc452457624"/>
    </w:p>
    <w:p w14:paraId="0440629E">
      <w:pPr>
        <w:pStyle w:val="7"/>
        <w:spacing w:line="360" w:lineRule="auto"/>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第二章   投标人须知</w:t>
      </w:r>
    </w:p>
    <w:p w14:paraId="317F4D15">
      <w:pPr>
        <w:pStyle w:val="7"/>
        <w:spacing w:line="360" w:lineRule="auto"/>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投标人须知前附表</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bookmarkEnd w:id="268"/>
    <w:tbl>
      <w:tblPr>
        <w:tblStyle w:val="28"/>
        <w:tblW w:w="9341"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78"/>
        <w:gridCol w:w="1990"/>
        <w:gridCol w:w="6373"/>
      </w:tblGrid>
      <w:tr w14:paraId="4499BC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5" w:hRule="atLeast"/>
          <w:tblHeader/>
        </w:trPr>
        <w:tc>
          <w:tcPr>
            <w:tcW w:w="978" w:type="dxa"/>
            <w:vAlign w:val="center"/>
          </w:tcPr>
          <w:p w14:paraId="1FBAFCA0">
            <w:pPr>
              <w:pStyle w:val="7"/>
              <w:spacing w:line="32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1990" w:type="dxa"/>
            <w:vAlign w:val="center"/>
          </w:tcPr>
          <w:p w14:paraId="7E62989D">
            <w:pPr>
              <w:pStyle w:val="7"/>
              <w:spacing w:line="32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款</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名</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称</w:t>
            </w:r>
          </w:p>
        </w:tc>
        <w:tc>
          <w:tcPr>
            <w:tcW w:w="6373" w:type="dxa"/>
            <w:vAlign w:val="center"/>
          </w:tcPr>
          <w:p w14:paraId="12CE2751">
            <w:pPr>
              <w:pStyle w:val="7"/>
              <w:spacing w:line="32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编</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列</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内</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容</w:t>
            </w:r>
          </w:p>
        </w:tc>
      </w:tr>
      <w:tr w14:paraId="535085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06E68B0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1.1.2</w:t>
            </w:r>
          </w:p>
        </w:tc>
        <w:tc>
          <w:tcPr>
            <w:tcW w:w="1990" w:type="dxa"/>
            <w:vAlign w:val="center"/>
          </w:tcPr>
          <w:p w14:paraId="4B1358B0">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w:t>
            </w:r>
          </w:p>
        </w:tc>
        <w:tc>
          <w:tcPr>
            <w:tcW w:w="6373" w:type="dxa"/>
            <w:vAlign w:val="center"/>
          </w:tcPr>
          <w:p w14:paraId="5C23E4FF">
            <w:pPr>
              <w:pStyle w:val="7"/>
              <w:spacing w:line="32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称：</w:t>
            </w:r>
            <w:bookmarkStart w:id="269" w:name="OLE_LINK29"/>
            <w:r>
              <w:rPr>
                <w:rFonts w:hint="eastAsia" w:ascii="宋体" w:hAnsi="宋体"/>
                <w:color w:val="000000" w:themeColor="text1"/>
                <w:szCs w:val="21"/>
                <w:highlight w:val="none"/>
                <w14:textFill>
                  <w14:solidFill>
                    <w14:schemeClr w14:val="tx1"/>
                  </w14:solidFill>
                </w14:textFill>
              </w:rPr>
              <w:t>绍兴市柯诸高速公路有限公司</w:t>
            </w:r>
            <w:bookmarkEnd w:id="269"/>
          </w:p>
          <w:p w14:paraId="3BF9A90E">
            <w:pPr>
              <w:pStyle w:val="7"/>
              <w:spacing w:line="32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址：</w:t>
            </w:r>
            <w:bookmarkStart w:id="270" w:name="OLE_LINK31"/>
            <w:r>
              <w:rPr>
                <w:rFonts w:hint="eastAsia" w:ascii="宋体" w:hAnsi="宋体"/>
                <w:color w:val="000000" w:themeColor="text1"/>
                <w:szCs w:val="21"/>
                <w:highlight w:val="none"/>
                <w14:textFill>
                  <w14:solidFill>
                    <w14:schemeClr w14:val="tx1"/>
                  </w14:solidFill>
                </w14:textFill>
              </w:rPr>
              <w:t>绍兴市镜湖新区凤林西路135号交投大厦</w:t>
            </w:r>
            <w:bookmarkEnd w:id="270"/>
          </w:p>
          <w:p w14:paraId="108A47BD">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olor w:val="000000" w:themeColor="text1"/>
                <w:szCs w:val="21"/>
                <w:highlight w:val="none"/>
                <w14:textFill>
                  <w14:solidFill>
                    <w14:schemeClr w14:val="tx1"/>
                  </w14:solidFill>
                </w14:textFill>
              </w:rPr>
              <w:t xml:space="preserve">陈艳         </w:t>
            </w:r>
          </w:p>
          <w:p w14:paraId="638B7EF4">
            <w:pPr>
              <w:pStyle w:val="7"/>
              <w:spacing w:line="32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话：</w:t>
            </w:r>
            <w:bookmarkStart w:id="271" w:name="OLE_LINK32"/>
            <w:r>
              <w:rPr>
                <w:rFonts w:hint="eastAsia" w:ascii="宋体" w:hAnsi="宋体"/>
                <w:color w:val="000000" w:themeColor="text1"/>
                <w:szCs w:val="21"/>
                <w:highlight w:val="none"/>
                <w14:textFill>
                  <w14:solidFill>
                    <w14:schemeClr w14:val="tx1"/>
                  </w14:solidFill>
                </w14:textFill>
              </w:rPr>
              <w:t>0575-85223919</w:t>
            </w:r>
            <w:bookmarkEnd w:id="271"/>
          </w:p>
          <w:p w14:paraId="296B9F75">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真：</w:t>
            </w:r>
            <w:r>
              <w:rPr>
                <w:rFonts w:hint="eastAsia" w:ascii="宋体" w:hAnsi="宋体"/>
                <w:color w:val="000000" w:themeColor="text1"/>
                <w:szCs w:val="21"/>
                <w:highlight w:val="none"/>
                <w14:textFill>
                  <w14:solidFill>
                    <w14:schemeClr w14:val="tx1"/>
                  </w14:solidFill>
                </w14:textFill>
              </w:rPr>
              <w:t>0575-85223919</w:t>
            </w:r>
          </w:p>
        </w:tc>
      </w:tr>
      <w:tr w14:paraId="2CC277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33417301">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1.1.3</w:t>
            </w:r>
          </w:p>
        </w:tc>
        <w:tc>
          <w:tcPr>
            <w:tcW w:w="1990" w:type="dxa"/>
            <w:vAlign w:val="center"/>
          </w:tcPr>
          <w:p w14:paraId="04F76D6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招标代理机构</w:t>
            </w:r>
          </w:p>
        </w:tc>
        <w:tc>
          <w:tcPr>
            <w:tcW w:w="6373" w:type="dxa"/>
            <w:vAlign w:val="center"/>
          </w:tcPr>
          <w:p w14:paraId="73C10299">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称：</w:t>
            </w:r>
            <w:bookmarkStart w:id="272" w:name="OLE_LINK30"/>
            <w:r>
              <w:rPr>
                <w:rFonts w:hint="eastAsia" w:ascii="宋体" w:hAnsi="宋体"/>
                <w:color w:val="000000" w:themeColor="text1"/>
                <w:szCs w:val="21"/>
                <w:highlight w:val="none"/>
                <w14:textFill>
                  <w14:solidFill>
                    <w14:schemeClr w14:val="tx1"/>
                  </w14:solidFill>
                </w14:textFill>
              </w:rPr>
              <w:t>浙江远大工程咨询有限公司</w:t>
            </w:r>
            <w:bookmarkEnd w:id="272"/>
          </w:p>
          <w:p w14:paraId="3F47258D">
            <w:pPr>
              <w:pStyle w:val="7"/>
              <w:widowControl/>
              <w:spacing w:line="32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址：</w:t>
            </w:r>
            <w:bookmarkStart w:id="273" w:name="OLE_LINK33"/>
            <w:r>
              <w:rPr>
                <w:rFonts w:hint="eastAsia" w:ascii="宋体" w:hAnsi="宋体"/>
                <w:color w:val="000000" w:themeColor="text1"/>
                <w:szCs w:val="21"/>
                <w:highlight w:val="none"/>
                <w14:textFill>
                  <w14:solidFill>
                    <w14:schemeClr w14:val="tx1"/>
                  </w14:solidFill>
                </w14:textFill>
              </w:rPr>
              <w:t>杭州市朝晖路203号深蓝广场办公楼13楼</w:t>
            </w:r>
            <w:bookmarkEnd w:id="273"/>
          </w:p>
          <w:p w14:paraId="6A89F8E0">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highlight w:val="none"/>
                <w14:textFill>
                  <w14:solidFill>
                    <w14:schemeClr w14:val="tx1"/>
                  </w14:solidFill>
                </w14:textFill>
              </w:rPr>
              <w:t>熊武平、楼梅晶</w:t>
            </w:r>
          </w:p>
          <w:p w14:paraId="4C25E266">
            <w:pPr>
              <w:pStyle w:val="7"/>
              <w:widowControl/>
              <w:spacing w:line="32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话：</w:t>
            </w:r>
            <w:bookmarkStart w:id="274" w:name="OLE_LINK34"/>
            <w:r>
              <w:rPr>
                <w:rFonts w:hint="eastAsia" w:ascii="宋体" w:hAnsi="宋体"/>
                <w:color w:val="000000" w:themeColor="text1"/>
                <w:szCs w:val="21"/>
                <w:highlight w:val="none"/>
                <w14:textFill>
                  <w14:solidFill>
                    <w14:schemeClr w14:val="tx1"/>
                  </w14:solidFill>
                </w14:textFill>
              </w:rPr>
              <w:t>0571-85192613、87825213</w:t>
            </w:r>
            <w:bookmarkEnd w:id="274"/>
          </w:p>
          <w:p w14:paraId="3A17340A">
            <w:pPr>
              <w:pStyle w:val="7"/>
              <w:widowControl/>
              <w:spacing w:line="32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真：</w:t>
            </w:r>
            <w:r>
              <w:rPr>
                <w:rFonts w:hint="eastAsia" w:ascii="宋体" w:hAnsi="宋体"/>
                <w:color w:val="000000" w:themeColor="text1"/>
                <w:szCs w:val="21"/>
                <w:highlight w:val="none"/>
                <w14:textFill>
                  <w14:solidFill>
                    <w14:schemeClr w14:val="tx1"/>
                  </w14:solidFill>
                </w14:textFill>
              </w:rPr>
              <w:t>0571-</w:t>
            </w:r>
            <w:r>
              <w:rPr>
                <w:rFonts w:hint="eastAsia" w:ascii="宋体" w:hAnsi="宋体" w:cs="宋体"/>
                <w:color w:val="000000" w:themeColor="text1"/>
                <w:highlight w:val="none"/>
                <w14:textFill>
                  <w14:solidFill>
                    <w14:schemeClr w14:val="tx1"/>
                  </w14:solidFill>
                </w14:textFill>
              </w:rPr>
              <w:t>87825213</w:t>
            </w:r>
            <w:r>
              <w:rPr>
                <w:rFonts w:hint="eastAsia" w:ascii="宋体" w:hAnsi="宋体"/>
                <w:color w:val="000000" w:themeColor="text1"/>
                <w:szCs w:val="21"/>
                <w:highlight w:val="none"/>
                <w14:textFill>
                  <w14:solidFill>
                    <w14:schemeClr w14:val="tx1"/>
                  </w14:solidFill>
                </w14:textFill>
              </w:rPr>
              <w:t xml:space="preserve"> </w:t>
            </w:r>
          </w:p>
        </w:tc>
      </w:tr>
      <w:tr w14:paraId="3D5CE2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5" w:hRule="atLeast"/>
        </w:trPr>
        <w:tc>
          <w:tcPr>
            <w:tcW w:w="978" w:type="dxa"/>
            <w:vAlign w:val="center"/>
          </w:tcPr>
          <w:p w14:paraId="3DD41690">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1.1.4</w:t>
            </w:r>
          </w:p>
        </w:tc>
        <w:tc>
          <w:tcPr>
            <w:tcW w:w="1990" w:type="dxa"/>
            <w:vAlign w:val="center"/>
          </w:tcPr>
          <w:p w14:paraId="3588DF2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招标项目名称</w:t>
            </w:r>
          </w:p>
        </w:tc>
        <w:tc>
          <w:tcPr>
            <w:tcW w:w="6373" w:type="dxa"/>
            <w:vAlign w:val="center"/>
          </w:tcPr>
          <w:p w14:paraId="76CC9153">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柯桥至诸暨高速公路工程</w:t>
            </w:r>
          </w:p>
        </w:tc>
      </w:tr>
      <w:tr w14:paraId="1D6EFA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0" w:hRule="atLeast"/>
        </w:trPr>
        <w:tc>
          <w:tcPr>
            <w:tcW w:w="978" w:type="dxa"/>
            <w:vAlign w:val="center"/>
          </w:tcPr>
          <w:p w14:paraId="2DEBA412">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1.1.5</w:t>
            </w:r>
          </w:p>
        </w:tc>
        <w:tc>
          <w:tcPr>
            <w:tcW w:w="1990" w:type="dxa"/>
            <w:vAlign w:val="center"/>
          </w:tcPr>
          <w:p w14:paraId="1C6DDC8C">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标段建设地点</w:t>
            </w:r>
          </w:p>
        </w:tc>
        <w:tc>
          <w:tcPr>
            <w:tcW w:w="6373" w:type="dxa"/>
            <w:vAlign w:val="center"/>
          </w:tcPr>
          <w:p w14:paraId="6746025A">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浙江省绍兴市</w:t>
            </w:r>
          </w:p>
        </w:tc>
      </w:tr>
      <w:tr w14:paraId="0B62A2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0" w:hRule="atLeast"/>
        </w:trPr>
        <w:tc>
          <w:tcPr>
            <w:tcW w:w="978" w:type="dxa"/>
            <w:vAlign w:val="center"/>
          </w:tcPr>
          <w:p w14:paraId="165509B1">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1.2.1</w:t>
            </w:r>
          </w:p>
        </w:tc>
        <w:tc>
          <w:tcPr>
            <w:tcW w:w="1990" w:type="dxa"/>
            <w:vAlign w:val="center"/>
          </w:tcPr>
          <w:p w14:paraId="0438CC04">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资金来源及比例</w:t>
            </w:r>
          </w:p>
        </w:tc>
        <w:tc>
          <w:tcPr>
            <w:tcW w:w="6373" w:type="dxa"/>
            <w:vAlign w:val="center"/>
          </w:tcPr>
          <w:p w14:paraId="5074D7F4">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自筹 100%</w:t>
            </w:r>
          </w:p>
        </w:tc>
      </w:tr>
      <w:tr w14:paraId="18FC36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5" w:hRule="atLeast"/>
        </w:trPr>
        <w:tc>
          <w:tcPr>
            <w:tcW w:w="978" w:type="dxa"/>
            <w:vAlign w:val="center"/>
          </w:tcPr>
          <w:p w14:paraId="443C52B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1.2.2</w:t>
            </w:r>
          </w:p>
        </w:tc>
        <w:tc>
          <w:tcPr>
            <w:tcW w:w="1990" w:type="dxa"/>
            <w:vAlign w:val="center"/>
          </w:tcPr>
          <w:p w14:paraId="25C131B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资金落实情况</w:t>
            </w:r>
          </w:p>
        </w:tc>
        <w:tc>
          <w:tcPr>
            <w:tcW w:w="6373" w:type="dxa"/>
            <w:vAlign w:val="center"/>
          </w:tcPr>
          <w:p w14:paraId="583CA0FF">
            <w:pPr>
              <w:pStyle w:val="7"/>
              <w:spacing w:line="320" w:lineRule="exact"/>
              <w:rPr>
                <w:rFonts w:ascii="宋体" w:hAnsi="宋体" w:cs="宋体"/>
                <w:color w:val="000000" w:themeColor="text1"/>
                <w:szCs w:val="21"/>
                <w:highlight w:val="none"/>
                <w14:textFill>
                  <w14:solidFill>
                    <w14:schemeClr w14:val="tx1"/>
                  </w14:solidFill>
                </w14:textFill>
              </w:rPr>
            </w:pPr>
            <w:bookmarkStart w:id="275" w:name="EBd76a357e5b6b44b09d8a46e3b51387d4"/>
            <w:r>
              <w:rPr>
                <w:rFonts w:hint="eastAsia" w:ascii="宋体" w:hAnsi="宋体" w:cs="宋体"/>
                <w:color w:val="000000" w:themeColor="text1"/>
                <w:szCs w:val="21"/>
                <w:highlight w:val="none"/>
                <w14:textFill>
                  <w14:solidFill>
                    <w14:schemeClr w14:val="tx1"/>
                  </w14:solidFill>
                </w14:textFill>
              </w:rPr>
              <w:t>已落实</w:t>
            </w:r>
            <w:bookmarkEnd w:id="275"/>
          </w:p>
        </w:tc>
      </w:tr>
      <w:tr w14:paraId="6248A7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978" w:type="dxa"/>
            <w:vAlign w:val="center"/>
          </w:tcPr>
          <w:p w14:paraId="796C5232">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1.3.1</w:t>
            </w:r>
          </w:p>
        </w:tc>
        <w:tc>
          <w:tcPr>
            <w:tcW w:w="1990" w:type="dxa"/>
            <w:vAlign w:val="center"/>
          </w:tcPr>
          <w:p w14:paraId="0D58ED42">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招标范围</w:t>
            </w:r>
          </w:p>
        </w:tc>
        <w:tc>
          <w:tcPr>
            <w:tcW w:w="6373" w:type="dxa"/>
            <w:vAlign w:val="center"/>
          </w:tcPr>
          <w:p w14:paraId="200EDE0A">
            <w:pPr>
              <w:pStyle w:val="7"/>
              <w:spacing w:line="320" w:lineRule="exact"/>
              <w:rPr>
                <w:rFonts w:ascii="宋体" w:hAnsi="宋体" w:cs="宋体"/>
                <w:color w:val="000000" w:themeColor="text1"/>
                <w:spacing w:val="5"/>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详见招标公告</w:t>
            </w:r>
          </w:p>
        </w:tc>
      </w:tr>
      <w:tr w14:paraId="36CDBA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475" w:hRule="atLeast"/>
        </w:trPr>
        <w:tc>
          <w:tcPr>
            <w:tcW w:w="978" w:type="dxa"/>
            <w:vAlign w:val="center"/>
          </w:tcPr>
          <w:p w14:paraId="68D4336D">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1.3.2</w:t>
            </w:r>
          </w:p>
        </w:tc>
        <w:tc>
          <w:tcPr>
            <w:tcW w:w="1990" w:type="dxa"/>
            <w:vAlign w:val="center"/>
          </w:tcPr>
          <w:p w14:paraId="0CB64D2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计划工期</w:t>
            </w:r>
          </w:p>
        </w:tc>
        <w:tc>
          <w:tcPr>
            <w:tcW w:w="6373" w:type="dxa"/>
            <w:vAlign w:val="center"/>
          </w:tcPr>
          <w:p w14:paraId="2358FEB4">
            <w:pPr>
              <w:pStyle w:val="7"/>
              <w:spacing w:line="320" w:lineRule="exact"/>
              <w:jc w:val="left"/>
              <w:rPr>
                <w:rFonts w:ascii="宋体" w:hAnsi="宋体" w:eastAsia="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计划工期：</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eastAsia="宋体"/>
                <w:color w:val="000000" w:themeColor="text1"/>
                <w:szCs w:val="21"/>
                <w:highlight w:val="none"/>
                <w:lang w:val="en-US" w:eastAsia="zh-CN"/>
                <w14:textFill>
                  <w14:solidFill>
                    <w14:schemeClr w14:val="tx1"/>
                  </w14:solidFill>
                </w14:textFill>
              </w:rPr>
              <w:t xml:space="preserve">2 </w:t>
            </w:r>
            <w:r>
              <w:rPr>
                <w:rFonts w:hint="eastAsia" w:ascii="宋体" w:hAnsi="宋体" w:eastAsia="宋体"/>
                <w:color w:val="000000" w:themeColor="text1"/>
                <w:szCs w:val="21"/>
                <w:highlight w:val="none"/>
                <w14:textFill>
                  <w14:solidFill>
                    <w14:schemeClr w14:val="tx1"/>
                  </w14:solidFill>
                </w14:textFill>
              </w:rPr>
              <w:t>个月</w:t>
            </w:r>
          </w:p>
          <w:p w14:paraId="034CEFA9">
            <w:pPr>
              <w:pStyle w:val="7"/>
              <w:spacing w:line="320" w:lineRule="exact"/>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计划开工日期：</w:t>
            </w:r>
            <w:bookmarkStart w:id="276" w:name="OLE_LINK23"/>
            <w:r>
              <w:rPr>
                <w:rFonts w:hint="eastAsia" w:ascii="宋体" w:hAnsi="宋体"/>
                <w:color w:val="000000" w:themeColor="text1"/>
                <w:szCs w:val="21"/>
                <w:highlight w:val="none"/>
                <w:lang w:val="en-US" w:eastAsia="zh-CN"/>
                <w14:textFill>
                  <w14:solidFill>
                    <w14:schemeClr w14:val="tx1"/>
                  </w14:solidFill>
                </w14:textFill>
              </w:rPr>
              <w:t>2024</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12</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31</w:t>
            </w:r>
            <w:r>
              <w:rPr>
                <w:rFonts w:hint="eastAsia" w:ascii="宋体" w:hAnsi="宋体" w:cs="宋体"/>
                <w:color w:val="000000" w:themeColor="text1"/>
                <w:szCs w:val="21"/>
                <w:highlight w:val="none"/>
                <w14:textFill>
                  <w14:solidFill>
                    <w14:schemeClr w14:val="tx1"/>
                  </w14:solidFill>
                </w14:textFill>
              </w:rPr>
              <w:t>日</w:t>
            </w:r>
            <w:bookmarkEnd w:id="276"/>
            <w:r>
              <w:rPr>
                <w:rFonts w:hint="eastAsia" w:ascii="宋体" w:hAnsi="宋体" w:cs="宋体"/>
                <w:color w:val="000000" w:themeColor="text1"/>
                <w:szCs w:val="21"/>
                <w:highlight w:val="none"/>
                <w14:textFill>
                  <w14:solidFill>
                    <w14:schemeClr w14:val="tx1"/>
                  </w14:solidFill>
                </w14:textFill>
              </w:rPr>
              <w:t>；</w:t>
            </w:r>
          </w:p>
          <w:p w14:paraId="2C6AB290">
            <w:pPr>
              <w:pStyle w:val="7"/>
              <w:spacing w:line="320" w:lineRule="exact"/>
              <w:jc w:val="left"/>
              <w:rPr>
                <w:rFonts w:ascii="宋体" w:hAnsi="宋体" w:eastAsia="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计划交工日期：</w:t>
            </w:r>
            <w:r>
              <w:rPr>
                <w:rFonts w:hint="eastAsia" w:ascii="宋体" w:hAnsi="宋体"/>
                <w:color w:val="000000" w:themeColor="text1"/>
                <w:szCs w:val="21"/>
                <w:highlight w:val="none"/>
                <w:lang w:val="en-US" w:eastAsia="zh-CN"/>
                <w14:textFill>
                  <w14:solidFill>
                    <w14:schemeClr w14:val="tx1"/>
                  </w14:solidFill>
                </w14:textFill>
              </w:rPr>
              <w:t>2025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28</w:t>
            </w:r>
            <w:r>
              <w:rPr>
                <w:rFonts w:hint="eastAsia" w:ascii="宋体" w:hAnsi="宋体" w:cs="宋体"/>
                <w:color w:val="000000" w:themeColor="text1"/>
                <w:szCs w:val="21"/>
                <w:highlight w:val="none"/>
                <w14:textFill>
                  <w14:solidFill>
                    <w14:schemeClr w14:val="tx1"/>
                  </w14:solidFill>
                </w14:textFill>
              </w:rPr>
              <w:t>日；</w:t>
            </w:r>
          </w:p>
          <w:p w14:paraId="701407A1">
            <w:pPr>
              <w:pStyle w:val="7"/>
              <w:spacing w:line="32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节点工期要求：具体详见项目专用合同条款规定。 </w:t>
            </w:r>
          </w:p>
        </w:tc>
      </w:tr>
      <w:tr w14:paraId="0E7FB2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3BA5F81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1.3.3</w:t>
            </w:r>
          </w:p>
        </w:tc>
        <w:tc>
          <w:tcPr>
            <w:tcW w:w="1990" w:type="dxa"/>
            <w:vAlign w:val="center"/>
          </w:tcPr>
          <w:p w14:paraId="1596D761">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质量要求</w:t>
            </w:r>
          </w:p>
        </w:tc>
        <w:tc>
          <w:tcPr>
            <w:tcW w:w="6373" w:type="dxa"/>
            <w:vAlign w:val="center"/>
          </w:tcPr>
          <w:p w14:paraId="761415ED">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合格</w:t>
            </w:r>
          </w:p>
        </w:tc>
      </w:tr>
      <w:tr w14:paraId="78808E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0" w:hRule="atLeast"/>
        </w:trPr>
        <w:tc>
          <w:tcPr>
            <w:tcW w:w="978" w:type="dxa"/>
            <w:vAlign w:val="center"/>
          </w:tcPr>
          <w:p w14:paraId="3E6CFD64">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1.3.4</w:t>
            </w:r>
          </w:p>
        </w:tc>
        <w:tc>
          <w:tcPr>
            <w:tcW w:w="1990" w:type="dxa"/>
            <w:vAlign w:val="center"/>
          </w:tcPr>
          <w:p w14:paraId="55E9235E">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安全目标</w:t>
            </w:r>
          </w:p>
        </w:tc>
        <w:tc>
          <w:tcPr>
            <w:tcW w:w="6373" w:type="dxa"/>
            <w:vAlign w:val="center"/>
          </w:tcPr>
          <w:p w14:paraId="3D42CA49">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不发生较大及以上生产安全责任事故，人员零死亡。</w:t>
            </w:r>
          </w:p>
        </w:tc>
      </w:tr>
      <w:tr w14:paraId="6422EA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978" w:type="dxa"/>
            <w:tcBorders>
              <w:top w:val="single" w:color="000000" w:sz="6" w:space="0"/>
            </w:tcBorders>
            <w:vAlign w:val="center"/>
          </w:tcPr>
          <w:p w14:paraId="3DC30FB6">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1.4.1</w:t>
            </w:r>
          </w:p>
        </w:tc>
        <w:tc>
          <w:tcPr>
            <w:tcW w:w="1990" w:type="dxa"/>
            <w:tcBorders>
              <w:top w:val="single" w:color="000000" w:sz="6" w:space="0"/>
            </w:tcBorders>
            <w:vAlign w:val="center"/>
          </w:tcPr>
          <w:p w14:paraId="7461CABF">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投标人资质条件、能力和信誉</w:t>
            </w:r>
          </w:p>
        </w:tc>
        <w:tc>
          <w:tcPr>
            <w:tcW w:w="6373" w:type="dxa"/>
            <w:tcBorders>
              <w:top w:val="single" w:color="000000" w:sz="6" w:space="0"/>
            </w:tcBorders>
            <w:vAlign w:val="center"/>
          </w:tcPr>
          <w:p w14:paraId="3152992B">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资质要求：见附录</w:t>
            </w:r>
            <w:r>
              <w:rPr>
                <w:rFonts w:ascii="宋体" w:hAnsi="宋体" w:cs="宋体"/>
                <w:color w:val="000000" w:themeColor="text1"/>
                <w:szCs w:val="21"/>
                <w:highlight w:val="none"/>
                <w14:textFill>
                  <w14:solidFill>
                    <w14:schemeClr w14:val="tx1"/>
                  </w14:solidFill>
                </w14:textFill>
              </w:rPr>
              <w:t>1</w:t>
            </w:r>
          </w:p>
          <w:p w14:paraId="4D7A1D91">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财务要求：见附录</w:t>
            </w:r>
            <w:r>
              <w:rPr>
                <w:rFonts w:ascii="宋体" w:hAnsi="宋体" w:cs="宋体"/>
                <w:color w:val="000000" w:themeColor="text1"/>
                <w:szCs w:val="21"/>
                <w:highlight w:val="none"/>
                <w14:textFill>
                  <w14:solidFill>
                    <w14:schemeClr w14:val="tx1"/>
                  </w14:solidFill>
                </w14:textFill>
              </w:rPr>
              <w:t>2</w:t>
            </w:r>
          </w:p>
          <w:p w14:paraId="55FF28C0">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业绩要求：见附录</w:t>
            </w:r>
            <w:r>
              <w:rPr>
                <w:rFonts w:ascii="宋体" w:hAnsi="宋体" w:cs="宋体"/>
                <w:color w:val="000000" w:themeColor="text1"/>
                <w:szCs w:val="21"/>
                <w:highlight w:val="none"/>
                <w14:textFill>
                  <w14:solidFill>
                    <w14:schemeClr w14:val="tx1"/>
                  </w14:solidFill>
                </w14:textFill>
              </w:rPr>
              <w:t>3</w:t>
            </w:r>
          </w:p>
          <w:p w14:paraId="251873D7">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信誉要求：见附录</w:t>
            </w:r>
            <w:r>
              <w:rPr>
                <w:rFonts w:ascii="宋体" w:hAnsi="宋体" w:cs="宋体"/>
                <w:color w:val="000000" w:themeColor="text1"/>
                <w:szCs w:val="21"/>
                <w:highlight w:val="none"/>
                <w14:textFill>
                  <w14:solidFill>
                    <w14:schemeClr w14:val="tx1"/>
                  </w14:solidFill>
                </w14:textFill>
              </w:rPr>
              <w:t>4</w:t>
            </w:r>
          </w:p>
          <w:p w14:paraId="790F8D83">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项目经理、项目技术负责人资格：见附录</w:t>
            </w:r>
            <w:r>
              <w:rPr>
                <w:rFonts w:ascii="宋体" w:hAnsi="宋体" w:cs="宋体"/>
                <w:color w:val="000000" w:themeColor="text1"/>
                <w:szCs w:val="21"/>
                <w:highlight w:val="none"/>
                <w14:textFill>
                  <w14:solidFill>
                    <w14:schemeClr w14:val="tx1"/>
                  </w14:solidFill>
                </w14:textFill>
              </w:rPr>
              <w:t>5</w:t>
            </w:r>
          </w:p>
          <w:p w14:paraId="0725971D">
            <w:pPr>
              <w:pStyle w:val="7"/>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其他要求：</w:t>
            </w:r>
            <w:r>
              <w:rPr>
                <w:rFonts w:hint="eastAsia" w:ascii="宋体" w:hAnsi="宋体"/>
                <w:color w:val="000000" w:themeColor="text1"/>
                <w:szCs w:val="21"/>
                <w:highlight w:val="none"/>
                <w14:textFill>
                  <w14:solidFill>
                    <w14:schemeClr w14:val="tx1"/>
                  </w14:solidFill>
                </w14:textFill>
              </w:rPr>
              <w:t xml:space="preserve"> /        </w:t>
            </w:r>
          </w:p>
        </w:tc>
      </w:tr>
      <w:tr w14:paraId="627F2A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978" w:type="dxa"/>
            <w:vAlign w:val="center"/>
          </w:tcPr>
          <w:p w14:paraId="6DE40D3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1.4.2</w:t>
            </w:r>
          </w:p>
        </w:tc>
        <w:tc>
          <w:tcPr>
            <w:tcW w:w="1990" w:type="dxa"/>
            <w:vAlign w:val="center"/>
          </w:tcPr>
          <w:p w14:paraId="57BF6081">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是否接受联合体</w:t>
            </w:r>
          </w:p>
          <w:p w14:paraId="0DF4311D">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w:t>
            </w:r>
          </w:p>
        </w:tc>
        <w:tc>
          <w:tcPr>
            <w:tcW w:w="6373" w:type="dxa"/>
            <w:vAlign w:val="center"/>
          </w:tcPr>
          <w:p w14:paraId="5EA433D7">
            <w:pPr>
              <w:pStyle w:val="7"/>
              <w:spacing w:line="320" w:lineRule="exact"/>
              <w:rPr>
                <w:color w:val="000000" w:themeColor="text1"/>
                <w:highlight w:val="none"/>
                <w14:textFill>
                  <w14:solidFill>
                    <w14:schemeClr w14:val="tx1"/>
                  </w14:solidFill>
                </w14:textFill>
              </w:rPr>
            </w:pPr>
            <w:r>
              <w:rPr>
                <w:rFonts w:hint="eastAsia" w:ascii="Segoe UI Symbol" w:hAnsi="Segoe UI Symbol" w:cs="Segoe UI Symbol"/>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不接受</w:t>
            </w:r>
            <w:r>
              <w:rPr>
                <w:color w:val="000000" w:themeColor="text1"/>
                <w:highlight w:val="none"/>
                <w14:textFill>
                  <w14:solidFill>
                    <w14:schemeClr w14:val="tx1"/>
                  </w14:solidFill>
                </w14:textFill>
              </w:rPr>
              <w:t xml:space="preserve"> </w:t>
            </w:r>
          </w:p>
          <w:p w14:paraId="3EC651B6">
            <w:pPr>
              <w:pStyle w:val="7"/>
              <w:spacing w:line="320" w:lineRule="exact"/>
              <w:rPr>
                <w:color w:val="000000" w:themeColor="text1"/>
                <w:highlight w:val="none"/>
                <w14:textFill>
                  <w14:solidFill>
                    <w14:schemeClr w14:val="tx1"/>
                  </w14:solidFill>
                </w14:textFill>
              </w:rPr>
            </w:pPr>
            <w:r>
              <w:rPr>
                <w:rFonts w:hint="eastAsia" w:ascii="Segoe UI Symbol" w:hAnsi="Segoe UI Symbol" w:cs="Segoe UI Symbol"/>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接受，应满足以下要求：</w:t>
            </w:r>
          </w:p>
          <w:p w14:paraId="02869ECF">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（1）联合体所有成员数量不得超过</w:t>
            </w:r>
            <w:bookmarkStart w:id="277" w:name="OLE_LINK25"/>
            <w:r>
              <w:rPr>
                <w:rFonts w:hint="eastAsia" w:ascii="宋体" w:hAnsi="宋体" w:cs="宋体"/>
                <w:color w:val="000000" w:themeColor="text1"/>
                <w:szCs w:val="21"/>
                <w:highlight w:val="none"/>
                <w:u w:val="single"/>
                <w14:textFill>
                  <w14:solidFill>
                    <w14:schemeClr w14:val="tx1"/>
                  </w14:solidFill>
                </w14:textFill>
              </w:rPr>
              <w:t xml:space="preserve">    </w:t>
            </w:r>
            <w:bookmarkEnd w:id="277"/>
            <w:r>
              <w:rPr>
                <w:rFonts w:hint="eastAsia" w:ascii="宋体" w:hAnsi="宋体" w:cs="宋体"/>
                <w:color w:val="000000" w:themeColor="text1"/>
                <w:szCs w:val="21"/>
                <w:highlight w:val="none"/>
                <w14:textFill>
                  <w14:solidFill>
                    <w14:schemeClr w14:val="tx1"/>
                  </w14:solidFill>
                </w14:textFill>
              </w:rPr>
              <w:t>家；</w:t>
            </w:r>
          </w:p>
          <w:p w14:paraId="5392E99B">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（2）联合体牵头人应具有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资质；</w:t>
            </w:r>
          </w:p>
          <w:p w14:paraId="0ED7F928">
            <w:pPr>
              <w:pStyle w:val="7"/>
              <w:spacing w:line="32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w:t>
            </w:r>
          </w:p>
        </w:tc>
      </w:tr>
      <w:tr w14:paraId="450256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1FE5621C">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1.4.3</w:t>
            </w:r>
          </w:p>
        </w:tc>
        <w:tc>
          <w:tcPr>
            <w:tcW w:w="1990" w:type="dxa"/>
            <w:vAlign w:val="center"/>
          </w:tcPr>
          <w:p w14:paraId="03C73FD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投标人不得存在的其他关联情形</w:t>
            </w:r>
          </w:p>
        </w:tc>
        <w:tc>
          <w:tcPr>
            <w:tcW w:w="6373" w:type="dxa"/>
            <w:vAlign w:val="center"/>
          </w:tcPr>
          <w:p w14:paraId="27FACAE2">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 </w:t>
            </w:r>
          </w:p>
        </w:tc>
      </w:tr>
      <w:tr w14:paraId="4B53BF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38" w:hRule="atLeast"/>
        </w:trPr>
        <w:tc>
          <w:tcPr>
            <w:tcW w:w="978" w:type="dxa"/>
            <w:vAlign w:val="center"/>
          </w:tcPr>
          <w:p w14:paraId="2CAFF23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1.4.4</w:t>
            </w:r>
          </w:p>
        </w:tc>
        <w:tc>
          <w:tcPr>
            <w:tcW w:w="1990" w:type="dxa"/>
            <w:vAlign w:val="center"/>
          </w:tcPr>
          <w:p w14:paraId="1F649EF6">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投标人不得存在下列不良状况或不良信用记录</w:t>
            </w:r>
          </w:p>
        </w:tc>
        <w:tc>
          <w:tcPr>
            <w:tcW w:w="6373" w:type="dxa"/>
            <w:vAlign w:val="center"/>
          </w:tcPr>
          <w:p w14:paraId="75A1EFE1">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有行贿犯罪行为的时间：</w:t>
            </w:r>
            <w:r>
              <w:rPr>
                <w:rFonts w:hint="eastAsia" w:ascii="宋体" w:hAnsi="宋体"/>
                <w:color w:val="000000" w:themeColor="text1"/>
                <w:szCs w:val="21"/>
                <w:highlight w:val="none"/>
                <w14:textFill>
                  <w14:solidFill>
                    <w14:schemeClr w14:val="tx1"/>
                  </w14:solidFill>
                </w14:textFill>
              </w:rPr>
              <w:t>2021</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日以来</w:t>
            </w:r>
            <w:r>
              <w:rPr>
                <w:rStyle w:val="38"/>
                <w:rFonts w:ascii="宋体" w:hAnsi="宋体" w:cs="宋体"/>
                <w:color w:val="000000" w:themeColor="text1"/>
                <w:szCs w:val="21"/>
                <w:highlight w:val="none"/>
                <w:vertAlign w:val="superscript"/>
                <w14:textFill>
                  <w14:solidFill>
                    <w14:schemeClr w14:val="tx1"/>
                  </w14:solidFill>
                </w14:textFill>
              </w:rPr>
              <w:footnoteReference w:id="0"/>
            </w:r>
          </w:p>
          <w:p w14:paraId="36BD4FC5">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投标人不得存在的其他不良状况或不良信用记录：</w:t>
            </w:r>
          </w:p>
          <w:p w14:paraId="64B43443">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eastAsia="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   </w:t>
            </w:r>
          </w:p>
        </w:tc>
      </w:tr>
      <w:tr w14:paraId="2259EC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4C93C468">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1.10.2</w:t>
            </w:r>
          </w:p>
        </w:tc>
        <w:tc>
          <w:tcPr>
            <w:tcW w:w="1990" w:type="dxa"/>
            <w:vAlign w:val="center"/>
          </w:tcPr>
          <w:p w14:paraId="0515AFE0">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投标预备会投标人提出问题</w:t>
            </w:r>
            <w:r>
              <w:rPr>
                <w:rStyle w:val="38"/>
                <w:rFonts w:ascii="宋体" w:hAnsi="宋体" w:cs="宋体"/>
                <w:color w:val="000000" w:themeColor="text1"/>
                <w:szCs w:val="21"/>
                <w:highlight w:val="none"/>
                <w:vertAlign w:val="superscript"/>
                <w14:textFill>
                  <w14:solidFill>
                    <w14:schemeClr w14:val="tx1"/>
                  </w14:solidFill>
                </w14:textFill>
              </w:rPr>
              <w:footnoteReference w:id="1"/>
            </w:r>
          </w:p>
        </w:tc>
        <w:tc>
          <w:tcPr>
            <w:tcW w:w="6373" w:type="dxa"/>
            <w:vAlign w:val="center"/>
          </w:tcPr>
          <w:p w14:paraId="6EFCD22D">
            <w:pPr>
              <w:pStyle w:val="7"/>
              <w:spacing w:line="32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投标预备会：不召开</w:t>
            </w:r>
          </w:p>
        </w:tc>
      </w:tr>
      <w:tr w14:paraId="1F78B6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32" w:hRule="atLeast"/>
        </w:trPr>
        <w:tc>
          <w:tcPr>
            <w:tcW w:w="978" w:type="dxa"/>
            <w:vAlign w:val="center"/>
          </w:tcPr>
          <w:p w14:paraId="2C0F224A">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1.11.1</w:t>
            </w:r>
          </w:p>
        </w:tc>
        <w:tc>
          <w:tcPr>
            <w:tcW w:w="1990" w:type="dxa"/>
            <w:vAlign w:val="center"/>
          </w:tcPr>
          <w:p w14:paraId="084EAB61">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分包</w:t>
            </w:r>
          </w:p>
        </w:tc>
        <w:tc>
          <w:tcPr>
            <w:tcW w:w="6373" w:type="dxa"/>
            <w:vAlign w:val="center"/>
          </w:tcPr>
          <w:p w14:paraId="1559E2A1">
            <w:pPr>
              <w:spacing w:line="340" w:lineRule="exact"/>
              <w:ind w:firstLine="420" w:firstLineChars="200"/>
              <w:rPr>
                <w:rFonts w:ascii="宋体" w:hAnsi="宋体" w:cs="宋体"/>
                <w:color w:val="000000" w:themeColor="text1"/>
                <w:szCs w:val="21"/>
                <w:highlight w:val="none"/>
                <w14:textFill>
                  <w14:solidFill>
                    <w14:schemeClr w14:val="tx1"/>
                  </w14:solidFill>
                </w14:textFill>
              </w:rPr>
            </w:pPr>
            <w:bookmarkStart w:id="278" w:name="EB0bf5a75bf3794bc8be7a259390bc33af"/>
            <w:r>
              <w:rPr>
                <w:rFonts w:hint="eastAsia" w:ascii="宋体" w:hAnsi="宋体" w:cs="宋体"/>
                <w:color w:val="000000" w:themeColor="text1"/>
                <w:szCs w:val="21"/>
                <w:highlight w:val="none"/>
                <w14:textFill>
                  <w14:solidFill>
                    <w14:schemeClr w14:val="tx1"/>
                  </w14:solidFill>
                </w14:textFill>
              </w:rPr>
              <w:t>不得专业分包的工程内容为：</w:t>
            </w:r>
            <w:bookmarkEnd w:id="278"/>
            <w:bookmarkStart w:id="279" w:name="_Hlk175236681"/>
            <w:r>
              <w:rPr>
                <w:rFonts w:hint="eastAsia"/>
                <w:color w:val="000000" w:themeColor="text1"/>
                <w:highlight w:val="none"/>
                <w14:textFill>
                  <w14:solidFill>
                    <w14:schemeClr w14:val="tx1"/>
                  </w14:solidFill>
                </w14:textFill>
              </w:rPr>
              <w:t>“浙江省公路工程施工分包负面清单（2024年版）” 中的主体和关键性工作。</w:t>
            </w:r>
            <w:bookmarkEnd w:id="279"/>
          </w:p>
          <w:p w14:paraId="04C731D4">
            <w:pPr>
              <w:spacing w:line="340" w:lineRule="exact"/>
              <w:ind w:firstLine="420" w:firstLineChars="200"/>
              <w:rPr>
                <w:color w:val="000000" w:themeColor="text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分包的其他规定：</w:t>
            </w:r>
            <w:r>
              <w:rPr>
                <w:rFonts w:hint="eastAsia"/>
                <w:color w:val="000000" w:themeColor="text1"/>
                <w:highlight w:val="none"/>
                <w14:textFill>
                  <w14:solidFill>
                    <w14:schemeClr w14:val="tx1"/>
                  </w14:solidFill>
                </w14:textFill>
              </w:rPr>
              <w:t>分包应符合交通运输部</w:t>
            </w:r>
            <w:r>
              <w:rPr>
                <w:rFonts w:hint="eastAsia"/>
                <w:b/>
                <w:bCs/>
                <w:color w:val="000000" w:themeColor="text1"/>
                <w:highlight w:val="none"/>
                <w14:textFill>
                  <w14:solidFill>
                    <w14:schemeClr w14:val="tx1"/>
                  </w14:solidFill>
                </w14:textFill>
              </w:rPr>
              <w:t>《关于印发公路工程施工分包管理办法的通知》</w:t>
            </w:r>
            <w:r>
              <w:rPr>
                <w:rFonts w:hint="eastAsia"/>
                <w:color w:val="000000" w:themeColor="text1"/>
                <w:highlight w:val="none"/>
                <w14:textFill>
                  <w14:solidFill>
                    <w14:schemeClr w14:val="tx1"/>
                  </w14:solidFill>
                </w14:textFill>
              </w:rPr>
              <w:t>及</w:t>
            </w:r>
            <w:r>
              <w:rPr>
                <w:rFonts w:hint="eastAsia"/>
                <w:b/>
                <w:bCs/>
                <w:color w:val="000000" w:themeColor="text1"/>
                <w:highlight w:val="none"/>
                <w14:textFill>
                  <w14:solidFill>
                    <w14:schemeClr w14:val="tx1"/>
                  </w14:solidFill>
                </w14:textFill>
              </w:rPr>
              <w:t>浙江省交通运输厅关于印发《浙江省公路水运工程施工分包和劳务合作管理实施细则》的通知（浙交〔2024〕104 号）</w:t>
            </w:r>
            <w:r>
              <w:rPr>
                <w:rFonts w:hint="eastAsia"/>
                <w:color w:val="000000" w:themeColor="text1"/>
                <w:highlight w:val="none"/>
                <w14:textFill>
                  <w14:solidFill>
                    <w14:schemeClr w14:val="tx1"/>
                  </w14:solidFill>
                </w14:textFill>
              </w:rPr>
              <w:t>有关分包管理的规定</w:t>
            </w:r>
            <w:r>
              <w:rPr>
                <w:rFonts w:hint="eastAsia"/>
                <w:b/>
                <w:bCs/>
                <w:color w:val="000000" w:themeColor="text1"/>
                <w:highlight w:val="none"/>
                <w14:textFill>
                  <w14:solidFill>
                    <w14:schemeClr w14:val="tx1"/>
                  </w14:solidFill>
                </w14:textFill>
              </w:rPr>
              <w:t>（以上相关文件内容如有更新，以最新内容为准）</w:t>
            </w:r>
            <w:r>
              <w:rPr>
                <w:rFonts w:hint="eastAsia"/>
                <w:color w:val="000000" w:themeColor="text1"/>
                <w:highlight w:val="none"/>
                <w14:textFill>
                  <w14:solidFill>
                    <w14:schemeClr w14:val="tx1"/>
                  </w14:solidFill>
                </w14:textFill>
              </w:rPr>
              <w:t>。承包人应及时向分包人支付工程款。</w:t>
            </w:r>
          </w:p>
        </w:tc>
      </w:tr>
      <w:tr w14:paraId="15CB5E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5" w:hRule="atLeast"/>
        </w:trPr>
        <w:tc>
          <w:tcPr>
            <w:tcW w:w="978" w:type="dxa"/>
            <w:vAlign w:val="center"/>
          </w:tcPr>
          <w:p w14:paraId="79D78E31">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2.1</w:t>
            </w:r>
          </w:p>
        </w:tc>
        <w:tc>
          <w:tcPr>
            <w:tcW w:w="1990" w:type="dxa"/>
            <w:vAlign w:val="center"/>
          </w:tcPr>
          <w:p w14:paraId="3E9869F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构成招标文件的其他材料</w:t>
            </w:r>
          </w:p>
        </w:tc>
        <w:tc>
          <w:tcPr>
            <w:tcW w:w="6373" w:type="dxa"/>
            <w:vAlign w:val="center"/>
          </w:tcPr>
          <w:p w14:paraId="6871A86D">
            <w:pPr>
              <w:pStyle w:val="7"/>
              <w:spacing w:line="320" w:lineRule="exact"/>
              <w:rPr>
                <w:rFonts w:ascii="宋体" w:hAnsi="宋体" w:cs="宋体"/>
                <w:color w:val="000000" w:themeColor="text1"/>
                <w:szCs w:val="21"/>
                <w:highlight w:val="none"/>
                <w14:textFill>
                  <w14:solidFill>
                    <w14:schemeClr w14:val="tx1"/>
                  </w14:solidFill>
                </w14:textFill>
              </w:rPr>
            </w:pPr>
            <w:bookmarkStart w:id="280" w:name="EBe33406fbd4d2452294668c36c1327c7f"/>
            <w:r>
              <w:rPr>
                <w:rFonts w:hint="eastAsia" w:ascii="宋体" w:hAnsi="宋体" w:cs="宋体"/>
                <w:color w:val="000000" w:themeColor="text1"/>
                <w:szCs w:val="21"/>
                <w:highlight w:val="none"/>
                <w14:textFill>
                  <w14:solidFill>
                    <w14:schemeClr w14:val="tx1"/>
                  </w14:solidFill>
                </w14:textFill>
              </w:rPr>
              <w:t>招标人按规定报备后的标有编号的补遗书（如有）</w:t>
            </w:r>
            <w:bookmarkEnd w:id="280"/>
          </w:p>
        </w:tc>
      </w:tr>
      <w:tr w14:paraId="1466F9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1ABC35D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2.2.1</w:t>
            </w:r>
          </w:p>
        </w:tc>
        <w:tc>
          <w:tcPr>
            <w:tcW w:w="1990" w:type="dxa"/>
            <w:vAlign w:val="center"/>
          </w:tcPr>
          <w:p w14:paraId="7DCE6898">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投标人要求澄清招标文件</w:t>
            </w:r>
          </w:p>
        </w:tc>
        <w:tc>
          <w:tcPr>
            <w:tcW w:w="6373" w:type="dxa"/>
            <w:vAlign w:val="center"/>
          </w:tcPr>
          <w:p w14:paraId="5DD33AD3">
            <w:pPr>
              <w:widowControl/>
              <w:spacing w:line="360" w:lineRule="auto"/>
              <w:jc w:val="left"/>
              <w:rPr>
                <w:color w:val="000000" w:themeColor="text1"/>
                <w:szCs w:val="24"/>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提疑函递交地点：</w:t>
            </w:r>
            <w:bookmarkStart w:id="281" w:name="OLE_LINK48"/>
            <w:r>
              <w:rPr>
                <w:rFonts w:hint="eastAsia"/>
                <w:color w:val="000000" w:themeColor="text1"/>
                <w:highlight w:val="none"/>
                <w:lang w:val="zh-CN"/>
                <w14:textFill>
                  <w14:solidFill>
                    <w14:schemeClr w14:val="tx1"/>
                  </w14:solidFill>
                </w14:textFill>
              </w:rPr>
              <w:t>浙江</w:t>
            </w:r>
            <w:r>
              <w:rPr>
                <w:rFonts w:hint="eastAsia"/>
                <w:color w:val="000000" w:themeColor="text1"/>
                <w:highlight w:val="none"/>
                <w14:textFill>
                  <w14:solidFill>
                    <w14:schemeClr w14:val="tx1"/>
                  </w14:solidFill>
                </w14:textFill>
              </w:rPr>
              <w:t>远大工程</w:t>
            </w:r>
            <w:r>
              <w:rPr>
                <w:rFonts w:hint="eastAsia"/>
                <w:color w:val="000000" w:themeColor="text1"/>
                <w:highlight w:val="none"/>
                <w:lang w:val="zh-CN"/>
                <w14:textFill>
                  <w14:solidFill>
                    <w14:schemeClr w14:val="tx1"/>
                  </w14:solidFill>
                </w14:textFill>
              </w:rPr>
              <w:t>咨询有限公司（</w:t>
            </w:r>
            <w:r>
              <w:rPr>
                <w:rFonts w:hint="eastAsia"/>
                <w:color w:val="000000" w:themeColor="text1"/>
                <w:szCs w:val="21"/>
                <w:highlight w:val="none"/>
                <w14:textFill>
                  <w14:solidFill>
                    <w14:schemeClr w14:val="tx1"/>
                  </w14:solidFill>
                </w14:textFill>
              </w:rPr>
              <w:t>杭州市拱墅区朝晖路</w:t>
            </w:r>
            <w:r>
              <w:rPr>
                <w:color w:val="000000" w:themeColor="text1"/>
                <w:szCs w:val="21"/>
                <w:highlight w:val="none"/>
                <w14:textFill>
                  <w14:solidFill>
                    <w14:schemeClr w14:val="tx1"/>
                  </w14:solidFill>
                </w14:textFill>
              </w:rPr>
              <w:t>205号深蓝广场1305室</w:t>
            </w:r>
            <w:r>
              <w:rPr>
                <w:rFonts w:hint="eastAsia"/>
                <w:color w:val="000000" w:themeColor="text1"/>
                <w:highlight w:val="none"/>
                <w:lang w:val="zh-CN"/>
                <w14:textFill>
                  <w14:solidFill>
                    <w14:schemeClr w14:val="tx1"/>
                  </w14:solidFill>
                </w14:textFill>
              </w:rPr>
              <w:t>）招标代理部</w:t>
            </w:r>
            <w:r>
              <w:rPr>
                <w:rFonts w:hint="eastAsia"/>
                <w:color w:val="000000" w:themeColor="text1"/>
                <w:highlight w:val="none"/>
                <w14:textFill>
                  <w14:solidFill>
                    <w14:schemeClr w14:val="tx1"/>
                  </w14:solidFill>
                </w14:textFill>
              </w:rPr>
              <w:t>；</w:t>
            </w:r>
            <w:r>
              <w:rPr>
                <w:rFonts w:hint="eastAsia"/>
                <w:color w:val="000000" w:themeColor="text1"/>
                <w:szCs w:val="24"/>
                <w:highlight w:val="none"/>
                <w14:textFill>
                  <w14:solidFill>
                    <w14:schemeClr w14:val="tx1"/>
                  </w14:solidFill>
                </w14:textFill>
              </w:rPr>
              <w:t>提疑函递交电子邮箱：</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"mailto:597015152@qq.com" </w:instrText>
            </w:r>
            <w:r>
              <w:rPr>
                <w:color w:val="000000" w:themeColor="text1"/>
                <w:highlight w:val="none"/>
                <w14:textFill>
                  <w14:solidFill>
                    <w14:schemeClr w14:val="tx1"/>
                  </w14:solidFill>
                </w14:textFill>
              </w:rPr>
              <w:fldChar w:fldCharType="separate"/>
            </w:r>
            <w:r>
              <w:rPr>
                <w:rFonts w:hint="eastAsia"/>
                <w:color w:val="000000" w:themeColor="text1"/>
                <w:szCs w:val="24"/>
                <w:highlight w:val="none"/>
                <w14:textFill>
                  <w14:solidFill>
                    <w14:schemeClr w14:val="tx1"/>
                  </w14:solidFill>
                </w14:textFill>
              </w:rPr>
              <w:t>940929052</w:t>
            </w:r>
            <w:r>
              <w:rPr>
                <w:color w:val="000000" w:themeColor="text1"/>
                <w:szCs w:val="24"/>
                <w:highlight w:val="none"/>
                <w14:textFill>
                  <w14:solidFill>
                    <w14:schemeClr w14:val="tx1"/>
                  </w14:solidFill>
                </w14:textFill>
              </w:rPr>
              <w:t>@qq.com</w:t>
            </w:r>
            <w:r>
              <w:rPr>
                <w:color w:val="000000" w:themeColor="text1"/>
                <w:szCs w:val="24"/>
                <w:highlight w:val="none"/>
                <w14:textFill>
                  <w14:solidFill>
                    <w14:schemeClr w14:val="tx1"/>
                  </w14:solidFill>
                </w14:textFill>
              </w:rPr>
              <w:fldChar w:fldCharType="end"/>
            </w:r>
            <w:bookmarkEnd w:id="281"/>
            <w:r>
              <w:rPr>
                <w:rFonts w:hint="eastAsia"/>
                <w:color w:val="000000" w:themeColor="text1"/>
                <w:szCs w:val="24"/>
                <w:highlight w:val="none"/>
                <w14:textFill>
                  <w14:solidFill>
                    <w14:schemeClr w14:val="tx1"/>
                  </w14:solidFill>
                </w14:textFill>
              </w:rPr>
              <w:t>；</w:t>
            </w:r>
          </w:p>
          <w:p w14:paraId="46C3701D">
            <w:pPr>
              <w:pStyle w:val="7"/>
              <w:spacing w:line="320" w:lineRule="exact"/>
              <w:rPr>
                <w:rFonts w:ascii="宋体" w:hAnsi="宋体" w:cs="宋体"/>
                <w:snapToGrid w:val="0"/>
                <w:color w:val="000000" w:themeColor="text1"/>
                <w:szCs w:val="21"/>
                <w:highlight w:val="none"/>
                <w:u w:val="single"/>
                <w14:textFill>
                  <w14:solidFill>
                    <w14:schemeClr w14:val="tx1"/>
                  </w14:solidFill>
                </w14:textFill>
              </w:rPr>
            </w:pPr>
            <w:r>
              <w:rPr>
                <w:rFonts w:hint="eastAsia" w:ascii="宋体" w:hAnsi="宋体" w:cs="宋体"/>
                <w:snapToGrid w:val="0"/>
                <w:color w:val="000000" w:themeColor="text1"/>
                <w:szCs w:val="21"/>
                <w:highlight w:val="none"/>
                <w14:textFill>
                  <w14:solidFill>
                    <w14:schemeClr w14:val="tx1"/>
                  </w14:solidFill>
                </w14:textFill>
              </w:rPr>
              <w:t>提出疑问的截止时间：</w:t>
            </w:r>
            <w:r>
              <w:rPr>
                <w:rFonts w:hint="eastAsia" w:ascii="宋体" w:hAnsi="宋体" w:cs="宋体"/>
                <w:snapToGrid w:val="0"/>
                <w:color w:val="000000" w:themeColor="text1"/>
                <w:szCs w:val="21"/>
                <w:highlight w:val="none"/>
                <w:u w:val="single"/>
                <w14:textFill>
                  <w14:solidFill>
                    <w14:schemeClr w14:val="tx1"/>
                  </w14:solidFill>
                </w14:textFill>
              </w:rPr>
              <w:t>见招标公告</w:t>
            </w:r>
          </w:p>
        </w:tc>
      </w:tr>
      <w:tr w14:paraId="481D5E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5" w:hRule="atLeast"/>
        </w:trPr>
        <w:tc>
          <w:tcPr>
            <w:tcW w:w="978" w:type="dxa"/>
            <w:vAlign w:val="center"/>
          </w:tcPr>
          <w:p w14:paraId="792F0B4F">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3.1.1</w:t>
            </w:r>
          </w:p>
        </w:tc>
        <w:tc>
          <w:tcPr>
            <w:tcW w:w="1990" w:type="dxa"/>
            <w:vAlign w:val="center"/>
          </w:tcPr>
          <w:p w14:paraId="661674D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投标文件密封形式</w:t>
            </w:r>
          </w:p>
        </w:tc>
        <w:tc>
          <w:tcPr>
            <w:tcW w:w="6373" w:type="dxa"/>
            <w:vAlign w:val="center"/>
          </w:tcPr>
          <w:p w14:paraId="49731DF4">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snapToGrid w:val="0"/>
                <w:color w:val="000000" w:themeColor="text1"/>
                <w:szCs w:val="21"/>
                <w:highlight w:val="none"/>
                <w14:textFill>
                  <w14:solidFill>
                    <w14:schemeClr w14:val="tx1"/>
                  </w14:solidFill>
                </w14:textFill>
              </w:rPr>
              <w:t>双信封</w:t>
            </w:r>
          </w:p>
        </w:tc>
      </w:tr>
      <w:tr w14:paraId="67BCE3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73" w:hRule="atLeast"/>
        </w:trPr>
        <w:tc>
          <w:tcPr>
            <w:tcW w:w="978" w:type="dxa"/>
            <w:vAlign w:val="center"/>
          </w:tcPr>
          <w:p w14:paraId="0CD279D6">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3.1.1</w:t>
            </w:r>
          </w:p>
        </w:tc>
        <w:tc>
          <w:tcPr>
            <w:tcW w:w="1990" w:type="dxa"/>
            <w:vAlign w:val="center"/>
          </w:tcPr>
          <w:p w14:paraId="18037F02">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构成投标文件的其他资料</w:t>
            </w:r>
          </w:p>
        </w:tc>
        <w:tc>
          <w:tcPr>
            <w:tcW w:w="6373" w:type="dxa"/>
            <w:vAlign w:val="center"/>
          </w:tcPr>
          <w:p w14:paraId="07A9B928">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 </w:t>
            </w:r>
          </w:p>
        </w:tc>
      </w:tr>
      <w:tr w14:paraId="67DADE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57D4FE58">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3.1.4</w:t>
            </w:r>
          </w:p>
        </w:tc>
        <w:tc>
          <w:tcPr>
            <w:tcW w:w="1990" w:type="dxa"/>
            <w:vAlign w:val="center"/>
          </w:tcPr>
          <w:p w14:paraId="6DCC35B8">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已标价工程量清单电子版</w:t>
            </w:r>
          </w:p>
        </w:tc>
        <w:tc>
          <w:tcPr>
            <w:tcW w:w="6373" w:type="dxa"/>
            <w:vAlign w:val="center"/>
          </w:tcPr>
          <w:p w14:paraId="7FDB9216">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已标价工程量清单电子版制作说明：</w:t>
            </w:r>
          </w:p>
          <w:p w14:paraId="1345112A">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1）将已下载的招标文件中的工程量清单文件（excel格式）导入计价软件，完成工程量清单制作</w:t>
            </w:r>
          </w:p>
          <w:p w14:paraId="6BF8DD21">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2）从计价软件导出已制作好的已标价工程量清单文件（excel格式）</w:t>
            </w:r>
          </w:p>
          <w:p w14:paraId="36EBD7DA">
            <w:pPr>
              <w:pStyle w:val="7"/>
              <w:spacing w:line="320" w:lineRule="exact"/>
              <w:ind w:right="241" w:rightChars="115"/>
              <w:rPr>
                <w:rFonts w:ascii="宋体" w:hAnsi="宋体" w:eastAsia="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3）将已标价的工程量清单文件</w:t>
            </w:r>
            <w:r>
              <w:rPr>
                <w:rFonts w:hint="eastAsia" w:ascii="宋体" w:hAnsi="宋体" w:cs="宋体"/>
                <w:color w:val="000000" w:themeColor="text1"/>
                <w:szCs w:val="21"/>
                <w:highlight w:val="none"/>
                <w14:textFill>
                  <w14:solidFill>
                    <w14:schemeClr w14:val="tx1"/>
                  </w14:solidFill>
                </w14:textFill>
              </w:rPr>
              <w:t>装订在纸质投标文件中。</w:t>
            </w:r>
          </w:p>
        </w:tc>
      </w:tr>
      <w:tr w14:paraId="258CCC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0" w:hRule="atLeast"/>
        </w:trPr>
        <w:tc>
          <w:tcPr>
            <w:tcW w:w="978" w:type="dxa"/>
            <w:vAlign w:val="center"/>
          </w:tcPr>
          <w:p w14:paraId="7B8C3D8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3.2.1</w:t>
            </w:r>
          </w:p>
        </w:tc>
        <w:tc>
          <w:tcPr>
            <w:tcW w:w="1990" w:type="dxa"/>
            <w:vAlign w:val="center"/>
          </w:tcPr>
          <w:p w14:paraId="5B6F9026">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增值税税金的计算方法</w:t>
            </w:r>
          </w:p>
        </w:tc>
        <w:tc>
          <w:tcPr>
            <w:tcW w:w="6373" w:type="dxa"/>
            <w:vAlign w:val="center"/>
          </w:tcPr>
          <w:p w14:paraId="6E91380D">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一般计税法</w:t>
            </w:r>
          </w:p>
        </w:tc>
      </w:tr>
      <w:tr w14:paraId="1CFD3E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70FC8786">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3.2.1</w:t>
            </w:r>
          </w:p>
        </w:tc>
        <w:tc>
          <w:tcPr>
            <w:tcW w:w="1990" w:type="dxa"/>
            <w:vAlign w:val="center"/>
          </w:tcPr>
          <w:p w14:paraId="382994DC">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工程量清单的填写方式</w:t>
            </w:r>
          </w:p>
        </w:tc>
        <w:tc>
          <w:tcPr>
            <w:tcW w:w="6373" w:type="dxa"/>
            <w:vAlign w:val="center"/>
          </w:tcPr>
          <w:p w14:paraId="45540CF8">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投标人按照招标人网上提供的书面工程量清单（电子版）填写工程量清单</w:t>
            </w:r>
          </w:p>
        </w:tc>
      </w:tr>
      <w:tr w14:paraId="6507A0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978" w:type="dxa"/>
            <w:vAlign w:val="center"/>
          </w:tcPr>
          <w:p w14:paraId="433CA64B">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3.2.3</w:t>
            </w:r>
          </w:p>
        </w:tc>
        <w:tc>
          <w:tcPr>
            <w:tcW w:w="1990" w:type="dxa"/>
            <w:vAlign w:val="center"/>
          </w:tcPr>
          <w:p w14:paraId="79CBB5D2">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报价方式</w:t>
            </w:r>
          </w:p>
        </w:tc>
        <w:tc>
          <w:tcPr>
            <w:tcW w:w="6373" w:type="dxa"/>
            <w:vAlign w:val="center"/>
          </w:tcPr>
          <w:p w14:paraId="2A4FB11F">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单价</w:t>
            </w:r>
          </w:p>
        </w:tc>
      </w:tr>
      <w:tr w14:paraId="0A2AB5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2A44AC8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3.2.8</w:t>
            </w:r>
          </w:p>
        </w:tc>
        <w:tc>
          <w:tcPr>
            <w:tcW w:w="1990" w:type="dxa"/>
            <w:vAlign w:val="center"/>
          </w:tcPr>
          <w:p w14:paraId="56EAEFAD">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最高投标限价</w:t>
            </w:r>
          </w:p>
        </w:tc>
        <w:tc>
          <w:tcPr>
            <w:tcW w:w="6373" w:type="dxa"/>
            <w:vAlign w:val="center"/>
          </w:tcPr>
          <w:p w14:paraId="2BE3ACB3">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最高投标限价以招标人公布的</w:t>
            </w:r>
            <w:r>
              <w:rPr>
                <w:rFonts w:hint="eastAsia" w:ascii="宋体" w:hAnsi="宋体"/>
                <w:color w:val="000000" w:themeColor="text1"/>
                <w:highlight w:val="none"/>
                <w14:textFill>
                  <w14:solidFill>
                    <w14:schemeClr w14:val="tx1"/>
                  </w14:solidFill>
                </w14:textFill>
              </w:rPr>
              <w:t>工程量清单预算价</w:t>
            </w:r>
            <w:r>
              <w:rPr>
                <w:rFonts w:hint="eastAsia" w:ascii="宋体" w:hAnsi="宋体" w:cs="宋体"/>
                <w:color w:val="000000" w:themeColor="text1"/>
                <w:szCs w:val="21"/>
                <w:highlight w:val="none"/>
                <w14:textFill>
                  <w14:solidFill>
                    <w14:schemeClr w14:val="tx1"/>
                  </w14:solidFill>
                </w14:textFill>
              </w:rPr>
              <w:t>为基础，再乘以随机抽取的调整系数来确定。</w:t>
            </w:r>
          </w:p>
          <w:p w14:paraId="73BBCC70">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工程量清单预算为</w:t>
            </w:r>
            <w:r>
              <w:rPr>
                <w:rFonts w:hint="eastAsia" w:ascii="宋体" w:hAnsi="宋体" w:cs="宋体"/>
                <w:color w:val="000000" w:themeColor="text1"/>
                <w:highlight w:val="none"/>
                <w:u w:val="single"/>
                <w:lang w:val="en-US" w:eastAsia="zh-CN"/>
                <w14:textFill>
                  <w14:solidFill>
                    <w14:schemeClr w14:val="tx1"/>
                  </w14:solidFill>
                </w14:textFill>
              </w:rPr>
              <w:t xml:space="preserve"> 7130290 </w:t>
            </w:r>
            <w:r>
              <w:rPr>
                <w:rFonts w:ascii="宋体" w:hAnsi="宋体" w:cs="宋体"/>
                <w:color w:val="000000" w:themeColor="text1"/>
                <w:highlight w:val="none"/>
                <w14:textFill>
                  <w14:solidFill>
                    <w14:schemeClr w14:val="tx1"/>
                  </w14:solidFill>
                </w14:textFill>
              </w:rPr>
              <w:t>元。</w:t>
            </w:r>
          </w:p>
          <w:p w14:paraId="45D2146C">
            <w:pPr>
              <w:pStyle w:val="7"/>
              <w:spacing w:line="320" w:lineRule="exact"/>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开标时从三个连续值</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0.94</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0.95</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0.96</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w:t>
            </w:r>
            <w:r>
              <w:rPr>
                <w:rStyle w:val="38"/>
                <w:color w:val="000000" w:themeColor="text1"/>
                <w:highlight w:val="none"/>
                <w:vertAlign w:val="superscript"/>
                <w14:textFill>
                  <w14:solidFill>
                    <w14:schemeClr w14:val="tx1"/>
                  </w14:solidFill>
                </w14:textFill>
              </w:rPr>
              <w:footnoteReference w:id="2"/>
            </w:r>
            <w:r>
              <w:rPr>
                <w:rFonts w:hint="eastAsia" w:ascii="宋体" w:hAnsi="宋体" w:cs="宋体"/>
                <w:color w:val="000000" w:themeColor="text1"/>
                <w:szCs w:val="21"/>
                <w:highlight w:val="none"/>
                <w14:textFill>
                  <w14:solidFill>
                    <w14:schemeClr w14:val="tx1"/>
                  </w14:solidFill>
                </w14:textFill>
              </w:rPr>
              <w:t>中随机抽取其中一值为调整系数</w:t>
            </w:r>
            <w:r>
              <w:rPr>
                <w:rFonts w:hint="eastAsia" w:ascii="宋体" w:hAnsi="宋体" w:cs="宋体"/>
                <w:color w:val="000000" w:themeColor="text1"/>
                <w:highlight w:val="none"/>
                <w14:textFill>
                  <w14:solidFill>
                    <w14:schemeClr w14:val="tx1"/>
                  </w14:solidFill>
                </w14:textFill>
              </w:rPr>
              <w:t>。</w:t>
            </w:r>
          </w:p>
        </w:tc>
      </w:tr>
      <w:tr w14:paraId="126315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978" w:type="dxa"/>
            <w:vAlign w:val="center"/>
          </w:tcPr>
          <w:p w14:paraId="6D1DBE6F">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3.2.9</w:t>
            </w:r>
          </w:p>
        </w:tc>
        <w:tc>
          <w:tcPr>
            <w:tcW w:w="1990" w:type="dxa"/>
            <w:vAlign w:val="center"/>
          </w:tcPr>
          <w:p w14:paraId="3A77BDE0">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投标报价的其他</w:t>
            </w:r>
          </w:p>
          <w:p w14:paraId="2D8CAD2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要求</w:t>
            </w:r>
          </w:p>
        </w:tc>
        <w:tc>
          <w:tcPr>
            <w:tcW w:w="6373" w:type="dxa"/>
            <w:vAlign w:val="center"/>
          </w:tcPr>
          <w:p w14:paraId="49411C08">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 </w:t>
            </w:r>
          </w:p>
        </w:tc>
      </w:tr>
      <w:tr w14:paraId="5405E0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5" w:hRule="atLeast"/>
        </w:trPr>
        <w:tc>
          <w:tcPr>
            <w:tcW w:w="978" w:type="dxa"/>
            <w:vAlign w:val="center"/>
          </w:tcPr>
          <w:p w14:paraId="638D7236">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3.3.1</w:t>
            </w:r>
          </w:p>
        </w:tc>
        <w:tc>
          <w:tcPr>
            <w:tcW w:w="1990" w:type="dxa"/>
            <w:vAlign w:val="center"/>
          </w:tcPr>
          <w:p w14:paraId="3D84A0C9">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投标有效期</w:t>
            </w:r>
          </w:p>
        </w:tc>
        <w:tc>
          <w:tcPr>
            <w:tcW w:w="6373" w:type="dxa"/>
            <w:vAlign w:val="center"/>
          </w:tcPr>
          <w:p w14:paraId="35DF4ACA">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自投标人提交投标文件截止之日起计算</w:t>
            </w:r>
            <w:r>
              <w:rPr>
                <w:rFonts w:ascii="宋体" w:hAnsi="宋体" w:cs="宋体"/>
                <w:color w:val="000000" w:themeColor="text1"/>
                <w:szCs w:val="21"/>
                <w:highlight w:val="none"/>
                <w:u w:val="single"/>
                <w14:textFill>
                  <w14:solidFill>
                    <w14:schemeClr w14:val="tx1"/>
                  </w14:solidFill>
                </w14:textFill>
              </w:rPr>
              <w:t>90</w:t>
            </w:r>
            <w:r>
              <w:rPr>
                <w:rFonts w:hint="eastAsia" w:ascii="宋体" w:hAnsi="宋体" w:cs="宋体"/>
                <w:color w:val="000000" w:themeColor="text1"/>
                <w:szCs w:val="21"/>
                <w:highlight w:val="none"/>
                <w14:textFill>
                  <w14:solidFill>
                    <w14:schemeClr w14:val="tx1"/>
                  </w14:solidFill>
                </w14:textFill>
              </w:rPr>
              <w:t>天</w:t>
            </w:r>
          </w:p>
        </w:tc>
      </w:tr>
      <w:tr w14:paraId="61E850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4B8030E9">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3.4.1</w:t>
            </w:r>
          </w:p>
        </w:tc>
        <w:tc>
          <w:tcPr>
            <w:tcW w:w="1990" w:type="dxa"/>
            <w:vAlign w:val="center"/>
          </w:tcPr>
          <w:p w14:paraId="09EC1359">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投标保证金的递交</w:t>
            </w:r>
          </w:p>
        </w:tc>
        <w:tc>
          <w:tcPr>
            <w:tcW w:w="6373" w:type="dxa"/>
            <w:vAlign w:val="center"/>
          </w:tcPr>
          <w:p w14:paraId="65341D07">
            <w:pPr>
              <w:pStyle w:val="7"/>
              <w:spacing w:line="320" w:lineRule="exact"/>
              <w:ind w:firstLine="210" w:firstLineChars="100"/>
              <w:rPr>
                <w:rFonts w:ascii="宋体" w:hAnsi="宋体" w:cs="宋体"/>
                <w:color w:val="000000" w:themeColor="text1"/>
                <w:highlight w:val="none"/>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不要求递交投标保证金</w:t>
            </w:r>
            <w:r>
              <w:rPr>
                <w:rFonts w:ascii="宋体" w:hAnsi="宋体" w:cs="宋体"/>
                <w:color w:val="000000" w:themeColor="text1"/>
                <w:highlight w:val="none"/>
                <w14:textFill>
                  <w14:solidFill>
                    <w14:schemeClr w14:val="tx1"/>
                  </w14:solidFill>
                </w14:textFill>
              </w:rPr>
              <w:t xml:space="preserve"> </w:t>
            </w:r>
          </w:p>
          <w:p w14:paraId="0522F561">
            <w:pPr>
              <w:pStyle w:val="7"/>
              <w:spacing w:line="320" w:lineRule="exact"/>
              <w:ind w:firstLine="210" w:firstLineChars="10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要求递交投标保证金</w:t>
            </w:r>
          </w:p>
          <w:p w14:paraId="038E9C0A">
            <w:pPr>
              <w:widowControl/>
              <w:spacing w:line="320" w:lineRule="exact"/>
              <w:ind w:firstLine="420" w:firstLineChars="200"/>
              <w:rPr>
                <w:color w:val="000000" w:themeColor="text1"/>
                <w:kern w:val="0"/>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投标保证金的金额：人民币10万元</w:t>
            </w:r>
            <w:r>
              <w:rPr>
                <w:color w:val="000000" w:themeColor="text1"/>
                <w:kern w:val="0"/>
                <w:szCs w:val="21"/>
                <w:highlight w:val="none"/>
                <w14:textFill>
                  <w14:solidFill>
                    <w14:schemeClr w14:val="tx1"/>
                  </w14:solidFill>
                </w14:textFill>
              </w:rPr>
              <w:t xml:space="preserve">, </w:t>
            </w:r>
            <w:r>
              <w:rPr>
                <w:rFonts w:hint="eastAsia"/>
                <w:color w:val="000000" w:themeColor="text1"/>
                <w:kern w:val="0"/>
                <w:szCs w:val="21"/>
                <w:highlight w:val="none"/>
                <w14:textFill>
                  <w14:solidFill>
                    <w14:schemeClr w14:val="tx1"/>
                  </w14:solidFill>
                </w14:textFill>
              </w:rPr>
              <w:t>投标保证金在投标人自行获取招标文件后，在</w:t>
            </w:r>
            <w:r>
              <w:rPr>
                <w:rFonts w:hint="eastAsia"/>
                <w:color w:val="000000" w:themeColor="text1"/>
                <w:kern w:val="0"/>
                <w:szCs w:val="21"/>
                <w:highlight w:val="none"/>
                <w:u w:val="single"/>
                <w14:textFill>
                  <w14:solidFill>
                    <w14:schemeClr w14:val="tx1"/>
                  </w14:solidFill>
                </w14:textFill>
              </w:rPr>
              <w:t>投标截止时间</w:t>
            </w:r>
            <w:r>
              <w:rPr>
                <w:color w:val="000000" w:themeColor="text1"/>
                <w:kern w:val="0"/>
                <w:szCs w:val="21"/>
                <w:highlight w:val="none"/>
                <w:u w:val="single"/>
                <w14:textFill>
                  <w14:solidFill>
                    <w14:schemeClr w14:val="tx1"/>
                  </w14:solidFill>
                </w14:textFill>
              </w:rPr>
              <w:t>前</w:t>
            </w:r>
            <w:r>
              <w:rPr>
                <w:color w:val="000000" w:themeColor="text1"/>
                <w:kern w:val="0"/>
                <w:szCs w:val="21"/>
                <w:highlight w:val="none"/>
                <w14:textFill>
                  <w14:solidFill>
                    <w14:schemeClr w14:val="tx1"/>
                  </w14:solidFill>
                </w14:textFill>
              </w:rPr>
              <w:t>缴纳。缴纳方式为（</w:t>
            </w:r>
            <w:r>
              <w:rPr>
                <w:rFonts w:hint="eastAsia"/>
                <w:color w:val="000000" w:themeColor="text1"/>
                <w:szCs w:val="21"/>
                <w:highlight w:val="none"/>
                <w14:textFill>
                  <w14:solidFill>
                    <w14:schemeClr w14:val="tx1"/>
                  </w14:solidFill>
                </w14:textFill>
              </w:rPr>
              <w:t>投标人可以选择以下任意一种形式</w:t>
            </w:r>
            <w:r>
              <w:rPr>
                <w:color w:val="000000" w:themeColor="text1"/>
                <w:kern w:val="0"/>
                <w:szCs w:val="21"/>
                <w:highlight w:val="none"/>
                <w14:textFill>
                  <w14:solidFill>
                    <w14:schemeClr w14:val="tx1"/>
                  </w14:solidFill>
                </w14:textFill>
              </w:rPr>
              <w:t>）：</w:t>
            </w:r>
          </w:p>
          <w:p w14:paraId="3C5BE264">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投标保证金的金额：人民币</w:t>
            </w:r>
            <w:r>
              <w:rPr>
                <w:rFonts w:hint="eastAsia" w:ascii="宋体" w:hAnsi="宋体" w:cs="宋体"/>
                <w:color w:val="000000" w:themeColor="text1"/>
                <w:sz w:val="21"/>
                <w:szCs w:val="21"/>
                <w:highlight w:val="none"/>
                <w:u w:val="single"/>
                <w:shd w:val="clear" w:color="auto" w:fill="FFFFFF"/>
                <w14:textFill>
                  <w14:solidFill>
                    <w14:schemeClr w14:val="tx1"/>
                  </w14:solidFill>
                </w14:textFill>
              </w:rPr>
              <w:t xml:space="preserve">10 </w:t>
            </w:r>
            <w:r>
              <w:rPr>
                <w:rFonts w:hint="eastAsia" w:ascii="宋体" w:hAnsi="宋体" w:cs="宋体"/>
                <w:color w:val="000000" w:themeColor="text1"/>
                <w:sz w:val="21"/>
                <w:szCs w:val="21"/>
                <w:highlight w:val="none"/>
                <w:shd w:val="clear" w:color="auto" w:fill="FFFFFF"/>
                <w14:textFill>
                  <w14:solidFill>
                    <w14:schemeClr w14:val="tx1"/>
                  </w14:solidFill>
                </w14:textFill>
              </w:rPr>
              <w:t>万元,投标保证金在投标人自行获取招标文件后，在</w:t>
            </w:r>
            <w:r>
              <w:rPr>
                <w:rFonts w:hint="eastAsia" w:ascii="宋体" w:hAnsi="宋体" w:cs="宋体"/>
                <w:color w:val="000000" w:themeColor="text1"/>
                <w:sz w:val="21"/>
                <w:szCs w:val="21"/>
                <w:highlight w:val="none"/>
                <w:u w:val="single"/>
                <w:shd w:val="clear" w:color="auto" w:fill="FFFFFF"/>
                <w14:textFill>
                  <w14:solidFill>
                    <w14:schemeClr w14:val="tx1"/>
                  </w14:solidFill>
                </w14:textFill>
              </w:rPr>
              <w:t>投标截止时间前</w:t>
            </w:r>
            <w:r>
              <w:rPr>
                <w:rFonts w:hint="eastAsia" w:ascii="宋体" w:hAnsi="宋体" w:cs="宋体"/>
                <w:color w:val="000000" w:themeColor="text1"/>
                <w:sz w:val="21"/>
                <w:szCs w:val="21"/>
                <w:highlight w:val="none"/>
                <w:shd w:val="clear" w:color="auto" w:fill="FFFFFF"/>
                <w14:textFill>
                  <w14:solidFill>
                    <w14:schemeClr w14:val="tx1"/>
                  </w14:solidFill>
                </w14:textFill>
              </w:rPr>
              <w:t>缴纳。</w:t>
            </w:r>
          </w:p>
          <w:p w14:paraId="2324A706">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（1）投标人基本账户开具的保函/保证保险/担保公司担保/转账/数字保函等(不包括现金）。</w:t>
            </w:r>
          </w:p>
          <w:p w14:paraId="438843E0">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保证金缴入账户：</w:t>
            </w:r>
          </w:p>
          <w:p w14:paraId="6FD42FC2">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账户一：开户单位名称：绍兴市公共资源交易中心保证金专户，</w:t>
            </w:r>
          </w:p>
          <w:p w14:paraId="127C7044">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开户行:</w:t>
            </w:r>
            <w:r>
              <w:rPr>
                <w:rFonts w:hint="eastAsia" w:ascii="宋体" w:hAnsi="宋体" w:cs="宋体"/>
                <w:color w:val="000000" w:themeColor="text1"/>
                <w:sz w:val="21"/>
                <w:szCs w:val="21"/>
                <w:highlight w:val="none"/>
                <w:u w:val="single"/>
                <w:shd w:val="clear" w:color="auto" w:fill="FFFFFF"/>
                <w14:textFill>
                  <w14:solidFill>
                    <w14:schemeClr w14:val="tx1"/>
                  </w14:solidFill>
                </w14:textFill>
              </w:rPr>
              <w:t>绍兴银行营业部</w:t>
            </w:r>
            <w:r>
              <w:rPr>
                <w:rFonts w:hint="eastAsia" w:ascii="宋体" w:hAnsi="宋体" w:cs="宋体"/>
                <w:color w:val="000000" w:themeColor="text1"/>
                <w:sz w:val="21"/>
                <w:szCs w:val="21"/>
                <w:highlight w:val="none"/>
                <w:shd w:val="clear" w:color="auto" w:fill="FFFFFF"/>
                <w14:textFill>
                  <w14:solidFill>
                    <w14:schemeClr w14:val="tx1"/>
                  </w14:solidFill>
                </w14:textFill>
              </w:rPr>
              <w:t>；账号：</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6224861565799128990</w:t>
            </w:r>
            <w:r>
              <w:rPr>
                <w:rFonts w:hint="eastAsia" w:ascii="宋体" w:hAnsi="宋体" w:cs="宋体"/>
                <w:color w:val="000000" w:themeColor="text1"/>
                <w:sz w:val="21"/>
                <w:szCs w:val="21"/>
                <w:highlight w:val="none"/>
                <w:shd w:val="clear" w:color="auto" w:fill="FFFFFF"/>
                <w14:textFill>
                  <w14:solidFill>
                    <w14:schemeClr w14:val="tx1"/>
                  </w14:solidFill>
                </w14:textFill>
              </w:rPr>
              <w:t>；</w:t>
            </w:r>
          </w:p>
          <w:p w14:paraId="6E9E04EC">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账户二：开户单位名称：绍兴市公共资源交易中心保证金专户，</w:t>
            </w:r>
          </w:p>
          <w:p w14:paraId="534CC1E8">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开户行:</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中</w:t>
            </w:r>
            <w:r>
              <w:rPr>
                <w:rFonts w:hint="eastAsia" w:ascii="宋体" w:hAnsi="宋体" w:cs="宋体"/>
                <w:color w:val="000000" w:themeColor="text1"/>
                <w:sz w:val="21"/>
                <w:szCs w:val="21"/>
                <w:highlight w:val="none"/>
                <w:u w:val="single"/>
                <w:shd w:val="clear" w:color="auto" w:fill="FFFFFF"/>
                <w14:textFill>
                  <w14:solidFill>
                    <w14:schemeClr w14:val="tx1"/>
                  </w14:solidFill>
                </w14:textFill>
              </w:rPr>
              <w:t>信银行绍兴袍江支行</w:t>
            </w:r>
            <w:r>
              <w:rPr>
                <w:rFonts w:hint="eastAsia" w:ascii="宋体" w:hAnsi="宋体" w:cs="宋体"/>
                <w:color w:val="000000" w:themeColor="text1"/>
                <w:sz w:val="21"/>
                <w:szCs w:val="21"/>
                <w:highlight w:val="none"/>
                <w:shd w:val="clear" w:color="auto" w:fill="FFFFFF"/>
                <w14:textFill>
                  <w14:solidFill>
                    <w14:schemeClr w14:val="tx1"/>
                  </w14:solidFill>
                </w14:textFill>
              </w:rPr>
              <w:t>；账号：</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3110810043370000708</w:t>
            </w:r>
            <w:r>
              <w:rPr>
                <w:rFonts w:hint="eastAsia" w:ascii="宋体" w:hAnsi="宋体" w:cs="宋体"/>
                <w:color w:val="000000" w:themeColor="text1"/>
                <w:sz w:val="21"/>
                <w:szCs w:val="21"/>
                <w:highlight w:val="none"/>
                <w:shd w:val="clear" w:color="auto" w:fill="FFFFFF"/>
                <w14:textFill>
                  <w14:solidFill>
                    <w14:schemeClr w14:val="tx1"/>
                  </w14:solidFill>
                </w14:textFill>
              </w:rPr>
              <w:t>；</w:t>
            </w:r>
          </w:p>
          <w:p w14:paraId="0CAFA0C6">
            <w:pPr>
              <w:pStyle w:val="23"/>
              <w:widowControl/>
              <w:shd w:val="clear" w:color="auto" w:fill="FFFFFF"/>
              <w:spacing w:before="0" w:beforeAutospacing="0" w:after="0" w:afterAutospacing="0" w:line="440" w:lineRule="exact"/>
              <w:ind w:firstLine="420"/>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投标人须选择以上账户之一缴纳投标保证金。</w:t>
            </w:r>
          </w:p>
          <w:p w14:paraId="547BB9C6">
            <w:pPr>
              <w:pStyle w:val="23"/>
              <w:widowControl/>
              <w:numPr>
                <w:ilvl w:val="0"/>
                <w:numId w:val="1"/>
              </w:numPr>
              <w:shd w:val="clear" w:color="auto" w:fill="FFFFFF"/>
              <w:spacing w:before="0" w:beforeAutospacing="0" w:after="0" w:afterAutospacing="0" w:line="440" w:lineRule="exact"/>
              <w:ind w:firstLine="420"/>
              <w:rPr>
                <w:rFonts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招标人接受投标保证金银行保函、电子保险保函、担保保函。投标人自行在电子招投标交易平台（</w:t>
            </w:r>
            <w:r>
              <w:rPr>
                <w:rFonts w:hint="eastAsia" w:ascii="宋体" w:hAnsi="宋体"/>
                <w:color w:val="000000" w:themeColor="text1"/>
                <w:sz w:val="21"/>
                <w:szCs w:val="21"/>
                <w:highlight w:val="none"/>
                <w:u w:val="single"/>
                <w14:textFill>
                  <w14:solidFill>
                    <w14:schemeClr w14:val="tx1"/>
                  </w14:solidFill>
                </w14:textFill>
              </w:rPr>
              <w:t>http://oa.ggb.sx.gov.cn/TPBidder-ztk</w:t>
            </w:r>
            <w:r>
              <w:rPr>
                <w:rFonts w:hint="eastAsia" w:ascii="宋体" w:hAnsi="宋体" w:cs="宋体"/>
                <w:color w:val="000000" w:themeColor="text1"/>
                <w:sz w:val="21"/>
                <w:szCs w:val="21"/>
                <w:highlight w:val="none"/>
                <w:shd w:val="clear" w:color="auto" w:fill="FFFFFF"/>
                <w14:textFill>
                  <w14:solidFill>
                    <w14:schemeClr w14:val="tx1"/>
                  </w14:solidFill>
                </w14:textFill>
              </w:rPr>
              <w:t>）中自主选择办理。</w:t>
            </w:r>
          </w:p>
          <w:p w14:paraId="2DC55A71">
            <w:pPr>
              <w:pStyle w:val="23"/>
              <w:widowControl/>
              <w:shd w:val="clear" w:color="auto" w:fill="FFFFFF"/>
              <w:spacing w:before="0" w:beforeAutospacing="0" w:after="0" w:afterAutospacing="0" w:line="440" w:lineRule="exact"/>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（3）购买保险、保函、担保的费用及转账资金应从投标人基本账户支出，并在投标文件递交截止时间前办妥相应手续。</w:t>
            </w:r>
          </w:p>
          <w:p w14:paraId="68E48470">
            <w:pPr>
              <w:pStyle w:val="23"/>
              <w:widowControl/>
              <w:shd w:val="clear" w:color="auto" w:fill="FFFFFF"/>
              <w:spacing w:before="0" w:beforeAutospacing="0" w:after="0" w:afterAutospacing="0" w:line="44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（4）注:请各投标人在缴纳投标保证金前自行核对统一主体库内填写的基本账户信息，避免出现保证金缴纳后无法匹配的现象。</w:t>
            </w:r>
          </w:p>
        </w:tc>
      </w:tr>
      <w:tr w14:paraId="16EC4B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8" w:hRule="atLeast"/>
        </w:trPr>
        <w:tc>
          <w:tcPr>
            <w:tcW w:w="978" w:type="dxa"/>
            <w:vAlign w:val="center"/>
          </w:tcPr>
          <w:p w14:paraId="325D3A00">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3.4.3</w:t>
            </w:r>
          </w:p>
        </w:tc>
        <w:tc>
          <w:tcPr>
            <w:tcW w:w="1990" w:type="dxa"/>
            <w:vAlign w:val="center"/>
          </w:tcPr>
          <w:p w14:paraId="16D4C6C2">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投标保证金的退还</w:t>
            </w:r>
          </w:p>
        </w:tc>
        <w:tc>
          <w:tcPr>
            <w:tcW w:w="6373" w:type="dxa"/>
            <w:vAlign w:val="center"/>
          </w:tcPr>
          <w:p w14:paraId="03D24386">
            <w:pPr>
              <w:pStyle w:val="7"/>
              <w:spacing w:line="320" w:lineRule="exact"/>
              <w:ind w:firstLine="210" w:firstLineChars="100"/>
              <w:rPr>
                <w:rFonts w:eastAsia="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最迟在书面合同签订后 5 日内向中标人和未中标的投标人退还投标保证金及银行同期存款利息。</w:t>
            </w:r>
          </w:p>
        </w:tc>
      </w:tr>
      <w:tr w14:paraId="2288ED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099E5568">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3.4.4</w:t>
            </w:r>
          </w:p>
        </w:tc>
        <w:tc>
          <w:tcPr>
            <w:tcW w:w="1990" w:type="dxa"/>
            <w:vAlign w:val="center"/>
          </w:tcPr>
          <w:p w14:paraId="02D938B2">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投标保证金不予退还的情形</w:t>
            </w:r>
          </w:p>
        </w:tc>
        <w:tc>
          <w:tcPr>
            <w:tcW w:w="6373" w:type="dxa"/>
            <w:vAlign w:val="center"/>
          </w:tcPr>
          <w:p w14:paraId="5B5C4E55">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（1）投标人在投标有效期内撤销或修改其投标文件。</w:t>
            </w:r>
          </w:p>
          <w:p w14:paraId="3C7DC0F8">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（2）中标人无正当理由不与招标人订立合同，或在签订合同时向招标人提出附加条件，或未按招标文件要求提交履约保证金的。</w:t>
            </w:r>
          </w:p>
          <w:p w14:paraId="5864F6E9">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ascii="Segoe UI Symbol" w:hAnsi="Segoe UI Symbol" w:cs="Segoe UI Symbol"/>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（3）经查实，投标人在投标过程中串通投标或弄虚作假的。</w:t>
            </w:r>
          </w:p>
          <w:p w14:paraId="37F6B0E0">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ascii="Segoe UI Symbol" w:hAnsi="Segoe UI Symbol" w:cs="Segoe UI Symbol"/>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（4）拟派项目经理在投标截止时间有在其他在建合同工程上担任项目经理（包括设计施工总承包项目中的施工负责人）的情形。</w:t>
            </w:r>
          </w:p>
        </w:tc>
      </w:tr>
      <w:tr w14:paraId="1621C0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978" w:type="dxa"/>
            <w:vAlign w:val="center"/>
          </w:tcPr>
          <w:p w14:paraId="5130225B">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w:t>
            </w:r>
          </w:p>
        </w:tc>
        <w:tc>
          <w:tcPr>
            <w:tcW w:w="1990" w:type="dxa"/>
            <w:vAlign w:val="center"/>
          </w:tcPr>
          <w:p w14:paraId="324E38EF">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资格审查资料的</w:t>
            </w:r>
          </w:p>
          <w:p w14:paraId="08EFC9FD">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特殊要求</w:t>
            </w:r>
          </w:p>
        </w:tc>
        <w:tc>
          <w:tcPr>
            <w:tcW w:w="6373" w:type="dxa"/>
            <w:vAlign w:val="center"/>
          </w:tcPr>
          <w:p w14:paraId="6D967F11">
            <w:pPr>
              <w:pStyle w:val="7"/>
              <w:widowControl/>
              <w:spacing w:line="32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无</w:t>
            </w:r>
          </w:p>
          <w:p w14:paraId="7ECC70C8">
            <w:pPr>
              <w:pStyle w:val="7"/>
              <w:spacing w:line="320" w:lineRule="exact"/>
              <w:rPr>
                <w:rFonts w:ascii="Segoe UI Symbol" w:hAnsi="Segoe UI Symbol" w:cs="Segoe UI Symbol"/>
                <w:color w:val="000000" w:themeColor="text1"/>
                <w:szCs w:val="21"/>
                <w:highlight w:val="none"/>
                <w14:textFill>
                  <w14:solidFill>
                    <w14:schemeClr w14:val="tx1"/>
                  </w14:solidFill>
                </w14:textFill>
              </w:rPr>
            </w:pPr>
            <w:r>
              <w:rPr>
                <w:rFonts w:hint="eastAsia" w:ascii="Segoe UI Symbol" w:hAnsi="Segoe UI Symbol" w:cs="Segoe UI Symbol"/>
                <w:color w:val="000000" w:themeColor="text1"/>
                <w:szCs w:val="2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有，具体要求：</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lang w:bidi="ar"/>
                <w14:textFill>
                  <w14:solidFill>
                    <w14:schemeClr w14:val="tx1"/>
                  </w14:solidFill>
                </w14:textFill>
              </w:rPr>
              <w:t>。</w:t>
            </w:r>
          </w:p>
        </w:tc>
      </w:tr>
      <w:tr w14:paraId="15E7D5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283383F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3.5.1</w:t>
            </w:r>
          </w:p>
        </w:tc>
        <w:tc>
          <w:tcPr>
            <w:tcW w:w="1990" w:type="dxa"/>
            <w:vAlign w:val="center"/>
          </w:tcPr>
          <w:p w14:paraId="1A4E854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投标人基本情况表应附资料</w:t>
            </w:r>
          </w:p>
        </w:tc>
        <w:tc>
          <w:tcPr>
            <w:tcW w:w="6373" w:type="dxa"/>
            <w:vAlign w:val="center"/>
          </w:tcPr>
          <w:p w14:paraId="260DF488">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投标人基本情况表应附：</w:t>
            </w:r>
          </w:p>
          <w:p w14:paraId="2346E488">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（1）企业法人营业执照副本和组织机构代码证副本（按照“三证合一”或“五证合一”登记制度进行登记的，可仅提供营业执照副本，下同）复制件；</w:t>
            </w:r>
          </w:p>
          <w:p w14:paraId="21055BDF">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（2）基本账户开户许可证（或银行出具的基本账户存款证明或基本存款账户信息）的复制件；</w:t>
            </w:r>
          </w:p>
          <w:p w14:paraId="19118283">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（3）投标人在国家企业信用信息公示系统中基础信息（体现股东及出资详细信息, 如投标人为法人独资或自然人独资企业的，则体现股东名称信息）的网页截图或由法定的社会验资机构出具的验资报告或注册地市场监督部门出具的股东出资情况证明复制件；</w:t>
            </w:r>
          </w:p>
          <w:p w14:paraId="41199BE9">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企业法人营业执照副本和组织机构代码证副本、基本账户开户许可证（或银行出具的基本账户存款证明或基本存款账户信息）的复制件应提供全本（证书封面、封底、空白页除外），应包括投标人名称、投标人其他相关信息、颁发机构名称、投标人信息变更情况等关键页在内，并逐页加盖投标人单位公章。</w:t>
            </w:r>
          </w:p>
          <w:p w14:paraId="76231A05">
            <w:pPr>
              <w:pStyle w:val="7"/>
              <w:spacing w:line="320" w:lineRule="exact"/>
              <w:ind w:right="241" w:rightChars="115" w:firstLine="210" w:firstLineChars="100"/>
              <w:rPr>
                <w:rFonts w:ascii="宋体" w:hAnsi="宋体" w:cs="宋体"/>
                <w:snapToGrid w:val="0"/>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其他说明：</w:t>
            </w:r>
            <w:r>
              <w:rPr>
                <w:rFonts w:hint="eastAsia" w:ascii="Segoe UI Symbol" w:hAnsi="Segoe UI Symbol" w:cs="Segoe UI Symbol"/>
                <w:color w:val="000000" w:themeColor="text1"/>
                <w:szCs w:val="21"/>
                <w:highlight w:val="none"/>
                <w14:textFill>
                  <w14:solidFill>
                    <w14:schemeClr w14:val="tx1"/>
                  </w14:solidFill>
                </w14:textFill>
              </w:rPr>
              <w:t xml:space="preserve">/  </w:t>
            </w:r>
          </w:p>
        </w:tc>
      </w:tr>
      <w:tr w14:paraId="35EC98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12BC3508">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3.5.2</w:t>
            </w:r>
          </w:p>
        </w:tc>
        <w:tc>
          <w:tcPr>
            <w:tcW w:w="1990" w:type="dxa"/>
            <w:vAlign w:val="center"/>
          </w:tcPr>
          <w:p w14:paraId="6799A92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财务状况表</w:t>
            </w:r>
          </w:p>
        </w:tc>
        <w:tc>
          <w:tcPr>
            <w:tcW w:w="6373" w:type="dxa"/>
            <w:vAlign w:val="center"/>
          </w:tcPr>
          <w:p w14:paraId="67C14AF6">
            <w:pPr>
              <w:pStyle w:val="7"/>
              <w:spacing w:line="320" w:lineRule="exact"/>
              <w:rPr>
                <w:rFonts w:ascii="宋体" w:hAnsi="宋体" w:cs="宋体"/>
                <w:color w:val="000000" w:themeColor="text1"/>
                <w:highlight w:val="none"/>
                <w14:textFill>
                  <w14:solidFill>
                    <w14:schemeClr w14:val="tx1"/>
                  </w14:solidFill>
                </w14:textFill>
              </w:rPr>
            </w:pPr>
            <w:r>
              <w:rPr>
                <w:rFonts w:ascii="Segoe UI Symbol" w:hAnsi="Segoe UI Symbol" w:cs="Segoe UI Symbol"/>
                <w:color w:val="000000" w:themeColor="text1"/>
                <w:szCs w:val="2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无须提供</w:t>
            </w:r>
          </w:p>
          <w:p w14:paraId="141F0CC1">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提供，要求的年份：</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年、</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年、</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年</w:t>
            </w:r>
          </w:p>
        </w:tc>
      </w:tr>
      <w:tr w14:paraId="40B6E8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6F549C5B">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3.5.3</w:t>
            </w:r>
          </w:p>
        </w:tc>
        <w:tc>
          <w:tcPr>
            <w:tcW w:w="1990" w:type="dxa"/>
            <w:vAlign w:val="center"/>
          </w:tcPr>
          <w:p w14:paraId="6B3C207B">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近年完成的类似项目的年份要求及应附资料</w:t>
            </w:r>
          </w:p>
        </w:tc>
        <w:tc>
          <w:tcPr>
            <w:tcW w:w="6373" w:type="dxa"/>
            <w:vAlign w:val="center"/>
          </w:tcPr>
          <w:p w14:paraId="1215554D">
            <w:pPr>
              <w:pStyle w:val="7"/>
              <w:spacing w:line="320" w:lineRule="exact"/>
              <w:rPr>
                <w:rFonts w:ascii="Segoe UI Symbol" w:hAnsi="Segoe UI Symbol" w:cs="Segoe UI Symbol"/>
                <w:color w:val="000000" w:themeColor="text1"/>
                <w:szCs w:val="21"/>
                <w:highlight w:val="none"/>
                <w14:textFill>
                  <w14:solidFill>
                    <w14:schemeClr w14:val="tx1"/>
                  </w14:solidFill>
                </w14:textFill>
              </w:rPr>
            </w:pPr>
            <w:r>
              <w:rPr>
                <w:rFonts w:hint="eastAsia" w:ascii="Segoe UI Symbol" w:hAnsi="Segoe UI Symbol" w:cs="Segoe UI Symbol"/>
                <w:color w:val="000000" w:themeColor="text1"/>
                <w:szCs w:val="21"/>
                <w:highlight w:val="none"/>
                <w14:textFill>
                  <w14:solidFill>
                    <w14:schemeClr w14:val="tx1"/>
                  </w14:solidFill>
                </w14:textFill>
              </w:rPr>
              <w:t>年份：</w:t>
            </w:r>
            <w:r>
              <w:rPr>
                <w:rFonts w:hint="eastAsia" w:ascii="宋体" w:hAnsi="宋体" w:eastAsia="宋体" w:cs="宋体"/>
                <w:color w:val="000000" w:themeColor="text1"/>
                <w:szCs w:val="21"/>
                <w:highlight w:val="none"/>
                <w14:textFill>
                  <w14:solidFill>
                    <w14:schemeClr w14:val="tx1"/>
                  </w14:solidFill>
                </w14:textFill>
              </w:rPr>
              <w:t>自2019年7月1日</w:t>
            </w:r>
            <w:r>
              <w:rPr>
                <w:rFonts w:hint="eastAsia" w:ascii="Segoe UI Symbol" w:hAnsi="Segoe UI Symbol" w:cs="Segoe UI Symbol"/>
                <w:color w:val="000000" w:themeColor="text1"/>
                <w:szCs w:val="21"/>
                <w:highlight w:val="none"/>
                <w14:textFill>
                  <w14:solidFill>
                    <w14:schemeClr w14:val="tx1"/>
                  </w14:solidFill>
                </w14:textFill>
              </w:rPr>
              <w:t>以来</w:t>
            </w:r>
          </w:p>
          <w:p w14:paraId="058133AF">
            <w:pPr>
              <w:pStyle w:val="7"/>
              <w:spacing w:line="320" w:lineRule="exact"/>
              <w:ind w:firstLine="420" w:firstLineChars="200"/>
              <w:rPr>
                <w:rFonts w:ascii="Segoe UI Symbol" w:hAnsi="Segoe UI Symbol" w:cs="Segoe UI Symbol"/>
                <w:color w:val="000000" w:themeColor="text1"/>
                <w:szCs w:val="21"/>
                <w:highlight w:val="none"/>
                <w14:textFill>
                  <w14:solidFill>
                    <w14:schemeClr w14:val="tx1"/>
                  </w14:solidFill>
                </w14:textFill>
              </w:rPr>
            </w:pPr>
            <w:r>
              <w:rPr>
                <w:rFonts w:hint="eastAsia" w:ascii="Segoe UI Symbol" w:hAnsi="Segoe UI Symbol" w:cs="Segoe UI Symbol"/>
                <w:color w:val="000000" w:themeColor="text1"/>
                <w:szCs w:val="21"/>
                <w:highlight w:val="none"/>
                <w14:textFill>
                  <w14:solidFill>
                    <w14:schemeClr w14:val="tx1"/>
                  </w14:solidFill>
                </w14:textFill>
              </w:rPr>
              <w:t>“近年完成的类似项目情况表”应附：（1）中标通知书复制件</w:t>
            </w:r>
            <w:r>
              <w:rPr>
                <w:rFonts w:ascii="Segoe UI Symbol" w:hAnsi="Segoe UI Symbol" w:cs="Segoe UI Symbol"/>
                <w:color w:val="000000" w:themeColor="text1"/>
                <w:szCs w:val="21"/>
                <w:highlight w:val="none"/>
                <w14:textFill>
                  <w14:solidFill>
                    <w14:schemeClr w14:val="tx1"/>
                  </w14:solidFill>
                </w14:textFill>
              </w:rPr>
              <w:t>；（2）</w:t>
            </w:r>
            <w:r>
              <w:rPr>
                <w:rFonts w:hint="eastAsia" w:ascii="Segoe UI Symbol" w:hAnsi="Segoe UI Symbol" w:cs="Segoe UI Symbol"/>
                <w:color w:val="000000" w:themeColor="text1"/>
                <w:szCs w:val="21"/>
                <w:highlight w:val="none"/>
                <w14:textFill>
                  <w14:solidFill>
                    <w14:schemeClr w14:val="tx1"/>
                  </w14:solidFill>
                </w14:textFill>
              </w:rPr>
              <w:t>合同协议书复制件；（</w:t>
            </w:r>
            <w:r>
              <w:rPr>
                <w:rFonts w:ascii="Segoe UI Symbol" w:hAnsi="Segoe UI Symbol" w:cs="Segoe UI Symbol"/>
                <w:color w:val="000000" w:themeColor="text1"/>
                <w:szCs w:val="21"/>
                <w:highlight w:val="none"/>
                <w14:textFill>
                  <w14:solidFill>
                    <w14:schemeClr w14:val="tx1"/>
                  </w14:solidFill>
                </w14:textFill>
              </w:rPr>
              <w:t>3</w:t>
            </w:r>
            <w:r>
              <w:rPr>
                <w:rFonts w:hint="eastAsia" w:ascii="Segoe UI Symbol" w:hAnsi="Segoe UI Symbol" w:cs="Segoe UI Symbol"/>
                <w:color w:val="000000" w:themeColor="text1"/>
                <w:szCs w:val="21"/>
                <w:highlight w:val="none"/>
                <w14:textFill>
                  <w14:solidFill>
                    <w14:schemeClr w14:val="tx1"/>
                  </w14:solidFill>
                </w14:textFill>
              </w:rPr>
              <w:t>）质量证明文件（交工验收证书或竣工验收记录表或竣工验收报告或竣工验收备案表或竣工验收意见书或质量监督机构对各参建单位签发的工作综合评价等级证书）的复制件。上述证明材料缺一不可，否则不予认可。</w:t>
            </w:r>
          </w:p>
          <w:p w14:paraId="3D6F3269">
            <w:pPr>
              <w:spacing w:line="340" w:lineRule="exact"/>
              <w:ind w:firstLine="420" w:firstLineChars="200"/>
              <w:rPr>
                <w:rFonts w:hAnsi="宋体"/>
                <w:color w:val="000000" w:themeColor="text1"/>
                <w:highlight w:val="none"/>
                <w14:textFill>
                  <w14:solidFill>
                    <w14:schemeClr w14:val="tx1"/>
                  </w14:solidFill>
                </w14:textFill>
              </w:rPr>
            </w:pPr>
            <w:r>
              <w:rPr>
                <w:rFonts w:hint="eastAsia" w:hAnsi="宋体" w:cs="宋体"/>
                <w:color w:val="000000" w:themeColor="text1"/>
                <w:szCs w:val="24"/>
                <w:highlight w:val="none"/>
                <w:lang w:bidi="ar"/>
                <w14:textFill>
                  <w14:solidFill>
                    <w14:schemeClr w14:val="tx1"/>
                  </w14:solidFill>
                </w14:textFill>
              </w:rPr>
              <w:t>若以上</w:t>
            </w:r>
            <w:r>
              <w:rPr>
                <w:rFonts w:hint="eastAsia" w:hAnsi="宋体" w:cs="宋体"/>
                <w:b/>
                <w:bCs/>
                <w:color w:val="000000" w:themeColor="text1"/>
                <w:szCs w:val="24"/>
                <w:highlight w:val="none"/>
                <w:lang w:bidi="ar"/>
                <w14:textFill>
                  <w14:solidFill>
                    <w14:schemeClr w14:val="tx1"/>
                  </w14:solidFill>
                </w14:textFill>
              </w:rPr>
              <w:t>业绩</w:t>
            </w:r>
            <w:r>
              <w:rPr>
                <w:rFonts w:hint="eastAsia" w:hAnsi="宋体" w:cs="宋体"/>
                <w:color w:val="000000" w:themeColor="text1"/>
                <w:szCs w:val="24"/>
                <w:highlight w:val="none"/>
                <w:lang w:bidi="ar"/>
                <w14:textFill>
                  <w14:solidFill>
                    <w14:schemeClr w14:val="tx1"/>
                  </w14:solidFill>
                </w14:textFill>
              </w:rPr>
              <w:t>以联合体形式完成的，还需附该业绩的联合体协议书或项目业主或质量监督部门或项目发包人（或项目所在地行业主管部门）出具的业绩证明材料，且该业绩按联合体协议书或业绩证明材料中载明的联合体各方所承担的工作内容来认定相应业绩。</w:t>
            </w:r>
          </w:p>
          <w:p w14:paraId="011D8672">
            <w:pPr>
              <w:pStyle w:val="7"/>
              <w:spacing w:line="320" w:lineRule="exact"/>
              <w:ind w:firstLine="420" w:firstLineChars="200"/>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规模解释顺序为：质量证明文件、合同协议书、中标通知书；如上述资料中均未体现工程规模、技术标准、主要工程内容的，必须附项目发包人或项目质量监督部门或项目所在地设区市行业主管部门出具的证明材料，否则业绩不予认可。</w:t>
            </w:r>
          </w:p>
          <w:p w14:paraId="37E66C50">
            <w:pPr>
              <w:pStyle w:val="7"/>
              <w:spacing w:line="320" w:lineRule="exact"/>
              <w:ind w:firstLine="440" w:firstLineChars="20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上述资料中的施工单位名称与投标人名称必须一致，否则业绩不予认可。以下情形除外：</w:t>
            </w:r>
          </w:p>
          <w:p w14:paraId="34F7CCCE">
            <w:pPr>
              <w:pStyle w:val="7"/>
              <w:spacing w:line="32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1）施工单位名称发生变更的，但需提供法定部门的批准材料。</w:t>
            </w:r>
          </w:p>
          <w:p w14:paraId="28DDB6F9">
            <w:pPr>
              <w:pStyle w:val="7"/>
              <w:spacing w:line="320" w:lineRule="exact"/>
              <w:ind w:right="241" w:rightChars="115" w:firstLine="420" w:firstLineChars="200"/>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2）</w:t>
            </w:r>
            <w:r>
              <w:rPr>
                <w:rFonts w:hint="eastAsia" w:ascii="Segoe UI Symbol" w:hAnsi="Segoe UI Symbol" w:cs="Segoe UI Symbol"/>
                <w:color w:val="000000" w:themeColor="text1"/>
                <w:szCs w:val="21"/>
                <w:highlight w:val="none"/>
                <w:u w:val="single"/>
                <w14:textFill>
                  <w14:solidFill>
                    <w14:schemeClr w14:val="tx1"/>
                  </w14:solidFill>
                </w14:textFill>
              </w:rPr>
              <w:t xml:space="preserve"> / </w:t>
            </w:r>
            <w:r>
              <w:rPr>
                <w:rFonts w:hint="eastAsia"/>
                <w:color w:val="000000" w:themeColor="text1"/>
                <w:szCs w:val="21"/>
                <w:highlight w:val="none"/>
                <w14:textFill>
                  <w14:solidFill>
                    <w14:schemeClr w14:val="tx1"/>
                  </w14:solidFill>
                </w14:textFill>
              </w:rPr>
              <w:t>。</w:t>
            </w:r>
          </w:p>
        </w:tc>
      </w:tr>
      <w:tr w14:paraId="6E5B40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1D3D5679">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3.5.5</w:t>
            </w:r>
          </w:p>
        </w:tc>
        <w:tc>
          <w:tcPr>
            <w:tcW w:w="1990" w:type="dxa"/>
            <w:vAlign w:val="center"/>
          </w:tcPr>
          <w:p w14:paraId="56AEEFE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拟委任的项目经理、项目技术负责人资历表应附资料</w:t>
            </w:r>
          </w:p>
        </w:tc>
        <w:tc>
          <w:tcPr>
            <w:tcW w:w="6373" w:type="dxa"/>
            <w:vAlign w:val="center"/>
          </w:tcPr>
          <w:p w14:paraId="59DEB6B1">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“拟委任的项目经理、项目技术负责人资历表”应附以下资料（复制件）：</w:t>
            </w:r>
            <w:r>
              <w:rPr>
                <w:rFonts w:ascii="宋体" w:hAnsi="宋体" w:cs="宋体"/>
                <w:color w:val="000000" w:themeColor="text1"/>
                <w:szCs w:val="21"/>
                <w:highlight w:val="none"/>
                <w14:textFill>
                  <w14:solidFill>
                    <w14:schemeClr w14:val="tx1"/>
                  </w14:solidFill>
                </w14:textFill>
              </w:rPr>
              <w:t xml:space="preserve"> </w:t>
            </w:r>
          </w:p>
          <w:p w14:paraId="701EFA00">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1）项目经理：身份证、职称资格证书</w:t>
            </w:r>
            <w:r>
              <w:rPr>
                <w:rFonts w:hint="eastAsia" w:ascii="宋体" w:hAnsi="宋体" w:cs="宋体"/>
                <w:color w:val="000000" w:themeColor="text1"/>
                <w:szCs w:val="21"/>
                <w:highlight w:val="none"/>
                <w14:textFill>
                  <w14:solidFill>
                    <w14:schemeClr w14:val="tx1"/>
                  </w14:solidFill>
                </w14:textFill>
              </w:rPr>
              <w:t>；项目技术负责人：身份证、职称资格证书；</w:t>
            </w:r>
          </w:p>
          <w:p w14:paraId="7721CF0A">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身份证应提供正反双面复制件。</w:t>
            </w:r>
          </w:p>
          <w:p w14:paraId="4A285C4E">
            <w:pPr>
              <w:numPr>
                <w:ilvl w:val="0"/>
                <w:numId w:val="2"/>
              </w:numPr>
              <w:spacing w:line="340" w:lineRule="exact"/>
              <w:ind w:firstLine="210" w:firstLineChars="100"/>
              <w:rPr>
                <w:rFonts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项目经理相关业绩证明材料（担任类似项目的项目经理或项目副经理或项目技术负责人</w:t>
            </w:r>
            <w:r>
              <w:rPr>
                <w:rFonts w:hint="eastAsia"/>
                <w:color w:val="000000" w:themeColor="text1"/>
                <w:highlight w:val="none"/>
                <w14:textFill>
                  <w14:solidFill>
                    <w14:schemeClr w14:val="tx1"/>
                  </w14:solidFill>
                </w14:textFill>
              </w:rPr>
              <w:t>或项目总工</w:t>
            </w:r>
            <w:r>
              <w:rPr>
                <w:rFonts w:hint="eastAsia"/>
                <w:color w:val="000000" w:themeColor="text1"/>
                <w:szCs w:val="21"/>
                <w:highlight w:val="none"/>
                <w14:textFill>
                  <w14:solidFill>
                    <w14:schemeClr w14:val="tx1"/>
                  </w14:solidFill>
                </w14:textFill>
              </w:rPr>
              <w:t>或设计施工总承包项目的施工负责人的中标通知书或合同协议书或质量证明文件），如上述资料中均未体现人员姓名、任职及业绩规模的，还须提供项目发包人或项目质量监督部门或项目所在地设区市行业主管部门出具的证明材料。</w:t>
            </w:r>
          </w:p>
          <w:p w14:paraId="68C0C91D">
            <w:pPr>
              <w:pStyle w:val="7"/>
              <w:numPr>
                <w:ilvl w:val="0"/>
                <w:numId w:val="0"/>
              </w:numPr>
              <w:spacing w:line="320" w:lineRule="exact"/>
              <w:ind w:firstLine="210" w:firstLineChars="100"/>
              <w:jc w:val="left"/>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项目经理若曾在其他在建合同工程中担任项目经理（含设计施工总承包项目的施工负责人）但已进行更换的，应附项目发包人的同意更换证明材料，否则更换前后的项目经理（含设计施工总承包项目的施工负责人）均视为有“在建合同工程”。</w:t>
            </w:r>
          </w:p>
        </w:tc>
      </w:tr>
      <w:tr w14:paraId="0CAA21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0" w:hRule="atLeast"/>
        </w:trPr>
        <w:tc>
          <w:tcPr>
            <w:tcW w:w="978" w:type="dxa"/>
            <w:vAlign w:val="center"/>
          </w:tcPr>
          <w:p w14:paraId="77EEA4D0">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3.5.6</w:t>
            </w:r>
          </w:p>
        </w:tc>
        <w:tc>
          <w:tcPr>
            <w:tcW w:w="1990" w:type="dxa"/>
            <w:vAlign w:val="center"/>
          </w:tcPr>
          <w:p w14:paraId="0A8D3D0A">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拟委任的其他管理和技术人员资历表应附资料</w:t>
            </w:r>
          </w:p>
        </w:tc>
        <w:tc>
          <w:tcPr>
            <w:tcW w:w="6373" w:type="dxa"/>
            <w:vAlign w:val="center"/>
          </w:tcPr>
          <w:p w14:paraId="42F0B60F">
            <w:pPr>
              <w:pStyle w:val="7"/>
              <w:spacing w:line="320" w:lineRule="exact"/>
              <w:ind w:right="241" w:rightChars="115"/>
              <w:rPr>
                <w:rFonts w:ascii="宋体" w:hAnsi="宋体" w:cs="宋体"/>
                <w:snapToGrid w:val="0"/>
                <w:color w:val="000000" w:themeColor="text1"/>
                <w:szCs w:val="21"/>
                <w:highlight w:val="none"/>
                <w:u w:val="single"/>
                <w14:textFill>
                  <w14:solidFill>
                    <w14:schemeClr w14:val="tx1"/>
                  </w14:solidFill>
                </w14:textFill>
              </w:rPr>
            </w:pPr>
            <w:r>
              <w:rPr>
                <w:rFonts w:hint="eastAsia" w:ascii="Segoe UI Symbol" w:hAnsi="Segoe UI Symbol" w:cs="Segoe UI Symbol"/>
                <w:color w:val="000000" w:themeColor="text1"/>
                <w:szCs w:val="21"/>
                <w:highlight w:val="none"/>
                <w14:textFill>
                  <w14:solidFill>
                    <w14:schemeClr w14:val="tx1"/>
                  </w14:solidFill>
                </w14:textFill>
              </w:rPr>
              <w:t xml:space="preserve">/ </w:t>
            </w:r>
          </w:p>
        </w:tc>
      </w:tr>
      <w:tr w14:paraId="3705B8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69B483CF">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3.6.1</w:t>
            </w:r>
          </w:p>
        </w:tc>
        <w:tc>
          <w:tcPr>
            <w:tcW w:w="1990" w:type="dxa"/>
            <w:vAlign w:val="center"/>
          </w:tcPr>
          <w:p w14:paraId="4E24EA9B">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是否允许递交备选投标方案</w:t>
            </w:r>
          </w:p>
        </w:tc>
        <w:tc>
          <w:tcPr>
            <w:tcW w:w="6373" w:type="dxa"/>
            <w:vAlign w:val="center"/>
          </w:tcPr>
          <w:p w14:paraId="384E3963">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不允许</w:t>
            </w:r>
            <w:r>
              <w:rPr>
                <w:rFonts w:ascii="宋体" w:hAnsi="宋体" w:cs="宋体"/>
                <w:color w:val="000000" w:themeColor="text1"/>
                <w:highlight w:val="none"/>
                <w14:textFill>
                  <w14:solidFill>
                    <w14:schemeClr w14:val="tx1"/>
                  </w14:solidFill>
                </w14:textFill>
              </w:rPr>
              <w:t xml:space="preserve"> </w:t>
            </w:r>
          </w:p>
        </w:tc>
      </w:tr>
      <w:tr w14:paraId="55F244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69A13F2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3.7.3</w:t>
            </w:r>
          </w:p>
        </w:tc>
        <w:tc>
          <w:tcPr>
            <w:tcW w:w="1990" w:type="dxa"/>
            <w:vAlign w:val="center"/>
          </w:tcPr>
          <w:p w14:paraId="0613B4A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投标文件的制作</w:t>
            </w:r>
          </w:p>
          <w:p w14:paraId="6D63F164">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要求</w:t>
            </w:r>
          </w:p>
        </w:tc>
        <w:tc>
          <w:tcPr>
            <w:tcW w:w="6373" w:type="dxa"/>
            <w:vAlign w:val="center"/>
          </w:tcPr>
          <w:p w14:paraId="204F911D">
            <w:pPr>
              <w:pStyle w:val="7"/>
              <w:spacing w:line="320" w:lineRule="exact"/>
              <w:ind w:firstLine="210" w:firstLineChars="1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（1）投标文件中的已标价工程量清单应与招标人提供的工程量清单格式一致。 </w:t>
            </w:r>
          </w:p>
          <w:p w14:paraId="166A7673">
            <w:pPr>
              <w:pStyle w:val="7"/>
              <w:spacing w:line="320" w:lineRule="exact"/>
              <w:ind w:firstLine="210" w:firstLineChars="1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在投标文件格式规定的签字和盖章处，必须由法定代表人或授权委托人签字</w:t>
            </w:r>
            <w:r>
              <w:rPr>
                <w:rFonts w:hint="eastAsia"/>
                <w:b/>
                <w:bCs/>
                <w:color w:val="000000" w:themeColor="text1"/>
                <w:highlight w:val="none"/>
                <w14:textFill>
                  <w14:solidFill>
                    <w14:schemeClr w14:val="tx1"/>
                  </w14:solidFill>
                </w14:textFill>
              </w:rPr>
              <w:t>（不可使用印章、签名章或其它电子制版签名代替）</w:t>
            </w:r>
            <w:r>
              <w:rPr>
                <w:rFonts w:hint="eastAsia"/>
                <w:color w:val="000000" w:themeColor="text1"/>
                <w:szCs w:val="21"/>
                <w:highlight w:val="none"/>
                <w14:textFill>
                  <w14:solidFill>
                    <w14:schemeClr w14:val="tx1"/>
                  </w14:solidFill>
                </w14:textFill>
              </w:rPr>
              <w:t>并盖单位公章。</w:t>
            </w:r>
          </w:p>
          <w:p w14:paraId="737D797A">
            <w:pPr>
              <w:pStyle w:val="7"/>
              <w:spacing w:line="320" w:lineRule="exact"/>
              <w:ind w:firstLine="210" w:firstLineChars="1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hint="eastAsia"/>
                <w:color w:val="000000" w:themeColor="text1"/>
                <w:szCs w:val="21"/>
                <w:highlight w:val="none"/>
                <w14:textFill>
                  <w14:solidFill>
                    <w14:schemeClr w14:val="tx1"/>
                  </w14:solidFill>
                </w14:textFill>
              </w:rPr>
              <w:t>投标文件份数：</w:t>
            </w:r>
            <w:r>
              <w:rPr>
                <w:color w:val="000000" w:themeColor="text1"/>
                <w:szCs w:val="21"/>
                <w:highlight w:val="none"/>
                <w14:textFill>
                  <w14:solidFill>
                    <w14:schemeClr w14:val="tx1"/>
                  </w14:solidFill>
                </w14:textFill>
              </w:rPr>
              <w:t>正本</w:t>
            </w:r>
            <w:r>
              <w:rPr>
                <w:rFonts w:hint="eastAsia"/>
                <w:color w:val="000000" w:themeColor="text1"/>
                <w:szCs w:val="21"/>
                <w:highlight w:val="none"/>
                <w14:textFill>
                  <w14:solidFill>
                    <w14:schemeClr w14:val="tx1"/>
                  </w14:solidFill>
                </w14:textFill>
              </w:rPr>
              <w:t>1</w:t>
            </w:r>
            <w:r>
              <w:rPr>
                <w:color w:val="000000" w:themeColor="text1"/>
                <w:szCs w:val="21"/>
                <w:highlight w:val="none"/>
                <w14:textFill>
                  <w14:solidFill>
                    <w14:schemeClr w14:val="tx1"/>
                  </w14:solidFill>
                </w14:textFill>
              </w:rPr>
              <w:t>份，副本</w:t>
            </w:r>
            <w:r>
              <w:rPr>
                <w:rFonts w:hint="eastAsia"/>
                <w:color w:val="000000" w:themeColor="text1"/>
                <w:szCs w:val="21"/>
                <w:highlight w:val="none"/>
                <w:lang w:val="en-US" w:eastAsia="zh-CN"/>
                <w14:textFill>
                  <w14:solidFill>
                    <w14:schemeClr w14:val="tx1"/>
                  </w14:solidFill>
                </w14:textFill>
              </w:rPr>
              <w:t>4</w:t>
            </w:r>
            <w:r>
              <w:rPr>
                <w:color w:val="000000" w:themeColor="text1"/>
                <w:szCs w:val="21"/>
                <w:highlight w:val="none"/>
                <w14:textFill>
                  <w14:solidFill>
                    <w14:schemeClr w14:val="tx1"/>
                  </w14:solidFill>
                </w14:textFill>
              </w:rPr>
              <w:t>份，另加1份电子文件（U盘，内容为整套投标文件）。</w:t>
            </w:r>
            <w:r>
              <w:rPr>
                <w:rFonts w:hint="eastAsia"/>
                <w:color w:val="000000" w:themeColor="text1"/>
                <w:szCs w:val="21"/>
                <w:highlight w:val="none"/>
                <w14:textFill>
                  <w14:solidFill>
                    <w14:schemeClr w14:val="tx1"/>
                  </w14:solidFill>
                </w14:textFill>
              </w:rPr>
              <w:t>正本和副本的封面上应清楚地标记“正本”或“副本”的字样。当副本和正本不一致时，以正本为准。</w:t>
            </w:r>
          </w:p>
          <w:p w14:paraId="3D9D560F">
            <w:pPr>
              <w:pStyle w:val="7"/>
              <w:spacing w:line="320" w:lineRule="exact"/>
              <w:ind w:firstLine="210" w:firstLineChars="100"/>
              <w:rPr>
                <w:rFonts w:hint="eastAsia" w:ascii="宋体" w:hAnsi="宋体"/>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w:t>
            </w:r>
            <w:r>
              <w:rPr>
                <w:rFonts w:hint="eastAsia"/>
                <w:color w:val="000000" w:themeColor="text1"/>
                <w:szCs w:val="21"/>
                <w:highlight w:val="none"/>
                <w14:textFill>
                  <w14:solidFill>
                    <w14:schemeClr w14:val="tx1"/>
                  </w14:solidFill>
                </w14:textFill>
              </w:rPr>
              <w:t>投标文件装订要求：</w:t>
            </w:r>
            <w:r>
              <w:rPr>
                <w:rFonts w:hint="eastAsia" w:ascii="宋体" w:hAnsi="宋体"/>
                <w:bCs/>
                <w:color w:val="000000" w:themeColor="text1"/>
                <w:szCs w:val="21"/>
                <w:highlight w:val="none"/>
                <w14:textFill>
                  <w14:solidFill>
                    <w14:schemeClr w14:val="tx1"/>
                  </w14:solidFill>
                </w14:textFill>
              </w:rPr>
              <w:t>投标文件应</w:t>
            </w:r>
            <w:r>
              <w:rPr>
                <w:rFonts w:hint="eastAsia"/>
                <w:color w:val="000000" w:themeColor="text1"/>
                <w:highlight w:val="none"/>
                <w14:textFill>
                  <w14:solidFill>
                    <w14:schemeClr w14:val="tx1"/>
                  </w14:solidFill>
                </w14:textFill>
              </w:rPr>
              <w:t>采用</w:t>
            </w:r>
            <w:r>
              <w:rPr>
                <w:color w:val="000000" w:themeColor="text1"/>
                <w:highlight w:val="none"/>
                <w14:textFill>
                  <w14:solidFill>
                    <w14:schemeClr w14:val="tx1"/>
                  </w14:solidFill>
                </w14:textFill>
              </w:rPr>
              <w:t>A4</w:t>
            </w:r>
            <w:r>
              <w:rPr>
                <w:rFonts w:hint="eastAsia"/>
                <w:color w:val="000000" w:themeColor="text1"/>
                <w:highlight w:val="none"/>
                <w14:textFill>
                  <w14:solidFill>
                    <w14:schemeClr w14:val="tx1"/>
                  </w14:solidFill>
                </w14:textFill>
              </w:rPr>
              <w:t>纸胶装装订</w:t>
            </w:r>
            <w:r>
              <w:rPr>
                <w:rFonts w:hint="eastAsia" w:ascii="宋体" w:hAnsi="宋体"/>
                <w:bCs/>
                <w:color w:val="000000" w:themeColor="text1"/>
                <w:szCs w:val="21"/>
                <w:highlight w:val="none"/>
                <w14:textFill>
                  <w14:solidFill>
                    <w14:schemeClr w14:val="tx1"/>
                  </w14:solidFill>
                </w14:textFill>
              </w:rPr>
              <w:t>成册，不得采用活页夹装订，否则，招标人对由于投标文件装订松散而造成的丢失或其他后果不承担任何责任。</w:t>
            </w:r>
          </w:p>
          <w:p w14:paraId="44DD7388">
            <w:pPr>
              <w:pStyle w:val="7"/>
              <w:spacing w:line="320" w:lineRule="exact"/>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本次招标采用双信封形式，投标文件第一个信封（商务及技术文件）以及第二个信封（报价文件）应单独密封包装。第一个信封（商务及技术文件）的正本与副本应分别包装在相应的内层封套里，然后统一密封在一个外层封套中。</w:t>
            </w:r>
          </w:p>
          <w:p w14:paraId="350F389D">
            <w:pPr>
              <w:pStyle w:val="7"/>
              <w:spacing w:line="32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第二个信封（报价文件）的正本与副本应分别包装在相应的内层封套里，投标文件电子文件（U盘，内容为整套投标文件）应与第二个信封（报价文件）正本包在同一个内层封套里，然后统一密封在一个外层封套中。内层和外层封套均应加贴封条，内层封套应加盖投标人单位章。外层封套上不应有任何投标人的识别标志。</w:t>
            </w:r>
          </w:p>
          <w:p w14:paraId="15009BA7">
            <w:pPr>
              <w:pStyle w:val="7"/>
              <w:spacing w:line="320" w:lineRule="exact"/>
              <w:ind w:firstLine="210" w:firstLineChars="1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投标文件封套上写明：</w:t>
            </w:r>
          </w:p>
          <w:p w14:paraId="137350E9">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投标文件第一个信封（商务及技术文件）</w:t>
            </w:r>
          </w:p>
          <w:p w14:paraId="5CC7BAB4">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内层封套：</w:t>
            </w:r>
          </w:p>
          <w:p w14:paraId="046F2341">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投标人邮政编码：______________</w:t>
            </w:r>
          </w:p>
          <w:p w14:paraId="5FA4FCF2">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投标人地址：_______________</w:t>
            </w:r>
          </w:p>
          <w:p w14:paraId="1A7BACB4">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投标人名称：_______________</w:t>
            </w:r>
          </w:p>
          <w:p w14:paraId="7BF43846">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投标人联系人：______________</w:t>
            </w:r>
          </w:p>
          <w:p w14:paraId="3E04A075">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投标人联系电话：______________</w:t>
            </w:r>
          </w:p>
          <w:p w14:paraId="201C5144">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招标人地址及名称：________________(寄)</w:t>
            </w:r>
          </w:p>
          <w:p w14:paraId="664B4838">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投标文件第一个信封（商务及技术文件）</w:t>
            </w:r>
          </w:p>
          <w:p w14:paraId="21FE6147">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外层封套：</w:t>
            </w:r>
          </w:p>
          <w:p w14:paraId="1791E163">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送达投标文件地址：______________</w:t>
            </w:r>
          </w:p>
          <w:p w14:paraId="4078E2E7">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招标人名称：______________</w:t>
            </w:r>
          </w:p>
          <w:p w14:paraId="717759C2">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(项目名称) </w:t>
            </w:r>
            <w:r>
              <w:rPr>
                <w:rFonts w:hint="eastAsia" w:ascii="宋体" w:hAnsi="宋体"/>
                <w:color w:val="000000" w:themeColor="text1"/>
                <w:szCs w:val="21"/>
                <w:highlight w:val="none"/>
                <w:u w:val="single"/>
                <w14:textFill>
                  <w14:solidFill>
                    <w14:schemeClr w14:val="tx1"/>
                  </w14:solidFill>
                </w14:textFill>
              </w:rPr>
              <w:t xml:space="preserve">        （标段）</w:t>
            </w:r>
            <w:r>
              <w:rPr>
                <w:rFonts w:hint="eastAsia" w:ascii="宋体" w:hAnsi="宋体"/>
                <w:color w:val="000000" w:themeColor="text1"/>
                <w:szCs w:val="21"/>
                <w:highlight w:val="none"/>
                <w14:textFill>
                  <w14:solidFill>
                    <w14:schemeClr w14:val="tx1"/>
                  </w14:solidFill>
                </w14:textFill>
              </w:rPr>
              <w:t>招标第一个信封（商务及技术文件）投标文件</w:t>
            </w:r>
          </w:p>
          <w:p w14:paraId="596C6E7A">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时</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分前不得开启</w:t>
            </w:r>
          </w:p>
          <w:p w14:paraId="7B11770A">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投标文件第二个信封（报价文件）</w:t>
            </w:r>
          </w:p>
          <w:p w14:paraId="16A86434">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内层封套：</w:t>
            </w:r>
          </w:p>
          <w:p w14:paraId="6A0B3A93">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投标人邮政编码：______________</w:t>
            </w:r>
          </w:p>
          <w:p w14:paraId="6D28C09C">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投标人地址：_______________</w:t>
            </w:r>
          </w:p>
          <w:p w14:paraId="27AFCB68">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投标人名称：_______________</w:t>
            </w:r>
          </w:p>
          <w:p w14:paraId="3D25B352">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投标人联系人：______________</w:t>
            </w:r>
          </w:p>
          <w:p w14:paraId="57A897EF">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投标人联系电话：______________</w:t>
            </w:r>
          </w:p>
          <w:p w14:paraId="1660B86D">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招标人地址及名称：________________(寄)</w:t>
            </w:r>
          </w:p>
          <w:p w14:paraId="331971B7">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投标文件第二个信封（报价文件）</w:t>
            </w:r>
          </w:p>
          <w:p w14:paraId="6C44FCBF">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外层封套：</w:t>
            </w:r>
          </w:p>
          <w:p w14:paraId="087FCC35">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送达投标文件地址：______________</w:t>
            </w:r>
          </w:p>
          <w:p w14:paraId="6C34BA6D">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招标人名称：______________</w:t>
            </w:r>
          </w:p>
          <w:p w14:paraId="4492A3CF">
            <w:pPr>
              <w:spacing w:line="29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(项目名称) </w:t>
            </w:r>
            <w:r>
              <w:rPr>
                <w:rFonts w:hint="eastAsia" w:ascii="宋体" w:hAnsi="宋体"/>
                <w:color w:val="000000" w:themeColor="text1"/>
                <w:szCs w:val="21"/>
                <w:highlight w:val="none"/>
                <w:u w:val="single"/>
                <w14:textFill>
                  <w14:solidFill>
                    <w14:schemeClr w14:val="tx1"/>
                  </w14:solidFill>
                </w14:textFill>
              </w:rPr>
              <w:t xml:space="preserve">        （标段）</w:t>
            </w:r>
            <w:r>
              <w:rPr>
                <w:rFonts w:hint="eastAsia" w:ascii="宋体" w:hAnsi="宋体"/>
                <w:color w:val="000000" w:themeColor="text1"/>
                <w:szCs w:val="21"/>
                <w:highlight w:val="none"/>
                <w14:textFill>
                  <w14:solidFill>
                    <w14:schemeClr w14:val="tx1"/>
                  </w14:solidFill>
                </w14:textFill>
              </w:rPr>
              <w:t>招标第二个信封（报价文件）投标文件</w:t>
            </w:r>
          </w:p>
          <w:p w14:paraId="08105A19">
            <w:pPr>
              <w:pStyle w:val="7"/>
              <w:spacing w:line="320" w:lineRule="exact"/>
              <w:ind w:right="241" w:rightChars="115"/>
              <w:rPr>
                <w:rFonts w:ascii="宋体" w:hAnsi="宋体" w:cs="宋体"/>
                <w:snapToGrid w:val="0"/>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投标文件第一个信封开标时通知的时间</w:t>
            </w:r>
            <w:r>
              <w:rPr>
                <w:rFonts w:hint="eastAsia" w:ascii="宋体" w:hAnsi="宋体"/>
                <w:color w:val="000000" w:themeColor="text1"/>
                <w:szCs w:val="21"/>
                <w:highlight w:val="none"/>
                <w14:textFill>
                  <w14:solidFill>
                    <w14:schemeClr w14:val="tx1"/>
                  </w14:solidFill>
                </w14:textFill>
              </w:rPr>
              <w:t>前不得开启</w:t>
            </w:r>
          </w:p>
        </w:tc>
      </w:tr>
      <w:tr w14:paraId="589301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1E1E6FF7">
            <w:pPr>
              <w:pStyle w:val="7"/>
              <w:spacing w:line="320" w:lineRule="exact"/>
              <w:jc w:val="center"/>
              <w:rPr>
                <w:rFonts w:ascii="宋体" w:hAnsi="宋体" w:cs="宋体"/>
                <w:color w:val="000000" w:themeColor="text1"/>
                <w:szCs w:val="21"/>
                <w:highlight w:val="none"/>
                <w14:textFill>
                  <w14:solidFill>
                    <w14:schemeClr w14:val="tx1"/>
                  </w14:solidFill>
                </w14:textFill>
              </w:rPr>
            </w:pPr>
            <w:bookmarkStart w:id="282" w:name="_Hlk90925452"/>
            <w:r>
              <w:rPr>
                <w:rFonts w:ascii="宋体" w:hAnsi="宋体" w:cs="宋体"/>
                <w:color w:val="000000" w:themeColor="text1"/>
                <w:szCs w:val="21"/>
                <w:highlight w:val="none"/>
                <w14:textFill>
                  <w14:solidFill>
                    <w14:schemeClr w14:val="tx1"/>
                  </w14:solidFill>
                </w14:textFill>
              </w:rPr>
              <w:t>4.2.2</w:t>
            </w:r>
          </w:p>
        </w:tc>
        <w:tc>
          <w:tcPr>
            <w:tcW w:w="1990" w:type="dxa"/>
            <w:vAlign w:val="center"/>
          </w:tcPr>
          <w:p w14:paraId="59579FEC">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递交投标</w:t>
            </w:r>
          </w:p>
          <w:p w14:paraId="7AB76AF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文件方式和地点</w:t>
            </w:r>
          </w:p>
        </w:tc>
        <w:tc>
          <w:tcPr>
            <w:tcW w:w="6373" w:type="dxa"/>
            <w:vAlign w:val="center"/>
          </w:tcPr>
          <w:p w14:paraId="13E62DDC">
            <w:pPr>
              <w:pStyle w:val="7"/>
              <w:spacing w:line="320" w:lineRule="exact"/>
              <w:rPr>
                <w:rFonts w:ascii="宋体" w:hAnsi="宋体" w:cs="宋体"/>
                <w:snapToGrid w:val="0"/>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投标文件现场递交（投标截止时间前），</w:t>
            </w:r>
            <w:r>
              <w:rPr>
                <w:rFonts w:hint="eastAsia"/>
                <w:color w:val="000000" w:themeColor="text1"/>
                <w:kern w:val="0"/>
                <w:szCs w:val="21"/>
                <w:highlight w:val="none"/>
                <w:u w:val="single"/>
                <w14:textFill>
                  <w14:solidFill>
                    <w14:schemeClr w14:val="tx1"/>
                  </w14:solidFill>
                </w14:textFill>
              </w:rPr>
              <w:t>绍兴市公共资源交易中心四楼指定开标室</w:t>
            </w:r>
            <w:r>
              <w:rPr>
                <w:rFonts w:hint="eastAsia"/>
                <w:color w:val="000000" w:themeColor="text1"/>
                <w:szCs w:val="21"/>
                <w:highlight w:val="none"/>
                <w:u w:val="single"/>
                <w14:textFill>
                  <w14:solidFill>
                    <w14:schemeClr w14:val="tx1"/>
                  </w14:solidFill>
                </w14:textFill>
              </w:rPr>
              <w:t>。</w:t>
            </w:r>
          </w:p>
        </w:tc>
      </w:tr>
      <w:tr w14:paraId="4E4BB8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5" w:hRule="atLeast"/>
        </w:trPr>
        <w:tc>
          <w:tcPr>
            <w:tcW w:w="978" w:type="dxa"/>
            <w:vAlign w:val="center"/>
          </w:tcPr>
          <w:p w14:paraId="01FD501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4.2.3</w:t>
            </w:r>
          </w:p>
        </w:tc>
        <w:tc>
          <w:tcPr>
            <w:tcW w:w="1990" w:type="dxa"/>
            <w:vAlign w:val="center"/>
          </w:tcPr>
          <w:p w14:paraId="4D10CEF3">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是否退还投标文件</w:t>
            </w:r>
          </w:p>
        </w:tc>
        <w:tc>
          <w:tcPr>
            <w:tcW w:w="6373" w:type="dxa"/>
            <w:vAlign w:val="center"/>
          </w:tcPr>
          <w:p w14:paraId="2837A806">
            <w:pPr>
              <w:pStyle w:val="39"/>
              <w:rPr>
                <w:rFonts w:hint="eastAsia" w:ascii="Calibri" w:hAnsi="Calibri" w:eastAsia="宋体"/>
                <w:color w:val="000000" w:themeColor="text1"/>
                <w:highlight w:val="none"/>
                <w:lang w:val="en-US" w:eastAsia="zh-CN"/>
                <w14:textFill>
                  <w14:solidFill>
                    <w14:schemeClr w14:val="tx1"/>
                  </w14:solidFill>
                </w14:textFill>
              </w:rPr>
            </w:pPr>
            <w:r>
              <w:rPr>
                <w:rFonts w:hint="eastAsia" w:ascii="Calibri" w:hAnsi="Calibri"/>
                <w:color w:val="000000" w:themeColor="text1"/>
                <w:highlight w:val="none"/>
                <w:lang w:val="en-US" w:eastAsia="zh-CN"/>
                <w14:textFill>
                  <w14:solidFill>
                    <w14:schemeClr w14:val="tx1"/>
                  </w14:solidFill>
                </w14:textFill>
              </w:rPr>
              <w:t>否</w:t>
            </w:r>
          </w:p>
        </w:tc>
      </w:tr>
      <w:tr w14:paraId="66D408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978" w:type="dxa"/>
            <w:vAlign w:val="center"/>
          </w:tcPr>
          <w:p w14:paraId="1A09B631">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4.2.4</w:t>
            </w:r>
          </w:p>
        </w:tc>
        <w:tc>
          <w:tcPr>
            <w:tcW w:w="1990" w:type="dxa"/>
            <w:vAlign w:val="center"/>
          </w:tcPr>
          <w:p w14:paraId="4DC7204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投标文件不予受理的情形</w:t>
            </w:r>
          </w:p>
        </w:tc>
        <w:tc>
          <w:tcPr>
            <w:tcW w:w="6373" w:type="dxa"/>
            <w:vAlign w:val="center"/>
          </w:tcPr>
          <w:p w14:paraId="475347DD">
            <w:pPr>
              <w:pStyle w:val="7"/>
              <w:spacing w:line="32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投标截止时间止，存在以下情形之一的：</w:t>
            </w:r>
          </w:p>
          <w:p w14:paraId="29883FD3">
            <w:pPr>
              <w:pStyle w:val="3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.逾期送达的或未送达指定地点的；</w:t>
            </w:r>
          </w:p>
          <w:p w14:paraId="0424226F">
            <w:pPr>
              <w:pStyle w:val="7"/>
              <w:tabs>
                <w:tab w:val="left" w:pos="312"/>
              </w:tabs>
              <w:spacing w:line="320" w:lineRule="exact"/>
              <w:rPr>
                <w:rFonts w:hint="eastAsia"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.未按</w:t>
            </w:r>
            <w:r>
              <w:rPr>
                <w:rFonts w:hint="eastAsia"/>
                <w:color w:val="000000" w:themeColor="text1"/>
                <w:highlight w:val="none"/>
                <w14:textFill>
                  <w14:solidFill>
                    <w14:schemeClr w14:val="tx1"/>
                  </w14:solidFill>
                </w14:textFill>
              </w:rPr>
              <w:t>3.7.3</w:t>
            </w:r>
            <w:r>
              <w:rPr>
                <w:color w:val="000000" w:themeColor="text1"/>
                <w:highlight w:val="none"/>
                <w14:textFill>
                  <w14:solidFill>
                    <w14:schemeClr w14:val="tx1"/>
                  </w14:solidFill>
                </w14:textFill>
              </w:rPr>
              <w:t>要求</w:t>
            </w:r>
            <w:r>
              <w:rPr>
                <w:rFonts w:hint="eastAsia"/>
                <w:color w:val="000000" w:themeColor="text1"/>
                <w:highlight w:val="none"/>
                <w14:textFill>
                  <w14:solidFill>
                    <w14:schemeClr w14:val="tx1"/>
                  </w14:solidFill>
                </w14:textFill>
              </w:rPr>
              <w:t>密封</w:t>
            </w:r>
            <w:r>
              <w:rPr>
                <w:color w:val="000000" w:themeColor="text1"/>
                <w:highlight w:val="none"/>
                <w14:textFill>
                  <w14:solidFill>
                    <w14:schemeClr w14:val="tx1"/>
                  </w14:solidFill>
                </w14:textFill>
              </w:rPr>
              <w:t>的；</w:t>
            </w:r>
          </w:p>
          <w:p w14:paraId="0BDDABBB">
            <w:pPr>
              <w:pStyle w:val="7"/>
              <w:tabs>
                <w:tab w:val="left" w:pos="312"/>
              </w:tabs>
              <w:spacing w:line="320" w:lineRule="exact"/>
              <w:rPr>
                <w:rFonts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投标文件未在投标截止时间前递交的。</w:t>
            </w:r>
          </w:p>
        </w:tc>
      </w:tr>
      <w:bookmarkEnd w:id="282"/>
      <w:tr w14:paraId="4F0046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3F89B84D">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5.1</w:t>
            </w:r>
          </w:p>
        </w:tc>
        <w:tc>
          <w:tcPr>
            <w:tcW w:w="1990" w:type="dxa"/>
            <w:vAlign w:val="center"/>
          </w:tcPr>
          <w:p w14:paraId="348F8651">
            <w:pPr>
              <w:pStyle w:val="7"/>
              <w:spacing w:line="32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开标时间和地点</w:t>
            </w:r>
          </w:p>
        </w:tc>
        <w:tc>
          <w:tcPr>
            <w:tcW w:w="6373" w:type="dxa"/>
            <w:vAlign w:val="center"/>
          </w:tcPr>
          <w:p w14:paraId="50BD5948">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采用双信封形式投标文件的开标</w:t>
            </w:r>
          </w:p>
          <w:p w14:paraId="5945E605">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投标文件第一个信封（商务及技术文件）开标时间：</w:t>
            </w:r>
          </w:p>
          <w:p w14:paraId="3A4F511E">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同投标截止时间</w:t>
            </w:r>
          </w:p>
          <w:p w14:paraId="074AD256">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投标文件第一个信封（商务及技术文件）开标地点：</w:t>
            </w:r>
          </w:p>
          <w:p w14:paraId="76A40B44">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 xml:space="preserve">同递交投标文件地点 </w:t>
            </w:r>
          </w:p>
          <w:p w14:paraId="266279AA">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投标文件第二个信封（报价文件）开标时间：</w:t>
            </w:r>
          </w:p>
          <w:p w14:paraId="43CDD71A">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投标文件第一个信封开标时通知</w:t>
            </w:r>
          </w:p>
          <w:p w14:paraId="34F5FBAA">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投标文件第二个信封（报价文件）开标地点：</w:t>
            </w:r>
          </w:p>
          <w:p w14:paraId="09351F5C">
            <w:pPr>
              <w:pStyle w:val="7"/>
              <w:spacing w:line="32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同递交投标文件地点</w:t>
            </w:r>
          </w:p>
          <w:p w14:paraId="3AF7B161">
            <w:pPr>
              <w:pStyle w:val="7"/>
              <w:spacing w:line="400" w:lineRule="exact"/>
              <w:rPr>
                <w:rFonts w:hint="default" w:eastAsia="宋体"/>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本项目采用投标人现场递交投标文件。</w:t>
            </w:r>
            <w:r>
              <w:rPr>
                <w:rFonts w:hint="eastAsia" w:ascii="Times New Roman" w:hAnsi="Times New Roman" w:eastAsia="宋体" w:cs="Times New Roman"/>
                <w:color w:val="000000" w:themeColor="text1"/>
                <w:kern w:val="16"/>
                <w:position w:val="6"/>
                <w:highlight w:val="none"/>
                <w:lang w:val="en-US" w:eastAsia="zh-CN"/>
                <w14:textFill>
                  <w14:solidFill>
                    <w14:schemeClr w14:val="tx1"/>
                  </w14:solidFill>
                </w14:textFill>
              </w:rPr>
              <w:t>开标会议要求：</w:t>
            </w:r>
          </w:p>
          <w:p w14:paraId="25B6355C">
            <w:pPr>
              <w:pStyle w:val="7"/>
              <w:spacing w:line="40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（1）</w:t>
            </w:r>
            <w:r>
              <w:rPr>
                <w:rFonts w:hint="eastAsia" w:ascii="Times New Roman" w:hAnsi="Times New Roman" w:eastAsia="宋体" w:cs="Times New Roman"/>
                <w:color w:val="000000" w:themeColor="text1"/>
                <w:kern w:val="16"/>
                <w:position w:val="6"/>
                <w:highlight w:val="none"/>
                <w:lang w:val="en-US" w:eastAsia="zh-CN"/>
                <w14:textFill>
                  <w14:solidFill>
                    <w14:schemeClr w14:val="tx1"/>
                  </w14:solidFill>
                </w14:textFill>
              </w:rPr>
              <w:t>投标人</w:t>
            </w:r>
            <w:r>
              <w:rPr>
                <w:rFonts w:hint="eastAsia" w:ascii="Times New Roman" w:hAnsi="Times New Roman" w:eastAsia="宋体" w:cs="Times New Roman"/>
                <w:color w:val="000000" w:themeColor="text1"/>
                <w:kern w:val="16"/>
                <w:position w:val="6"/>
                <w:highlight w:val="none"/>
                <w14:textFill>
                  <w14:solidFill>
                    <w14:schemeClr w14:val="tx1"/>
                  </w14:solidFill>
                </w14:textFill>
              </w:rPr>
              <w:t>按照招标文件要求装订、密封和标记好的投标文件在投标截止时间前递交至绍兴市公共资源交易中心四楼指定开标室，投标文件递交后即交即走。</w:t>
            </w:r>
          </w:p>
          <w:p w14:paraId="15041518">
            <w:pPr>
              <w:pStyle w:val="7"/>
              <w:spacing w:line="40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（2）投标人的法定代表人或授权委托人、项目负责人等均可不参加开标会议。若投标人法定代表人或授权代表不在现场参加开标会议的，投标人需向招标代理机构工作人员告知其联系方式，以备询标等事宜；</w:t>
            </w:r>
          </w:p>
          <w:p w14:paraId="51DD04F3">
            <w:pPr>
              <w:pStyle w:val="7"/>
              <w:spacing w:line="40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lang w:eastAsia="zh-CN"/>
                <w14:textFill>
                  <w14:solidFill>
                    <w14:schemeClr w14:val="tx1"/>
                  </w14:solidFill>
                </w14:textFill>
              </w:rPr>
              <w:t>（</w:t>
            </w:r>
            <w:r>
              <w:rPr>
                <w:rFonts w:hint="eastAsia" w:ascii="Times New Roman" w:hAnsi="Times New Roman" w:eastAsia="宋体" w:cs="Times New Roman"/>
                <w:color w:val="000000" w:themeColor="text1"/>
                <w:kern w:val="16"/>
                <w:position w:val="6"/>
                <w:highlight w:val="none"/>
                <w:lang w:val="en-US" w:eastAsia="zh-CN"/>
                <w14:textFill>
                  <w14:solidFill>
                    <w14:schemeClr w14:val="tx1"/>
                  </w14:solidFill>
                </w14:textFill>
              </w:rPr>
              <w:t>3</w:t>
            </w:r>
            <w:r>
              <w:rPr>
                <w:rFonts w:hint="eastAsia" w:ascii="Times New Roman" w:hAnsi="Times New Roman" w:eastAsia="宋体" w:cs="Times New Roman"/>
                <w:color w:val="000000" w:themeColor="text1"/>
                <w:kern w:val="16"/>
                <w:position w:val="6"/>
                <w:highlight w:val="none"/>
                <w:lang w:eastAsia="zh-CN"/>
                <w14:textFill>
                  <w14:solidFill>
                    <w14:schemeClr w14:val="tx1"/>
                  </w14:solidFill>
                </w14:textFill>
              </w:rPr>
              <w:t>）</w:t>
            </w:r>
            <w:r>
              <w:rPr>
                <w:rFonts w:hint="eastAsia" w:ascii="Times New Roman" w:hAnsi="Times New Roman" w:eastAsia="宋体" w:cs="Times New Roman"/>
                <w:color w:val="000000" w:themeColor="text1"/>
                <w:kern w:val="16"/>
                <w:position w:val="6"/>
                <w:highlight w:val="none"/>
                <w14:textFill>
                  <w14:solidFill>
                    <w14:schemeClr w14:val="tx1"/>
                  </w14:solidFill>
                </w14:textFill>
              </w:rPr>
              <w:t>开标过程中要求投标人进行澄清、说明或者补正的，须通过指定的电子邮箱 940929052@qq.com作出澄清、说明或者补正，提交澄清、说明或补正的时间为接到工作人员电话通知后半小时内。请投标单位期间电话保持畅通，如未及时接听电话，视为放弃澄清、说明或补正的权利；</w:t>
            </w:r>
          </w:p>
          <w:p w14:paraId="6D868BAE">
            <w:pPr>
              <w:pStyle w:val="7"/>
              <w:spacing w:line="400" w:lineRule="exact"/>
              <w:rPr>
                <w:rFonts w:hint="eastAsia" w:ascii="Times New Roman" w:hAnsi="Times New Roman" w:eastAsia="宋体" w:cs="Times New Roman"/>
                <w:color w:val="000000" w:themeColor="text1"/>
                <w:kern w:val="16"/>
                <w:position w:val="6"/>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w:t>
            </w:r>
            <w:r>
              <w:rPr>
                <w:rFonts w:hint="eastAsia" w:ascii="Times New Roman" w:hAnsi="Times New Roman" w:eastAsia="宋体" w:cs="Times New Roman"/>
                <w:color w:val="000000" w:themeColor="text1"/>
                <w:kern w:val="16"/>
                <w:position w:val="6"/>
                <w:highlight w:val="none"/>
                <w:lang w:val="en-US" w:eastAsia="zh-CN"/>
                <w14:textFill>
                  <w14:solidFill>
                    <w14:schemeClr w14:val="tx1"/>
                  </w14:solidFill>
                </w14:textFill>
              </w:rPr>
              <w:t>4</w:t>
            </w:r>
            <w:r>
              <w:rPr>
                <w:rFonts w:hint="eastAsia" w:ascii="Times New Roman" w:hAnsi="Times New Roman" w:eastAsia="宋体" w:cs="Times New Roman"/>
                <w:color w:val="000000" w:themeColor="text1"/>
                <w:kern w:val="16"/>
                <w:position w:val="6"/>
                <w:highlight w:val="none"/>
                <w14:textFill>
                  <w14:solidFill>
                    <w14:schemeClr w14:val="tx1"/>
                  </w14:solidFill>
                </w14:textFill>
              </w:rPr>
              <w:t>）取消投标人法定代表人或授权委托人到场签字要求，取消开标记录表签字要求；</w:t>
            </w:r>
            <w:bookmarkStart w:id="283" w:name="OLE_LINK58"/>
          </w:p>
          <w:p w14:paraId="47373A10">
            <w:pPr>
              <w:pStyle w:val="7"/>
              <w:spacing w:line="400" w:lineRule="exact"/>
              <w:rPr>
                <w:rFonts w:ascii="宋体" w:hAnsi="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kern w:val="16"/>
                <w:position w:val="6"/>
                <w:highlight w:val="none"/>
                <w14:textFill>
                  <w14:solidFill>
                    <w14:schemeClr w14:val="tx1"/>
                  </w14:solidFill>
                </w14:textFill>
              </w:rPr>
              <w:t>（</w:t>
            </w:r>
            <w:r>
              <w:rPr>
                <w:rFonts w:hint="eastAsia" w:ascii="Times New Roman" w:hAnsi="Times New Roman" w:eastAsia="宋体" w:cs="Times New Roman"/>
                <w:color w:val="000000" w:themeColor="text1"/>
                <w:kern w:val="16"/>
                <w:position w:val="6"/>
                <w:highlight w:val="none"/>
                <w:lang w:val="en-US" w:eastAsia="zh-CN"/>
                <w14:textFill>
                  <w14:solidFill>
                    <w14:schemeClr w14:val="tx1"/>
                  </w14:solidFill>
                </w14:textFill>
              </w:rPr>
              <w:t>4</w:t>
            </w:r>
            <w:r>
              <w:rPr>
                <w:rFonts w:hint="eastAsia" w:ascii="Times New Roman" w:hAnsi="Times New Roman" w:eastAsia="宋体" w:cs="Times New Roman"/>
                <w:color w:val="000000" w:themeColor="text1"/>
                <w:kern w:val="16"/>
                <w:position w:val="6"/>
                <w:highlight w:val="none"/>
                <w14:textFill>
                  <w14:solidFill>
                    <w14:schemeClr w14:val="tx1"/>
                  </w14:solidFill>
                </w14:textFill>
              </w:rPr>
              <w:t>）由代理机构工作人员现场在监督部门、公证处监督下核验投标文件密封性并开启投标文件，组织评审，并对开评标活动进行全程录音录像。</w:t>
            </w:r>
            <w:bookmarkEnd w:id="283"/>
          </w:p>
        </w:tc>
      </w:tr>
      <w:tr w14:paraId="7537D7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434907C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5.2</w:t>
            </w:r>
          </w:p>
        </w:tc>
        <w:tc>
          <w:tcPr>
            <w:tcW w:w="1990" w:type="dxa"/>
            <w:vAlign w:val="center"/>
          </w:tcPr>
          <w:p w14:paraId="62B8A1BC">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开标程序（双信封）</w:t>
            </w:r>
          </w:p>
        </w:tc>
        <w:tc>
          <w:tcPr>
            <w:tcW w:w="6373" w:type="dxa"/>
            <w:vAlign w:val="center"/>
          </w:tcPr>
          <w:p w14:paraId="133D3414">
            <w:pPr>
              <w:pStyle w:val="7"/>
              <w:spacing w:line="32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5.2.1  招标人按下列程序对投标文件第一个信封（商务及技术文件）进行开标：</w:t>
            </w:r>
          </w:p>
          <w:p w14:paraId="6FAECED8">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（1）宣布开标纪律；</w:t>
            </w:r>
          </w:p>
          <w:p w14:paraId="7F10E236">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（2）由招标人（或招标代理）组织和主持；</w:t>
            </w:r>
          </w:p>
          <w:p w14:paraId="7BAC2EB7">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（3）公布在投标截止时间前递交投标文件的投标人名称；</w:t>
            </w:r>
          </w:p>
          <w:p w14:paraId="1FD51654">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（4）宣布开标人、唱标人、记录人、监标人等有关人员姓名；</w:t>
            </w:r>
          </w:p>
          <w:p w14:paraId="4E7A0D6D">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（5）由第一家递交投标文件的投标人代表或监标人检查投标文件第一</w:t>
            </w:r>
            <w:r>
              <w:rPr>
                <w:rFonts w:hint="eastAsia"/>
                <w:color w:val="000000" w:themeColor="text1"/>
                <w:kern w:val="16"/>
                <w:position w:val="6"/>
                <w:highlight w:val="none"/>
                <w:lang w:val="en-US" w:eastAsia="zh-CN"/>
                <w14:textFill>
                  <w14:solidFill>
                    <w14:schemeClr w14:val="tx1"/>
                  </w14:solidFill>
                </w14:textFill>
              </w:rPr>
              <w:t>个</w:t>
            </w:r>
            <w:r>
              <w:rPr>
                <w:rFonts w:hint="eastAsia" w:eastAsia="宋体"/>
                <w:color w:val="000000" w:themeColor="text1"/>
                <w:kern w:val="16"/>
                <w:position w:val="6"/>
                <w:highlight w:val="none"/>
                <w14:textFill>
                  <w14:solidFill>
                    <w14:schemeClr w14:val="tx1"/>
                  </w14:solidFill>
                </w14:textFill>
              </w:rPr>
              <w:t>信封的密封情况，第二</w:t>
            </w:r>
            <w:r>
              <w:rPr>
                <w:rFonts w:hint="eastAsia"/>
                <w:color w:val="000000" w:themeColor="text1"/>
                <w:kern w:val="16"/>
                <w:position w:val="6"/>
                <w:highlight w:val="none"/>
                <w:lang w:val="en-US" w:eastAsia="zh-CN"/>
                <w14:textFill>
                  <w14:solidFill>
                    <w14:schemeClr w14:val="tx1"/>
                  </w14:solidFill>
                </w14:textFill>
              </w:rPr>
              <w:t>个</w:t>
            </w:r>
            <w:r>
              <w:rPr>
                <w:rFonts w:hint="eastAsia" w:eastAsia="宋体"/>
                <w:color w:val="000000" w:themeColor="text1"/>
                <w:kern w:val="16"/>
                <w:position w:val="6"/>
                <w:highlight w:val="none"/>
                <w14:textFill>
                  <w14:solidFill>
                    <w14:schemeClr w14:val="tx1"/>
                  </w14:solidFill>
                </w14:textFill>
              </w:rPr>
              <w:t>信封不予开封；</w:t>
            </w:r>
          </w:p>
          <w:p w14:paraId="5802DF96">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（6）按照后递交先开的顺序进行开标；</w:t>
            </w:r>
          </w:p>
          <w:p w14:paraId="30D53834">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（7）招标人代表、监标人、记录人等有关人员在第一</w:t>
            </w:r>
            <w:r>
              <w:rPr>
                <w:rFonts w:hint="eastAsia"/>
                <w:color w:val="000000" w:themeColor="text1"/>
                <w:kern w:val="16"/>
                <w:position w:val="6"/>
                <w:highlight w:val="none"/>
                <w:lang w:val="en-US" w:eastAsia="zh-CN"/>
                <w14:textFill>
                  <w14:solidFill>
                    <w14:schemeClr w14:val="tx1"/>
                  </w14:solidFill>
                </w14:textFill>
              </w:rPr>
              <w:t>个</w:t>
            </w:r>
            <w:r>
              <w:rPr>
                <w:rFonts w:hint="eastAsia" w:eastAsia="宋体"/>
                <w:color w:val="000000" w:themeColor="text1"/>
                <w:kern w:val="16"/>
                <w:position w:val="6"/>
                <w:highlight w:val="none"/>
                <w14:textFill>
                  <w14:solidFill>
                    <w14:schemeClr w14:val="tx1"/>
                  </w14:solidFill>
                </w14:textFill>
              </w:rPr>
              <w:t>信封开标记录上签字确认；</w:t>
            </w:r>
          </w:p>
          <w:p w14:paraId="4334E12E">
            <w:pPr>
              <w:pStyle w:val="7"/>
              <w:spacing w:line="400" w:lineRule="exact"/>
              <w:rPr>
                <w:rFonts w:hint="eastAsia"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（8）第一</w:t>
            </w:r>
            <w:r>
              <w:rPr>
                <w:rFonts w:hint="eastAsia"/>
                <w:color w:val="000000" w:themeColor="text1"/>
                <w:kern w:val="16"/>
                <w:position w:val="6"/>
                <w:highlight w:val="none"/>
                <w:lang w:val="en-US" w:eastAsia="zh-CN"/>
                <w14:textFill>
                  <w14:solidFill>
                    <w14:schemeClr w14:val="tx1"/>
                  </w14:solidFill>
                </w14:textFill>
              </w:rPr>
              <w:t>个</w:t>
            </w:r>
            <w:r>
              <w:rPr>
                <w:rFonts w:hint="eastAsia" w:eastAsia="宋体"/>
                <w:color w:val="000000" w:themeColor="text1"/>
                <w:kern w:val="16"/>
                <w:position w:val="6"/>
                <w:highlight w:val="none"/>
                <w14:textFill>
                  <w14:solidFill>
                    <w14:schemeClr w14:val="tx1"/>
                  </w14:solidFill>
                </w14:textFill>
              </w:rPr>
              <w:t>信封开标结束。</w:t>
            </w:r>
          </w:p>
          <w:p w14:paraId="61ADE0E3">
            <w:pPr>
              <w:pStyle w:val="7"/>
              <w:spacing w:line="400" w:lineRule="exact"/>
              <w:rPr>
                <w:rFonts w:hint="default" w:ascii="Times New Roman" w:hAnsi="Times New Roman" w:eastAsia="宋体" w:cs="Times New Roman"/>
                <w:color w:val="000000" w:themeColor="text1"/>
                <w:kern w:val="16"/>
                <w:position w:val="6"/>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16"/>
                <w:position w:val="6"/>
                <w:highlight w:val="none"/>
                <w:lang w:val="en-US" w:eastAsia="zh-CN"/>
                <w14:textFill>
                  <w14:solidFill>
                    <w14:schemeClr w14:val="tx1"/>
                  </w14:solidFill>
                </w14:textFill>
              </w:rPr>
              <w:t>5.2.2</w:t>
            </w:r>
            <w:r>
              <w:rPr>
                <w:rFonts w:hint="eastAsia" w:ascii="Times New Roman" w:hAnsi="Times New Roman" w:eastAsia="宋体" w:cs="Times New Roman"/>
                <w:color w:val="000000" w:themeColor="text1"/>
                <w:kern w:val="16"/>
                <w:position w:val="6"/>
                <w:highlight w:val="none"/>
                <w14:textFill>
                  <w14:solidFill>
                    <w14:schemeClr w14:val="tx1"/>
                  </w14:solidFill>
                </w14:textFill>
              </w:rPr>
              <w:t>若招标人宣读的内容与投标文件不符时，投标人有权在开标现场提出异议，经监标人当场核查确认之后，可重新宣读其投标文件。若投标人现场未提出异议，则认为投标人已确认招标人宣读的内容。</w:t>
            </w:r>
          </w:p>
          <w:p w14:paraId="1D732152">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5.2.</w:t>
            </w:r>
            <w:r>
              <w:rPr>
                <w:rFonts w:hint="eastAsia" w:eastAsia="宋体"/>
                <w:color w:val="000000" w:themeColor="text1"/>
                <w:kern w:val="16"/>
                <w:position w:val="6"/>
                <w:highlight w:val="none"/>
                <w:lang w:val="en-US" w:eastAsia="zh-CN"/>
                <w14:textFill>
                  <w14:solidFill>
                    <w14:schemeClr w14:val="tx1"/>
                  </w14:solidFill>
                </w14:textFill>
              </w:rPr>
              <w:t>3</w:t>
            </w:r>
            <w:r>
              <w:rPr>
                <w:rFonts w:hint="eastAsia" w:eastAsia="宋体"/>
                <w:color w:val="000000" w:themeColor="text1"/>
                <w:kern w:val="16"/>
                <w:position w:val="6"/>
                <w:highlight w:val="none"/>
                <w14:textFill>
                  <w14:solidFill>
                    <w14:schemeClr w14:val="tx1"/>
                  </w14:solidFill>
                </w14:textFill>
              </w:rPr>
              <w:t>在投标文件第一个信封（商务及技术文件）完成评审前，不得开启投标文件第二个信封（报价文件）。</w:t>
            </w:r>
          </w:p>
          <w:p w14:paraId="0C3254F6">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5.2.</w:t>
            </w:r>
            <w:r>
              <w:rPr>
                <w:rFonts w:hint="eastAsia" w:eastAsia="宋体"/>
                <w:color w:val="000000" w:themeColor="text1"/>
                <w:kern w:val="16"/>
                <w:position w:val="6"/>
                <w:highlight w:val="none"/>
                <w:lang w:val="en-US" w:eastAsia="zh-CN"/>
                <w14:textFill>
                  <w14:solidFill>
                    <w14:schemeClr w14:val="tx1"/>
                  </w14:solidFill>
                </w14:textFill>
              </w:rPr>
              <w:t>4</w:t>
            </w:r>
            <w:r>
              <w:rPr>
                <w:rFonts w:hint="eastAsia" w:eastAsia="宋体"/>
                <w:color w:val="000000" w:themeColor="text1"/>
                <w:kern w:val="16"/>
                <w:position w:val="6"/>
                <w:highlight w:val="none"/>
                <w14:textFill>
                  <w14:solidFill>
                    <w14:schemeClr w14:val="tx1"/>
                  </w14:solidFill>
                </w14:textFill>
              </w:rPr>
              <w:t>招标人将按照本章第5.1款规定的时间和地点对投标文件第二个信封（报价文件）进行开标：</w:t>
            </w:r>
          </w:p>
          <w:p w14:paraId="5D5E15A7">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（1）宣布开标纪律；</w:t>
            </w:r>
          </w:p>
          <w:p w14:paraId="6112F764">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（2）宣布通过第一个信封（商务及技术文件）投标人名单，未通过投标文件第一个信封（商务及技术文件）评审的投标文件不参与第二</w:t>
            </w:r>
            <w:r>
              <w:rPr>
                <w:rFonts w:hint="eastAsia"/>
                <w:color w:val="000000" w:themeColor="text1"/>
                <w:kern w:val="16"/>
                <w:position w:val="6"/>
                <w:highlight w:val="none"/>
                <w:lang w:val="en-US" w:eastAsia="zh-CN"/>
                <w14:textFill>
                  <w14:solidFill>
                    <w14:schemeClr w14:val="tx1"/>
                  </w14:solidFill>
                </w14:textFill>
              </w:rPr>
              <w:t>个</w:t>
            </w:r>
            <w:bookmarkStart w:id="1908" w:name="_GoBack"/>
            <w:bookmarkEnd w:id="1908"/>
            <w:r>
              <w:rPr>
                <w:rFonts w:hint="eastAsia" w:eastAsia="宋体"/>
                <w:color w:val="000000" w:themeColor="text1"/>
                <w:kern w:val="16"/>
                <w:position w:val="6"/>
                <w:highlight w:val="none"/>
                <w14:textFill>
                  <w14:solidFill>
                    <w14:schemeClr w14:val="tx1"/>
                  </w14:solidFill>
                </w14:textFill>
              </w:rPr>
              <w:t>信封（报价文件）的开标；</w:t>
            </w:r>
          </w:p>
          <w:p w14:paraId="053B6E1C">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（3）宣布开标人、唱标人、记录人、监标人等有关人员姓名；</w:t>
            </w:r>
          </w:p>
          <w:p w14:paraId="5C05DFEE">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（4）由第一家递交投标文件的投标人代表或监标人检查投标文件的密封情况；</w:t>
            </w:r>
          </w:p>
          <w:p w14:paraId="1AAB19EF">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（5）抽取系数</w:t>
            </w:r>
          </w:p>
          <w:p w14:paraId="5D76621A">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现场抽取调整系数、复合系数和下浮系数。</w:t>
            </w:r>
          </w:p>
          <w:p w14:paraId="45F70AF3">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（6）按投标文件后递交先开标的顺序开标；</w:t>
            </w:r>
          </w:p>
          <w:p w14:paraId="1C9C5480">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7）按照宣布的开标顺序当众开标，开标人在拆封投标文件第二个信封（报价文件）外层封套后，按照内层封套上写明的投标人名称公布投标人名称、标段名称、投标报价及其他内容，并记录在案。未通过投标文件第一个信封（商务及技术文件）评审的投标文件不参与第二信封的开标；</w:t>
            </w:r>
          </w:p>
          <w:p w14:paraId="3A01673B">
            <w:pPr>
              <w:pStyle w:val="7"/>
              <w:spacing w:line="32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（8）招标人代表、监标人、记录人等有关人员在开标记录上签字确认；</w:t>
            </w:r>
          </w:p>
          <w:p w14:paraId="5254E2C5">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（9）开标会议结束。</w:t>
            </w:r>
          </w:p>
          <w:p w14:paraId="0134B2FB">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5.2.</w:t>
            </w:r>
            <w:r>
              <w:rPr>
                <w:rFonts w:hint="eastAsia" w:eastAsia="宋体"/>
                <w:color w:val="000000" w:themeColor="text1"/>
                <w:kern w:val="16"/>
                <w:position w:val="6"/>
                <w:highlight w:val="none"/>
                <w:lang w:val="en-US" w:eastAsia="zh-CN"/>
                <w14:textFill>
                  <w14:solidFill>
                    <w14:schemeClr w14:val="tx1"/>
                  </w14:solidFill>
                </w14:textFill>
              </w:rPr>
              <w:t>5</w:t>
            </w:r>
            <w:r>
              <w:rPr>
                <w:rFonts w:hint="eastAsia" w:eastAsia="宋体"/>
                <w:color w:val="000000" w:themeColor="text1"/>
                <w:kern w:val="16"/>
                <w:position w:val="6"/>
                <w:highlight w:val="none"/>
                <w14:textFill>
                  <w14:solidFill>
                    <w14:schemeClr w14:val="tx1"/>
                  </w14:solidFill>
                </w14:textFill>
              </w:rPr>
              <w:t>第二个信封（报价文件）开标过程中，若招标人发现投标文件出现以下任一情况，经监标人确认并记录在案：</w:t>
            </w:r>
          </w:p>
          <w:p w14:paraId="214F3E11">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(1)未在投标函上填写投标总价；</w:t>
            </w:r>
          </w:p>
          <w:p w14:paraId="0EBB4502">
            <w:pPr>
              <w:pStyle w:val="7"/>
              <w:spacing w:line="400" w:lineRule="exact"/>
              <w:rPr>
                <w:rFonts w:eastAsia="宋体"/>
                <w:color w:val="000000" w:themeColor="text1"/>
                <w:kern w:val="16"/>
                <w:position w:val="6"/>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(2)投标报价或调价函中的报价超出招标人公布的投标控制价上限（如有）。</w:t>
            </w:r>
          </w:p>
          <w:p w14:paraId="48FA5051">
            <w:pPr>
              <w:pStyle w:val="7"/>
              <w:spacing w:line="400" w:lineRule="exact"/>
              <w:rPr>
                <w:rFonts w:ascii="宋体" w:hAnsi="宋体" w:cs="宋体"/>
                <w:color w:val="000000" w:themeColor="text1"/>
                <w:szCs w:val="21"/>
                <w:highlight w:val="none"/>
                <w14:textFill>
                  <w14:solidFill>
                    <w14:schemeClr w14:val="tx1"/>
                  </w14:solidFill>
                </w14:textFill>
              </w:rPr>
            </w:pPr>
            <w:r>
              <w:rPr>
                <w:rFonts w:hint="eastAsia" w:eastAsia="宋体"/>
                <w:color w:val="000000" w:themeColor="text1"/>
                <w:kern w:val="16"/>
                <w:position w:val="6"/>
                <w:highlight w:val="none"/>
                <w14:textFill>
                  <w14:solidFill>
                    <w14:schemeClr w14:val="tx1"/>
                  </w14:solidFill>
                </w14:textFill>
              </w:rPr>
              <w:t>5.2.</w:t>
            </w:r>
            <w:r>
              <w:rPr>
                <w:rFonts w:hint="eastAsia" w:eastAsia="宋体"/>
                <w:color w:val="000000" w:themeColor="text1"/>
                <w:kern w:val="16"/>
                <w:position w:val="6"/>
                <w:highlight w:val="none"/>
                <w:lang w:val="en-US" w:eastAsia="zh-CN"/>
                <w14:textFill>
                  <w14:solidFill>
                    <w14:schemeClr w14:val="tx1"/>
                  </w14:solidFill>
                </w14:textFill>
              </w:rPr>
              <w:t>6</w:t>
            </w:r>
            <w:r>
              <w:rPr>
                <w:rFonts w:hint="eastAsia" w:eastAsia="宋体"/>
                <w:color w:val="000000" w:themeColor="text1"/>
                <w:kern w:val="16"/>
                <w:position w:val="6"/>
                <w:highlight w:val="none"/>
                <w14:textFill>
                  <w14:solidFill>
                    <w14:schemeClr w14:val="tx1"/>
                  </w14:solidFill>
                </w14:textFill>
              </w:rPr>
              <w:t>若招标人宣读的内容与投标文件不符时，投标人有权在开标现场提出异议，经监标人当场核查确认之后，可重新宣读其投标文件。若投标人现场未提出异议，则认为投标人已确认招标人宣读的内容。</w:t>
            </w:r>
          </w:p>
        </w:tc>
      </w:tr>
      <w:tr w14:paraId="66333E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4585272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6.1.1</w:t>
            </w:r>
          </w:p>
        </w:tc>
        <w:tc>
          <w:tcPr>
            <w:tcW w:w="1990" w:type="dxa"/>
            <w:vAlign w:val="center"/>
          </w:tcPr>
          <w:p w14:paraId="00B69068">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评标委员会的组建</w:t>
            </w:r>
          </w:p>
        </w:tc>
        <w:tc>
          <w:tcPr>
            <w:tcW w:w="6373" w:type="dxa"/>
            <w:vAlign w:val="center"/>
          </w:tcPr>
          <w:p w14:paraId="04328AB6">
            <w:pPr>
              <w:pStyle w:val="7"/>
              <w:spacing w:line="32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评标委员会构成:</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人，其中招标人代表</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人，专家</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人。</w:t>
            </w:r>
          </w:p>
          <w:p w14:paraId="2BEDB73A">
            <w:pPr>
              <w:pStyle w:val="7"/>
              <w:spacing w:line="32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招标人代表确定方式：按1:2比例规定随机抽取。</w:t>
            </w:r>
          </w:p>
          <w:p w14:paraId="13B10866">
            <w:pPr>
              <w:pStyle w:val="7"/>
              <w:spacing w:line="32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评标专家确定方式：从浙江省综合性评标专家库 / 专业中随机抽取。开标后发现有与招标人存在隶属关系的单位（企业）参加投标的，招标人不得派代表参加评标委员会。最终的评标委员会人数少于</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人时应补抽专家。</w:t>
            </w:r>
          </w:p>
        </w:tc>
      </w:tr>
      <w:tr w14:paraId="5627BD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78" w:type="dxa"/>
            <w:vAlign w:val="center"/>
          </w:tcPr>
          <w:p w14:paraId="235BFC7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6.3.2</w:t>
            </w:r>
          </w:p>
        </w:tc>
        <w:tc>
          <w:tcPr>
            <w:tcW w:w="1990" w:type="dxa"/>
            <w:vAlign w:val="center"/>
          </w:tcPr>
          <w:p w14:paraId="720FCAB6">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评标委员会推荐中标候选人的人数</w:t>
            </w:r>
          </w:p>
        </w:tc>
        <w:tc>
          <w:tcPr>
            <w:tcW w:w="6373" w:type="dxa"/>
            <w:vAlign w:val="center"/>
          </w:tcPr>
          <w:p w14:paraId="0E1BF3BC">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推荐的中标候选人的人数为</w:t>
            </w:r>
            <w:r>
              <w:rPr>
                <w:rFonts w:ascii="宋体" w:hAnsi="宋体" w:cs="宋体"/>
                <w:color w:val="000000" w:themeColor="text1"/>
                <w:szCs w:val="21"/>
                <w:highlight w:val="none"/>
                <w:u w:val="single"/>
                <w14:textFill>
                  <w14:solidFill>
                    <w14:schemeClr w14:val="tx1"/>
                  </w14:solidFill>
                </w14:textFill>
              </w:rPr>
              <w:t xml:space="preserve"> 1 </w:t>
            </w:r>
            <w:r>
              <w:rPr>
                <w:rFonts w:hint="eastAsia" w:ascii="宋体" w:hAnsi="宋体" w:cs="宋体"/>
                <w:color w:val="000000" w:themeColor="text1"/>
                <w:szCs w:val="21"/>
                <w:highlight w:val="none"/>
                <w14:textFill>
                  <w14:solidFill>
                    <w14:schemeClr w14:val="tx1"/>
                  </w14:solidFill>
                </w14:textFill>
              </w:rPr>
              <w:t>人</w:t>
            </w:r>
          </w:p>
        </w:tc>
      </w:tr>
      <w:tr w14:paraId="7FA549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26" w:hRule="atLeast"/>
        </w:trPr>
        <w:tc>
          <w:tcPr>
            <w:tcW w:w="978" w:type="dxa"/>
            <w:vAlign w:val="center"/>
          </w:tcPr>
          <w:p w14:paraId="077B168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7.1</w:t>
            </w:r>
          </w:p>
        </w:tc>
        <w:tc>
          <w:tcPr>
            <w:tcW w:w="1990" w:type="dxa"/>
            <w:vAlign w:val="center"/>
          </w:tcPr>
          <w:p w14:paraId="4A1C9EF9">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中标候选人公示媒介、期限及内容</w:t>
            </w:r>
          </w:p>
        </w:tc>
        <w:tc>
          <w:tcPr>
            <w:tcW w:w="6373" w:type="dxa"/>
            <w:vAlign w:val="center"/>
          </w:tcPr>
          <w:p w14:paraId="24939319">
            <w:pPr>
              <w:snapToGrid w:val="0"/>
              <w:rPr>
                <w:rFonts w:ascii="宋体" w:hAnsi="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公示媒介：</w:t>
            </w:r>
            <w:r>
              <w:rPr>
                <w:rFonts w:hint="eastAsia" w:ascii="宋体" w:hAnsi="宋体" w:cs="宋体"/>
                <w:snapToGrid w:val="0"/>
                <w:color w:val="000000" w:themeColor="text1"/>
                <w:highlight w:val="none"/>
                <w:u w:val="single"/>
                <w14:textFill>
                  <w14:solidFill>
                    <w14:schemeClr w14:val="tx1"/>
                  </w14:solidFill>
                </w14:textFill>
              </w:rPr>
              <w:t>“电子交易平台”、</w:t>
            </w:r>
            <w:r>
              <w:rPr>
                <w:rFonts w:hint="eastAsia" w:ascii="宋体" w:hAnsi="宋体"/>
                <w:color w:val="000000" w:themeColor="text1"/>
                <w:highlight w:val="none"/>
                <w:u w:val="single"/>
                <w14:textFill>
                  <w14:solidFill>
                    <w14:schemeClr w14:val="tx1"/>
                  </w14:solidFill>
                </w14:textFill>
              </w:rPr>
              <w:t>浙江省公共资源交易服务平台</w:t>
            </w:r>
          </w:p>
          <w:p w14:paraId="7E8B71DD">
            <w:pPr>
              <w:pStyle w:val="7"/>
              <w:spacing w:line="320" w:lineRule="exact"/>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color w:val="000000" w:themeColor="text1"/>
                <w:highlight w:val="none"/>
                <w:u w:val="single"/>
                <w14:textFill>
                  <w14:solidFill>
                    <w14:schemeClr w14:val="tx1"/>
                  </w14:solidFill>
                </w14:textFill>
              </w:rPr>
              <w:t>http://zjpubservice.zjzwfw.gov.cn/</w:t>
            </w:r>
          </w:p>
          <w:p w14:paraId="15F2B407">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公示期限：不少于3</w:t>
            </w:r>
            <w:r>
              <w:rPr>
                <w:rFonts w:ascii="宋体" w:hAnsi="宋体" w:cs="宋体"/>
                <w:color w:val="000000" w:themeColor="text1"/>
                <w:szCs w:val="21"/>
                <w:highlight w:val="none"/>
                <w14:textFill>
                  <w14:solidFill>
                    <w14:schemeClr w14:val="tx1"/>
                  </w14:solidFill>
                </w14:textFill>
              </w:rPr>
              <w:t>日。</w:t>
            </w:r>
            <w:r>
              <w:rPr>
                <w:rFonts w:hint="eastAsia" w:ascii="宋体" w:hAnsi="宋体" w:eastAsia="宋体" w:cs="宋体"/>
                <w:color w:val="000000" w:themeColor="text1"/>
                <w:szCs w:val="21"/>
                <w:highlight w:val="none"/>
                <w:lang w:val="en-US" w:eastAsia="zh-CN"/>
                <w14:textFill>
                  <w14:solidFill>
                    <w14:schemeClr w14:val="tx1"/>
                  </w14:solidFill>
                </w14:textFill>
              </w:rPr>
              <w:t>截止日</w:t>
            </w:r>
            <w:r>
              <w:rPr>
                <w:rFonts w:ascii="宋体" w:hAnsi="宋体" w:cs="宋体"/>
                <w:color w:val="000000" w:themeColor="text1"/>
                <w:szCs w:val="21"/>
                <w:highlight w:val="none"/>
                <w14:textFill>
                  <w14:solidFill>
                    <w14:schemeClr w14:val="tx1"/>
                  </w14:solidFill>
                </w14:textFill>
              </w:rPr>
              <w:t>如遇国家法定休假日，应顺延至法定休假日后第一个工作日。</w:t>
            </w:r>
          </w:p>
          <w:p w14:paraId="1402B375">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公示内容：</w:t>
            </w:r>
          </w:p>
          <w:p w14:paraId="472A9B84">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 xml:space="preserve">1）中标候选人排序、名称、投标报价，对工程质量要求、安全目标和工期的响应情况； </w:t>
            </w:r>
          </w:p>
          <w:p w14:paraId="1D09C8A8">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 xml:space="preserve">2）中标候选人在投标文件中承诺的项目经理姓名、相关证书名称和编号； </w:t>
            </w:r>
          </w:p>
          <w:p w14:paraId="6A7C0AE3">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3）拟任项目技术负责人姓名；</w:t>
            </w:r>
          </w:p>
          <w:p w14:paraId="6080AEB6">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 xml:space="preserve">4）中标候选人在投标文件中填报的项目业绩； </w:t>
            </w:r>
          </w:p>
          <w:p w14:paraId="63B763D7">
            <w:pPr>
              <w:pStyle w:val="7"/>
              <w:spacing w:line="3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 xml:space="preserve">5）被否决投标的投标人名称、否决依据和原因； </w:t>
            </w:r>
          </w:p>
          <w:p w14:paraId="1E271453">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6）提出异议的渠道和方式；</w:t>
            </w:r>
          </w:p>
        </w:tc>
      </w:tr>
      <w:tr w14:paraId="3E9A9F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56BDD9BE">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7.4</w:t>
            </w:r>
          </w:p>
        </w:tc>
        <w:tc>
          <w:tcPr>
            <w:tcW w:w="1990" w:type="dxa"/>
            <w:vAlign w:val="center"/>
          </w:tcPr>
          <w:p w14:paraId="551FA56F">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定标</w:t>
            </w:r>
          </w:p>
        </w:tc>
        <w:tc>
          <w:tcPr>
            <w:tcW w:w="6373" w:type="dxa"/>
            <w:vAlign w:val="center"/>
          </w:tcPr>
          <w:p w14:paraId="7DE866E5">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是否采用评定分离：</w:t>
            </w:r>
          </w:p>
          <w:p w14:paraId="0338EF0E">
            <w:pPr>
              <w:pStyle w:val="7"/>
              <w:spacing w:line="32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根据《浙江省工程建设项目招标投标</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评定分离</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操作指引（试行）》（浙发改公管〔</w:t>
            </w:r>
            <w:r>
              <w:rPr>
                <w:rFonts w:ascii="宋体" w:hAnsi="宋体" w:cs="宋体"/>
                <w:color w:val="000000" w:themeColor="text1"/>
                <w:szCs w:val="21"/>
                <w:highlight w:val="none"/>
                <w14:textFill>
                  <w14:solidFill>
                    <w14:schemeClr w14:val="tx1"/>
                  </w14:solidFill>
                </w14:textFill>
              </w:rPr>
              <w:t>2023</w:t>
            </w: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 xml:space="preserve">256 </w:t>
            </w:r>
            <w:r>
              <w:rPr>
                <w:rFonts w:hint="eastAsia" w:ascii="宋体" w:hAnsi="宋体" w:cs="宋体"/>
                <w:color w:val="000000" w:themeColor="text1"/>
                <w:szCs w:val="21"/>
                <w:highlight w:val="none"/>
                <w14:textFill>
                  <w14:solidFill>
                    <w14:schemeClr w14:val="tx1"/>
                  </w14:solidFill>
                </w14:textFill>
              </w:rPr>
              <w:t>号）确定中标人。定标办法详见附录</w:t>
            </w:r>
            <w:r>
              <w:rPr>
                <w:rFonts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w:t>
            </w:r>
          </w:p>
          <w:p w14:paraId="2E2AE9ED">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☑否</w:t>
            </w:r>
          </w:p>
        </w:tc>
      </w:tr>
      <w:tr w14:paraId="738D50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2D44210E">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7.6</w:t>
            </w:r>
          </w:p>
        </w:tc>
        <w:tc>
          <w:tcPr>
            <w:tcW w:w="1990" w:type="dxa"/>
            <w:vAlign w:val="center"/>
          </w:tcPr>
          <w:p w14:paraId="50B43934">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中标结果公告媒介及期限</w:t>
            </w:r>
          </w:p>
        </w:tc>
        <w:tc>
          <w:tcPr>
            <w:tcW w:w="6373" w:type="dxa"/>
            <w:vAlign w:val="center"/>
          </w:tcPr>
          <w:p w14:paraId="0B7E1D08">
            <w:pPr>
              <w:pStyle w:val="7"/>
              <w:spacing w:line="320" w:lineRule="exact"/>
              <w:rPr>
                <w:rFonts w:ascii="宋体" w:hAnsi="宋体" w:cs="宋体"/>
                <w:snapToGrid w:val="0"/>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公告媒介：</w:t>
            </w:r>
            <w:r>
              <w:rPr>
                <w:rFonts w:hint="eastAsia" w:ascii="宋体" w:hAnsi="宋体" w:cs="宋体"/>
                <w:snapToGrid w:val="0"/>
                <w:color w:val="000000" w:themeColor="text1"/>
                <w:highlight w:val="none"/>
                <w14:textFill>
                  <w14:solidFill>
                    <w14:schemeClr w14:val="tx1"/>
                  </w14:solidFill>
                </w14:textFill>
              </w:rPr>
              <w:t>“电子交易平台”</w:t>
            </w:r>
          </w:p>
          <w:p w14:paraId="2E18B85A">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公告期限：不少于</w:t>
            </w:r>
            <w:r>
              <w:rPr>
                <w:rFonts w:ascii="宋体" w:hAnsi="宋体" w:cs="宋体"/>
                <w:color w:val="000000" w:themeColor="text1"/>
                <w:szCs w:val="21"/>
                <w:highlight w:val="none"/>
                <w14:textFill>
                  <w14:solidFill>
                    <w14:schemeClr w14:val="tx1"/>
                  </w14:solidFill>
                </w14:textFill>
              </w:rPr>
              <w:t>3日。如遇国家法定休假日，应顺延至法定休假日后第一个工作日</w:t>
            </w:r>
          </w:p>
        </w:tc>
      </w:tr>
      <w:tr w14:paraId="3DFF1A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4B0E23F6">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7.7.1</w:t>
            </w:r>
          </w:p>
        </w:tc>
        <w:tc>
          <w:tcPr>
            <w:tcW w:w="1990" w:type="dxa"/>
            <w:vAlign w:val="center"/>
          </w:tcPr>
          <w:p w14:paraId="1F1678C4">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w:t>
            </w:r>
          </w:p>
        </w:tc>
        <w:tc>
          <w:tcPr>
            <w:tcW w:w="6373" w:type="dxa"/>
            <w:vAlign w:val="center"/>
          </w:tcPr>
          <w:p w14:paraId="452D0958">
            <w:pPr>
              <w:pStyle w:val="7"/>
              <w:widowControl/>
              <w:spacing w:line="320" w:lineRule="exact"/>
              <w:ind w:right="10"/>
              <w:jc w:val="left"/>
              <w:rPr>
                <w:rFonts w:ascii="宋体" w:hAnsi="宋体" w:cs="宋体"/>
                <w:color w:val="000000" w:themeColor="text1"/>
                <w:highlight w:val="none"/>
                <w14:textFill>
                  <w14:solidFill>
                    <w14:schemeClr w14:val="tx1"/>
                  </w14:solidFill>
                </w14:textFill>
              </w:rPr>
            </w:pPr>
            <w:bookmarkStart w:id="284" w:name="OLE_LINK2"/>
            <w:r>
              <w:rPr>
                <w:rFonts w:hint="eastAsia" w:ascii="宋体" w:hAnsi="宋体" w:cs="宋体"/>
                <w:color w:val="000000" w:themeColor="text1"/>
                <w:highlight w:val="none"/>
                <w14:textFill>
                  <w14:solidFill>
                    <w14:schemeClr w14:val="tx1"/>
                  </w14:solidFill>
                </w14:textFill>
              </w:rPr>
              <w:t>履约担保金额：签约合同价的</w:t>
            </w:r>
            <w:r>
              <w:rPr>
                <w:rFonts w:ascii="宋体" w:hAnsi="宋体" w:cs="宋体"/>
                <w:color w:val="000000" w:themeColor="text1"/>
                <w:szCs w:val="21"/>
                <w:highlight w:val="none"/>
                <w:u w:val="single"/>
                <w14:textFill>
                  <w14:solidFill>
                    <w14:schemeClr w14:val="tx1"/>
                  </w14:solidFill>
                </w14:textFill>
              </w:rPr>
              <w:t xml:space="preserve"> 2</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%（不得超过 2%）</w:t>
            </w:r>
          </w:p>
          <w:p w14:paraId="692D9F77">
            <w:pPr>
              <w:pStyle w:val="7"/>
              <w:spacing w:line="440" w:lineRule="exac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履约保证金的形式：</w:t>
            </w:r>
            <w:r>
              <w:rPr>
                <w:rFonts w:hint="eastAsia"/>
                <w:color w:val="000000" w:themeColor="text1"/>
                <w:kern w:val="0"/>
                <w:szCs w:val="21"/>
                <w:highlight w:val="none"/>
                <w14:textFill>
                  <w14:solidFill>
                    <w14:schemeClr w14:val="tx1"/>
                  </w14:solidFill>
                </w14:textFill>
              </w:rPr>
              <w:t>现金（电汇或银行汇票形式）或银行保函或保险机构保证保险保单或融资担保公司保函；</w:t>
            </w:r>
          </w:p>
          <w:p w14:paraId="4318CB7A">
            <w:pPr>
              <w:pStyle w:val="7"/>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若采用银行保函，出具履约担保的银行级别：项目所在地或投标人企业所在地国有或股份制商业银行县（区、市）级及以上银行。</w:t>
            </w:r>
          </w:p>
          <w:p w14:paraId="3576A766">
            <w:pPr>
              <w:pStyle w:val="7"/>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若采用保险公司保函，出具保证保险保单的保险公司应具备相应的偿付能力，并经项目业主同意。</w:t>
            </w:r>
          </w:p>
          <w:p w14:paraId="72933FAE">
            <w:pPr>
              <w:pStyle w:val="7"/>
              <w:spacing w:line="360" w:lineRule="exact"/>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若采用融资担保公司保函，出具融资担保公司保函的融资担保公司应具备相应的偿付能力，并经</w:t>
            </w:r>
            <w:bookmarkStart w:id="285" w:name="OLE_LINK3"/>
            <w:r>
              <w:rPr>
                <w:rFonts w:hint="eastAsia"/>
                <w:color w:val="000000" w:themeColor="text1"/>
                <w:highlight w:val="none"/>
                <w14:textFill>
                  <w14:solidFill>
                    <w14:schemeClr w14:val="tx1"/>
                  </w14:solidFill>
                </w14:textFill>
              </w:rPr>
              <w:t>项目业主</w:t>
            </w:r>
            <w:bookmarkEnd w:id="285"/>
            <w:r>
              <w:rPr>
                <w:rFonts w:hint="eastAsia"/>
                <w:color w:val="000000" w:themeColor="text1"/>
                <w:highlight w:val="none"/>
                <w14:textFill>
                  <w14:solidFill>
                    <w14:schemeClr w14:val="tx1"/>
                  </w14:solidFill>
                </w14:textFill>
              </w:rPr>
              <w:t>同意。</w:t>
            </w:r>
            <w:bookmarkEnd w:id="284"/>
          </w:p>
        </w:tc>
      </w:tr>
      <w:tr w14:paraId="622FA5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55DD6621">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8.5.1</w:t>
            </w:r>
          </w:p>
        </w:tc>
        <w:tc>
          <w:tcPr>
            <w:tcW w:w="1990" w:type="dxa"/>
            <w:vAlign w:val="center"/>
          </w:tcPr>
          <w:p w14:paraId="2AB16197">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监督部门</w:t>
            </w:r>
          </w:p>
        </w:tc>
        <w:tc>
          <w:tcPr>
            <w:tcW w:w="6373" w:type="dxa"/>
            <w:vAlign w:val="center"/>
          </w:tcPr>
          <w:p w14:paraId="4F6E302C">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监督部门的联系方式：</w:t>
            </w:r>
            <w:r>
              <w:rPr>
                <w:rFonts w:ascii="宋体" w:hAnsi="宋体" w:cs="宋体"/>
                <w:color w:val="000000" w:themeColor="text1"/>
                <w:szCs w:val="21"/>
                <w:highlight w:val="none"/>
                <w14:textFill>
                  <w14:solidFill>
                    <w14:schemeClr w14:val="tx1"/>
                  </w14:solidFill>
                </w14:textFill>
              </w:rPr>
              <w:t xml:space="preserve">  </w:t>
            </w:r>
          </w:p>
          <w:p w14:paraId="4FB194DB">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监督部门：</w:t>
            </w:r>
            <w:r>
              <w:rPr>
                <w:rFonts w:hint="eastAsia"/>
                <w:color w:val="000000" w:themeColor="text1"/>
                <w:highlight w:val="none"/>
                <w14:textFill>
                  <w14:solidFill>
                    <w14:schemeClr w14:val="tx1"/>
                  </w14:solidFill>
                </w14:textFill>
              </w:rPr>
              <w:t>绍兴市政务服务办公室</w:t>
            </w:r>
          </w:p>
          <w:p w14:paraId="092D18E5">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w:t>
            </w:r>
            <w:bookmarkStart w:id="286" w:name="OLE_LINK46"/>
            <w:r>
              <w:rPr>
                <w:rFonts w:hint="eastAsia"/>
                <w:color w:val="000000" w:themeColor="text1"/>
                <w:highlight w:val="none"/>
                <w14:textFill>
                  <w14:solidFill>
                    <w14:schemeClr w14:val="tx1"/>
                  </w14:solidFill>
                </w14:textFill>
              </w:rPr>
              <w:t>0575-88307027</w:t>
            </w:r>
            <w:bookmarkEnd w:id="286"/>
          </w:p>
        </w:tc>
      </w:tr>
      <w:tr w14:paraId="348C05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6307A38D">
            <w:pPr>
              <w:pStyle w:val="7"/>
              <w:spacing w:line="320" w:lineRule="exact"/>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9.2</w:t>
            </w:r>
          </w:p>
        </w:tc>
        <w:tc>
          <w:tcPr>
            <w:tcW w:w="1990" w:type="dxa"/>
            <w:vAlign w:val="center"/>
          </w:tcPr>
          <w:p w14:paraId="6718BB09">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否决投标</w:t>
            </w:r>
          </w:p>
        </w:tc>
        <w:tc>
          <w:tcPr>
            <w:tcW w:w="6373" w:type="dxa"/>
            <w:vAlign w:val="center"/>
          </w:tcPr>
          <w:p w14:paraId="6A13F8F2">
            <w:pPr>
              <w:pStyle w:val="7"/>
              <w:spacing w:line="32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21"/>
                <w:highlight w:val="none"/>
                <w14:textFill>
                  <w14:solidFill>
                    <w14:schemeClr w14:val="tx1"/>
                  </w14:solidFill>
                </w14:textFill>
              </w:rPr>
              <w:t>否决投标</w:t>
            </w:r>
          </w:p>
          <w:p w14:paraId="552C969C">
            <w:pPr>
              <w:pStyle w:val="7"/>
              <w:spacing w:line="320" w:lineRule="exact"/>
              <w:rPr>
                <w:rFonts w:ascii="宋体" w:hAnsi="宋体" w:cs="宋体"/>
                <w:color w:val="000000" w:themeColor="text1"/>
                <w:szCs w:val="21"/>
                <w:highlight w:val="none"/>
                <w14:textFill>
                  <w14:solidFill>
                    <w14:schemeClr w14:val="tx1"/>
                  </w14:solidFill>
                </w14:textFill>
              </w:rPr>
            </w:pPr>
            <w:bookmarkStart w:id="287" w:name="OLE_LINK4"/>
            <w:r>
              <w:rPr>
                <w:rFonts w:ascii="宋体" w:hAnsi="宋体" w:cs="宋体"/>
                <w:color w:val="000000" w:themeColor="text1"/>
                <w:szCs w:val="21"/>
                <w:highlight w:val="none"/>
                <w14:textFill>
                  <w14:solidFill>
                    <w14:schemeClr w14:val="tx1"/>
                  </w14:solidFill>
                </w14:textFill>
              </w:rPr>
              <w:t xml:space="preserve">9.2.1 </w:t>
            </w:r>
            <w:r>
              <w:rPr>
                <w:rFonts w:hint="eastAsia" w:ascii="宋体" w:hAnsi="宋体" w:cs="宋体"/>
                <w:color w:val="000000" w:themeColor="text1"/>
                <w:szCs w:val="21"/>
                <w:highlight w:val="none"/>
                <w14:textFill>
                  <w14:solidFill>
                    <w14:schemeClr w14:val="tx1"/>
                  </w14:solidFill>
                </w14:textFill>
              </w:rPr>
              <w:t>凡评标委员会拟作出否决投标决定的，应先向投标人进行书面询问核实。未进行询问核实程序的，不得做出否决投标决定，投标人放弃接受询问核实机会的除外。投标人应自行关注评标委员会发出的澄清并及时答复，在</w:t>
            </w:r>
            <w:bookmarkStart w:id="288" w:name="OLE_LINK9"/>
            <w:r>
              <w:rPr>
                <w:rFonts w:hint="eastAsia" w:ascii="宋体" w:hAnsi="宋体" w:cs="宋体"/>
                <w:color w:val="000000" w:themeColor="text1"/>
                <w:szCs w:val="21"/>
                <w:highlight w:val="none"/>
                <w14:textFill>
                  <w14:solidFill>
                    <w14:schemeClr w14:val="tx1"/>
                  </w14:solidFill>
                </w14:textFill>
              </w:rPr>
              <w:t>30分钟</w:t>
            </w:r>
            <w:bookmarkEnd w:id="288"/>
            <w:r>
              <w:rPr>
                <w:rFonts w:hint="eastAsia" w:ascii="宋体" w:hAnsi="宋体" w:cs="宋体"/>
                <w:color w:val="000000" w:themeColor="text1"/>
                <w:szCs w:val="21"/>
                <w:highlight w:val="none"/>
                <w14:textFill>
                  <w14:solidFill>
                    <w14:schemeClr w14:val="tx1"/>
                  </w14:solidFill>
                </w14:textFill>
              </w:rPr>
              <w:t>内投标人不参加核实或不予答复的，视为放弃接受询问核实机会。</w:t>
            </w:r>
          </w:p>
          <w:bookmarkEnd w:id="287"/>
          <w:p w14:paraId="50626647">
            <w:pPr>
              <w:pStyle w:val="7"/>
              <w:spacing w:line="32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9.2.2 </w:t>
            </w:r>
            <w:r>
              <w:rPr>
                <w:rFonts w:hint="eastAsia" w:ascii="宋体" w:hAnsi="宋体" w:cs="宋体"/>
                <w:color w:val="000000" w:themeColor="text1"/>
                <w:szCs w:val="21"/>
                <w:highlight w:val="none"/>
                <w14:textFill>
                  <w14:solidFill>
                    <w14:schemeClr w14:val="tx1"/>
                  </w14:solidFill>
                </w14:textFill>
              </w:rPr>
              <w:t>投标文件存在以下情形的，由评标委员会审核并经过询问核实程序，其投标文件将被否决：</w:t>
            </w:r>
          </w:p>
          <w:p w14:paraId="531A4F53">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(1)投标文件存在第二章投标人须知及第三章评标办法各条款所列否决投标情形之一的。</w:t>
            </w:r>
          </w:p>
          <w:p w14:paraId="45BF1122">
            <w:pPr>
              <w:pStyle w:val="7"/>
              <w:spacing w:line="32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9.2.3 </w:t>
            </w:r>
            <w:r>
              <w:rPr>
                <w:rFonts w:hint="eastAsia" w:ascii="宋体" w:hAnsi="宋体" w:cs="宋体"/>
                <w:color w:val="000000" w:themeColor="text1"/>
                <w:szCs w:val="21"/>
                <w:highlight w:val="none"/>
                <w14:textFill>
                  <w14:solidFill>
                    <w14:schemeClr w14:val="tx1"/>
                  </w14:solidFill>
                </w14:textFill>
              </w:rPr>
              <w:t>除本款规定以外，招标文件中其他条款均不得作为否决投标文件的依据。</w:t>
            </w:r>
          </w:p>
        </w:tc>
      </w:tr>
      <w:tr w14:paraId="0D801D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978" w:type="dxa"/>
            <w:vAlign w:val="center"/>
          </w:tcPr>
          <w:p w14:paraId="5AB1EB0D">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9.3</w:t>
            </w:r>
          </w:p>
        </w:tc>
        <w:tc>
          <w:tcPr>
            <w:tcW w:w="1990" w:type="dxa"/>
            <w:vAlign w:val="center"/>
          </w:tcPr>
          <w:p w14:paraId="58AACD55">
            <w:pPr>
              <w:pStyle w:val="7"/>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w:t>
            </w:r>
          </w:p>
        </w:tc>
        <w:tc>
          <w:tcPr>
            <w:tcW w:w="6373" w:type="dxa"/>
            <w:vAlign w:val="center"/>
          </w:tcPr>
          <w:p w14:paraId="38A0B251">
            <w:pPr>
              <w:pStyle w:val="7"/>
              <w:spacing w:line="320" w:lineRule="exact"/>
              <w:rPr>
                <w:rFonts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 xml:space="preserve">       /        </w:t>
            </w:r>
          </w:p>
        </w:tc>
      </w:tr>
    </w:tbl>
    <w:p w14:paraId="0DDE045A">
      <w:pPr>
        <w:pStyle w:val="7"/>
        <w:pageBreakBefore/>
        <w:spacing w:line="360" w:lineRule="auto"/>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附录</w:t>
      </w:r>
    </w:p>
    <w:p w14:paraId="1B337D81">
      <w:pPr>
        <w:pStyle w:val="40"/>
        <w:spacing w:before="120" w:after="120" w:line="340" w:lineRule="exact"/>
        <w:jc w:val="center"/>
        <w:rPr>
          <w:rFonts w:ascii="宋体" w:hAnsi="宋体" w:cs="宋体"/>
          <w:bCs w:val="0"/>
          <w:color w:val="000000" w:themeColor="text1"/>
          <w:sz w:val="24"/>
          <w:szCs w:val="21"/>
          <w:highlight w:val="none"/>
          <w14:textFill>
            <w14:solidFill>
              <w14:schemeClr w14:val="tx1"/>
            </w14:solidFill>
          </w14:textFill>
        </w:rPr>
      </w:pPr>
      <w:bookmarkStart w:id="289" w:name="EBf51333bdcb0c497ca15c6a0ca443d8e8"/>
      <w:bookmarkEnd w:id="289"/>
      <w:bookmarkStart w:id="290" w:name="EB39a5d1a88c824f5d93c0af5037d8878f"/>
      <w:bookmarkEnd w:id="290"/>
      <w:bookmarkStart w:id="291" w:name="EBb23999b5e26a4ac29ee2f7c6a5a266c8"/>
      <w:bookmarkEnd w:id="291"/>
      <w:bookmarkStart w:id="292" w:name="_Toc17035"/>
      <w:bookmarkStart w:id="293" w:name="_Toc25480"/>
      <w:bookmarkStart w:id="294" w:name="_Toc21448"/>
      <w:bookmarkStart w:id="295" w:name="_Toc98785244"/>
      <w:bookmarkStart w:id="296" w:name="_Toc31622"/>
      <w:bookmarkStart w:id="297" w:name="_Toc20617"/>
      <w:bookmarkStart w:id="298" w:name="_Toc16196"/>
      <w:bookmarkStart w:id="299" w:name="_Toc10774"/>
      <w:bookmarkStart w:id="300" w:name="_Toc5845"/>
      <w:bookmarkStart w:id="301" w:name="_Toc27740"/>
      <w:bookmarkStart w:id="302" w:name="_Toc119585476"/>
      <w:bookmarkStart w:id="303" w:name="_Toc8915"/>
      <w:bookmarkStart w:id="304" w:name="_Toc120624167"/>
      <w:bookmarkStart w:id="305" w:name="_Toc16943"/>
      <w:bookmarkStart w:id="306" w:name="_Toc118195748"/>
      <w:bookmarkStart w:id="307" w:name="_Toc452457626"/>
      <w:bookmarkStart w:id="308" w:name="_Toc24175"/>
      <w:bookmarkStart w:id="309" w:name="_Toc4260"/>
      <w:bookmarkStart w:id="310" w:name="_Toc3321"/>
      <w:bookmarkStart w:id="311" w:name="_Toc11250"/>
      <w:r>
        <w:rPr>
          <w:rFonts w:hint="eastAsia" w:ascii="宋体" w:hAnsi="宋体" w:cs="宋体"/>
          <w:bCs w:val="0"/>
          <w:color w:val="000000" w:themeColor="text1"/>
          <w:sz w:val="24"/>
          <w:szCs w:val="21"/>
          <w:highlight w:val="none"/>
          <w14:textFill>
            <w14:solidFill>
              <w14:schemeClr w14:val="tx1"/>
            </w14:solidFill>
          </w14:textFill>
        </w:rPr>
        <w:t>附录1 资格审查条件（资质最低要求）</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AFB2E4D">
      <w:pPr>
        <w:pStyle w:val="7"/>
        <w:spacing w:line="360" w:lineRule="auto"/>
        <w:jc w:val="center"/>
        <w:rPr>
          <w:rFonts w:ascii="宋体" w:hAnsi="宋体" w:cs="宋体"/>
          <w:color w:val="000000" w:themeColor="text1"/>
          <w:szCs w:val="21"/>
          <w:highlight w:val="none"/>
          <w14:textFill>
            <w14:solidFill>
              <w14:schemeClr w14:val="tx1"/>
            </w14:solidFill>
          </w14:textFill>
        </w:rPr>
      </w:pPr>
    </w:p>
    <w:tbl>
      <w:tblPr>
        <w:tblStyle w:val="28"/>
        <w:tblW w:w="95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728"/>
        <w:gridCol w:w="6871"/>
      </w:tblGrid>
      <w:tr w14:paraId="6FEA86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89" w:hRule="atLeast"/>
          <w:jc w:val="center"/>
        </w:trPr>
        <w:tc>
          <w:tcPr>
            <w:tcW w:w="2728" w:type="dxa"/>
            <w:vAlign w:val="center"/>
          </w:tcPr>
          <w:p w14:paraId="4EA1F7A1">
            <w:pPr>
              <w:pStyle w:val="7"/>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标段</w:t>
            </w:r>
          </w:p>
        </w:tc>
        <w:tc>
          <w:tcPr>
            <w:tcW w:w="6871" w:type="dxa"/>
            <w:vAlign w:val="center"/>
          </w:tcPr>
          <w:p w14:paraId="50DD6917">
            <w:pPr>
              <w:pStyle w:val="7"/>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施工企业资质等级要求</w:t>
            </w:r>
          </w:p>
        </w:tc>
      </w:tr>
      <w:tr w14:paraId="258B0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15" w:hRule="atLeast"/>
          <w:jc w:val="center"/>
        </w:trPr>
        <w:tc>
          <w:tcPr>
            <w:tcW w:w="2728" w:type="dxa"/>
            <w:vAlign w:val="center"/>
          </w:tcPr>
          <w:p w14:paraId="5B338F09">
            <w:pPr>
              <w:pStyle w:val="7"/>
              <w:spacing w:line="360" w:lineRule="exact"/>
              <w:ind w:firstLine="210" w:firstLineChars="10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第FL01标段</w:t>
            </w:r>
          </w:p>
        </w:tc>
        <w:tc>
          <w:tcPr>
            <w:tcW w:w="6871" w:type="dxa"/>
            <w:vAlign w:val="center"/>
          </w:tcPr>
          <w:p w14:paraId="61AF2880">
            <w:pPr>
              <w:pStyle w:val="7"/>
              <w:spacing w:line="360" w:lineRule="exact"/>
              <w:ind w:firstLine="210" w:firstLineChars="1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投标人应具备</w:t>
            </w:r>
            <w:bookmarkStart w:id="312" w:name="EBb83b47905c404f21ae1189911e4b376b"/>
            <w:r>
              <w:rPr>
                <w:rFonts w:hint="eastAsia"/>
                <w:color w:val="000000" w:themeColor="text1"/>
                <w:highlight w:val="none"/>
                <w14:textFill>
                  <w14:solidFill>
                    <w14:schemeClr w14:val="tx1"/>
                  </w14:solidFill>
                </w14:textFill>
              </w:rPr>
              <w:t>独立法人资格</w:t>
            </w:r>
            <w:bookmarkEnd w:id="312"/>
            <w:r>
              <w:rPr>
                <w:rFonts w:hint="eastAsia" w:ascii="宋体" w:hAnsi="宋体" w:cs="宋体"/>
                <w:color w:val="000000" w:themeColor="text1"/>
                <w:highlight w:val="none"/>
                <w14:textFill>
                  <w14:solidFill>
                    <w14:schemeClr w14:val="tx1"/>
                  </w14:solidFill>
                </w14:textFill>
              </w:rPr>
              <w:t>；</w:t>
            </w:r>
          </w:p>
          <w:p w14:paraId="19C52B5D">
            <w:pPr>
              <w:pStyle w:val="7"/>
              <w:spacing w:line="360" w:lineRule="exact"/>
              <w:ind w:firstLine="210" w:firstLineChars="1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□联合体投标时，联合体各成员资质要求：</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tc>
      </w:tr>
    </w:tbl>
    <w:p w14:paraId="003EBDBE">
      <w:pPr>
        <w:pStyle w:val="7"/>
        <w:spacing w:line="360" w:lineRule="auto"/>
        <w:jc w:val="left"/>
        <w:rPr>
          <w:rFonts w:ascii="宋体" w:hAnsi="宋体" w:cs="宋体"/>
          <w:color w:val="000000" w:themeColor="text1"/>
          <w:sz w:val="20"/>
          <w:szCs w:val="21"/>
          <w:highlight w:val="none"/>
          <w14:textFill>
            <w14:solidFill>
              <w14:schemeClr w14:val="tx1"/>
            </w14:solidFill>
          </w14:textFill>
        </w:rPr>
      </w:pPr>
      <w:bookmarkStart w:id="313" w:name="EB883ce9d83bad4b5fac2e10e7e84baf79"/>
      <w:bookmarkEnd w:id="313"/>
    </w:p>
    <w:p w14:paraId="63A90FC4">
      <w:pPr>
        <w:pStyle w:val="7"/>
        <w:spacing w:line="360" w:lineRule="auto"/>
        <w:jc w:val="left"/>
        <w:rPr>
          <w:rFonts w:ascii="宋体" w:hAnsi="宋体" w:cs="宋体"/>
          <w:color w:val="000000" w:themeColor="text1"/>
          <w:szCs w:val="21"/>
          <w:highlight w:val="none"/>
          <w14:textFill>
            <w14:solidFill>
              <w14:schemeClr w14:val="tx1"/>
            </w14:solidFill>
          </w14:textFill>
        </w:rPr>
      </w:pPr>
    </w:p>
    <w:p w14:paraId="1B8CE9AE">
      <w:pPr>
        <w:pStyle w:val="7"/>
        <w:spacing w:line="360" w:lineRule="auto"/>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br w:type="page"/>
      </w:r>
      <w:bookmarkStart w:id="314" w:name="EB1c3ca57666ef463d97fe82f1f30b66aa"/>
      <w:bookmarkEnd w:id="314"/>
    </w:p>
    <w:p w14:paraId="44C8A96B">
      <w:pPr>
        <w:pStyle w:val="40"/>
        <w:spacing w:before="120" w:after="120" w:line="340" w:lineRule="exact"/>
        <w:jc w:val="center"/>
        <w:rPr>
          <w:rFonts w:ascii="宋体" w:hAnsi="宋体" w:cs="宋体"/>
          <w:bCs w:val="0"/>
          <w:color w:val="000000" w:themeColor="text1"/>
          <w:sz w:val="24"/>
          <w:szCs w:val="21"/>
          <w:highlight w:val="none"/>
          <w14:textFill>
            <w14:solidFill>
              <w14:schemeClr w14:val="tx1"/>
            </w14:solidFill>
          </w14:textFill>
        </w:rPr>
      </w:pPr>
      <w:bookmarkStart w:id="315" w:name="_Toc452457627"/>
      <w:bookmarkStart w:id="316" w:name="_Toc18330"/>
      <w:bookmarkStart w:id="317" w:name="_Toc32282"/>
      <w:bookmarkStart w:id="318" w:name="_Toc119585477"/>
      <w:bookmarkStart w:id="319" w:name="_Toc27199"/>
      <w:bookmarkStart w:id="320" w:name="_Toc577"/>
      <w:bookmarkStart w:id="321" w:name="_Toc18874"/>
      <w:bookmarkStart w:id="322" w:name="_Toc98785245"/>
      <w:bookmarkStart w:id="323" w:name="_Toc29081"/>
      <w:bookmarkStart w:id="324" w:name="_Toc15299"/>
      <w:bookmarkStart w:id="325" w:name="_Toc12318"/>
      <w:bookmarkStart w:id="326" w:name="_Toc11455"/>
      <w:bookmarkStart w:id="327" w:name="_Toc597"/>
      <w:bookmarkStart w:id="328" w:name="_Toc23556"/>
      <w:bookmarkStart w:id="329" w:name="_Toc120624168"/>
      <w:bookmarkStart w:id="330" w:name="_Toc29101"/>
      <w:bookmarkStart w:id="331" w:name="_Toc21286"/>
      <w:bookmarkStart w:id="332" w:name="_Toc13933"/>
      <w:bookmarkStart w:id="333" w:name="_Toc10619"/>
      <w:bookmarkStart w:id="334" w:name="_Toc118195749"/>
      <w:r>
        <w:rPr>
          <w:rFonts w:hint="eastAsia" w:ascii="宋体" w:hAnsi="宋体" w:cs="宋体"/>
          <w:bCs w:val="0"/>
          <w:color w:val="000000" w:themeColor="text1"/>
          <w:sz w:val="24"/>
          <w:szCs w:val="21"/>
          <w:highlight w:val="none"/>
          <w14:textFill>
            <w14:solidFill>
              <w14:schemeClr w14:val="tx1"/>
            </w14:solidFill>
          </w14:textFill>
        </w:rPr>
        <w:t>附录2 资格审查条件（财务最低要求）</w:t>
      </w:r>
      <w:r>
        <w:rPr>
          <w:rFonts w:hint="eastAsia" w:ascii="宋体" w:hAnsi="宋体" w:cs="宋体"/>
          <w:bCs w:val="0"/>
          <w:color w:val="000000" w:themeColor="text1"/>
          <w:sz w:val="24"/>
          <w:szCs w:val="21"/>
          <w:highlight w:val="none"/>
          <w:vertAlign w:val="superscript"/>
          <w14:textFill>
            <w14:solidFill>
              <w14:schemeClr w14:val="tx1"/>
            </w14:solidFill>
          </w14:textFill>
        </w:rPr>
        <w:footnoteReference w:id="3"/>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tbl>
      <w:tblPr>
        <w:tblStyle w:val="28"/>
        <w:tblW w:w="92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046"/>
        <w:gridCol w:w="7213"/>
      </w:tblGrid>
      <w:tr w14:paraId="4EA9C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74" w:hRule="atLeast"/>
          <w:jc w:val="center"/>
        </w:trPr>
        <w:tc>
          <w:tcPr>
            <w:tcW w:w="2046" w:type="dxa"/>
            <w:vAlign w:val="center"/>
          </w:tcPr>
          <w:p w14:paraId="55EF4A5E">
            <w:pPr>
              <w:pStyle w:val="7"/>
              <w:spacing w:line="340" w:lineRule="exact"/>
              <w:jc w:val="center"/>
              <w:rPr>
                <w:rFonts w:ascii="宋体" w:hAnsi="宋体" w:cs="宋体"/>
                <w:color w:val="000000" w:themeColor="text1"/>
                <w:szCs w:val="21"/>
                <w:highlight w:val="none"/>
                <w14:textFill>
                  <w14:solidFill>
                    <w14:schemeClr w14:val="tx1"/>
                  </w14:solidFill>
                </w14:textFill>
              </w:rPr>
            </w:pPr>
            <w:bookmarkStart w:id="335" w:name="EBdfc8171eef06458e9004f90c92371c3a"/>
            <w:r>
              <w:rPr>
                <w:rFonts w:hint="eastAsia" w:ascii="宋体" w:hAnsi="宋体" w:cs="宋体"/>
                <w:color w:val="000000" w:themeColor="text1"/>
                <w:szCs w:val="21"/>
                <w:highlight w:val="none"/>
                <w14:textFill>
                  <w14:solidFill>
                    <w14:schemeClr w14:val="tx1"/>
                  </w14:solidFill>
                </w14:textFill>
              </w:rPr>
              <w:t>标段</w:t>
            </w:r>
          </w:p>
        </w:tc>
        <w:tc>
          <w:tcPr>
            <w:tcW w:w="7213" w:type="dxa"/>
            <w:vAlign w:val="center"/>
          </w:tcPr>
          <w:p w14:paraId="6FF690E4">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财务要求</w:t>
            </w:r>
          </w:p>
        </w:tc>
      </w:tr>
      <w:tr w14:paraId="7EDD31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7" w:hRule="atLeast"/>
          <w:jc w:val="center"/>
        </w:trPr>
        <w:tc>
          <w:tcPr>
            <w:tcW w:w="2046" w:type="dxa"/>
            <w:vAlign w:val="center"/>
          </w:tcPr>
          <w:p w14:paraId="18EF8C6C">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第FL01标段</w:t>
            </w:r>
          </w:p>
        </w:tc>
        <w:tc>
          <w:tcPr>
            <w:tcW w:w="7213" w:type="dxa"/>
            <w:vAlign w:val="center"/>
          </w:tcPr>
          <w:p w14:paraId="4004C275">
            <w:pPr>
              <w:pStyle w:val="7"/>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承诺提供不少于</w:t>
            </w:r>
            <w:r>
              <w:rPr>
                <w:rFonts w:hint="eastAsia" w:ascii="宋体" w:hAnsi="宋体"/>
                <w:color w:val="000000" w:themeColor="text1"/>
                <w:szCs w:val="21"/>
                <w:highlight w:val="none"/>
                <w:u w:val="single"/>
                <w14:textFill>
                  <w14:solidFill>
                    <w14:schemeClr w14:val="tx1"/>
                  </w14:solidFill>
                </w14:textFill>
              </w:rPr>
              <w:t>70</w:t>
            </w:r>
            <w:r>
              <w:rPr>
                <w:rFonts w:hint="eastAsia" w:ascii="宋体" w:hAnsi="宋体" w:cs="宋体"/>
                <w:color w:val="000000" w:themeColor="text1"/>
                <w:szCs w:val="21"/>
                <w:highlight w:val="none"/>
                <w14:textFill>
                  <w14:solidFill>
                    <w14:schemeClr w14:val="tx1"/>
                  </w14:solidFill>
                </w14:textFill>
              </w:rPr>
              <w:t>万元人民币的流动资金（由投标人自行决定采用银行信贷证明或财务能力承诺书。采用财务能力承诺书的，应附招标公告发布后银行出具的不少于要求流动资金的银行存款证明）。</w:t>
            </w:r>
          </w:p>
          <w:p w14:paraId="1812341C">
            <w:pPr>
              <w:pStyle w:val="7"/>
              <w:spacing w:line="3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若采用银行信贷证明，开具银行信贷证明的银行级别：</w:t>
            </w:r>
          </w:p>
          <w:p w14:paraId="1FEC3D61">
            <w:pPr>
              <w:pStyle w:val="7"/>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国有或股份制商业银行或城市商业银行或外商投资银行县（区、市）级及以上银行。</w:t>
            </w:r>
          </w:p>
        </w:tc>
        <w:bookmarkStart w:id="336" w:name="EB83b4b73fcdc94da5a20644d8d049285b"/>
      </w:tr>
      <w:bookmarkEnd w:id="335"/>
      <w:bookmarkEnd w:id="336"/>
    </w:tbl>
    <w:p w14:paraId="76A31068">
      <w:pPr>
        <w:spacing w:line="360" w:lineRule="auto"/>
        <w:jc w:val="left"/>
        <w:rPr>
          <w:rFonts w:ascii="宋体" w:hAnsi="宋体" w:cs="宋体"/>
          <w:b/>
          <w:color w:val="000000" w:themeColor="text1"/>
          <w:sz w:val="24"/>
          <w:szCs w:val="21"/>
          <w:highlight w:val="none"/>
          <w14:textFill>
            <w14:solidFill>
              <w14:schemeClr w14:val="tx1"/>
            </w14:solidFill>
          </w14:textFill>
        </w:rPr>
      </w:pPr>
      <w:bookmarkStart w:id="337" w:name="_Toc9128"/>
      <w:bookmarkStart w:id="338" w:name="_Toc119585478"/>
      <w:bookmarkStart w:id="339" w:name="_Toc3059"/>
      <w:bookmarkStart w:id="340" w:name="_Toc22842"/>
      <w:bookmarkStart w:id="341" w:name="_Toc21508"/>
      <w:bookmarkStart w:id="342" w:name="_Toc98785246"/>
      <w:bookmarkStart w:id="343" w:name="_Toc13489"/>
      <w:bookmarkStart w:id="344" w:name="_Toc9761"/>
      <w:bookmarkStart w:id="345" w:name="_Toc16932"/>
      <w:bookmarkStart w:id="346" w:name="_Toc18211"/>
      <w:bookmarkStart w:id="347" w:name="_Toc10966"/>
      <w:bookmarkStart w:id="348" w:name="_Toc18759"/>
      <w:bookmarkStart w:id="349" w:name="_Toc12529"/>
      <w:bookmarkStart w:id="350" w:name="_Toc957"/>
      <w:bookmarkStart w:id="351" w:name="_Toc120624169"/>
      <w:bookmarkStart w:id="352" w:name="_Toc3236"/>
      <w:bookmarkStart w:id="353" w:name="_Toc452457628"/>
      <w:bookmarkStart w:id="354" w:name="_Toc118195750"/>
      <w:bookmarkStart w:id="355" w:name="_Toc155"/>
      <w:r>
        <w:rPr>
          <w:rFonts w:hint="eastAsia" w:ascii="宋体" w:hAnsi="宋体" w:cs="宋体"/>
          <w:b/>
          <w:color w:val="000000" w:themeColor="text1"/>
          <w:sz w:val="24"/>
          <w:szCs w:val="21"/>
          <w:highlight w:val="none"/>
          <w14:textFill>
            <w14:solidFill>
              <w14:schemeClr w14:val="tx1"/>
            </w14:solidFill>
          </w14:textFill>
        </w:rPr>
        <w:br w:type="page"/>
      </w:r>
    </w:p>
    <w:p w14:paraId="7C896C6D">
      <w:pPr>
        <w:pStyle w:val="40"/>
        <w:spacing w:before="120" w:after="120" w:line="340" w:lineRule="exact"/>
        <w:jc w:val="center"/>
        <w:rPr>
          <w:rFonts w:ascii="宋体" w:hAnsi="宋体" w:cs="宋体"/>
          <w:bCs w:val="0"/>
          <w:color w:val="000000" w:themeColor="text1"/>
          <w:sz w:val="24"/>
          <w:szCs w:val="21"/>
          <w:highlight w:val="none"/>
          <w14:textFill>
            <w14:solidFill>
              <w14:schemeClr w14:val="tx1"/>
            </w14:solidFill>
          </w14:textFill>
        </w:rPr>
      </w:pPr>
      <w:bookmarkStart w:id="356" w:name="_Toc3551"/>
      <w:r>
        <w:rPr>
          <w:rFonts w:hint="eastAsia" w:ascii="宋体" w:hAnsi="宋体" w:cs="宋体"/>
          <w:bCs w:val="0"/>
          <w:color w:val="000000" w:themeColor="text1"/>
          <w:sz w:val="24"/>
          <w:szCs w:val="21"/>
          <w:highlight w:val="none"/>
          <w14:textFill>
            <w14:solidFill>
              <w14:schemeClr w14:val="tx1"/>
            </w14:solidFill>
          </w14:textFill>
        </w:rPr>
        <w:t>附录3 资格审查条件（业绩最低要求）</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Pr>
          <w:rStyle w:val="38"/>
          <w:rFonts w:eastAsia="黑体"/>
          <w:color w:val="000000" w:themeColor="text1"/>
          <w:sz w:val="28"/>
          <w:szCs w:val="28"/>
          <w:highlight w:val="none"/>
          <w:vertAlign w:val="superscript"/>
          <w14:textFill>
            <w14:solidFill>
              <w14:schemeClr w14:val="tx1"/>
            </w14:solidFill>
          </w14:textFill>
        </w:rPr>
        <w:footnoteReference w:id="4"/>
      </w:r>
      <w:bookmarkEnd w:id="356"/>
    </w:p>
    <w:tbl>
      <w:tblPr>
        <w:tblStyle w:val="2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000"/>
        <w:gridCol w:w="7299"/>
      </w:tblGrid>
      <w:tr w14:paraId="3588D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1" w:hRule="atLeast"/>
          <w:jc w:val="center"/>
        </w:trPr>
        <w:tc>
          <w:tcPr>
            <w:tcW w:w="2000" w:type="dxa"/>
            <w:vAlign w:val="center"/>
          </w:tcPr>
          <w:p w14:paraId="5EF6F2AB">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标段</w:t>
            </w:r>
          </w:p>
        </w:tc>
        <w:tc>
          <w:tcPr>
            <w:tcW w:w="7299" w:type="dxa"/>
            <w:vAlign w:val="center"/>
          </w:tcPr>
          <w:p w14:paraId="6BBB0072">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业绩要求</w:t>
            </w:r>
          </w:p>
        </w:tc>
      </w:tr>
      <w:tr w14:paraId="485FF1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57" w:hRule="atLeast"/>
          <w:jc w:val="center"/>
        </w:trPr>
        <w:tc>
          <w:tcPr>
            <w:tcW w:w="2000" w:type="dxa"/>
            <w:vAlign w:val="center"/>
          </w:tcPr>
          <w:p w14:paraId="74BDDB76">
            <w:pPr>
              <w:pStyle w:val="7"/>
              <w:spacing w:line="3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第FL01标段</w:t>
            </w:r>
          </w:p>
        </w:tc>
        <w:tc>
          <w:tcPr>
            <w:tcW w:w="7299" w:type="dxa"/>
            <w:vAlign w:val="center"/>
          </w:tcPr>
          <w:p w14:paraId="10148ECD">
            <w:pPr>
              <w:pStyle w:val="7"/>
              <w:spacing w:line="340" w:lineRule="exact"/>
              <w:jc w:val="lef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自2019年7月1日</w:t>
            </w:r>
            <w:bookmarkStart w:id="357" w:name="OLE_LINK7"/>
            <w:r>
              <w:rPr>
                <w:rFonts w:hint="eastAsia" w:ascii="宋体" w:hAnsi="宋体"/>
                <w:color w:val="000000" w:themeColor="text1"/>
                <w:szCs w:val="21"/>
                <w:highlight w:val="none"/>
                <w14:textFill>
                  <w14:solidFill>
                    <w14:schemeClr w14:val="tx1"/>
                  </w14:solidFill>
                </w14:textFill>
              </w:rPr>
              <w:t>（以实际竣（交）工日期为准）</w:t>
            </w:r>
            <w:bookmarkEnd w:id="357"/>
            <w:r>
              <w:rPr>
                <w:rFonts w:hint="eastAsia" w:ascii="宋体" w:hAnsi="宋体"/>
                <w:color w:val="000000" w:themeColor="text1"/>
                <w:szCs w:val="21"/>
                <w:highlight w:val="none"/>
                <w14:textFill>
                  <w14:solidFill>
                    <w14:schemeClr w14:val="tx1"/>
                  </w14:solidFill>
                </w14:textFill>
              </w:rPr>
              <w:t>以来，按一个标段完成过</w:t>
            </w:r>
            <w:bookmarkStart w:id="358" w:name="OLE_LINK36"/>
            <w:r>
              <w:rPr>
                <w:rFonts w:hint="eastAsia" w:ascii="宋体" w:hAnsi="宋体"/>
                <w:color w:val="000000" w:themeColor="text1"/>
                <w:szCs w:val="21"/>
                <w:highlight w:val="none"/>
                <w:u w:val="single"/>
                <w14:textFill>
                  <w14:solidFill>
                    <w14:schemeClr w14:val="tx1"/>
                  </w14:solidFill>
                </w14:textFill>
              </w:rPr>
              <w:t>一个合同金额</w:t>
            </w:r>
            <w:r>
              <w:rPr>
                <w:rFonts w:hint="eastAsia"/>
                <w:color w:val="000000" w:themeColor="text1"/>
                <w:highlight w:val="none"/>
                <w:u w:val="single"/>
                <w14:textFill>
                  <w14:solidFill>
                    <w14:schemeClr w14:val="tx1"/>
                  </w14:solidFill>
                </w14:textFill>
              </w:rPr>
              <w:t>不少于</w:t>
            </w:r>
            <w:r>
              <w:rPr>
                <w:rFonts w:hint="eastAsia" w:ascii="宋体" w:hAnsi="宋体"/>
                <w:color w:val="000000" w:themeColor="text1"/>
                <w:szCs w:val="21"/>
                <w:highlight w:val="none"/>
                <w:u w:val="single"/>
                <w14:textFill>
                  <w14:solidFill>
                    <w14:schemeClr w14:val="tx1"/>
                  </w14:solidFill>
                </w14:textFill>
              </w:rPr>
              <w:t>480万元绿化工程</w:t>
            </w:r>
            <w:bookmarkEnd w:id="358"/>
            <w:r>
              <w:rPr>
                <w:rFonts w:hint="eastAsia" w:ascii="宋体" w:hAnsi="宋体"/>
                <w:color w:val="000000" w:themeColor="text1"/>
                <w:szCs w:val="21"/>
                <w:highlight w:val="none"/>
                <w14:textFill>
                  <w14:solidFill>
                    <w14:schemeClr w14:val="tx1"/>
                  </w14:solidFill>
                </w14:textFill>
              </w:rPr>
              <w:t>的施工；</w:t>
            </w:r>
          </w:p>
        </w:tc>
      </w:tr>
    </w:tbl>
    <w:p w14:paraId="7D5D1E66">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w:t>
      </w:r>
    </w:p>
    <w:p w14:paraId="28CD48F8">
      <w:pPr>
        <w:numPr>
          <w:ilvl w:val="0"/>
          <w:numId w:val="3"/>
        </w:numPr>
        <w:spacing w:line="360" w:lineRule="auto"/>
        <w:ind w:firstLine="210" w:firstLineChars="1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投标人应在</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第九章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投标文件格式</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的</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近年完成的主要类似项目情况表</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后附相关资料，所附资料见投标人须知前附表第</w:t>
      </w:r>
      <w:r>
        <w:rPr>
          <w:color w:val="000000" w:themeColor="text1"/>
          <w:highlight w:val="none"/>
          <w14:textFill>
            <w14:solidFill>
              <w14:schemeClr w14:val="tx1"/>
            </w14:solidFill>
          </w14:textFill>
        </w:rPr>
        <w:t>3.5.3</w:t>
      </w:r>
      <w:r>
        <w:rPr>
          <w:rFonts w:hint="eastAsia"/>
          <w:color w:val="000000" w:themeColor="text1"/>
          <w:highlight w:val="none"/>
          <w14:textFill>
            <w14:solidFill>
              <w14:schemeClr w14:val="tx1"/>
            </w14:solidFill>
          </w14:textFill>
        </w:rPr>
        <w:t>项规定。</w:t>
      </w:r>
    </w:p>
    <w:p w14:paraId="54A6CB19">
      <w:pPr>
        <w:numPr>
          <w:ilvl w:val="0"/>
          <w:numId w:val="3"/>
        </w:numPr>
        <w:spacing w:line="360" w:lineRule="auto"/>
        <w:ind w:firstLine="210" w:firstLineChars="10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接受以联合体形式承接的类似业绩，且只认可联合体协议书中负责类似业绩的成员提供的业绩</w:t>
      </w:r>
      <w:bookmarkStart w:id="359" w:name="OLE_LINK10"/>
      <w:r>
        <w:rPr>
          <w:rFonts w:hint="eastAsia" w:ascii="Times New Roman" w:hAnsi="Times New Roman" w:eastAsia="宋体" w:cs="Times New Roman"/>
          <w:color w:val="000000" w:themeColor="text1"/>
          <w:highlight w:val="none"/>
          <w:lang w:eastAsia="zh-CN"/>
          <w14:textFill>
            <w14:solidFill>
              <w14:schemeClr w14:val="tx1"/>
            </w14:solidFill>
          </w14:textFill>
        </w:rPr>
        <w:t>。</w:t>
      </w:r>
    </w:p>
    <w:p w14:paraId="184D3198">
      <w:pPr>
        <w:numPr>
          <w:ilvl w:val="0"/>
          <w:numId w:val="3"/>
        </w:numPr>
        <w:spacing w:line="360" w:lineRule="auto"/>
        <w:ind w:firstLine="210" w:firstLineChars="10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投标人的分包业绩、境外业绩不予认可。</w:t>
      </w:r>
    </w:p>
    <w:p w14:paraId="1D0B351C">
      <w:pPr>
        <w:numPr>
          <w:ilvl w:val="0"/>
          <w:numId w:val="3"/>
        </w:numPr>
        <w:spacing w:line="360" w:lineRule="auto"/>
        <w:ind w:firstLine="210" w:firstLineChars="10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如同一合同同时包含多项工程内容的，其中</w:t>
      </w:r>
      <w:r>
        <w:rPr>
          <w:rFonts w:hint="eastAsia" w:ascii="Times New Roman" w:hAnsi="Times New Roman" w:eastAsia="宋体" w:cs="Times New Roman"/>
          <w:color w:val="000000" w:themeColor="text1"/>
          <w:highlight w:val="none"/>
          <w:lang w:val="en-US" w:eastAsia="zh-CN"/>
          <w14:textFill>
            <w14:solidFill>
              <w14:schemeClr w14:val="tx1"/>
            </w14:solidFill>
          </w14:textFill>
        </w:rPr>
        <w:t>绿化</w:t>
      </w:r>
      <w:r>
        <w:rPr>
          <w:rFonts w:hint="eastAsia" w:ascii="Times New Roman" w:hAnsi="Times New Roman" w:eastAsia="宋体" w:cs="Times New Roman"/>
          <w:color w:val="000000" w:themeColor="text1"/>
          <w:highlight w:val="none"/>
          <w14:textFill>
            <w14:solidFill>
              <w14:schemeClr w14:val="tx1"/>
            </w14:solidFill>
          </w14:textFill>
        </w:rPr>
        <w:t>工程的合同金额及工程规模满足招标文件强制性资格要求的</w:t>
      </w: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14:textFill>
            <w14:solidFill>
              <w14:schemeClr w14:val="tx1"/>
            </w14:solidFill>
          </w14:textFill>
        </w:rPr>
        <w:t>予以认可;如质量证明文件、合同协议书、中标通知书均未体现工程规模</w:t>
      </w: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技术标准、主要工程内容的</w:t>
      </w:r>
      <w:r>
        <w:rPr>
          <w:rFonts w:hint="eastAsia" w:ascii="Times New Roman" w:hAnsi="Times New Roman" w:eastAsia="宋体" w:cs="Times New Roman"/>
          <w:color w:val="000000" w:themeColor="text1"/>
          <w:highlight w:val="none"/>
          <w14:textFill>
            <w14:solidFill>
              <w14:schemeClr w14:val="tx1"/>
            </w14:solidFill>
          </w14:textFill>
        </w:rPr>
        <w:t>须附发包人或项目质量监督机构或项目所在地设区市行业主管部门出具的证明材料。</w:t>
      </w:r>
    </w:p>
    <w:p w14:paraId="628A3D80">
      <w:pPr>
        <w:pStyle w:val="11"/>
        <w:ind w:left="0" w:leftChars="0" w:firstLine="0" w:firstLineChars="0"/>
        <w:rPr>
          <w:rFonts w:hint="default" w:eastAsia="宋体"/>
          <w:color w:val="000000" w:themeColor="text1"/>
          <w:highlight w:val="none"/>
          <w:lang w:val="en-US" w:eastAsia="zh-CN"/>
          <w14:textFill>
            <w14:solidFill>
              <w14:schemeClr w14:val="tx1"/>
            </w14:solidFill>
          </w14:textFill>
        </w:rPr>
      </w:pPr>
    </w:p>
    <w:bookmarkEnd w:id="359"/>
    <w:p w14:paraId="59F373F9">
      <w:pPr>
        <w:pStyle w:val="7"/>
        <w:spacing w:line="360" w:lineRule="auto"/>
        <w:rPr>
          <w:rFonts w:ascii="宋体" w:hAnsi="宋体" w:cs="宋体"/>
          <w:color w:val="000000" w:themeColor="text1"/>
          <w:highlight w:val="none"/>
          <w14:textFill>
            <w14:solidFill>
              <w14:schemeClr w14:val="tx1"/>
            </w14:solidFill>
          </w14:textFill>
        </w:rPr>
      </w:pPr>
      <w:bookmarkStart w:id="360" w:name="EB56369db7b41f4f369bfd54ae442fb456"/>
      <w:bookmarkEnd w:id="360"/>
    </w:p>
    <w:p w14:paraId="056B04DA">
      <w:pPr>
        <w:pStyle w:val="7"/>
        <w:spacing w:line="360" w:lineRule="auto"/>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br w:type="page"/>
      </w:r>
      <w:bookmarkStart w:id="361" w:name="EBd8f0d7bb68fd43a488c9286a155aa275"/>
      <w:bookmarkEnd w:id="361"/>
    </w:p>
    <w:p w14:paraId="02867AA7">
      <w:pPr>
        <w:pStyle w:val="40"/>
        <w:spacing w:before="120" w:after="120" w:line="340" w:lineRule="exact"/>
        <w:jc w:val="center"/>
        <w:rPr>
          <w:rFonts w:ascii="宋体" w:hAnsi="宋体" w:cs="宋体"/>
          <w:bCs w:val="0"/>
          <w:color w:val="000000" w:themeColor="text1"/>
          <w:sz w:val="24"/>
          <w:szCs w:val="21"/>
          <w:highlight w:val="none"/>
          <w14:textFill>
            <w14:solidFill>
              <w14:schemeClr w14:val="tx1"/>
            </w14:solidFill>
          </w14:textFill>
        </w:rPr>
      </w:pPr>
      <w:bookmarkStart w:id="362" w:name="_Toc1798"/>
      <w:bookmarkStart w:id="363" w:name="_Toc119585479"/>
      <w:bookmarkStart w:id="364" w:name="_Toc18713"/>
      <w:bookmarkStart w:id="365" w:name="_Toc16452"/>
      <w:bookmarkStart w:id="366" w:name="_Toc30662"/>
      <w:bookmarkStart w:id="367" w:name="_Toc528"/>
      <w:bookmarkStart w:id="368" w:name="_Toc3189"/>
      <w:bookmarkStart w:id="369" w:name="_Toc30098"/>
      <w:bookmarkStart w:id="370" w:name="_Toc452457629"/>
      <w:bookmarkStart w:id="371" w:name="_Toc118195751"/>
      <w:bookmarkStart w:id="372" w:name="_Toc7509"/>
      <w:bookmarkStart w:id="373" w:name="_Toc12892"/>
      <w:bookmarkStart w:id="374" w:name="_Toc27809"/>
      <w:bookmarkStart w:id="375" w:name="_Toc8331"/>
      <w:bookmarkStart w:id="376" w:name="_Toc5433"/>
      <w:bookmarkStart w:id="377" w:name="_Toc10640"/>
      <w:bookmarkStart w:id="378" w:name="_Toc19640"/>
      <w:bookmarkStart w:id="379" w:name="_Toc120624170"/>
      <w:bookmarkStart w:id="380" w:name="_Toc19304"/>
      <w:bookmarkStart w:id="381" w:name="_Toc98785247"/>
      <w:r>
        <w:rPr>
          <w:rFonts w:hint="eastAsia" w:ascii="宋体" w:hAnsi="宋体" w:cs="宋体"/>
          <w:bCs w:val="0"/>
          <w:color w:val="000000" w:themeColor="text1"/>
          <w:sz w:val="24"/>
          <w:szCs w:val="21"/>
          <w:highlight w:val="none"/>
          <w14:textFill>
            <w14:solidFill>
              <w14:schemeClr w14:val="tx1"/>
            </w14:solidFill>
          </w14:textFill>
        </w:rPr>
        <w:t>附录4 资格审查条件（信誉最低要求）</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469D10A6">
      <w:pPr>
        <w:pStyle w:val="7"/>
        <w:spacing w:line="360" w:lineRule="auto"/>
        <w:rPr>
          <w:rFonts w:ascii="宋体" w:hAnsi="宋体" w:cs="宋体"/>
          <w:color w:val="000000" w:themeColor="text1"/>
          <w:highlight w:val="none"/>
          <w14:textFill>
            <w14:solidFill>
              <w14:schemeClr w14:val="tx1"/>
            </w14:solidFill>
          </w14:textFill>
        </w:rPr>
      </w:pPr>
    </w:p>
    <w:tbl>
      <w:tblPr>
        <w:tblStyle w:val="28"/>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751"/>
        <w:gridCol w:w="6429"/>
      </w:tblGrid>
      <w:tr w14:paraId="20A363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134" w:hRule="atLeast"/>
        </w:trPr>
        <w:tc>
          <w:tcPr>
            <w:tcW w:w="2751" w:type="dxa"/>
            <w:vAlign w:val="center"/>
          </w:tcPr>
          <w:p w14:paraId="52FC5330">
            <w:pPr>
              <w:pStyle w:val="7"/>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标段</w:t>
            </w:r>
          </w:p>
        </w:tc>
        <w:tc>
          <w:tcPr>
            <w:tcW w:w="6429" w:type="dxa"/>
            <w:vAlign w:val="center"/>
          </w:tcPr>
          <w:p w14:paraId="39234E8C">
            <w:pPr>
              <w:pStyle w:val="7"/>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信誉要求</w:t>
            </w:r>
          </w:p>
        </w:tc>
      </w:tr>
      <w:tr w14:paraId="7ACF9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38" w:hRule="atLeast"/>
        </w:trPr>
        <w:tc>
          <w:tcPr>
            <w:tcW w:w="2751" w:type="dxa"/>
            <w:vAlign w:val="center"/>
          </w:tcPr>
          <w:p w14:paraId="2D32A99D">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w:t>
            </w:r>
            <w:r>
              <w:rPr>
                <w:rFonts w:hint="eastAsia" w:ascii="宋体" w:hAnsi="宋体"/>
                <w:color w:val="000000" w:themeColor="text1"/>
                <w:szCs w:val="21"/>
                <w:highlight w:val="none"/>
                <w14:textFill>
                  <w14:solidFill>
                    <w14:schemeClr w14:val="tx1"/>
                  </w14:solidFill>
                </w14:textFill>
              </w:rPr>
              <w:t>FL01</w:t>
            </w:r>
            <w:r>
              <w:rPr>
                <w:rFonts w:hint="eastAsia" w:ascii="宋体" w:hAnsi="宋体" w:cs="宋体"/>
                <w:color w:val="000000" w:themeColor="text1"/>
                <w:szCs w:val="21"/>
                <w:highlight w:val="none"/>
                <w14:textFill>
                  <w14:solidFill>
                    <w14:schemeClr w14:val="tx1"/>
                  </w14:solidFill>
                </w14:textFill>
              </w:rPr>
              <w:t>标段</w:t>
            </w:r>
          </w:p>
        </w:tc>
        <w:tc>
          <w:tcPr>
            <w:tcW w:w="6429" w:type="dxa"/>
            <w:vAlign w:val="center"/>
          </w:tcPr>
          <w:p w14:paraId="1A0C5937">
            <w:pPr>
              <w:pStyle w:val="7"/>
              <w:spacing w:line="360" w:lineRule="auto"/>
              <w:jc w:val="left"/>
              <w:rPr>
                <w:rFonts w:ascii="宋体" w:hAnsi="宋体" w:cs="宋体"/>
                <w:color w:val="000000" w:themeColor="text1"/>
                <w:highlight w:val="none"/>
                <w14:textFill>
                  <w14:solidFill>
                    <w14:schemeClr w14:val="tx1"/>
                  </w14:solidFill>
                </w14:textFill>
              </w:rPr>
            </w:pPr>
            <w:bookmarkStart w:id="382" w:name="OLE_LINK27"/>
            <w:r>
              <w:rPr>
                <w:rFonts w:hint="eastAsia" w:ascii="宋体" w:hAnsi="宋体" w:cs="宋体"/>
                <w:color w:val="000000" w:themeColor="text1"/>
                <w:highlight w:val="none"/>
                <w14:textFill>
                  <w14:solidFill>
                    <w14:schemeClr w14:val="tx1"/>
                  </w14:solidFill>
                </w14:textFill>
              </w:rPr>
              <w:t>不得存在投标人须知第</w:t>
            </w:r>
            <w:r>
              <w:rPr>
                <w:rFonts w:ascii="宋体" w:hAnsi="宋体" w:cs="宋体"/>
                <w:color w:val="000000" w:themeColor="text1"/>
                <w:highlight w:val="none"/>
                <w14:textFill>
                  <w14:solidFill>
                    <w14:schemeClr w14:val="tx1"/>
                  </w14:solidFill>
                </w14:textFill>
              </w:rPr>
              <w:t>1.4.3及1.4.4项情形</w:t>
            </w:r>
            <w:bookmarkEnd w:id="382"/>
            <w:r>
              <w:rPr>
                <w:rFonts w:ascii="宋体" w:hAnsi="宋体" w:cs="宋体"/>
                <w:color w:val="000000" w:themeColor="text1"/>
                <w:highlight w:val="none"/>
                <w14:textFill>
                  <w14:solidFill>
                    <w14:schemeClr w14:val="tx1"/>
                  </w14:solidFill>
                </w14:textFill>
              </w:rPr>
              <w:t>。</w:t>
            </w:r>
          </w:p>
        </w:tc>
      </w:tr>
    </w:tbl>
    <w:p w14:paraId="6F399F06">
      <w:pPr>
        <w:pStyle w:val="7"/>
        <w:spacing w:line="360" w:lineRule="auto"/>
        <w:rPr>
          <w:rFonts w:ascii="宋体" w:hAnsi="宋体" w:cs="宋体"/>
          <w:color w:val="000000" w:themeColor="text1"/>
          <w:highlight w:val="none"/>
          <w14:textFill>
            <w14:solidFill>
              <w14:schemeClr w14:val="tx1"/>
            </w14:solidFill>
          </w14:textFill>
        </w:rPr>
      </w:pPr>
    </w:p>
    <w:p w14:paraId="5B7AC373">
      <w:pPr>
        <w:pStyle w:val="7"/>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ascii="宋体" w:hAnsi="宋体" w:cs="宋体"/>
          <w:color w:val="000000" w:themeColor="text1"/>
          <w:highlight w:val="none"/>
          <w14:textFill>
            <w14:solidFill>
              <w14:schemeClr w14:val="tx1"/>
            </w14:solidFill>
          </w14:textFill>
        </w:rPr>
        <w:t xml:space="preserve">1.投标人应在“第九章 </w:t>
      </w:r>
      <w:r>
        <w:rPr>
          <w:rFonts w:hint="eastAsia" w:ascii="宋体" w:hAnsi="宋体" w:cs="宋体"/>
          <w:color w:val="000000" w:themeColor="text1"/>
          <w:highlight w:val="none"/>
          <w14:textFill>
            <w14:solidFill>
              <w14:schemeClr w14:val="tx1"/>
            </w14:solidFill>
          </w14:textFill>
        </w:rPr>
        <w:t>投标文件格式”的</w:t>
      </w:r>
      <w:r>
        <w:rPr>
          <w:rFonts w:hint="eastAsia" w:ascii="宋体" w:hAnsi="宋体" w:cs="宋体"/>
          <w:color w:val="000000" w:themeColor="text1"/>
          <w:szCs w:val="21"/>
          <w:highlight w:val="none"/>
          <w14:textFill>
            <w14:solidFill>
              <w14:schemeClr w14:val="tx1"/>
            </w14:solidFill>
          </w14:textFill>
        </w:rPr>
        <w:t>“投标人的信誉情况表”后附投标人在国家企业信用信息公示系统中未被列入严重违法失信企业名单、在“信用中国”网站中未被列入失信被执行人名单的网页截图。</w:t>
      </w:r>
    </w:p>
    <w:p w14:paraId="251CA811">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p>
    <w:p w14:paraId="43597CDC">
      <w:pPr>
        <w:pStyle w:val="7"/>
        <w:spacing w:line="340" w:lineRule="exact"/>
        <w:ind w:firstLine="420" w:firstLineChars="200"/>
        <w:jc w:val="left"/>
        <w:rPr>
          <w:rFonts w:ascii="宋体" w:hAnsi="宋体" w:cs="宋体"/>
          <w:color w:val="000000" w:themeColor="text1"/>
          <w:szCs w:val="21"/>
          <w:highlight w:val="none"/>
          <w14:textFill>
            <w14:solidFill>
              <w14:schemeClr w14:val="tx1"/>
            </w14:solidFill>
          </w14:textFill>
        </w:rPr>
      </w:pPr>
    </w:p>
    <w:p w14:paraId="09B01F21">
      <w:pPr>
        <w:pStyle w:val="40"/>
        <w:spacing w:before="120" w:after="120" w:line="340" w:lineRule="exact"/>
        <w:jc w:val="center"/>
        <w:rPr>
          <w:rFonts w:ascii="宋体" w:hAnsi="宋体" w:cs="宋体"/>
          <w:bCs w:val="0"/>
          <w:color w:val="000000" w:themeColor="text1"/>
          <w:sz w:val="24"/>
          <w:szCs w:val="21"/>
          <w:highlight w:val="none"/>
          <w14:textFill>
            <w14:solidFill>
              <w14:schemeClr w14:val="tx1"/>
            </w14:solidFill>
          </w14:textFill>
        </w:rPr>
      </w:pPr>
      <w:bookmarkStart w:id="383" w:name="_Toc7337"/>
      <w:bookmarkStart w:id="384" w:name="_Toc7747"/>
      <w:bookmarkStart w:id="385" w:name="_Toc15043"/>
      <w:bookmarkStart w:id="386" w:name="_Toc29404"/>
      <w:bookmarkStart w:id="387" w:name="_Toc13016"/>
      <w:bookmarkStart w:id="388" w:name="_Toc14477"/>
      <w:bookmarkStart w:id="389" w:name="_Toc767"/>
      <w:bookmarkStart w:id="390" w:name="_Toc21804"/>
      <w:bookmarkStart w:id="391" w:name="_Toc119585480"/>
      <w:bookmarkStart w:id="392" w:name="_Toc118195752"/>
      <w:bookmarkStart w:id="393" w:name="_Toc482"/>
      <w:bookmarkStart w:id="394" w:name="_Toc1132"/>
      <w:bookmarkStart w:id="395" w:name="_Toc1838"/>
      <w:bookmarkStart w:id="396" w:name="_Toc452457630"/>
      <w:bookmarkStart w:id="397" w:name="_Toc21612"/>
      <w:bookmarkStart w:id="398" w:name="_Toc14349"/>
      <w:bookmarkStart w:id="399" w:name="_Toc9766"/>
      <w:bookmarkStart w:id="400" w:name="_Toc120624171"/>
      <w:bookmarkStart w:id="401" w:name="_Toc98785248"/>
      <w:bookmarkStart w:id="402" w:name="_Toc20698"/>
      <w:r>
        <w:rPr>
          <w:rFonts w:hint="eastAsia" w:ascii="宋体" w:hAnsi="宋体" w:cs="宋体"/>
          <w:bCs w:val="0"/>
          <w:color w:val="000000" w:themeColor="text1"/>
          <w:sz w:val="24"/>
          <w:szCs w:val="21"/>
          <w:highlight w:val="none"/>
          <w14:textFill>
            <w14:solidFill>
              <w14:schemeClr w14:val="tx1"/>
            </w14:solidFill>
          </w14:textFill>
        </w:rPr>
        <w:t>附录5 资格审查条件（项目经理、项目技术负责人最低要求）</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tbl>
      <w:tblPr>
        <w:tblStyle w:val="28"/>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836"/>
        <w:gridCol w:w="840"/>
        <w:gridCol w:w="6504"/>
      </w:tblGrid>
      <w:tr w14:paraId="4FF58F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8" w:hRule="atLeast"/>
        </w:trPr>
        <w:tc>
          <w:tcPr>
            <w:tcW w:w="1836" w:type="dxa"/>
            <w:vAlign w:val="center"/>
          </w:tcPr>
          <w:p w14:paraId="3F55DE6D">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人员</w:t>
            </w:r>
          </w:p>
        </w:tc>
        <w:tc>
          <w:tcPr>
            <w:tcW w:w="840" w:type="dxa"/>
            <w:vAlign w:val="center"/>
          </w:tcPr>
          <w:p w14:paraId="4B06529D">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6504" w:type="dxa"/>
            <w:vAlign w:val="center"/>
          </w:tcPr>
          <w:p w14:paraId="719AF2E7">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资格要求</w:t>
            </w:r>
          </w:p>
        </w:tc>
      </w:tr>
      <w:tr w14:paraId="285A67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85" w:hRule="atLeast"/>
        </w:trPr>
        <w:tc>
          <w:tcPr>
            <w:tcW w:w="1836" w:type="dxa"/>
            <w:vAlign w:val="center"/>
          </w:tcPr>
          <w:p w14:paraId="4DDC56D9">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项目经理</w:t>
            </w:r>
          </w:p>
        </w:tc>
        <w:tc>
          <w:tcPr>
            <w:tcW w:w="840" w:type="dxa"/>
            <w:vAlign w:val="center"/>
          </w:tcPr>
          <w:p w14:paraId="536C7CBA">
            <w:pPr>
              <w:pStyle w:val="7"/>
              <w:spacing w:line="360" w:lineRule="auto"/>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w:t>
            </w:r>
          </w:p>
        </w:tc>
        <w:tc>
          <w:tcPr>
            <w:tcW w:w="6504" w:type="dxa"/>
            <w:vAlign w:val="center"/>
          </w:tcPr>
          <w:p w14:paraId="36FA94F3">
            <w:pPr>
              <w:pStyle w:val="7"/>
              <w:spacing w:line="360" w:lineRule="auto"/>
              <w:jc w:val="left"/>
              <w:rPr>
                <w:rFonts w:ascii="宋体" w:hAnsi="宋体" w:eastAsia="Times New Roman" w:cs="宋体"/>
                <w:color w:val="000000" w:themeColor="text1"/>
                <w:szCs w:val="21"/>
                <w:highlight w:val="none"/>
                <w14:textFill>
                  <w14:solidFill>
                    <w14:schemeClr w14:val="tx1"/>
                  </w14:solidFill>
                </w14:textFill>
              </w:rPr>
            </w:pPr>
            <w:r>
              <w:rPr>
                <w:rFonts w:ascii="宋体" w:hAnsi="宋体" w:eastAsia="Times New Roman"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Times New Roman" w:cs="宋体"/>
                <w:color w:val="000000" w:themeColor="text1"/>
                <w:szCs w:val="21"/>
                <w:highlight w:val="none"/>
                <w14:textFill>
                  <w14:solidFill>
                    <w14:schemeClr w14:val="tx1"/>
                  </w14:solidFill>
                </w14:textFill>
              </w:rPr>
              <w:t>担任过</w:t>
            </w:r>
            <w:r>
              <w:rPr>
                <w:rFonts w:hint="eastAsia" w:ascii="宋体" w:hAnsi="宋体" w:eastAsia="Times New Roman" w:cs="宋体"/>
                <w:color w:val="000000" w:themeColor="text1"/>
                <w:szCs w:val="21"/>
                <w:highlight w:val="none"/>
                <w:u w:val="single"/>
                <w14:textFill>
                  <w14:solidFill>
                    <w14:schemeClr w14:val="tx1"/>
                  </w14:solidFill>
                </w14:textFill>
              </w:rPr>
              <w:t>一个合同金额不少于480万元绿化工程</w:t>
            </w:r>
            <w:r>
              <w:rPr>
                <w:rFonts w:hint="eastAsia" w:ascii="宋体" w:hAnsi="宋体" w:eastAsia="宋体" w:cs="宋体"/>
                <w:color w:val="000000" w:themeColor="text1"/>
                <w:szCs w:val="21"/>
                <w:highlight w:val="none"/>
                <w:u w:val="single"/>
                <w:lang w:val="en-US" w:eastAsia="zh-CN"/>
                <w14:textFill>
                  <w14:solidFill>
                    <w14:schemeClr w14:val="tx1"/>
                  </w14:solidFill>
                </w14:textFill>
              </w:rPr>
              <w:t>施工</w:t>
            </w:r>
            <w:r>
              <w:rPr>
                <w:rFonts w:hint="eastAsia" w:ascii="宋体" w:hAnsi="宋体" w:eastAsia="Times New Roman" w:cs="宋体"/>
                <w:color w:val="000000" w:themeColor="text1"/>
                <w:szCs w:val="21"/>
                <w:highlight w:val="none"/>
                <w:u w:val="single"/>
                <w14:textFill>
                  <w14:solidFill>
                    <w14:schemeClr w14:val="tx1"/>
                  </w14:solidFill>
                </w14:textFill>
              </w:rPr>
              <w:t>的项目经理（</w:t>
            </w:r>
            <w:r>
              <w:rPr>
                <w:rFonts w:hint="eastAsia" w:ascii="宋体" w:hAnsi="宋体" w:eastAsia="Times New Roman" w:cs="宋体"/>
                <w:color w:val="000000" w:themeColor="text1"/>
                <w:szCs w:val="21"/>
                <w:highlight w:val="none"/>
                <w14:textFill>
                  <w14:solidFill>
                    <w14:schemeClr w14:val="tx1"/>
                  </w14:solidFill>
                </w14:textFill>
              </w:rPr>
              <w:t>或项目副经理或项目技术负责人或项目总工，或设计施工总承包项目的施工负责人），有</w:t>
            </w:r>
            <w:r>
              <w:rPr>
                <w:rFonts w:ascii="宋体" w:hAnsi="宋体" w:eastAsia="Times New Roman"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  </w:t>
            </w:r>
            <w:r>
              <w:rPr>
                <w:rFonts w:hint="eastAsia" w:ascii="宋体" w:hAnsi="宋体" w:eastAsia="Times New Roman" w:cs="宋体"/>
                <w:color w:val="000000" w:themeColor="text1"/>
                <w:szCs w:val="21"/>
                <w:highlight w:val="none"/>
                <w14:textFill>
                  <w14:solidFill>
                    <w14:schemeClr w14:val="tx1"/>
                  </w14:solidFill>
                </w14:textFill>
              </w:rPr>
              <w:t>（专业及等级）注册建造师证书，</w:t>
            </w:r>
            <w:r>
              <w:rPr>
                <w:rFonts w:hint="eastAsia" w:ascii="宋体" w:hAnsi="宋体" w:eastAsia="Times New Roman" w:cs="宋体"/>
                <w:color w:val="000000" w:themeColor="text1"/>
                <w:szCs w:val="21"/>
                <w:highlight w:val="none"/>
                <w:u w:val="single"/>
                <w14:textFill>
                  <w14:solidFill>
                    <w14:schemeClr w14:val="tx1"/>
                  </w14:solidFill>
                </w14:textFill>
              </w:rPr>
              <w:t>园林专业或绿化专业或园林绿化</w:t>
            </w:r>
            <w:r>
              <w:rPr>
                <w:rFonts w:hint="eastAsia" w:ascii="宋体" w:hAnsi="宋体" w:eastAsia="Times New Roman" w:cs="宋体"/>
                <w:color w:val="000000" w:themeColor="text1"/>
                <w:szCs w:val="21"/>
                <w:highlight w:val="none"/>
                <w:u w:val="single"/>
                <w:lang w:val="en-US" w:eastAsia="zh-CN"/>
                <w14:textFill>
                  <w14:solidFill>
                    <w14:schemeClr w14:val="tx1"/>
                  </w14:solidFill>
                </w14:textFill>
              </w:rPr>
              <w:t>或景观绿化专业</w:t>
            </w:r>
            <w:r>
              <w:rPr>
                <w:rFonts w:hint="eastAsia" w:ascii="宋体" w:hAnsi="宋体" w:eastAsia="Times New Roman" w:cs="宋体"/>
                <w:color w:val="000000" w:themeColor="text1"/>
                <w:szCs w:val="21"/>
                <w:highlight w:val="none"/>
                <w:u w:val="single"/>
                <w:lang w:eastAsia="zh-CN"/>
                <w14:textFill>
                  <w14:solidFill>
                    <w14:schemeClr w14:val="tx1"/>
                  </w14:solidFill>
                </w14:textFill>
              </w:rPr>
              <w:t>等相关专业的</w:t>
            </w:r>
            <w:r>
              <w:rPr>
                <w:rFonts w:hint="eastAsia" w:ascii="宋体" w:hAnsi="宋体" w:eastAsia="Times New Roman" w:cs="宋体"/>
                <w:color w:val="000000" w:themeColor="text1"/>
                <w:szCs w:val="21"/>
                <w:highlight w:val="none"/>
                <w14:textFill>
                  <w14:solidFill>
                    <w14:schemeClr w14:val="tx1"/>
                  </w14:solidFill>
                </w14:textFill>
              </w:rPr>
              <w:t>工程师及以上技术职称；</w:t>
            </w:r>
          </w:p>
          <w:p w14:paraId="26E0ABF6">
            <w:pPr>
              <w:pStyle w:val="7"/>
              <w:spacing w:line="360" w:lineRule="auto"/>
              <w:jc w:val="left"/>
              <w:rPr>
                <w:rFonts w:ascii="宋体" w:hAnsi="宋体" w:eastAsia="Times New Roman" w:cs="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kern w:val="2"/>
                <w:sz w:val="21"/>
                <w:szCs w:val="22"/>
                <w:highlight w:val="none"/>
                <w:lang w:val="en-US" w:eastAsia="zh-CN" w:bidi="ar-SA"/>
                <w14:textFill>
                  <w14:solidFill>
                    <w14:schemeClr w14:val="tx1"/>
                  </w14:solidFill>
                </w14:textFill>
              </w:rPr>
              <w:t>□</w:t>
            </w:r>
            <w:r>
              <w:rPr>
                <w:rFonts w:ascii="宋体" w:hAnsi="宋体" w:eastAsia="Times New Roman"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Times New Roman" w:cs="宋体"/>
                <w:color w:val="000000" w:themeColor="text1"/>
                <w:szCs w:val="21"/>
                <w:highlight w:val="none"/>
                <w14:textFill>
                  <w14:solidFill>
                    <w14:schemeClr w14:val="tx1"/>
                  </w14:solidFill>
                </w14:textFill>
              </w:rPr>
              <w:t xml:space="preserve">有效期内的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   </w:t>
            </w:r>
            <w:r>
              <w:rPr>
                <w:rFonts w:hint="eastAsia" w:ascii="宋体" w:hAnsi="宋体" w:eastAsia="Times New Roman" w:cs="宋体"/>
                <w:color w:val="000000" w:themeColor="text1"/>
                <w:szCs w:val="21"/>
                <w:highlight w:val="none"/>
                <w14:textFill>
                  <w14:solidFill>
                    <w14:schemeClr w14:val="tx1"/>
                  </w14:solidFill>
                </w14:textFill>
              </w:rPr>
              <w:t>（</w:t>
            </w:r>
            <w:r>
              <w:rPr>
                <w:rFonts w:ascii="宋体" w:hAnsi="宋体" w:eastAsia="Times New Roman" w:cs="宋体"/>
                <w:color w:val="000000" w:themeColor="text1"/>
                <w:szCs w:val="21"/>
                <w:highlight w:val="none"/>
                <w14:textFill>
                  <w14:solidFill>
                    <w14:schemeClr w14:val="tx1"/>
                  </w14:solidFill>
                </w14:textFill>
              </w:rPr>
              <w:t>□</w:t>
            </w:r>
            <w:r>
              <w:rPr>
                <w:rFonts w:hint="eastAsia" w:ascii="宋体" w:hAnsi="宋体" w:eastAsia="Times New Roman" w:cs="宋体"/>
                <w:color w:val="000000" w:themeColor="text1"/>
                <w:szCs w:val="21"/>
                <w:highlight w:val="none"/>
                <w14:textFill>
                  <w14:solidFill>
                    <w14:schemeClr w14:val="tx1"/>
                  </w14:solidFill>
                </w14:textFill>
              </w:rPr>
              <w:t>公路水运</w:t>
            </w:r>
            <w:r>
              <w:rPr>
                <w:rFonts w:ascii="宋体" w:hAnsi="宋体" w:eastAsia="Times New Roman" w:cs="宋体"/>
                <w:color w:val="000000" w:themeColor="text1"/>
                <w:szCs w:val="21"/>
                <w:highlight w:val="none"/>
                <w14:textFill>
                  <w14:solidFill>
                    <w14:schemeClr w14:val="tx1"/>
                  </w14:solidFill>
                </w14:textFill>
              </w:rPr>
              <w:t>/</w:t>
            </w:r>
            <w:r>
              <w:rPr>
                <w:rFonts w:hint="eastAsia" w:ascii="宋体" w:hAnsi="宋体" w:eastAsia="Times New Roman" w:cs="宋体"/>
                <w:color w:val="000000" w:themeColor="text1"/>
                <w:szCs w:val="21"/>
                <w:highlight w:val="none"/>
                <w14:textFill>
                  <w14:solidFill>
                    <w14:schemeClr w14:val="tx1"/>
                  </w14:solidFill>
                </w14:textFill>
              </w:rPr>
              <w:t>□建筑）施工企业项目负责人安全生产考核合格证书（</w:t>
            </w:r>
            <w:r>
              <w:rPr>
                <w:rFonts w:ascii="宋体" w:hAnsi="宋体" w:eastAsia="Times New Roman" w:cs="宋体"/>
                <w:color w:val="000000" w:themeColor="text1"/>
                <w:szCs w:val="21"/>
                <w:highlight w:val="none"/>
                <w14:textFill>
                  <w14:solidFill>
                    <w14:schemeClr w14:val="tx1"/>
                  </w14:solidFill>
                </w14:textFill>
              </w:rPr>
              <w:t>B</w:t>
            </w:r>
            <w:r>
              <w:rPr>
                <w:rFonts w:hint="eastAsia" w:ascii="宋体" w:hAnsi="宋体" w:eastAsia="Times New Roman" w:cs="宋体"/>
                <w:color w:val="000000" w:themeColor="text1"/>
                <w:szCs w:val="21"/>
                <w:highlight w:val="none"/>
                <w14:textFill>
                  <w14:solidFill>
                    <w14:schemeClr w14:val="tx1"/>
                  </w14:solidFill>
                </w14:textFill>
              </w:rPr>
              <w:t>类）；</w:t>
            </w:r>
          </w:p>
          <w:p w14:paraId="3AB7AFFD">
            <w:pPr>
              <w:pStyle w:val="7"/>
              <w:spacing w:line="360" w:lineRule="auto"/>
              <w:jc w:val="left"/>
              <w:rPr>
                <w:rFonts w:ascii="宋体" w:hAnsi="宋体" w:eastAsia="Times New Roman" w:cs="宋体"/>
                <w:color w:val="000000" w:themeColor="text1"/>
                <w:szCs w:val="21"/>
                <w:highlight w:val="none"/>
                <w14:textFill>
                  <w14:solidFill>
                    <w14:schemeClr w14:val="tx1"/>
                  </w14:solidFill>
                </w14:textFill>
              </w:rPr>
            </w:pPr>
            <w:r>
              <w:rPr>
                <w:rFonts w:hint="eastAsia" w:ascii="宋体" w:hAnsi="宋体" w:eastAsia="Times New Roman"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Times New Roman" w:cs="宋体"/>
                <w:color w:val="000000" w:themeColor="text1"/>
                <w:szCs w:val="21"/>
                <w:highlight w:val="none"/>
                <w14:textFill>
                  <w14:solidFill>
                    <w14:schemeClr w14:val="tx1"/>
                  </w14:solidFill>
                </w14:textFill>
              </w:rPr>
              <w:t>拟任项目经理投标截止时间未在其他在建合同工程中任项目经理（包括设计施工总承包项目中的施工负责人）。</w:t>
            </w:r>
          </w:p>
        </w:tc>
      </w:tr>
      <w:tr w14:paraId="4A2FE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90" w:hRule="atLeast"/>
        </w:trPr>
        <w:tc>
          <w:tcPr>
            <w:tcW w:w="1836" w:type="dxa"/>
            <w:vAlign w:val="center"/>
          </w:tcPr>
          <w:p w14:paraId="59D16231">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项目技术负责人</w:t>
            </w:r>
          </w:p>
        </w:tc>
        <w:tc>
          <w:tcPr>
            <w:tcW w:w="840" w:type="dxa"/>
            <w:vAlign w:val="center"/>
          </w:tcPr>
          <w:p w14:paraId="0A73732A">
            <w:pPr>
              <w:pStyle w:val="7"/>
              <w:spacing w:line="360" w:lineRule="auto"/>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w:t>
            </w:r>
          </w:p>
        </w:tc>
        <w:tc>
          <w:tcPr>
            <w:tcW w:w="6504" w:type="dxa"/>
            <w:vAlign w:val="center"/>
          </w:tcPr>
          <w:p w14:paraId="4EA344A6">
            <w:pPr>
              <w:pStyle w:val="7"/>
              <w:spacing w:line="3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spacing w:val="-4"/>
                <w:highlight w:val="none"/>
                <w14:textFill>
                  <w14:solidFill>
                    <w14:schemeClr w14:val="tx1"/>
                  </w14:solidFill>
                </w14:textFill>
              </w:rPr>
              <w:t>1</w:t>
            </w:r>
            <w:r>
              <w:rPr>
                <w:rFonts w:hint="eastAsia" w:ascii="宋体" w:hAnsi="宋体" w:eastAsia="宋体" w:cs="宋体"/>
                <w:color w:val="000000" w:themeColor="text1"/>
                <w:spacing w:val="-4"/>
                <w:highlight w:val="none"/>
                <w:lang w:eastAsia="zh-CN"/>
                <w14:textFill>
                  <w14:solidFill>
                    <w14:schemeClr w14:val="tx1"/>
                  </w14:solidFill>
                </w14:textFill>
              </w:rPr>
              <w:t>.</w:t>
            </w:r>
            <w:r>
              <w:rPr>
                <w:rFonts w:ascii="宋体" w:hAnsi="宋体" w:cs="宋体"/>
                <w:color w:val="000000" w:themeColor="text1"/>
                <w:spacing w:val="-4"/>
                <w:highlight w:val="none"/>
                <w14:textFill>
                  <w14:solidFill>
                    <w14:schemeClr w14:val="tx1"/>
                  </w14:solidFill>
                </w14:textFill>
              </w:rPr>
              <w:t>有</w:t>
            </w:r>
            <w:r>
              <w:rPr>
                <w:rFonts w:hint="eastAsia" w:ascii="宋体" w:hAnsi="宋体" w:eastAsia="Times New Roman" w:cs="宋体"/>
                <w:color w:val="000000" w:themeColor="text1"/>
                <w:szCs w:val="21"/>
                <w:highlight w:val="none"/>
                <w:u w:val="single"/>
                <w14:textFill>
                  <w14:solidFill>
                    <w14:schemeClr w14:val="tx1"/>
                  </w14:solidFill>
                </w14:textFill>
              </w:rPr>
              <w:t>园林专业或绿化专业或园林绿化</w:t>
            </w:r>
            <w:r>
              <w:rPr>
                <w:rFonts w:hint="eastAsia" w:ascii="宋体" w:hAnsi="宋体" w:eastAsia="Times New Roman" w:cs="宋体"/>
                <w:color w:val="000000" w:themeColor="text1"/>
                <w:szCs w:val="21"/>
                <w:highlight w:val="none"/>
                <w:u w:val="single"/>
                <w:lang w:val="en-US" w:eastAsia="zh-CN"/>
                <w14:textFill>
                  <w14:solidFill>
                    <w14:schemeClr w14:val="tx1"/>
                  </w14:solidFill>
                </w14:textFill>
              </w:rPr>
              <w:t>或景观绿化专业</w:t>
            </w:r>
            <w:r>
              <w:rPr>
                <w:rFonts w:hint="eastAsia" w:ascii="宋体" w:hAnsi="宋体" w:eastAsia="Times New Roman" w:cs="宋体"/>
                <w:color w:val="000000" w:themeColor="text1"/>
                <w:szCs w:val="21"/>
                <w:highlight w:val="none"/>
                <w:u w:val="single"/>
                <w:lang w:eastAsia="zh-CN"/>
                <w14:textFill>
                  <w14:solidFill>
                    <w14:schemeClr w14:val="tx1"/>
                  </w14:solidFill>
                </w14:textFill>
              </w:rPr>
              <w:t>等相关专业的</w:t>
            </w:r>
            <w:r>
              <w:rPr>
                <w:rFonts w:hint="eastAsia"/>
                <w:color w:val="000000" w:themeColor="text1"/>
                <w:spacing w:val="-4"/>
                <w:highlight w:val="none"/>
                <w:u w:val="single"/>
                <w14:textFill>
                  <w14:solidFill>
                    <w14:schemeClr w14:val="tx1"/>
                  </w14:solidFill>
                </w14:textFill>
              </w:rPr>
              <w:t>高级工程师及以上</w:t>
            </w:r>
            <w:r>
              <w:rPr>
                <w:rFonts w:hint="eastAsia" w:ascii="宋体" w:hAnsi="宋体" w:cs="宋体"/>
                <w:color w:val="000000" w:themeColor="text1"/>
                <w:highlight w:val="none"/>
                <w14:textFill>
                  <w14:solidFill>
                    <w14:schemeClr w14:val="tx1"/>
                  </w14:solidFill>
                </w14:textFill>
              </w:rPr>
              <w:t>技术职称；</w:t>
            </w:r>
          </w:p>
          <w:p w14:paraId="73E45A37">
            <w:pPr>
              <w:pStyle w:val="7"/>
              <w:spacing w:line="340" w:lineRule="exact"/>
              <w:rPr>
                <w:rFonts w:ascii="宋体" w:hAnsi="宋体" w:cs="宋体"/>
                <w:color w:val="000000" w:themeColor="text1"/>
                <w:highlight w:val="none"/>
                <w14:textFill>
                  <w14:solidFill>
                    <w14:schemeClr w14:val="tx1"/>
                  </w14:solidFill>
                </w14:textFill>
              </w:rPr>
            </w:pPr>
            <w:r>
              <w:rPr>
                <w:rFonts w:hint="eastAsia" w:ascii="宋体" w:hAnsi="宋体" w:eastAsia="宋体" w:cs="Times New Roman"/>
                <w:color w:val="000000" w:themeColor="text1"/>
                <w:kern w:val="2"/>
                <w:sz w:val="21"/>
                <w:szCs w:val="22"/>
                <w:highlight w:val="none"/>
                <w:lang w:val="en-US" w:eastAsia="zh-CN" w:bidi="ar-SA"/>
                <w14:textFill>
                  <w14:solidFill>
                    <w14:schemeClr w14:val="tx1"/>
                  </w14:solidFill>
                </w14:textFill>
              </w:rPr>
              <w:t>□</w:t>
            </w:r>
            <w:r>
              <w:rPr>
                <w:rFonts w:hint="eastAsia" w:ascii="宋体" w:hAnsi="宋体"/>
                <w:color w:val="000000" w:themeColor="text1"/>
                <w:highlight w:val="none"/>
                <w14:textFill>
                  <w14:solidFill>
                    <w14:schemeClr w14:val="tx1"/>
                  </w14:solidFill>
                </w14:textFill>
              </w:rPr>
              <w:t>2</w:t>
            </w:r>
            <w:r>
              <w:rPr>
                <w:rFonts w:hint="eastAsia" w:ascii="宋体" w:hAnsi="宋体" w:eastAsia="宋体"/>
                <w:color w:val="000000" w:themeColor="text1"/>
                <w:highlight w:val="none"/>
                <w:lang w:val="en-US" w:eastAsia="zh-CN"/>
                <w14:textFill>
                  <w14:solidFill>
                    <w14:schemeClr w14:val="tx1"/>
                  </w14:solidFill>
                </w14:textFill>
              </w:rPr>
              <w:t>.</w:t>
            </w:r>
            <w:r>
              <w:rPr>
                <w:rFonts w:ascii="宋体" w:hAnsi="宋体" w:cs="宋体"/>
                <w:color w:val="000000" w:themeColor="text1"/>
                <w:highlight w:val="none"/>
                <w14:textFill>
                  <w14:solidFill>
                    <w14:schemeClr w14:val="tx1"/>
                  </w14:solidFill>
                </w14:textFill>
              </w:rPr>
              <w:t>有效期内的</w:t>
            </w:r>
            <w:r>
              <w:rPr>
                <w:rFonts w:hint="eastAsia"/>
                <w:color w:val="000000" w:themeColor="text1"/>
                <w:spacing w:val="-4"/>
                <w:highlight w:val="none"/>
                <w:u w:val="single"/>
                <w14:textFill>
                  <w14:solidFill>
                    <w14:schemeClr w14:val="tx1"/>
                  </w14:solidFill>
                </w14:textFill>
              </w:rPr>
              <w:t xml:space="preserve"> </w:t>
            </w:r>
            <w:bookmarkStart w:id="403" w:name="OLE_LINK11"/>
            <w:r>
              <w:rPr>
                <w:rFonts w:hint="eastAsia"/>
                <w:color w:val="000000" w:themeColor="text1"/>
                <w:spacing w:val="-4"/>
                <w:highlight w:val="none"/>
                <w:u w:val="single"/>
                <w14:textFill>
                  <w14:solidFill>
                    <w14:schemeClr w14:val="tx1"/>
                  </w14:solidFill>
                </w14:textFill>
              </w:rPr>
              <w:t xml:space="preserve">    </w:t>
            </w:r>
            <w:bookmarkEnd w:id="403"/>
            <w:r>
              <w:rPr>
                <w:rFonts w:hint="eastAsia" w:ascii="宋体" w:hAnsi="宋体" w:cs="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公路水运</w:t>
            </w:r>
            <w:r>
              <w:rPr>
                <w:rFonts w:ascii="宋体" w:hAnsi="宋体" w:cs="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建筑）施工企业项目负责人安全生产考核合格证书（B类）</w:t>
            </w:r>
            <w:r>
              <w:rPr>
                <w:rFonts w:hint="eastAsia"/>
                <w:color w:val="000000" w:themeColor="text1"/>
                <w:highlight w:val="none"/>
                <w14:textFill>
                  <w14:solidFill>
                    <w14:schemeClr w14:val="tx1"/>
                  </w14:solidFill>
                </w14:textFill>
              </w:rPr>
              <w:t>或建筑施工企业主要负责人安全生产考核合格证</w:t>
            </w:r>
            <w:r>
              <w:rPr>
                <w:rFonts w:ascii="宋体" w:hAnsi="宋体" w:cs="宋体"/>
                <w:color w:val="000000" w:themeColor="text1"/>
                <w:highlight w:val="none"/>
                <w14:textFill>
                  <w14:solidFill>
                    <w14:schemeClr w14:val="tx1"/>
                  </w14:solidFill>
                </w14:textFill>
              </w:rPr>
              <w:t>。</w:t>
            </w:r>
          </w:p>
        </w:tc>
      </w:tr>
    </w:tbl>
    <w:p w14:paraId="37545DE6">
      <w:pPr>
        <w:pStyle w:val="7"/>
        <w:spacing w:line="340" w:lineRule="exact"/>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在建合同工程的开始时间为该合同工程中标通知书发出之日（不通过招标方式的，开始时间为合同签订之日），结束时间为该合同工程通过交工验收或合同解除之日。</w:t>
      </w:r>
      <w:r>
        <w:rPr>
          <w:rStyle w:val="38"/>
          <w:rFonts w:eastAsia="黑体"/>
          <w:color w:val="000000" w:themeColor="text1"/>
          <w:sz w:val="28"/>
          <w:szCs w:val="28"/>
          <w:highlight w:val="none"/>
          <w:vertAlign w:val="superscript"/>
          <w14:textFill>
            <w14:solidFill>
              <w14:schemeClr w14:val="tx1"/>
            </w14:solidFill>
          </w14:textFill>
        </w:rPr>
        <w:footnoteReference w:id="5"/>
      </w:r>
    </w:p>
    <w:p w14:paraId="24A5203A">
      <w:pPr>
        <w:pStyle w:val="7"/>
        <w:spacing w:line="340" w:lineRule="exact"/>
        <w:ind w:firstLine="420" w:firstLineChars="20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拟委任项目经理是否有“在建合同工程”按以下原则认定：</w:t>
      </w:r>
    </w:p>
    <w:p w14:paraId="1FBF67A3">
      <w:pPr>
        <w:pStyle w:val="7"/>
        <w:spacing w:line="340" w:lineRule="exact"/>
        <w:ind w:firstLine="420" w:firstLineChars="20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(1)若该合同工程协议书尚未签订，则其中标通知书中明确的项目经理</w:t>
      </w:r>
      <w:r>
        <w:rPr>
          <w:rFonts w:hint="eastAsia" w:ascii="宋体" w:hAnsi="宋体" w:cs="宋体"/>
          <w:color w:val="000000" w:themeColor="text1"/>
          <w:highlight w:val="none"/>
          <w14:textFill>
            <w14:solidFill>
              <w14:schemeClr w14:val="tx1"/>
            </w14:solidFill>
          </w14:textFill>
        </w:rPr>
        <w:t>（包括设计施工总承包项目中的施工负责人）</w:t>
      </w:r>
      <w:r>
        <w:rPr>
          <w:rFonts w:ascii="宋体" w:hAnsi="宋体" w:cs="宋体"/>
          <w:color w:val="000000" w:themeColor="text1"/>
          <w:highlight w:val="none"/>
          <w14:textFill>
            <w14:solidFill>
              <w14:schemeClr w14:val="tx1"/>
            </w14:solidFill>
          </w14:textFill>
        </w:rPr>
        <w:t>和备选项目经理均视为有“在建合同工程”；</w:t>
      </w:r>
    </w:p>
    <w:p w14:paraId="1EAE5100">
      <w:pPr>
        <w:pStyle w:val="7"/>
        <w:spacing w:line="340" w:lineRule="exact"/>
        <w:ind w:firstLine="420" w:firstLineChars="20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(2)若该合同工程协议书已签订的，则仅合同协议书中明确的项目经理</w:t>
      </w:r>
      <w:r>
        <w:rPr>
          <w:rFonts w:hint="eastAsia" w:ascii="宋体" w:hAnsi="宋体" w:cs="宋体"/>
          <w:color w:val="000000" w:themeColor="text1"/>
          <w:highlight w:val="none"/>
          <w14:textFill>
            <w14:solidFill>
              <w14:schemeClr w14:val="tx1"/>
            </w14:solidFill>
          </w14:textFill>
        </w:rPr>
        <w:t>（包括设计施工总承包项目中的施工负责人）</w:t>
      </w:r>
      <w:r>
        <w:rPr>
          <w:rFonts w:ascii="宋体" w:hAnsi="宋体" w:cs="宋体"/>
          <w:color w:val="000000" w:themeColor="text1"/>
          <w:highlight w:val="none"/>
          <w14:textFill>
            <w14:solidFill>
              <w14:schemeClr w14:val="tx1"/>
            </w14:solidFill>
          </w14:textFill>
        </w:rPr>
        <w:t>视为有“在建合同工程”。</w:t>
      </w:r>
    </w:p>
    <w:p w14:paraId="33E3AF25">
      <w:pPr>
        <w:pStyle w:val="7"/>
        <w:spacing w:line="340" w:lineRule="exact"/>
        <w:ind w:firstLine="420" w:firstLineChars="20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(3)该合同工程未通过验收或合同解除前，合同协议书中明确的项目经理</w:t>
      </w:r>
      <w:r>
        <w:rPr>
          <w:rFonts w:hint="eastAsia" w:ascii="宋体" w:hAnsi="宋体" w:cs="宋体"/>
          <w:color w:val="000000" w:themeColor="text1"/>
          <w:highlight w:val="none"/>
          <w14:textFill>
            <w14:solidFill>
              <w14:schemeClr w14:val="tx1"/>
            </w14:solidFill>
          </w14:textFill>
        </w:rPr>
        <w:t>（包括设计施工总承包项目中的施工负责人）</w:t>
      </w:r>
      <w:r>
        <w:rPr>
          <w:rFonts w:ascii="宋体" w:hAnsi="宋体" w:cs="宋体"/>
          <w:color w:val="000000" w:themeColor="text1"/>
          <w:highlight w:val="none"/>
          <w14:textFill>
            <w14:solidFill>
              <w14:schemeClr w14:val="tx1"/>
            </w14:solidFill>
          </w14:textFill>
        </w:rPr>
        <w:t>已经更换的，则现任项目经理视为有“在建合同工程”，同时应在投标文件中附该合同工程项目发包人的同意更换证明材料，否则更换前后的项目经理</w:t>
      </w:r>
      <w:r>
        <w:rPr>
          <w:rFonts w:hint="eastAsia" w:ascii="宋体" w:hAnsi="宋体" w:cs="宋体"/>
          <w:color w:val="000000" w:themeColor="text1"/>
          <w:highlight w:val="none"/>
          <w14:textFill>
            <w14:solidFill>
              <w14:schemeClr w14:val="tx1"/>
            </w14:solidFill>
          </w14:textFill>
        </w:rPr>
        <w:t>（包括设计施工总承包项目中的施工负责人）</w:t>
      </w:r>
      <w:r>
        <w:rPr>
          <w:rFonts w:ascii="宋体" w:hAnsi="宋体" w:cs="宋体"/>
          <w:color w:val="000000" w:themeColor="text1"/>
          <w:highlight w:val="none"/>
          <w14:textFill>
            <w14:solidFill>
              <w14:schemeClr w14:val="tx1"/>
            </w14:solidFill>
          </w14:textFill>
        </w:rPr>
        <w:t>均视为有“在建合同工程”。</w:t>
      </w:r>
    </w:p>
    <w:p w14:paraId="2ED69866">
      <w:pPr>
        <w:pStyle w:val="7"/>
        <w:spacing w:line="340" w:lineRule="exact"/>
        <w:ind w:firstLine="420" w:firstLineChars="20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“在建合同工程”范围：包括在中华人民共和国境内所有建设工程，不受地域、行业和投资性质的限制。</w:t>
      </w:r>
    </w:p>
    <w:p w14:paraId="6D84FEC5">
      <w:pPr>
        <w:pStyle w:val="7"/>
        <w:spacing w:line="340" w:lineRule="exact"/>
        <w:ind w:firstLine="420" w:firstLineChars="200"/>
        <w:jc w:val="left"/>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4.所附资料见投标人须知前附表3.5.5项规定</w:t>
      </w:r>
      <w:r>
        <w:rPr>
          <w:rFonts w:hint="eastAsia" w:ascii="宋体" w:hAnsi="宋体" w:cs="宋体"/>
          <w:color w:val="000000" w:themeColor="text1"/>
          <w:highlight w:val="none"/>
          <w14:textFill>
            <w14:solidFill>
              <w14:schemeClr w14:val="tx1"/>
            </w14:solidFill>
          </w14:textFill>
        </w:rPr>
        <w:t>。</w:t>
      </w:r>
    </w:p>
    <w:p w14:paraId="51352383">
      <w:pPr>
        <w:pStyle w:val="34"/>
        <w:rPr>
          <w:color w:val="000000" w:themeColor="text1"/>
          <w:highlight w:val="none"/>
          <w14:textFill>
            <w14:solidFill>
              <w14:schemeClr w14:val="tx1"/>
            </w14:solidFill>
          </w14:textFill>
        </w:rPr>
      </w:pPr>
    </w:p>
    <w:p w14:paraId="2686CE29">
      <w:pPr>
        <w:pStyle w:val="7"/>
        <w:spacing w:line="340" w:lineRule="exact"/>
        <w:ind w:firstLine="420" w:firstLineChars="200"/>
        <w:jc w:val="left"/>
        <w:rPr>
          <w:rFonts w:ascii="宋体" w:hAnsi="宋体" w:cs="宋体"/>
          <w:color w:val="000000" w:themeColor="text1"/>
          <w:szCs w:val="21"/>
          <w:highlight w:val="none"/>
          <w14:textFill>
            <w14:solidFill>
              <w14:schemeClr w14:val="tx1"/>
            </w14:solidFill>
          </w14:textFill>
        </w:rPr>
      </w:pPr>
    </w:p>
    <w:p w14:paraId="3920A697">
      <w:pPr>
        <w:pStyle w:val="7"/>
        <w:spacing w:line="3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p>
    <w:p w14:paraId="5297BD26">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404" w:name="EBb6a4d06d4e7547efa359422ee7314535"/>
      <w:bookmarkEnd w:id="404"/>
      <w:bookmarkStart w:id="405" w:name="EB2845c75b63af45bdabf3049988bd5eba"/>
      <w:bookmarkEnd w:id="405"/>
      <w:bookmarkStart w:id="406" w:name="_Toc26161"/>
      <w:bookmarkStart w:id="407" w:name="_Toc8634"/>
      <w:bookmarkStart w:id="408" w:name="_Toc24638"/>
      <w:bookmarkStart w:id="409" w:name="_Toc11216"/>
      <w:bookmarkStart w:id="410" w:name="_Toc4182"/>
      <w:bookmarkStart w:id="411" w:name="_Toc22742"/>
      <w:bookmarkStart w:id="412" w:name="_Toc17894"/>
      <w:bookmarkStart w:id="413" w:name="_Toc16947"/>
      <w:bookmarkStart w:id="414" w:name="_Toc1495"/>
      <w:bookmarkStart w:id="415" w:name="_Toc119585482"/>
      <w:bookmarkStart w:id="416" w:name="_Toc26564"/>
      <w:bookmarkStart w:id="417" w:name="_Toc30990"/>
      <w:bookmarkStart w:id="418" w:name="_Toc98785251"/>
      <w:bookmarkStart w:id="419" w:name="_Toc19498"/>
      <w:bookmarkStart w:id="420" w:name="_Toc118195754"/>
      <w:bookmarkStart w:id="421" w:name="_Toc27847"/>
      <w:bookmarkStart w:id="422" w:name="_Toc14050"/>
      <w:bookmarkStart w:id="423" w:name="_Toc475825734"/>
      <w:bookmarkStart w:id="424" w:name="_Toc17735"/>
      <w:bookmarkStart w:id="425" w:name="_Toc120624173"/>
      <w:r>
        <w:rPr>
          <w:rFonts w:ascii="宋体" w:hAnsi="宋体" w:cs="宋体"/>
          <w:b/>
          <w:bCs/>
          <w:color w:val="000000" w:themeColor="text1"/>
          <w:sz w:val="24"/>
          <w:szCs w:val="24"/>
          <w:highlight w:val="none"/>
          <w14:textFill>
            <w14:solidFill>
              <w14:schemeClr w14:val="tx1"/>
            </w14:solidFill>
          </w14:textFill>
        </w:rPr>
        <w:t xml:space="preserve">1. </w:t>
      </w:r>
      <w:r>
        <w:rPr>
          <w:rFonts w:hint="eastAsia" w:ascii="宋体" w:hAnsi="宋体" w:cs="宋体"/>
          <w:b/>
          <w:bCs/>
          <w:color w:val="000000" w:themeColor="text1"/>
          <w:sz w:val="24"/>
          <w:szCs w:val="24"/>
          <w:highlight w:val="none"/>
          <w14:textFill>
            <w14:solidFill>
              <w14:schemeClr w14:val="tx1"/>
            </w14:solidFill>
          </w14:textFill>
        </w:rPr>
        <w:t>总则</w:t>
      </w:r>
      <w:r>
        <w:rPr>
          <w:rFonts w:ascii="宋体" w:hAnsi="宋体" w:cs="宋体"/>
          <w:b/>
          <w:bCs/>
          <w:color w:val="000000" w:themeColor="text1"/>
          <w:sz w:val="24"/>
          <w:szCs w:val="24"/>
          <w:highlight w:val="none"/>
          <w:vertAlign w:val="superscript"/>
          <w14:textFill>
            <w14:solidFill>
              <w14:schemeClr w14:val="tx1"/>
            </w14:solidFill>
          </w14:textFill>
        </w:rPr>
        <w:footnoteReference w:id="6"/>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3C40CCB4">
      <w:pPr>
        <w:pStyle w:val="7"/>
        <w:rPr>
          <w:rFonts w:hAnsi="宋体" w:cs="宋体"/>
          <w:b/>
          <w:bCs/>
          <w:color w:val="000000" w:themeColor="text1"/>
          <w:szCs w:val="21"/>
          <w:highlight w:val="none"/>
          <w14:textFill>
            <w14:solidFill>
              <w14:schemeClr w14:val="tx1"/>
            </w14:solidFill>
          </w14:textFill>
        </w:rPr>
      </w:pPr>
      <w:bookmarkStart w:id="426" w:name="_Toc475825735"/>
      <w:r>
        <w:rPr>
          <w:rFonts w:hAnsi="宋体" w:cs="宋体"/>
          <w:b/>
          <w:bCs/>
          <w:color w:val="000000" w:themeColor="text1"/>
          <w:szCs w:val="21"/>
          <w:highlight w:val="none"/>
          <w14:textFill>
            <w14:solidFill>
              <w14:schemeClr w14:val="tx1"/>
            </w14:solidFill>
          </w14:textFill>
        </w:rPr>
        <w:t>1.1</w:t>
      </w:r>
      <w:r>
        <w:rPr>
          <w:rFonts w:hint="eastAsia" w:hAnsi="宋体" w:cs="宋体"/>
          <w:b/>
          <w:bCs/>
          <w:color w:val="000000" w:themeColor="text1"/>
          <w:szCs w:val="21"/>
          <w:highlight w:val="none"/>
          <w14:textFill>
            <w14:solidFill>
              <w14:schemeClr w14:val="tx1"/>
            </w14:solidFill>
          </w14:textFill>
        </w:rPr>
        <w:t xml:space="preserve"> 项目概况</w:t>
      </w:r>
      <w:bookmarkEnd w:id="426"/>
    </w:p>
    <w:p w14:paraId="67DF1DAF">
      <w:pPr>
        <w:pStyle w:val="34"/>
        <w:spacing w:line="400" w:lineRule="exact"/>
        <w:ind w:firstLine="420"/>
        <w:jc w:val="left"/>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1.1.1根据《中华人民共和国招标投标法》、《中华人民共和国招标投标法实施条例》、《公路工程建设项目招标投标管理办法》等有关法律、法规和规章的规定，本招标项目已具备招标条件，现对本标段施工进行招标。</w:t>
      </w:r>
    </w:p>
    <w:p w14:paraId="35044DFA">
      <w:pPr>
        <w:pStyle w:val="34"/>
        <w:spacing w:line="400" w:lineRule="exact"/>
        <w:ind w:firstLine="420"/>
        <w:jc w:val="left"/>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 xml:space="preserve">1.1.2 </w:t>
      </w:r>
      <w:r>
        <w:rPr>
          <w:rFonts w:hint="eastAsia" w:hAnsi="宋体" w:cs="宋体"/>
          <w:color w:val="000000" w:themeColor="text1"/>
          <w:szCs w:val="21"/>
          <w:highlight w:val="none"/>
          <w14:textFill>
            <w14:solidFill>
              <w14:schemeClr w14:val="tx1"/>
            </w14:solidFill>
          </w14:textFill>
        </w:rPr>
        <w:t>本招标项目招标人：见投标人须知前附表。</w:t>
      </w:r>
    </w:p>
    <w:p w14:paraId="40EAFE6D">
      <w:pPr>
        <w:pStyle w:val="34"/>
        <w:spacing w:line="400" w:lineRule="exact"/>
        <w:ind w:firstLine="420"/>
        <w:jc w:val="left"/>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 xml:space="preserve">1.1.3 </w:t>
      </w:r>
      <w:r>
        <w:rPr>
          <w:rFonts w:hint="eastAsia" w:hAnsi="宋体" w:cs="宋体"/>
          <w:color w:val="000000" w:themeColor="text1"/>
          <w:szCs w:val="21"/>
          <w:highlight w:val="none"/>
          <w14:textFill>
            <w14:solidFill>
              <w14:schemeClr w14:val="tx1"/>
            </w14:solidFill>
          </w14:textFill>
        </w:rPr>
        <w:t>本标段招标代理机构：见投标人须知前附表。</w:t>
      </w:r>
    </w:p>
    <w:p w14:paraId="0265FC4E">
      <w:pPr>
        <w:pStyle w:val="34"/>
        <w:spacing w:line="400" w:lineRule="exact"/>
        <w:ind w:firstLine="420"/>
        <w:jc w:val="left"/>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 xml:space="preserve">1.1.4 </w:t>
      </w:r>
      <w:r>
        <w:rPr>
          <w:rFonts w:hint="eastAsia" w:hAnsi="宋体" w:cs="宋体"/>
          <w:color w:val="000000" w:themeColor="text1"/>
          <w:szCs w:val="21"/>
          <w:highlight w:val="none"/>
          <w14:textFill>
            <w14:solidFill>
              <w14:schemeClr w14:val="tx1"/>
            </w14:solidFill>
          </w14:textFill>
        </w:rPr>
        <w:t>本招标项目名称：见投标人须知前附表。</w:t>
      </w:r>
    </w:p>
    <w:p w14:paraId="38844FD1">
      <w:pPr>
        <w:pStyle w:val="34"/>
        <w:spacing w:line="400" w:lineRule="exact"/>
        <w:ind w:firstLine="420"/>
        <w:jc w:val="left"/>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 xml:space="preserve">1.1.5 </w:t>
      </w:r>
      <w:r>
        <w:rPr>
          <w:rFonts w:hint="eastAsia" w:hAnsi="宋体" w:cs="宋体"/>
          <w:color w:val="000000" w:themeColor="text1"/>
          <w:szCs w:val="21"/>
          <w:highlight w:val="none"/>
          <w14:textFill>
            <w14:solidFill>
              <w14:schemeClr w14:val="tx1"/>
            </w14:solidFill>
          </w14:textFill>
        </w:rPr>
        <w:t>本标段建设地点：见投标人须知前附表。</w:t>
      </w:r>
    </w:p>
    <w:p w14:paraId="7FF2F835">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27" w:name="_Toc452457635"/>
      <w:bookmarkStart w:id="428" w:name="_Toc22436"/>
      <w:r>
        <w:rPr>
          <w:rFonts w:hAnsi="宋体" w:cs="宋体"/>
          <w:b/>
          <w:bCs/>
          <w:color w:val="000000" w:themeColor="text1"/>
          <w:szCs w:val="21"/>
          <w:highlight w:val="none"/>
          <w14:textFill>
            <w14:solidFill>
              <w14:schemeClr w14:val="tx1"/>
            </w14:solidFill>
          </w14:textFill>
        </w:rPr>
        <w:t xml:space="preserve">1.2 </w:t>
      </w:r>
      <w:r>
        <w:rPr>
          <w:rFonts w:hint="eastAsia" w:hAnsi="宋体" w:cs="宋体"/>
          <w:b/>
          <w:bCs/>
          <w:color w:val="000000" w:themeColor="text1"/>
          <w:szCs w:val="21"/>
          <w:highlight w:val="none"/>
          <w14:textFill>
            <w14:solidFill>
              <w14:schemeClr w14:val="tx1"/>
            </w14:solidFill>
          </w14:textFill>
        </w:rPr>
        <w:t>招标项目的资金来源和落实情况</w:t>
      </w:r>
      <w:bookmarkEnd w:id="427"/>
      <w:bookmarkEnd w:id="428"/>
    </w:p>
    <w:p w14:paraId="7A97B21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1.2.1资金来源及比例：见投标人须知前附表。</w:t>
      </w:r>
    </w:p>
    <w:p w14:paraId="565FF58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1.2.2资金落实情况：见投标人须知前附表。</w:t>
      </w:r>
    </w:p>
    <w:p w14:paraId="0E4E400E">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29" w:name="_Toc452457636"/>
      <w:bookmarkStart w:id="430" w:name="_Toc28366"/>
      <w:r>
        <w:rPr>
          <w:rFonts w:hAnsi="宋体" w:cs="宋体"/>
          <w:b/>
          <w:bCs/>
          <w:color w:val="000000" w:themeColor="text1"/>
          <w:szCs w:val="21"/>
          <w:highlight w:val="none"/>
          <w14:textFill>
            <w14:solidFill>
              <w14:schemeClr w14:val="tx1"/>
            </w14:solidFill>
          </w14:textFill>
        </w:rPr>
        <w:t xml:space="preserve">1.3 </w:t>
      </w:r>
      <w:r>
        <w:rPr>
          <w:rFonts w:hint="eastAsia" w:hAnsi="宋体" w:cs="宋体"/>
          <w:b/>
          <w:bCs/>
          <w:color w:val="000000" w:themeColor="text1"/>
          <w:szCs w:val="21"/>
          <w:highlight w:val="none"/>
          <w14:textFill>
            <w14:solidFill>
              <w14:schemeClr w14:val="tx1"/>
            </w14:solidFill>
          </w14:textFill>
        </w:rPr>
        <w:t>招标范围、计划工期、质量要求</w:t>
      </w:r>
      <w:bookmarkEnd w:id="429"/>
      <w:r>
        <w:rPr>
          <w:rFonts w:hint="eastAsia" w:hAnsi="宋体" w:cs="宋体"/>
          <w:b/>
          <w:bCs/>
          <w:color w:val="000000" w:themeColor="text1"/>
          <w:szCs w:val="21"/>
          <w:highlight w:val="none"/>
          <w14:textFill>
            <w14:solidFill>
              <w14:schemeClr w14:val="tx1"/>
            </w14:solidFill>
          </w14:textFill>
        </w:rPr>
        <w:t>和安全目标</w:t>
      </w:r>
      <w:bookmarkEnd w:id="430"/>
    </w:p>
    <w:p w14:paraId="2A7E4EAC">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21"/>
          <w:highlight w:val="none"/>
          <w14:textFill>
            <w14:solidFill>
              <w14:schemeClr w14:val="tx1"/>
            </w14:solidFill>
          </w14:textFill>
        </w:rPr>
        <w:t>招标范围：见投标人须知前附表。</w:t>
      </w:r>
    </w:p>
    <w:p w14:paraId="0257EE7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1.3.2 </w:t>
      </w:r>
      <w:r>
        <w:rPr>
          <w:rFonts w:hint="eastAsia" w:ascii="宋体" w:hAnsi="宋体" w:cs="宋体"/>
          <w:color w:val="000000" w:themeColor="text1"/>
          <w:szCs w:val="21"/>
          <w:highlight w:val="none"/>
          <w14:textFill>
            <w14:solidFill>
              <w14:schemeClr w14:val="tx1"/>
            </w14:solidFill>
          </w14:textFill>
        </w:rPr>
        <w:t>本标段的计划工期：见投标人须知前附表。</w:t>
      </w:r>
    </w:p>
    <w:p w14:paraId="137F9C8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1.3.3 </w:t>
      </w:r>
      <w:r>
        <w:rPr>
          <w:rFonts w:hint="eastAsia" w:ascii="宋体" w:hAnsi="宋体" w:cs="宋体"/>
          <w:color w:val="000000" w:themeColor="text1"/>
          <w:szCs w:val="21"/>
          <w:highlight w:val="none"/>
          <w14:textFill>
            <w14:solidFill>
              <w14:schemeClr w14:val="tx1"/>
            </w14:solidFill>
          </w14:textFill>
        </w:rPr>
        <w:t>本标段的质量要求：见投标人须知前附表。</w:t>
      </w:r>
    </w:p>
    <w:p w14:paraId="304F5F3C">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1.3.4 </w:t>
      </w:r>
      <w:r>
        <w:rPr>
          <w:rFonts w:hint="eastAsia" w:ascii="宋体" w:hAnsi="宋体" w:cs="宋体"/>
          <w:color w:val="000000" w:themeColor="text1"/>
          <w:szCs w:val="21"/>
          <w:highlight w:val="none"/>
          <w14:textFill>
            <w14:solidFill>
              <w14:schemeClr w14:val="tx1"/>
            </w14:solidFill>
          </w14:textFill>
        </w:rPr>
        <w:t>本标段的安全目标：见投标人须知前附表。</w:t>
      </w:r>
    </w:p>
    <w:p w14:paraId="1683E003">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31" w:name="_Toc452457638"/>
      <w:bookmarkStart w:id="432" w:name="_Toc20771"/>
      <w:r>
        <w:rPr>
          <w:rFonts w:hAnsi="宋体" w:cs="宋体"/>
          <w:b/>
          <w:bCs/>
          <w:color w:val="000000" w:themeColor="text1"/>
          <w:szCs w:val="21"/>
          <w:highlight w:val="none"/>
          <w14:textFill>
            <w14:solidFill>
              <w14:schemeClr w14:val="tx1"/>
            </w14:solidFill>
          </w14:textFill>
        </w:rPr>
        <w:t xml:space="preserve">1.4 </w:t>
      </w:r>
      <w:r>
        <w:rPr>
          <w:rFonts w:hint="eastAsia" w:hAnsi="宋体" w:cs="宋体"/>
          <w:b/>
          <w:bCs/>
          <w:color w:val="000000" w:themeColor="text1"/>
          <w:szCs w:val="21"/>
          <w:highlight w:val="none"/>
          <w14:textFill>
            <w14:solidFill>
              <w14:schemeClr w14:val="tx1"/>
            </w14:solidFill>
          </w14:textFill>
        </w:rPr>
        <w:t>投标人资格要求</w:t>
      </w:r>
      <w:bookmarkEnd w:id="431"/>
      <w:bookmarkEnd w:id="432"/>
    </w:p>
    <w:p w14:paraId="546BE2C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1.4.1投标人应具备承担本标段施工的资质条件、能力和信誉。</w:t>
      </w:r>
    </w:p>
    <w:p w14:paraId="16A4419C">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(1)资质要求：见投标人须知前附表；</w:t>
      </w:r>
    </w:p>
    <w:p w14:paraId="49A6351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(2)财务要求：见投标人须知前附表；</w:t>
      </w:r>
    </w:p>
    <w:p w14:paraId="76FD0FC5">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(3)业绩要求：见投标人须知前附表；</w:t>
      </w:r>
    </w:p>
    <w:p w14:paraId="4CFFBDB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(4)信誉要求：见投标人须知前附表;</w:t>
      </w:r>
    </w:p>
    <w:p w14:paraId="49E3B7B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(5)项目经理、项目技术负责人和安全负责人资格：见投标人须知前附表；</w:t>
      </w:r>
    </w:p>
    <w:p w14:paraId="5395CBE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(6)其他要求：见投标人须知前附表。</w:t>
      </w:r>
    </w:p>
    <w:p w14:paraId="4563998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需要提交的相关证明材料见本章第</w:t>
      </w:r>
      <w:r>
        <w:rPr>
          <w:rFonts w:ascii="宋体" w:hAnsi="宋体" w:cs="宋体"/>
          <w:color w:val="000000" w:themeColor="text1"/>
          <w:szCs w:val="21"/>
          <w:highlight w:val="none"/>
          <w14:textFill>
            <w14:solidFill>
              <w14:schemeClr w14:val="tx1"/>
            </w14:solidFill>
          </w14:textFill>
        </w:rPr>
        <w:t>3.5款的规定。</w:t>
      </w:r>
    </w:p>
    <w:p w14:paraId="65BBC1B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1.4.2 </w:t>
      </w:r>
      <w:r>
        <w:rPr>
          <w:rFonts w:hint="eastAsia" w:ascii="宋体" w:hAnsi="宋体" w:cs="宋体"/>
          <w:color w:val="000000" w:themeColor="text1"/>
          <w:szCs w:val="21"/>
          <w:highlight w:val="none"/>
          <w14:textFill>
            <w14:solidFill>
              <w14:schemeClr w14:val="tx1"/>
            </w14:solidFill>
          </w14:textFill>
        </w:rPr>
        <w:t>投标人须知前附表规定接受联合体投标的，联合体除应符合本章第</w:t>
      </w:r>
      <w:r>
        <w:rPr>
          <w:rFonts w:ascii="宋体" w:hAnsi="宋体" w:cs="宋体"/>
          <w:color w:val="000000" w:themeColor="text1"/>
          <w:szCs w:val="21"/>
          <w:highlight w:val="none"/>
          <w14:textFill>
            <w14:solidFill>
              <w14:schemeClr w14:val="tx1"/>
            </w14:solidFill>
          </w14:textFill>
        </w:rPr>
        <w:t xml:space="preserve"> 1.4.1 </w:t>
      </w:r>
      <w:r>
        <w:rPr>
          <w:rFonts w:hint="eastAsia" w:ascii="宋体" w:hAnsi="宋体" w:cs="宋体"/>
          <w:color w:val="000000" w:themeColor="text1"/>
          <w:szCs w:val="21"/>
          <w:highlight w:val="none"/>
          <w14:textFill>
            <w14:solidFill>
              <w14:schemeClr w14:val="tx1"/>
            </w14:solidFill>
          </w14:textFill>
        </w:rPr>
        <w:t>项和投标人须知前附表的要求外，还应遵守以下规定：</w:t>
      </w:r>
    </w:p>
    <w:p w14:paraId="1C81F08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(1)联合体各方应按招标文件提供的格式签订联合体协议书，明确联合体牵头人和各方权利义务，并承诺就中标项目向招标人承担连带责任；</w:t>
      </w:r>
    </w:p>
    <w:p w14:paraId="2E49467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(2)由同一专业的单位组成的联合体，按照资质等级较低的单位确定资质等级；</w:t>
      </w:r>
    </w:p>
    <w:p w14:paraId="0601542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(3)联合体各方不得再以自己名义单独或参加其他联合体在同一标段中投标；</w:t>
      </w:r>
    </w:p>
    <w:p w14:paraId="173B297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0DA8EFE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(5)尽管委任了联合体牵头人，但联合体各成员在投标、签订合同与履行合同过程中，仍负有连带的和各自的法律责任。 </w:t>
      </w:r>
    </w:p>
    <w:p w14:paraId="65555DD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1.4.3 </w:t>
      </w:r>
      <w:r>
        <w:rPr>
          <w:rFonts w:hint="eastAsia" w:ascii="宋体" w:hAnsi="宋体" w:cs="宋体"/>
          <w:color w:val="000000" w:themeColor="text1"/>
          <w:szCs w:val="21"/>
          <w:highlight w:val="none"/>
          <w14:textFill>
            <w14:solidFill>
              <w14:schemeClr w14:val="tx1"/>
            </w14:solidFill>
          </w14:textFill>
        </w:rPr>
        <w:t>投标人（包括联合体各成员）不得与本标段相关单位存在下列关联情形：</w:t>
      </w:r>
    </w:p>
    <w:p w14:paraId="0130882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(1)为招标人不具有独立法人资格的附属机构(单位)；</w:t>
      </w:r>
    </w:p>
    <w:p w14:paraId="4308784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(2)与招标人存在利害关系且可能影响招标公正性；</w:t>
      </w:r>
    </w:p>
    <w:p w14:paraId="3B05D2F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(3)与本标段的其他投标人同为一个单位负责人；</w:t>
      </w:r>
    </w:p>
    <w:p w14:paraId="4FCD2FAC">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(4)与本标段的其他投标人存在控股（含法定代表人控股）、管理关系；</w:t>
      </w:r>
    </w:p>
    <w:p w14:paraId="19FF7F6B">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(5)为本标段前期准备提供设计或咨询服务的法人或其他任何附属机构（单位）；</w:t>
      </w:r>
    </w:p>
    <w:p w14:paraId="4C9C7A7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(6)为本标段的监理人；</w:t>
      </w:r>
    </w:p>
    <w:p w14:paraId="60FBCB4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(7)为本标段的代建人；</w:t>
      </w:r>
    </w:p>
    <w:p w14:paraId="2603882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(8)为本标段的招标代理机构；</w:t>
      </w:r>
    </w:p>
    <w:p w14:paraId="7C79765B">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(9)与本标段的监理人或代建人或招标代理机构同为一个法定代表人；</w:t>
      </w:r>
    </w:p>
    <w:p w14:paraId="6543B51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(10)与本标段的监理人或代建人或招标代理机构存在控股或参股关系；</w:t>
      </w:r>
    </w:p>
    <w:p w14:paraId="3E1A94E5">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(11)法律法规或投标人须知前附表规定的其他情形。</w:t>
      </w:r>
    </w:p>
    <w:p w14:paraId="6F542A0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1.4.4 </w:t>
      </w:r>
      <w:r>
        <w:rPr>
          <w:rFonts w:hint="eastAsia" w:ascii="宋体" w:hAnsi="宋体" w:cs="宋体"/>
          <w:color w:val="000000" w:themeColor="text1"/>
          <w:szCs w:val="21"/>
          <w:highlight w:val="none"/>
          <w14:textFill>
            <w14:solidFill>
              <w14:schemeClr w14:val="tx1"/>
            </w14:solidFill>
          </w14:textFill>
        </w:rPr>
        <w:t>投标人（包括联合体各成员）不得存在下列不良状况或不良信用记录：</w:t>
      </w:r>
    </w:p>
    <w:p w14:paraId="375B028B">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(1)被交通运输部、浙江省交通运输厅、浙江省发展和改革委员会取消投标资格或禁止进入浙江省建设市场且处于有效期内的；</w:t>
      </w:r>
    </w:p>
    <w:p w14:paraId="62A9A47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(2)被责令停业，暂扣或吊销执照，或吊销资质证书；</w:t>
      </w:r>
    </w:p>
    <w:p w14:paraId="040A95C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(3)进入清算程序，或被宣告破产，或其他丧失履约能力的情形；</w:t>
      </w:r>
    </w:p>
    <w:p w14:paraId="5F911FA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(4)在国家企业信用信息公示系统（</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"http://www.gsxt.gov.cn" </w:instrText>
      </w:r>
      <w:r>
        <w:rPr>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http://www.gsxt.gov.cn</w:t>
      </w:r>
      <w:r>
        <w:rPr>
          <w:rFonts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）中被列入严重违法失信企业名单；</w:t>
      </w:r>
    </w:p>
    <w:p w14:paraId="59921E1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(5)在“信用中国”网站（http://www.creditchina.gov.cn）中被列入失信被执行人名单；</w:t>
      </w:r>
    </w:p>
    <w:p w14:paraId="4F37BD4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(6)投标人或其法定代表人、拟委任的项目经理在投标人须知前附表规定日期后有行贿犯罪行为的（行贿犯罪行为的认定以中国裁判文书网（http://wenshu.court.gov.cn/）</w:t>
      </w:r>
      <w:r>
        <w:rPr>
          <w:rFonts w:hint="eastAsia" w:ascii="宋体" w:hAnsi="宋体" w:cs="宋体"/>
          <w:color w:val="000000" w:themeColor="text1"/>
          <w:sz w:val="22"/>
          <w:highlight w:val="none"/>
          <w14:textFill>
            <w14:solidFill>
              <w14:schemeClr w14:val="tx1"/>
            </w14:solidFill>
          </w14:textFill>
        </w:rPr>
        <w:t>查询结果为准，投标文件中无需提供查询结果</w:t>
      </w:r>
      <w:r>
        <w:rPr>
          <w:rFonts w:hint="eastAsia" w:ascii="宋体" w:hAnsi="宋体" w:cs="宋体"/>
          <w:color w:val="000000" w:themeColor="text1"/>
          <w:szCs w:val="21"/>
          <w:highlight w:val="none"/>
          <w14:textFill>
            <w14:solidFill>
              <w14:schemeClr w14:val="tx1"/>
            </w14:solidFill>
          </w14:textFill>
        </w:rPr>
        <w:t>）；</w:t>
      </w:r>
    </w:p>
    <w:p w14:paraId="5A2DC965">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(7)法律法规或投标人须知前附表规定的其他情形。</w:t>
      </w:r>
    </w:p>
    <w:p w14:paraId="704821C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1.4.5 </w:t>
      </w:r>
      <w:r>
        <w:rPr>
          <w:rFonts w:hint="eastAsia" w:ascii="宋体" w:hAnsi="宋体" w:cs="宋体"/>
          <w:color w:val="000000" w:themeColor="text1"/>
          <w:highlight w:val="none"/>
          <w14:textFill>
            <w14:solidFill>
              <w14:schemeClr w14:val="tx1"/>
            </w14:solidFill>
          </w14:textFill>
        </w:rPr>
        <w:t>具有公路工程</w:t>
      </w:r>
      <w:r>
        <w:rPr>
          <w:rFonts w:hint="eastAsia" w:ascii="宋体" w:hAnsi="宋体" w:cs="宋体"/>
          <w:color w:val="000000" w:themeColor="text1"/>
          <w:szCs w:val="21"/>
          <w:highlight w:val="none"/>
          <w14:textFill>
            <w14:solidFill>
              <w14:schemeClr w14:val="tx1"/>
            </w14:solidFill>
          </w14:textFill>
        </w:rPr>
        <w:t>施工总承包特级、一级资质及交通工程专业承包资质的投标人（包括联合体各成员）应进入交通运输部“全国公路建设市场信用信息管理系统（</w:t>
      </w:r>
      <w:r>
        <w:rPr>
          <w:rFonts w:ascii="宋体" w:hAnsi="宋体" w:cs="宋体"/>
          <w:color w:val="000000" w:themeColor="text1"/>
          <w:szCs w:val="21"/>
          <w:highlight w:val="none"/>
          <w14:textFill>
            <w14:solidFill>
              <w14:schemeClr w14:val="tx1"/>
            </w14:solidFill>
          </w14:textFill>
        </w:rPr>
        <w:t>http://glxy.mot.gov.cn）”中的公路工程施工资质企业名录，且投标人名称和资质与该名录中的相应企业名称和资质完全一致。投标人不满足本项规定条件的，将被否决投标。</w:t>
      </w:r>
    </w:p>
    <w:p w14:paraId="6861CD64">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33" w:name="_Toc24087"/>
      <w:bookmarkStart w:id="434" w:name="_Toc452457639"/>
      <w:r>
        <w:rPr>
          <w:rFonts w:hAnsi="宋体" w:cs="宋体"/>
          <w:b/>
          <w:bCs/>
          <w:color w:val="000000" w:themeColor="text1"/>
          <w:szCs w:val="21"/>
          <w:highlight w:val="none"/>
          <w14:textFill>
            <w14:solidFill>
              <w14:schemeClr w14:val="tx1"/>
            </w14:solidFill>
          </w14:textFill>
        </w:rPr>
        <w:t xml:space="preserve">1.5 </w:t>
      </w:r>
      <w:r>
        <w:rPr>
          <w:rFonts w:hint="eastAsia" w:hAnsi="宋体" w:cs="宋体"/>
          <w:b/>
          <w:bCs/>
          <w:color w:val="000000" w:themeColor="text1"/>
          <w:szCs w:val="21"/>
          <w:highlight w:val="none"/>
          <w14:textFill>
            <w14:solidFill>
              <w14:schemeClr w14:val="tx1"/>
            </w14:solidFill>
          </w14:textFill>
        </w:rPr>
        <w:t>费用承担</w:t>
      </w:r>
      <w:bookmarkEnd w:id="433"/>
      <w:bookmarkEnd w:id="434"/>
    </w:p>
    <w:p w14:paraId="74AFCB1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投标人准备和参加投标活动发生的费用自理。</w:t>
      </w:r>
    </w:p>
    <w:p w14:paraId="7DA8F409">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35" w:name="_Toc452457640"/>
      <w:bookmarkStart w:id="436" w:name="_Toc22800"/>
      <w:r>
        <w:rPr>
          <w:rFonts w:hAnsi="宋体" w:cs="宋体"/>
          <w:b/>
          <w:bCs/>
          <w:color w:val="000000" w:themeColor="text1"/>
          <w:szCs w:val="21"/>
          <w:highlight w:val="none"/>
          <w14:textFill>
            <w14:solidFill>
              <w14:schemeClr w14:val="tx1"/>
            </w14:solidFill>
          </w14:textFill>
        </w:rPr>
        <w:t xml:space="preserve">1.6 </w:t>
      </w:r>
      <w:r>
        <w:rPr>
          <w:rFonts w:hint="eastAsia" w:hAnsi="宋体" w:cs="宋体"/>
          <w:b/>
          <w:bCs/>
          <w:color w:val="000000" w:themeColor="text1"/>
          <w:szCs w:val="21"/>
          <w:highlight w:val="none"/>
          <w14:textFill>
            <w14:solidFill>
              <w14:schemeClr w14:val="tx1"/>
            </w14:solidFill>
          </w14:textFill>
        </w:rPr>
        <w:t>保密</w:t>
      </w:r>
      <w:bookmarkEnd w:id="435"/>
      <w:bookmarkEnd w:id="436"/>
    </w:p>
    <w:p w14:paraId="7CBE9F6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参与招标投标活动的各方应对招标文件和投标文件中的商业和技术等秘密保密，否则应承担相应的法律责任。</w:t>
      </w:r>
      <w:r>
        <w:rPr>
          <w:rFonts w:ascii="宋体" w:hAnsi="宋体" w:cs="宋体"/>
          <w:color w:val="000000" w:themeColor="text1"/>
          <w:szCs w:val="21"/>
          <w:highlight w:val="none"/>
          <w14:textFill>
            <w14:solidFill>
              <w14:schemeClr w14:val="tx1"/>
            </w14:solidFill>
          </w14:textFill>
        </w:rPr>
        <w:t xml:space="preserve"> </w:t>
      </w:r>
    </w:p>
    <w:p w14:paraId="351D3D7B">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37" w:name="_Toc2455"/>
      <w:bookmarkStart w:id="438" w:name="_Toc452457641"/>
      <w:r>
        <w:rPr>
          <w:rFonts w:hAnsi="宋体" w:cs="宋体"/>
          <w:b/>
          <w:bCs/>
          <w:color w:val="000000" w:themeColor="text1"/>
          <w:szCs w:val="21"/>
          <w:highlight w:val="none"/>
          <w14:textFill>
            <w14:solidFill>
              <w14:schemeClr w14:val="tx1"/>
            </w14:solidFill>
          </w14:textFill>
        </w:rPr>
        <w:t xml:space="preserve">1.7 </w:t>
      </w:r>
      <w:r>
        <w:rPr>
          <w:rFonts w:hint="eastAsia" w:hAnsi="宋体" w:cs="宋体"/>
          <w:b/>
          <w:bCs/>
          <w:color w:val="000000" w:themeColor="text1"/>
          <w:szCs w:val="21"/>
          <w:highlight w:val="none"/>
          <w14:textFill>
            <w14:solidFill>
              <w14:schemeClr w14:val="tx1"/>
            </w14:solidFill>
          </w14:textFill>
        </w:rPr>
        <w:t>语言文字</w:t>
      </w:r>
      <w:bookmarkEnd w:id="437"/>
      <w:bookmarkEnd w:id="438"/>
    </w:p>
    <w:p w14:paraId="55B411E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招标投标文件使用的语言文字为中文。专用术语使用外文的，应附有中文注释。</w:t>
      </w:r>
    </w:p>
    <w:p w14:paraId="44397849">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39" w:name="_Toc16095"/>
      <w:bookmarkStart w:id="440" w:name="_Toc452457642"/>
      <w:r>
        <w:rPr>
          <w:rFonts w:hAnsi="宋体" w:cs="宋体"/>
          <w:b/>
          <w:bCs/>
          <w:color w:val="000000" w:themeColor="text1"/>
          <w:szCs w:val="21"/>
          <w:highlight w:val="none"/>
          <w14:textFill>
            <w14:solidFill>
              <w14:schemeClr w14:val="tx1"/>
            </w14:solidFill>
          </w14:textFill>
        </w:rPr>
        <w:t xml:space="preserve">1.8 </w:t>
      </w:r>
      <w:r>
        <w:rPr>
          <w:rFonts w:hint="eastAsia" w:hAnsi="宋体" w:cs="宋体"/>
          <w:b/>
          <w:bCs/>
          <w:color w:val="000000" w:themeColor="text1"/>
          <w:szCs w:val="21"/>
          <w:highlight w:val="none"/>
          <w14:textFill>
            <w14:solidFill>
              <w14:schemeClr w14:val="tx1"/>
            </w14:solidFill>
          </w14:textFill>
        </w:rPr>
        <w:t>计量单位</w:t>
      </w:r>
      <w:bookmarkEnd w:id="439"/>
      <w:bookmarkEnd w:id="440"/>
    </w:p>
    <w:p w14:paraId="1494321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所有计量均采用中华人民共和国法定计量单位。</w:t>
      </w:r>
    </w:p>
    <w:p w14:paraId="73FFB6A6">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41" w:name="_Toc2272"/>
      <w:bookmarkStart w:id="442" w:name="_Toc452457643"/>
      <w:r>
        <w:rPr>
          <w:rFonts w:hAnsi="宋体" w:cs="宋体"/>
          <w:b/>
          <w:bCs/>
          <w:color w:val="000000" w:themeColor="text1"/>
          <w:szCs w:val="21"/>
          <w:highlight w:val="none"/>
          <w14:textFill>
            <w14:solidFill>
              <w14:schemeClr w14:val="tx1"/>
            </w14:solidFill>
          </w14:textFill>
        </w:rPr>
        <w:t xml:space="preserve">1.9 </w:t>
      </w:r>
      <w:r>
        <w:rPr>
          <w:rFonts w:hint="eastAsia" w:hAnsi="宋体" w:cs="宋体"/>
          <w:b/>
          <w:bCs/>
          <w:color w:val="000000" w:themeColor="text1"/>
          <w:szCs w:val="21"/>
          <w:highlight w:val="none"/>
          <w14:textFill>
            <w14:solidFill>
              <w14:schemeClr w14:val="tx1"/>
            </w14:solidFill>
          </w14:textFill>
        </w:rPr>
        <w:t>踏勘现场</w:t>
      </w:r>
      <w:bookmarkEnd w:id="441"/>
      <w:bookmarkEnd w:id="442"/>
    </w:p>
    <w:p w14:paraId="3135E22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1.9.1 </w:t>
      </w:r>
      <w:r>
        <w:rPr>
          <w:rFonts w:hint="eastAsia" w:ascii="宋体" w:hAnsi="宋体" w:cs="宋体"/>
          <w:color w:val="000000" w:themeColor="text1"/>
          <w:szCs w:val="21"/>
          <w:highlight w:val="none"/>
          <w14:textFill>
            <w14:solidFill>
              <w14:schemeClr w14:val="tx1"/>
            </w14:solidFill>
          </w14:textFill>
        </w:rPr>
        <w:t>第一章“招标公告”规定组织踏勘现场的，招标人按规定的时间、地点组织投标人踏勘项目现场。部分投标人未按时参加踏勘现场的，不影响踏勘现场的正常进行。招标人不得组织单个或者部分投标人踏勘项目现场。</w:t>
      </w:r>
    </w:p>
    <w:p w14:paraId="41C5F9C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1.9.2 </w:t>
      </w:r>
      <w:r>
        <w:rPr>
          <w:rFonts w:hint="eastAsia" w:ascii="宋体" w:hAnsi="宋体" w:cs="宋体"/>
          <w:color w:val="000000" w:themeColor="text1"/>
          <w:szCs w:val="21"/>
          <w:highlight w:val="none"/>
          <w14:textFill>
            <w14:solidFill>
              <w14:schemeClr w14:val="tx1"/>
            </w14:solidFill>
          </w14:textFill>
        </w:rPr>
        <w:t>投标人踏勘现场发生的费用自理。</w:t>
      </w:r>
    </w:p>
    <w:p w14:paraId="3B0A15D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1.9.3 </w:t>
      </w:r>
      <w:r>
        <w:rPr>
          <w:rFonts w:hint="eastAsia" w:ascii="宋体" w:hAnsi="宋体" w:cs="宋体"/>
          <w:color w:val="000000" w:themeColor="text1"/>
          <w:szCs w:val="21"/>
          <w:highlight w:val="none"/>
          <w14:textFill>
            <w14:solidFill>
              <w14:schemeClr w14:val="tx1"/>
            </w14:solidFill>
          </w14:textFill>
        </w:rPr>
        <w:t>除招标人的原因外，投标人自行负责在踏勘现场中所发生的人员伤亡和财产损失。</w:t>
      </w:r>
    </w:p>
    <w:p w14:paraId="39FDCF6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1.9.4 </w:t>
      </w:r>
      <w:r>
        <w:rPr>
          <w:rFonts w:hint="eastAsia" w:ascii="宋体" w:hAnsi="宋体" w:cs="宋体"/>
          <w:color w:val="000000" w:themeColor="text1"/>
          <w:szCs w:val="21"/>
          <w:highlight w:val="none"/>
          <w14:textFill>
            <w14:solidFill>
              <w14:schemeClr w14:val="tx1"/>
            </w14:solidFill>
          </w14:textFill>
        </w:rPr>
        <w:t>招标人在踏勘现场中介绍的工程场地和相关的周边环境情况，供投标人在编制投标文件时参考，招标人不对投标人据此作出的判断和决策负责。</w:t>
      </w:r>
    </w:p>
    <w:p w14:paraId="15868DA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1.9.5招标人提供的本合同工程的水文、地质、气象和料场分布、取土场、弃土场位置等参考资料，并不构成合同文件的组成部分，投标人应对自已就上述资料的解释、推论和应用负责，招标人不对投标人据此作出的判断和决策承担任何责任。</w:t>
      </w:r>
    </w:p>
    <w:p w14:paraId="00A632D9">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43" w:name="_Toc29183"/>
      <w:bookmarkStart w:id="444" w:name="_Toc452457644"/>
      <w:r>
        <w:rPr>
          <w:rFonts w:hAnsi="宋体" w:cs="宋体"/>
          <w:b/>
          <w:bCs/>
          <w:color w:val="000000" w:themeColor="text1"/>
          <w:szCs w:val="21"/>
          <w:highlight w:val="none"/>
          <w14:textFill>
            <w14:solidFill>
              <w14:schemeClr w14:val="tx1"/>
            </w14:solidFill>
          </w14:textFill>
        </w:rPr>
        <w:t xml:space="preserve">1.10 </w:t>
      </w:r>
      <w:r>
        <w:rPr>
          <w:rFonts w:hint="eastAsia" w:hAnsi="宋体" w:cs="宋体"/>
          <w:b/>
          <w:bCs/>
          <w:color w:val="000000" w:themeColor="text1"/>
          <w:szCs w:val="21"/>
          <w:highlight w:val="none"/>
          <w14:textFill>
            <w14:solidFill>
              <w14:schemeClr w14:val="tx1"/>
            </w14:solidFill>
          </w14:textFill>
        </w:rPr>
        <w:t>投标预备会</w:t>
      </w:r>
      <w:bookmarkEnd w:id="443"/>
      <w:bookmarkEnd w:id="444"/>
    </w:p>
    <w:p w14:paraId="03F3C44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1.10.1 </w:t>
      </w:r>
      <w:r>
        <w:rPr>
          <w:rFonts w:hint="eastAsia" w:ascii="宋体" w:hAnsi="宋体" w:cs="宋体"/>
          <w:color w:val="000000" w:themeColor="text1"/>
          <w:szCs w:val="21"/>
          <w:highlight w:val="none"/>
          <w14:textFill>
            <w14:solidFill>
              <w14:schemeClr w14:val="tx1"/>
            </w14:solidFill>
          </w14:textFill>
        </w:rPr>
        <w:t>第一章“招标公告”规定召开投标预备会的，招标人按规定的时间和地点召开投标预备会，澄清投标人提出的问题。</w:t>
      </w:r>
    </w:p>
    <w:p w14:paraId="0AC2D925">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1.10.2 </w:t>
      </w:r>
      <w:r>
        <w:rPr>
          <w:rFonts w:hint="eastAsia" w:ascii="宋体" w:hAnsi="宋体" w:cs="宋体"/>
          <w:color w:val="000000" w:themeColor="text1"/>
          <w:szCs w:val="21"/>
          <w:highlight w:val="none"/>
          <w14:textFill>
            <w14:solidFill>
              <w14:schemeClr w14:val="tx1"/>
            </w14:solidFill>
          </w14:textFill>
        </w:rPr>
        <w:t>投标人应在投标人须知前附表规定的时间前，</w:t>
      </w:r>
      <w:r>
        <w:rPr>
          <w:rFonts w:hint="eastAsia"/>
          <w:color w:val="000000" w:themeColor="text1"/>
          <w:highlight w:val="none"/>
          <w14:textFill>
            <w14:solidFill>
              <w14:schemeClr w14:val="tx1"/>
            </w14:solidFill>
          </w14:textFill>
        </w:rPr>
        <w:t>以书面形式</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包括信函、电报、传真等可以有形地表现所载内容的形式，下同</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将提出的问题送达招标人，以便招标人澄清。</w:t>
      </w:r>
    </w:p>
    <w:p w14:paraId="3B604AAB">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1.10.3 </w:t>
      </w:r>
      <w:r>
        <w:rPr>
          <w:rFonts w:hint="eastAsia" w:ascii="宋体" w:hAnsi="宋体" w:cs="宋体"/>
          <w:color w:val="000000" w:themeColor="text1"/>
          <w:szCs w:val="21"/>
          <w:highlight w:val="none"/>
          <w14:textFill>
            <w14:solidFill>
              <w14:schemeClr w14:val="tx1"/>
            </w14:solidFill>
          </w14:textFill>
        </w:rPr>
        <w:t>投标预备会后，招标人将对投标人所提问题的澄清，以本章第</w:t>
      </w:r>
      <w:r>
        <w:rPr>
          <w:rFonts w:ascii="宋体" w:hAnsi="宋体" w:cs="宋体"/>
          <w:color w:val="000000" w:themeColor="text1"/>
          <w:szCs w:val="21"/>
          <w:highlight w:val="none"/>
          <w14:textFill>
            <w14:solidFill>
              <w14:schemeClr w14:val="tx1"/>
            </w14:solidFill>
          </w14:textFill>
        </w:rPr>
        <w:t>2.2款规定的形式通知所有获取招标文件的投标人。该澄清内容为招标文件的组成部分。</w:t>
      </w:r>
    </w:p>
    <w:p w14:paraId="00252D0F">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45" w:name="_Toc4903"/>
      <w:bookmarkStart w:id="446" w:name="_Toc452457645"/>
      <w:r>
        <w:rPr>
          <w:rFonts w:hAnsi="宋体" w:cs="宋体"/>
          <w:b/>
          <w:bCs/>
          <w:color w:val="000000" w:themeColor="text1"/>
          <w:szCs w:val="21"/>
          <w:highlight w:val="none"/>
          <w14:textFill>
            <w14:solidFill>
              <w14:schemeClr w14:val="tx1"/>
            </w14:solidFill>
          </w14:textFill>
        </w:rPr>
        <w:t xml:space="preserve">1.11 </w:t>
      </w:r>
      <w:r>
        <w:rPr>
          <w:rFonts w:hint="eastAsia" w:hAnsi="宋体" w:cs="宋体"/>
          <w:b/>
          <w:bCs/>
          <w:color w:val="000000" w:themeColor="text1"/>
          <w:szCs w:val="21"/>
          <w:highlight w:val="none"/>
          <w14:textFill>
            <w14:solidFill>
              <w14:schemeClr w14:val="tx1"/>
            </w14:solidFill>
          </w14:textFill>
        </w:rPr>
        <w:t>分包</w:t>
      </w:r>
      <w:bookmarkEnd w:id="445"/>
      <w:bookmarkEnd w:id="446"/>
    </w:p>
    <w:p w14:paraId="4D494CC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1.11.1投标人拟在中标后将中标项目的部分工作进行分包的， </w:t>
      </w:r>
      <w:r>
        <w:rPr>
          <w:rFonts w:hint="eastAsia" w:ascii="宋体" w:hAnsi="宋体" w:cs="宋体"/>
          <w:color w:val="000000" w:themeColor="text1"/>
          <w:szCs w:val="21"/>
          <w:highlight w:val="none"/>
          <w14:textFill>
            <w14:solidFill>
              <w14:schemeClr w14:val="tx1"/>
            </w14:solidFill>
          </w14:textFill>
        </w:rPr>
        <w:t>应符合投标人须知前附表的规定，投标人中标后的分包应满足合同条款第</w:t>
      </w:r>
      <w:r>
        <w:rPr>
          <w:rFonts w:ascii="宋体" w:hAnsi="宋体" w:cs="宋体"/>
          <w:color w:val="000000" w:themeColor="text1"/>
          <w:szCs w:val="21"/>
          <w:highlight w:val="none"/>
          <w14:textFill>
            <w14:solidFill>
              <w14:schemeClr w14:val="tx1"/>
            </w14:solidFill>
          </w14:textFill>
        </w:rPr>
        <w:t>4.3款的相关要求。</w:t>
      </w:r>
    </w:p>
    <w:p w14:paraId="7D37D534">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1.11.2 </w:t>
      </w:r>
      <w:r>
        <w:rPr>
          <w:rFonts w:hint="eastAsia" w:ascii="宋体" w:hAnsi="宋体" w:cs="宋体"/>
          <w:color w:val="000000" w:themeColor="text1"/>
          <w:szCs w:val="21"/>
          <w:highlight w:val="none"/>
          <w14:textFill>
            <w14:solidFill>
              <w14:schemeClr w14:val="tx1"/>
            </w14:solidFill>
          </w14:textFill>
        </w:rPr>
        <w:t>中标人不得向他人转让中标项目，接受分包的人不得再次分包。中标人应就分包项目向招标人负责，接受分包的人就分包项目承担连带责任。</w:t>
      </w:r>
    </w:p>
    <w:p w14:paraId="0367236E">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47" w:name="_Toc452457646"/>
      <w:bookmarkStart w:id="448" w:name="_Toc17489"/>
      <w:r>
        <w:rPr>
          <w:rFonts w:hAnsi="宋体" w:cs="宋体"/>
          <w:b/>
          <w:bCs/>
          <w:color w:val="000000" w:themeColor="text1"/>
          <w:szCs w:val="21"/>
          <w:highlight w:val="none"/>
          <w14:textFill>
            <w14:solidFill>
              <w14:schemeClr w14:val="tx1"/>
            </w14:solidFill>
          </w14:textFill>
        </w:rPr>
        <w:t>1.12</w:t>
      </w:r>
      <w:bookmarkEnd w:id="447"/>
      <w:r>
        <w:rPr>
          <w:rFonts w:hint="eastAsia" w:hAnsi="宋体" w:cs="宋体"/>
          <w:b/>
          <w:bCs/>
          <w:color w:val="000000" w:themeColor="text1"/>
          <w:szCs w:val="21"/>
          <w:highlight w:val="none"/>
          <w14:textFill>
            <w14:solidFill>
              <w14:schemeClr w14:val="tx1"/>
            </w14:solidFill>
          </w14:textFill>
        </w:rPr>
        <w:t xml:space="preserve"> 响应和偏差</w:t>
      </w:r>
      <w:bookmarkEnd w:id="448"/>
    </w:p>
    <w:p w14:paraId="71362ACB">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1.12.1 </w:t>
      </w:r>
      <w:r>
        <w:rPr>
          <w:rFonts w:hint="eastAsia" w:ascii="宋体" w:hAnsi="宋体" w:cs="宋体"/>
          <w:color w:val="000000" w:themeColor="text1"/>
          <w:szCs w:val="21"/>
          <w:highlight w:val="none"/>
          <w14:textFill>
            <w14:solidFill>
              <w14:schemeClr w14:val="tx1"/>
            </w14:solidFill>
          </w14:textFill>
        </w:rPr>
        <w:t>投标文件偏离招标文件某些要求，视为投标文件存在偏差。偏差包括重大偏差和细微偏差。</w:t>
      </w:r>
    </w:p>
    <w:p w14:paraId="004DA315">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1.12.2 </w:t>
      </w:r>
      <w:r>
        <w:rPr>
          <w:rFonts w:hint="eastAsia" w:ascii="宋体" w:hAnsi="宋体" w:cs="宋体"/>
          <w:color w:val="000000" w:themeColor="text1"/>
          <w:szCs w:val="21"/>
          <w:highlight w:val="none"/>
          <w14:textFill>
            <w14:solidFill>
              <w14:schemeClr w14:val="tx1"/>
            </w14:solidFill>
          </w14:textFill>
        </w:rPr>
        <w:t>投标文件应对招标文件的实质性要求和条件作出满足性或更有利于招标人的响应，否则，视为投标文件存在重大偏差，投标人的投标将被否决。</w:t>
      </w:r>
      <w:r>
        <w:rPr>
          <w:rFonts w:ascii="宋体" w:hAnsi="宋体" w:cs="宋体"/>
          <w:color w:val="000000" w:themeColor="text1"/>
          <w:szCs w:val="21"/>
          <w:highlight w:val="none"/>
          <w14:textFill>
            <w14:solidFill>
              <w14:schemeClr w14:val="tx1"/>
            </w14:solidFill>
          </w14:textFill>
        </w:rPr>
        <w:t xml:space="preserve"> </w:t>
      </w:r>
    </w:p>
    <w:p w14:paraId="6D2A19D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投标文件存在第三章“评标办法”中所列任一否决投标情形的，均属于存在重大偏差。</w:t>
      </w:r>
    </w:p>
    <w:p w14:paraId="2A0B223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1.12.3 </w:t>
      </w:r>
      <w:r>
        <w:rPr>
          <w:rFonts w:hint="eastAsia" w:ascii="宋体" w:hAnsi="宋体" w:cs="宋体"/>
          <w:color w:val="000000" w:themeColor="text1"/>
          <w:szCs w:val="21"/>
          <w:highlight w:val="none"/>
          <w14:textFill>
            <w14:solidFill>
              <w14:schemeClr w14:val="tx1"/>
            </w14:solidFill>
          </w14:textFill>
        </w:rPr>
        <w:t>投标文件中的下列偏差为细微偏差：</w:t>
      </w:r>
    </w:p>
    <w:p w14:paraId="1E5BAFE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(1)在按照第三章“评标办法”的规定对投标价进行算术性错误修正及其他错误修正后，最终投标报价未超过最高投标限价的情况下，出现第三章 </w:t>
      </w:r>
      <w:r>
        <w:rPr>
          <w:rFonts w:hint="eastAsia" w:ascii="宋体" w:hAnsi="宋体" w:cs="宋体"/>
          <w:color w:val="000000" w:themeColor="text1"/>
          <w:szCs w:val="21"/>
          <w:highlight w:val="none"/>
          <w14:textFill>
            <w14:solidFill>
              <w14:schemeClr w14:val="tx1"/>
            </w14:solidFill>
          </w14:textFill>
        </w:rPr>
        <w:t>“评标办法”规定的算术性错误和投标报价的其他错误；</w:t>
      </w:r>
    </w:p>
    <w:p w14:paraId="4285D7B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(2)施工组织设计（含关键工程技术方案）和项目管理机构不够完善；</w:t>
      </w:r>
    </w:p>
    <w:p w14:paraId="23E1366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(3)投标文件页码不连续、采用活页夹装订、个别文字有遗漏错误等不影响投标文件实质性内容的偏差。</w:t>
      </w:r>
    </w:p>
    <w:p w14:paraId="19824476">
      <w:pPr>
        <w:pStyle w:val="7"/>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投标人所附《主要业绩信息一览表》中涉及本次招标资格审核的相关信息与投标文件所附的业绩证明材料不一致，但《主要业绩信息一览表》与所附的业绩证明材料均满足资格审查条件的；投标人所附《主要业绩信息一览表》中涉及本次招标加分的相关信息与投标文件所附的业绩证明材料不一致，但《主要业绩信息一览表》与所附的业绩证明材料均满足加分条件的。</w:t>
      </w:r>
    </w:p>
    <w:p w14:paraId="4614202B">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1.12.4 </w:t>
      </w:r>
      <w:r>
        <w:rPr>
          <w:rFonts w:hint="eastAsia" w:ascii="宋体" w:hAnsi="宋体" w:cs="宋体"/>
          <w:color w:val="000000" w:themeColor="text1"/>
          <w:szCs w:val="21"/>
          <w:highlight w:val="none"/>
          <w14:textFill>
            <w14:solidFill>
              <w14:schemeClr w14:val="tx1"/>
            </w14:solidFill>
          </w14:textFill>
        </w:rPr>
        <w:t>评标委员会对投标文件中的细微偏差按如下规定处理：</w:t>
      </w:r>
    </w:p>
    <w:p w14:paraId="718F3A4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(1)对于本章第1.12.3项(1)目所述的细微偏差，按照第三章“评标办法”的规定予以修正并要求投标人进行澄清；</w:t>
      </w:r>
    </w:p>
    <w:p w14:paraId="1D0C81D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对于本章第1.12.3项(2)目所述的细微偏差，如果采用技术通过制的综合评估法（合理低价法）或经评审的最低投标价法评标，应要求投标人对细微偏差进行澄清，只有投标人的澄清文件被评标委员会接受，投标人才能参加评标价的最终评比。如果采用技术打分制的综合评估法（综合评分法）评标，评标委员会可在相关评分因素的评分中酌情扣分；</w:t>
      </w:r>
    </w:p>
    <w:p w14:paraId="672B52E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(3)对于本章第1.12.3项(3)、(4)目所述的细微偏差，可要求投标人对细微偏差进行澄清。</w:t>
      </w:r>
    </w:p>
    <w:p w14:paraId="1F582B17">
      <w:pPr>
        <w:pStyle w:val="7"/>
        <w:spacing w:line="400" w:lineRule="exact"/>
        <w:ind w:firstLine="420" w:firstLineChars="20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1.12.5 </w:t>
      </w:r>
      <w:r>
        <w:rPr>
          <w:rFonts w:hint="eastAsia" w:ascii="宋体" w:hAnsi="宋体" w:cs="宋体"/>
          <w:color w:val="000000" w:themeColor="text1"/>
          <w:szCs w:val="21"/>
          <w:highlight w:val="none"/>
          <w14:textFill>
            <w14:solidFill>
              <w14:schemeClr w14:val="tx1"/>
            </w14:solidFill>
          </w14:textFill>
        </w:rPr>
        <w:t>投标人应根据招标文件的要求提供施工组织设计等内容以对招标文件作出响应。</w:t>
      </w:r>
      <w:bookmarkStart w:id="449" w:name="EB5e507411a2264f839503d4d24fc02a00"/>
      <w:bookmarkEnd w:id="449"/>
      <w:bookmarkStart w:id="450" w:name="EB030684df813643f19a65b4361523dc0b"/>
      <w:bookmarkEnd w:id="450"/>
      <w:bookmarkStart w:id="451" w:name="EB90aa47d141914bd39fc42b73cd846c97"/>
      <w:bookmarkEnd w:id="451"/>
    </w:p>
    <w:p w14:paraId="55B65C35">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452" w:name="_Toc452457647"/>
      <w:bookmarkStart w:id="453" w:name="_Toc26679"/>
      <w:bookmarkStart w:id="454" w:name="_Toc1007"/>
      <w:bookmarkStart w:id="455" w:name="_Toc13266"/>
      <w:bookmarkStart w:id="456" w:name="_Toc2478"/>
      <w:bookmarkStart w:id="457" w:name="_Toc10538"/>
      <w:bookmarkStart w:id="458" w:name="_Toc26032"/>
      <w:bookmarkStart w:id="459" w:name="_Toc31477"/>
      <w:bookmarkStart w:id="460" w:name="_Toc120624174"/>
      <w:bookmarkStart w:id="461" w:name="_Toc6969"/>
      <w:bookmarkStart w:id="462" w:name="_Toc5395"/>
      <w:bookmarkStart w:id="463" w:name="_Toc16895"/>
      <w:bookmarkStart w:id="464" w:name="_Toc19363"/>
      <w:bookmarkStart w:id="465" w:name="_Toc5301"/>
      <w:bookmarkStart w:id="466" w:name="_Toc118195755"/>
      <w:bookmarkStart w:id="467" w:name="_Toc98785252"/>
      <w:bookmarkStart w:id="468" w:name="_Toc32002"/>
      <w:bookmarkStart w:id="469" w:name="_Toc13408"/>
      <w:bookmarkStart w:id="470" w:name="_Toc119585483"/>
      <w:bookmarkStart w:id="471" w:name="_Toc15238"/>
      <w:r>
        <w:rPr>
          <w:rFonts w:ascii="宋体" w:hAnsi="宋体" w:cs="宋体"/>
          <w:b/>
          <w:bCs/>
          <w:color w:val="000000" w:themeColor="text1"/>
          <w:sz w:val="24"/>
          <w:szCs w:val="24"/>
          <w:highlight w:val="none"/>
          <w14:textFill>
            <w14:solidFill>
              <w14:schemeClr w14:val="tx1"/>
            </w14:solidFill>
          </w14:textFill>
        </w:rPr>
        <w:t xml:space="preserve">2. </w:t>
      </w:r>
      <w:r>
        <w:rPr>
          <w:rFonts w:hint="eastAsia" w:ascii="宋体" w:hAnsi="宋体" w:cs="宋体"/>
          <w:b/>
          <w:bCs/>
          <w:color w:val="000000" w:themeColor="text1"/>
          <w:sz w:val="24"/>
          <w:szCs w:val="24"/>
          <w:highlight w:val="none"/>
          <w14:textFill>
            <w14:solidFill>
              <w14:schemeClr w14:val="tx1"/>
            </w14:solidFill>
          </w14:textFill>
        </w:rPr>
        <w:t>招标文件</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616D64FB">
      <w:pPr>
        <w:pStyle w:val="34"/>
        <w:spacing w:line="46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72" w:name="_Toc12068"/>
      <w:bookmarkStart w:id="473" w:name="_Toc5516"/>
      <w:bookmarkStart w:id="474" w:name="_Toc118195756"/>
      <w:bookmarkStart w:id="475" w:name="_Toc452457648"/>
      <w:bookmarkStart w:id="476" w:name="_Toc16226"/>
      <w:bookmarkStart w:id="477" w:name="_Toc25529"/>
      <w:bookmarkStart w:id="478" w:name="_Toc19081"/>
      <w:bookmarkStart w:id="479" w:name="_Toc21824"/>
      <w:r>
        <w:rPr>
          <w:rFonts w:hAnsi="宋体" w:cs="宋体"/>
          <w:b/>
          <w:bCs/>
          <w:color w:val="000000" w:themeColor="text1"/>
          <w:szCs w:val="21"/>
          <w:highlight w:val="none"/>
          <w14:textFill>
            <w14:solidFill>
              <w14:schemeClr w14:val="tx1"/>
            </w14:solidFill>
          </w14:textFill>
        </w:rPr>
        <w:t xml:space="preserve">2.1 </w:t>
      </w:r>
      <w:r>
        <w:rPr>
          <w:rFonts w:hint="eastAsia" w:hAnsi="宋体" w:cs="宋体"/>
          <w:b/>
          <w:bCs/>
          <w:color w:val="000000" w:themeColor="text1"/>
          <w:szCs w:val="21"/>
          <w:highlight w:val="none"/>
          <w14:textFill>
            <w14:solidFill>
              <w14:schemeClr w14:val="tx1"/>
            </w14:solidFill>
          </w14:textFill>
        </w:rPr>
        <w:t>招标文件的组成</w:t>
      </w:r>
      <w:bookmarkEnd w:id="472"/>
      <w:bookmarkEnd w:id="473"/>
      <w:bookmarkEnd w:id="474"/>
      <w:bookmarkEnd w:id="475"/>
      <w:bookmarkEnd w:id="476"/>
      <w:bookmarkEnd w:id="477"/>
      <w:bookmarkEnd w:id="478"/>
      <w:bookmarkEnd w:id="479"/>
    </w:p>
    <w:p w14:paraId="5B0A495F">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本招标文件包括：</w:t>
      </w:r>
    </w:p>
    <w:p w14:paraId="0368522A">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(1)招标公告；</w:t>
      </w:r>
    </w:p>
    <w:p w14:paraId="25D9BCB0">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(2)投标人须知；</w:t>
      </w:r>
    </w:p>
    <w:p w14:paraId="57BBC632">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(3)评标办法；</w:t>
      </w:r>
    </w:p>
    <w:p w14:paraId="2DAE817F">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(4)合同条款及格式；</w:t>
      </w:r>
    </w:p>
    <w:p w14:paraId="1118063B">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(5)工程量清单；</w:t>
      </w:r>
    </w:p>
    <w:p w14:paraId="4F516C3F">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(6)图纸；</w:t>
      </w:r>
    </w:p>
    <w:p w14:paraId="3FE9DC01">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(7)技术规范；</w:t>
      </w:r>
    </w:p>
    <w:p w14:paraId="343C828C">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(8)工程量清单计量规则；</w:t>
      </w:r>
    </w:p>
    <w:p w14:paraId="492644DD">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(9)投标文件格式；</w:t>
      </w:r>
    </w:p>
    <w:p w14:paraId="2141F1A3">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(10)投标人须知前附表规定的其他资料。</w:t>
      </w:r>
    </w:p>
    <w:p w14:paraId="0D338051">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根据本章第1.10款、第2.2款和第2.3款对招标文件所作的澄清、修改，构成招标文件的组成部分。</w:t>
      </w:r>
    </w:p>
    <w:p w14:paraId="12067960">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当招标文件、招标文件的澄清或修改等在同一内容的表述上不一致时，以最后发出的书面文件为准。</w:t>
      </w:r>
    </w:p>
    <w:p w14:paraId="6DA4DB7A">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80" w:name="_Toc8019"/>
      <w:bookmarkStart w:id="481" w:name="_Toc12372"/>
      <w:bookmarkStart w:id="482" w:name="_Toc21034"/>
      <w:bookmarkStart w:id="483" w:name="_Toc22299"/>
      <w:bookmarkStart w:id="484" w:name="_Toc118195757"/>
      <w:bookmarkStart w:id="485" w:name="_Toc27749"/>
      <w:bookmarkStart w:id="486" w:name="_Toc452457649"/>
      <w:bookmarkStart w:id="487" w:name="_Toc28853"/>
      <w:r>
        <w:rPr>
          <w:rFonts w:hAnsi="宋体" w:cs="宋体"/>
          <w:b/>
          <w:bCs/>
          <w:color w:val="000000" w:themeColor="text1"/>
          <w:szCs w:val="21"/>
          <w:highlight w:val="none"/>
          <w14:textFill>
            <w14:solidFill>
              <w14:schemeClr w14:val="tx1"/>
            </w14:solidFill>
          </w14:textFill>
        </w:rPr>
        <w:t xml:space="preserve">2.2 </w:t>
      </w:r>
      <w:r>
        <w:rPr>
          <w:rFonts w:hint="eastAsia" w:hAnsi="宋体" w:cs="宋体"/>
          <w:b/>
          <w:bCs/>
          <w:color w:val="000000" w:themeColor="text1"/>
          <w:szCs w:val="21"/>
          <w:highlight w:val="none"/>
          <w14:textFill>
            <w14:solidFill>
              <w14:schemeClr w14:val="tx1"/>
            </w14:solidFill>
          </w14:textFill>
        </w:rPr>
        <w:t>招标文件的澄清</w:t>
      </w:r>
      <w:bookmarkEnd w:id="480"/>
      <w:bookmarkEnd w:id="481"/>
      <w:bookmarkEnd w:id="482"/>
      <w:bookmarkEnd w:id="483"/>
      <w:bookmarkEnd w:id="484"/>
      <w:bookmarkEnd w:id="485"/>
      <w:bookmarkEnd w:id="486"/>
      <w:bookmarkEnd w:id="487"/>
    </w:p>
    <w:p w14:paraId="60EEDA8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2.2.1投标人应仔细阅读和检查招标文件的全部内容。如发现缺页或附件不全，应及时向招标人提出，以便补齐。如有疑问，应在投标人须知前附表规定的时间前</w:t>
      </w:r>
      <w:r>
        <w:rPr>
          <w:rFonts w:hint="eastAsia"/>
          <w:color w:val="000000" w:themeColor="text1"/>
          <w:highlight w:val="none"/>
          <w14:textFill>
            <w14:solidFill>
              <w14:schemeClr w14:val="tx1"/>
            </w14:solidFill>
          </w14:textFill>
        </w:rPr>
        <w:t>以书面形式</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包括信函、电报、传真等可以有形地表现所载内容的形式，下同</w:t>
      </w:r>
      <w:r>
        <w:rPr>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，要求招标人对招标文件予以澄清。</w:t>
      </w:r>
    </w:p>
    <w:p w14:paraId="6755411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2.2.3 </w:t>
      </w:r>
      <w:r>
        <w:rPr>
          <w:rFonts w:hint="eastAsia" w:ascii="宋体" w:hAnsi="宋体" w:cs="宋体"/>
          <w:color w:val="000000" w:themeColor="text1"/>
          <w:szCs w:val="21"/>
          <w:highlight w:val="none"/>
          <w14:textFill>
            <w14:solidFill>
              <w14:schemeClr w14:val="tx1"/>
            </w14:solidFill>
          </w14:textFill>
        </w:rPr>
        <w:t>投标人在收到澄清后无需向招标人确认。潜在投标人应自行关注</w:t>
      </w:r>
      <w:r>
        <w:rPr>
          <w:rFonts w:hint="eastAsia" w:ascii="宋体" w:hAnsi="宋体" w:cs="宋体"/>
          <w:snapToGrid w:val="0"/>
          <w:color w:val="000000" w:themeColor="text1"/>
          <w:highlight w:val="none"/>
          <w14:textFill>
            <w14:solidFill>
              <w14:schemeClr w14:val="tx1"/>
            </w14:solidFill>
          </w14:textFill>
        </w:rPr>
        <w:t>“电子交易平台”</w:t>
      </w:r>
      <w:r>
        <w:rPr>
          <w:rFonts w:hint="eastAsia" w:ascii="宋体" w:hAnsi="宋体" w:cs="宋体"/>
          <w:color w:val="000000" w:themeColor="text1"/>
          <w:szCs w:val="21"/>
          <w:highlight w:val="none"/>
          <w14:textFill>
            <w14:solidFill>
              <w14:schemeClr w14:val="tx1"/>
            </w14:solidFill>
          </w14:textFill>
        </w:rPr>
        <w:t>，招标人不再一一通知。因投标人自身原因未及时获知澄清内容而导致的任何后果将由投标人自行承担。</w:t>
      </w:r>
    </w:p>
    <w:p w14:paraId="42C2181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2.2.4 </w:t>
      </w:r>
      <w:r>
        <w:rPr>
          <w:rFonts w:hint="eastAsia" w:ascii="宋体" w:hAnsi="宋体" w:cs="宋体"/>
          <w:color w:val="000000" w:themeColor="text1"/>
          <w:szCs w:val="21"/>
          <w:highlight w:val="none"/>
          <w14:textFill>
            <w14:solidFill>
              <w14:schemeClr w14:val="tx1"/>
            </w14:solidFill>
          </w14:textFill>
        </w:rPr>
        <w:t>除非招标人认为确有必要答复，否则，招标人有权拒绝回复投标人在本章第</w:t>
      </w:r>
      <w:r>
        <w:rPr>
          <w:rFonts w:ascii="宋体" w:hAnsi="宋体" w:cs="宋体"/>
          <w:color w:val="000000" w:themeColor="text1"/>
          <w:szCs w:val="21"/>
          <w:highlight w:val="none"/>
          <w14:textFill>
            <w14:solidFill>
              <w14:schemeClr w14:val="tx1"/>
            </w14:solidFill>
          </w14:textFill>
        </w:rPr>
        <w:t>2.2.1项规定的时间后提出的任何澄清要求。</w:t>
      </w:r>
    </w:p>
    <w:p w14:paraId="1D48194F">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88" w:name="_Toc7079"/>
      <w:bookmarkStart w:id="489" w:name="_Toc12260"/>
      <w:bookmarkStart w:id="490" w:name="_Toc26851"/>
      <w:bookmarkStart w:id="491" w:name="_Toc4823"/>
      <w:bookmarkStart w:id="492" w:name="_Toc9545"/>
      <w:bookmarkStart w:id="493" w:name="_Toc452457650"/>
      <w:bookmarkStart w:id="494" w:name="_Toc847"/>
      <w:bookmarkStart w:id="495" w:name="_Toc118195758"/>
      <w:r>
        <w:rPr>
          <w:rFonts w:hAnsi="宋体" w:cs="宋体"/>
          <w:b/>
          <w:bCs/>
          <w:color w:val="000000" w:themeColor="text1"/>
          <w:szCs w:val="21"/>
          <w:highlight w:val="none"/>
          <w14:textFill>
            <w14:solidFill>
              <w14:schemeClr w14:val="tx1"/>
            </w14:solidFill>
          </w14:textFill>
        </w:rPr>
        <w:t xml:space="preserve">2.3 </w:t>
      </w:r>
      <w:r>
        <w:rPr>
          <w:rFonts w:hint="eastAsia" w:hAnsi="宋体" w:cs="宋体"/>
          <w:b/>
          <w:bCs/>
          <w:color w:val="000000" w:themeColor="text1"/>
          <w:szCs w:val="21"/>
          <w:highlight w:val="none"/>
          <w14:textFill>
            <w14:solidFill>
              <w14:schemeClr w14:val="tx1"/>
            </w14:solidFill>
          </w14:textFill>
        </w:rPr>
        <w:t>招标文件的修改</w:t>
      </w:r>
      <w:bookmarkEnd w:id="488"/>
      <w:bookmarkEnd w:id="489"/>
      <w:bookmarkEnd w:id="490"/>
      <w:bookmarkEnd w:id="491"/>
      <w:bookmarkEnd w:id="492"/>
      <w:bookmarkEnd w:id="493"/>
      <w:bookmarkEnd w:id="494"/>
      <w:bookmarkEnd w:id="495"/>
    </w:p>
    <w:p w14:paraId="0849B58F">
      <w:pPr>
        <w:pStyle w:val="7"/>
        <w:spacing w:line="400" w:lineRule="exact"/>
        <w:ind w:firstLine="435"/>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2.3.1招标人可以修改招标文件，以电子文件形式上传</w:t>
      </w:r>
      <w:r>
        <w:rPr>
          <w:rFonts w:hint="eastAsia" w:ascii="宋体" w:hAnsi="宋体" w:cs="宋体"/>
          <w:snapToGrid w:val="0"/>
          <w:color w:val="000000" w:themeColor="text1"/>
          <w:highlight w:val="none"/>
          <w14:textFill>
            <w14:solidFill>
              <w14:schemeClr w14:val="tx1"/>
            </w14:solidFill>
          </w14:textFill>
        </w:rPr>
        <w:t>“电子交易平台”</w:t>
      </w:r>
      <w:r>
        <w:rPr>
          <w:rFonts w:hint="eastAsia" w:ascii="宋体" w:hAnsi="宋体" w:cs="宋体"/>
          <w:color w:val="000000" w:themeColor="text1"/>
          <w:szCs w:val="21"/>
          <w:highlight w:val="none"/>
          <w14:textFill>
            <w14:solidFill>
              <w14:schemeClr w14:val="tx1"/>
            </w14:solidFill>
          </w14:textFill>
        </w:rPr>
        <w:t>供潜在投标人自行下载。修改招标文件的时间距本章第</w:t>
      </w:r>
      <w:r>
        <w:rPr>
          <w:rFonts w:ascii="宋体" w:hAnsi="宋体" w:cs="宋体"/>
          <w:color w:val="000000" w:themeColor="text1"/>
          <w:szCs w:val="21"/>
          <w:highlight w:val="none"/>
          <w14:textFill>
            <w14:solidFill>
              <w14:schemeClr w14:val="tx1"/>
            </w14:solidFill>
          </w14:textFill>
        </w:rPr>
        <w:t>4.2.1项规定的投标截止时间不足15日，且修改内容可能影响投标文件编制的，将相应延长投标截止时间。</w:t>
      </w:r>
    </w:p>
    <w:p w14:paraId="3DD20A0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2.3.2 </w:t>
      </w:r>
      <w:r>
        <w:rPr>
          <w:rFonts w:hint="eastAsia" w:ascii="宋体" w:hAnsi="宋体" w:cs="宋体"/>
          <w:color w:val="000000" w:themeColor="text1"/>
          <w:szCs w:val="21"/>
          <w:highlight w:val="none"/>
          <w14:textFill>
            <w14:solidFill>
              <w14:schemeClr w14:val="tx1"/>
            </w14:solidFill>
          </w14:textFill>
        </w:rPr>
        <w:t>投标人在收到修改内容后无需向招标人确认。潜在投标人应自行关注</w:t>
      </w:r>
      <w:r>
        <w:rPr>
          <w:rFonts w:hint="eastAsia" w:ascii="宋体" w:hAnsi="宋体" w:cs="宋体"/>
          <w:snapToGrid w:val="0"/>
          <w:color w:val="000000" w:themeColor="text1"/>
          <w:highlight w:val="none"/>
          <w14:textFill>
            <w14:solidFill>
              <w14:schemeClr w14:val="tx1"/>
            </w14:solidFill>
          </w14:textFill>
        </w:rPr>
        <w:t>“电子交易平台”</w:t>
      </w:r>
      <w:r>
        <w:rPr>
          <w:rFonts w:hint="eastAsia" w:ascii="宋体" w:hAnsi="宋体" w:cs="宋体"/>
          <w:color w:val="000000" w:themeColor="text1"/>
          <w:szCs w:val="21"/>
          <w:highlight w:val="none"/>
          <w14:textFill>
            <w14:solidFill>
              <w14:schemeClr w14:val="tx1"/>
            </w14:solidFill>
          </w14:textFill>
        </w:rPr>
        <w:t>，招标人不再一一通知。因投标人自身原因未及时获知修改内容而导致的任何后果将由投标人自行承担。</w:t>
      </w:r>
    </w:p>
    <w:p w14:paraId="3BFA4946">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496" w:name="_Toc118195759"/>
      <w:bookmarkStart w:id="497" w:name="_Toc6179"/>
      <w:bookmarkStart w:id="498" w:name="_Toc28131"/>
      <w:bookmarkStart w:id="499" w:name="_Toc9224"/>
      <w:bookmarkStart w:id="500" w:name="_Toc29575"/>
      <w:bookmarkStart w:id="501" w:name="_Toc10707"/>
      <w:bookmarkStart w:id="502" w:name="_Toc4171"/>
      <w:r>
        <w:rPr>
          <w:rFonts w:hAnsi="宋体" w:cs="宋体"/>
          <w:b/>
          <w:bCs/>
          <w:color w:val="000000" w:themeColor="text1"/>
          <w:szCs w:val="21"/>
          <w:highlight w:val="none"/>
          <w14:textFill>
            <w14:solidFill>
              <w14:schemeClr w14:val="tx1"/>
            </w14:solidFill>
          </w14:textFill>
        </w:rPr>
        <w:t xml:space="preserve">2.4 </w:t>
      </w:r>
      <w:r>
        <w:rPr>
          <w:rFonts w:hint="eastAsia" w:hAnsi="宋体" w:cs="宋体"/>
          <w:b/>
          <w:bCs/>
          <w:color w:val="000000" w:themeColor="text1"/>
          <w:szCs w:val="21"/>
          <w:highlight w:val="none"/>
          <w14:textFill>
            <w14:solidFill>
              <w14:schemeClr w14:val="tx1"/>
            </w14:solidFill>
          </w14:textFill>
        </w:rPr>
        <w:t>招标文件的异议</w:t>
      </w:r>
      <w:bookmarkEnd w:id="496"/>
      <w:bookmarkEnd w:id="497"/>
      <w:bookmarkEnd w:id="498"/>
      <w:bookmarkEnd w:id="499"/>
      <w:bookmarkEnd w:id="500"/>
      <w:bookmarkEnd w:id="501"/>
      <w:bookmarkEnd w:id="502"/>
    </w:p>
    <w:p w14:paraId="4A884B7A">
      <w:pPr>
        <w:pStyle w:val="7"/>
        <w:spacing w:line="400" w:lineRule="exact"/>
        <w:ind w:firstLine="435"/>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投标人或者其他利害关系人对招标文件有异议的，应在投标截止时间</w:t>
      </w:r>
      <w:r>
        <w:rPr>
          <w:rFonts w:ascii="宋体" w:hAnsi="宋体" w:cs="宋体"/>
          <w:color w:val="000000" w:themeColor="text1"/>
          <w:szCs w:val="21"/>
          <w:highlight w:val="none"/>
          <w14:textFill>
            <w14:solidFill>
              <w14:schemeClr w14:val="tx1"/>
            </w14:solidFill>
          </w14:textFill>
        </w:rPr>
        <w:t>10日前以书面形式提出。招标人将在收到异议之日起3日内作出答复；作出答复前，将暂停招标投标活动。提出异议与作出答复均以书面形式</w:t>
      </w: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包括信函、电报、传真等可以有形地表现所载内容的形式，下同</w:t>
      </w: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完成。</w:t>
      </w:r>
    </w:p>
    <w:p w14:paraId="56FC521B">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503" w:name="_Toc9853"/>
      <w:bookmarkStart w:id="504" w:name="_Toc15268"/>
      <w:bookmarkStart w:id="505" w:name="_Toc14933"/>
      <w:bookmarkStart w:id="506" w:name="_Toc31205"/>
      <w:bookmarkStart w:id="507" w:name="_Toc120624175"/>
      <w:bookmarkStart w:id="508" w:name="_Toc118195760"/>
      <w:bookmarkStart w:id="509" w:name="_Toc19819"/>
      <w:bookmarkStart w:id="510" w:name="_Toc31640"/>
      <w:bookmarkStart w:id="511" w:name="_Toc32107"/>
      <w:bookmarkStart w:id="512" w:name="_Toc17484"/>
      <w:bookmarkStart w:id="513" w:name="_Toc20551"/>
      <w:bookmarkStart w:id="514" w:name="_Toc452457651"/>
      <w:bookmarkStart w:id="515" w:name="_Toc15894"/>
      <w:bookmarkStart w:id="516" w:name="_Toc27932"/>
      <w:bookmarkStart w:id="517" w:name="_Toc26694"/>
      <w:bookmarkStart w:id="518" w:name="_Toc8281"/>
      <w:bookmarkStart w:id="519" w:name="_Toc20672"/>
      <w:bookmarkStart w:id="520" w:name="_Toc119585484"/>
      <w:bookmarkStart w:id="521" w:name="_Toc98785253"/>
      <w:bookmarkStart w:id="522" w:name="_Toc17123"/>
      <w:r>
        <w:rPr>
          <w:rFonts w:ascii="宋体" w:hAnsi="宋体" w:cs="宋体"/>
          <w:b/>
          <w:bCs/>
          <w:color w:val="000000" w:themeColor="text1"/>
          <w:sz w:val="24"/>
          <w:szCs w:val="24"/>
          <w:highlight w:val="none"/>
          <w14:textFill>
            <w14:solidFill>
              <w14:schemeClr w14:val="tx1"/>
            </w14:solidFill>
          </w14:textFill>
        </w:rPr>
        <w:t xml:space="preserve">3. </w:t>
      </w:r>
      <w:r>
        <w:rPr>
          <w:rFonts w:hint="eastAsia" w:ascii="宋体" w:hAnsi="宋体" w:cs="宋体"/>
          <w:b/>
          <w:bCs/>
          <w:color w:val="000000" w:themeColor="text1"/>
          <w:sz w:val="24"/>
          <w:szCs w:val="24"/>
          <w:highlight w:val="none"/>
          <w14:textFill>
            <w14:solidFill>
              <w14:schemeClr w14:val="tx1"/>
            </w14:solidFill>
          </w14:textFill>
        </w:rPr>
        <w:t>投标文件</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703EC6BB">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23" w:name="_Toc452457652"/>
      <w:bookmarkStart w:id="524" w:name="_Toc18244"/>
      <w:r>
        <w:rPr>
          <w:rFonts w:hAnsi="宋体" w:cs="宋体"/>
          <w:b/>
          <w:bCs/>
          <w:color w:val="000000" w:themeColor="text1"/>
          <w:szCs w:val="21"/>
          <w:highlight w:val="none"/>
          <w14:textFill>
            <w14:solidFill>
              <w14:schemeClr w14:val="tx1"/>
            </w14:solidFill>
          </w14:textFill>
        </w:rPr>
        <w:t xml:space="preserve">3.1 </w:t>
      </w:r>
      <w:r>
        <w:rPr>
          <w:rFonts w:hint="eastAsia" w:hAnsi="宋体" w:cs="宋体"/>
          <w:b/>
          <w:bCs/>
          <w:color w:val="000000" w:themeColor="text1"/>
          <w:szCs w:val="21"/>
          <w:highlight w:val="none"/>
          <w14:textFill>
            <w14:solidFill>
              <w14:schemeClr w14:val="tx1"/>
            </w14:solidFill>
          </w14:textFill>
        </w:rPr>
        <w:t>投标文件的组成</w:t>
      </w:r>
      <w:bookmarkEnd w:id="523"/>
      <w:bookmarkEnd w:id="524"/>
    </w:p>
    <w:p w14:paraId="0324364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3.1.1 </w:t>
      </w:r>
      <w:r>
        <w:rPr>
          <w:rFonts w:hint="eastAsia" w:ascii="宋体" w:hAnsi="宋体" w:cs="宋体"/>
          <w:color w:val="000000" w:themeColor="text1"/>
          <w:szCs w:val="21"/>
          <w:highlight w:val="none"/>
          <w14:textFill>
            <w14:solidFill>
              <w14:schemeClr w14:val="tx1"/>
            </w14:solidFill>
          </w14:textFill>
        </w:rPr>
        <w:t>投标文件密封采用双信封形式。投标文件应包括下列内容：</w:t>
      </w:r>
    </w:p>
    <w:p w14:paraId="736688D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第一个信封（商务及技术文件）：</w:t>
      </w:r>
    </w:p>
    <w:p w14:paraId="400E984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(1)投标函及投标函附录；</w:t>
      </w:r>
    </w:p>
    <w:p w14:paraId="6A2C2C6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(2)授权委托书或法定代表人身份证明；</w:t>
      </w:r>
    </w:p>
    <w:p w14:paraId="378C45C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(3)联合体协议书（如有）；</w:t>
      </w:r>
    </w:p>
    <w:p w14:paraId="04DDC9F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(4)投标保证金；</w:t>
      </w:r>
    </w:p>
    <w:p w14:paraId="75F96BF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(5)施工组织设计；</w:t>
      </w:r>
    </w:p>
    <w:p w14:paraId="010F425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(6)项目管理机构；</w:t>
      </w:r>
    </w:p>
    <w:p w14:paraId="41751D6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(7)拟分包项目情况表；</w:t>
      </w:r>
    </w:p>
    <w:p w14:paraId="427D3BF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(8)资格审查资料；</w:t>
      </w:r>
    </w:p>
    <w:p w14:paraId="0282C7D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(9)承诺函；</w:t>
      </w:r>
    </w:p>
    <w:p w14:paraId="7553FE1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(10)投标人须知前附表规定的其他材料。</w:t>
      </w:r>
    </w:p>
    <w:p w14:paraId="054BAFB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第二个信封（报价文件）</w:t>
      </w:r>
    </w:p>
    <w:p w14:paraId="148378D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(1)投标函；</w:t>
      </w:r>
    </w:p>
    <w:p w14:paraId="2231FD3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(2)已标价工程量清单；</w:t>
      </w:r>
    </w:p>
    <w:p w14:paraId="56C5908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(3)合同用款估算表。</w:t>
      </w:r>
    </w:p>
    <w:p w14:paraId="1855062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投标人在评标过程中作出的符合法律法规和招标文件规定的澄清确认，构成投标文件的组成部分。</w:t>
      </w:r>
    </w:p>
    <w:p w14:paraId="64BB8B6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3.1.2 </w:t>
      </w:r>
      <w:r>
        <w:rPr>
          <w:rFonts w:hint="eastAsia" w:ascii="宋体" w:hAnsi="宋体" w:cs="宋体"/>
          <w:color w:val="000000" w:themeColor="text1"/>
          <w:szCs w:val="21"/>
          <w:highlight w:val="none"/>
          <w14:textFill>
            <w14:solidFill>
              <w14:schemeClr w14:val="tx1"/>
            </w14:solidFill>
          </w14:textFill>
        </w:rPr>
        <w:t>投标人须知前附表规定不接受联合体投标的，或投标人没有组成联合体投标的，投标文件不包括本章第</w:t>
      </w:r>
      <w:r>
        <w:rPr>
          <w:rFonts w:ascii="宋体" w:hAnsi="宋体" w:cs="宋体"/>
          <w:color w:val="000000" w:themeColor="text1"/>
          <w:szCs w:val="21"/>
          <w:highlight w:val="none"/>
          <w14:textFill>
            <w14:solidFill>
              <w14:schemeClr w14:val="tx1"/>
            </w14:solidFill>
          </w14:textFill>
        </w:rPr>
        <w:t>3.1.1(3)目所指的联合体协议书。</w:t>
      </w:r>
    </w:p>
    <w:p w14:paraId="1B6541F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3.1.3 </w:t>
      </w:r>
      <w:r>
        <w:rPr>
          <w:rFonts w:hint="eastAsia" w:ascii="宋体" w:hAnsi="宋体" w:cs="宋体"/>
          <w:color w:val="000000" w:themeColor="text1"/>
          <w:szCs w:val="21"/>
          <w:highlight w:val="none"/>
          <w14:textFill>
            <w14:solidFill>
              <w14:schemeClr w14:val="tx1"/>
            </w14:solidFill>
          </w14:textFill>
        </w:rPr>
        <w:t>投标人须知前附表未要求提交投标保证金的，投标文件不包括本章第</w:t>
      </w:r>
      <w:r>
        <w:rPr>
          <w:rFonts w:ascii="宋体" w:hAnsi="宋体" w:cs="宋体"/>
          <w:color w:val="000000" w:themeColor="text1"/>
          <w:szCs w:val="21"/>
          <w:highlight w:val="none"/>
          <w14:textFill>
            <w14:solidFill>
              <w14:schemeClr w14:val="tx1"/>
            </w14:solidFill>
          </w14:textFill>
        </w:rPr>
        <w:t>3.1.1(4)目所指的投标保证金。</w:t>
      </w:r>
    </w:p>
    <w:p w14:paraId="44435A0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3.1.4 </w:t>
      </w:r>
      <w:r>
        <w:rPr>
          <w:rFonts w:hint="eastAsia" w:ascii="宋体" w:hAnsi="宋体" w:cs="宋体"/>
          <w:color w:val="000000" w:themeColor="text1"/>
          <w:szCs w:val="21"/>
          <w:highlight w:val="none"/>
          <w14:textFill>
            <w14:solidFill>
              <w14:schemeClr w14:val="tx1"/>
            </w14:solidFill>
          </w14:textFill>
        </w:rPr>
        <w:t>投标文件工程量清单制作见投标人须知前附表。</w:t>
      </w:r>
    </w:p>
    <w:p w14:paraId="25E63ADB">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25" w:name="_Toc452457653"/>
      <w:bookmarkStart w:id="526" w:name="_Toc11690"/>
      <w:r>
        <w:rPr>
          <w:rFonts w:hAnsi="宋体" w:cs="宋体"/>
          <w:b/>
          <w:bCs/>
          <w:color w:val="000000" w:themeColor="text1"/>
          <w:szCs w:val="21"/>
          <w:highlight w:val="none"/>
          <w14:textFill>
            <w14:solidFill>
              <w14:schemeClr w14:val="tx1"/>
            </w14:solidFill>
          </w14:textFill>
        </w:rPr>
        <w:t xml:space="preserve">3.2 </w:t>
      </w:r>
      <w:r>
        <w:rPr>
          <w:rFonts w:hint="eastAsia" w:hAnsi="宋体" w:cs="宋体"/>
          <w:b/>
          <w:bCs/>
          <w:color w:val="000000" w:themeColor="text1"/>
          <w:szCs w:val="21"/>
          <w:highlight w:val="none"/>
          <w14:textFill>
            <w14:solidFill>
              <w14:schemeClr w14:val="tx1"/>
            </w14:solidFill>
          </w14:textFill>
        </w:rPr>
        <w:t>投标报价</w:t>
      </w:r>
      <w:bookmarkEnd w:id="525"/>
      <w:bookmarkEnd w:id="526"/>
    </w:p>
    <w:p w14:paraId="3A57E45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3.2.1 投标报价应包括国家规定的增值税税金，除投标人须知前附表另有规定外，增值税税金按一般计税方法计算。投标人应按第九章“投标文件格式”的要求在投标函中进行报价并填写工程量清单相应表格。 </w:t>
      </w:r>
    </w:p>
    <w:p w14:paraId="49ADC8E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工程量清单的填写分下列两种方式。投标人应按投标人须知前附表规定的方式填写工程量清单。</w:t>
      </w:r>
    </w:p>
    <w:p w14:paraId="4784FA6B">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(1)本项目招标采用工程量固化清单</w:t>
      </w:r>
      <w:r>
        <w:rPr>
          <w:rStyle w:val="38"/>
          <w:rFonts w:ascii="宋体" w:hAnsi="宋体" w:cs="宋体"/>
          <w:color w:val="000000" w:themeColor="text1"/>
          <w:szCs w:val="21"/>
          <w:highlight w:val="none"/>
          <w:vertAlign w:val="superscript"/>
          <w14:textFill>
            <w14:solidFill>
              <w14:schemeClr w14:val="tx1"/>
            </w14:solidFill>
          </w14:textFill>
        </w:rPr>
        <w:footnoteReference w:id="7"/>
      </w:r>
      <w:r>
        <w:rPr>
          <w:rFonts w:hint="eastAsia" w:ascii="宋体" w:hAnsi="宋体" w:cs="宋体"/>
          <w:color w:val="000000" w:themeColor="text1"/>
          <w:szCs w:val="21"/>
          <w:highlight w:val="none"/>
          <w14:textFill>
            <w14:solidFill>
              <w14:schemeClr w14:val="tx1"/>
            </w14:solidFill>
          </w14:textFill>
        </w:rPr>
        <w:t>，招标人向投标人提供工程量固化清单电子文件，投标人填写工程量清单中各子目的单价及总额价，即可完成投标工程量清单的编制，确定投标报价，并打印出投标工程量清单，编入投标文件。投标人未在工程量清单中填入单价或总额价的工程子目，将被认为其已包含在工程量清单其他子目的单价和总额价中，招标人将不予支付。</w:t>
      </w:r>
    </w:p>
    <w:p w14:paraId="53B24B11">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投标人必须严格遵循工程量固化清单电子文件中的数据、格式及运算定义。严禁投标人修改工程量固化清单电子文件中的数据、格式及运算定义。</w:t>
      </w:r>
    </w:p>
    <w:p w14:paraId="496B8D05">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投标人根据招标人提供的工程量固化清单电子文件填报完成并打印的投标工程量清单中的投标报价和投标函大写金额报价应一致，如果报价金额出现差异，其投标将被否决。</w:t>
      </w:r>
    </w:p>
    <w:p w14:paraId="688DE702">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(2)本项目招标由招标人提供书面工程量清单（电子版），由投标人按照招标人提供的工程量清单填写本合同各工程子目的单价、合价和总额价。评标委员会将按照第三章“评标办法”的规定对投标价进行算术性错误修正及其他错误修正。</w:t>
      </w:r>
    </w:p>
    <w:p w14:paraId="2D73F96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3.2.2 </w:t>
      </w:r>
      <w:r>
        <w:rPr>
          <w:rFonts w:hint="eastAsia" w:ascii="宋体" w:hAnsi="宋体" w:cs="宋体"/>
          <w:color w:val="000000" w:themeColor="text1"/>
          <w:szCs w:val="21"/>
          <w:highlight w:val="none"/>
          <w14:textFill>
            <w14:solidFill>
              <w14:schemeClr w14:val="tx1"/>
            </w14:solidFill>
          </w14:textFill>
        </w:rPr>
        <w:t>投标人应充分了解本项目的总体情况以及影响投标报价的其他要素。</w:t>
      </w:r>
    </w:p>
    <w:p w14:paraId="20F2F53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3.2.3 </w:t>
      </w:r>
      <w:r>
        <w:rPr>
          <w:rFonts w:hint="eastAsia" w:ascii="宋体" w:hAnsi="宋体" w:cs="宋体"/>
          <w:color w:val="000000" w:themeColor="text1"/>
          <w:szCs w:val="21"/>
          <w:highlight w:val="none"/>
          <w14:textFill>
            <w14:solidFill>
              <w14:schemeClr w14:val="tx1"/>
            </w14:solidFill>
          </w14:textFill>
        </w:rPr>
        <w:t>本项目的报价方式见投标人须知前附表。投标人在投标截止时间前修改投标函中的投标总报价，应同时修改投标文件“已标价工程量清单”中的相应报价。此修改须符合本章第</w:t>
      </w:r>
      <w:r>
        <w:rPr>
          <w:rFonts w:ascii="宋体" w:hAnsi="宋体" w:cs="宋体"/>
          <w:color w:val="000000" w:themeColor="text1"/>
          <w:szCs w:val="21"/>
          <w:highlight w:val="none"/>
          <w14:textFill>
            <w14:solidFill>
              <w14:schemeClr w14:val="tx1"/>
            </w14:solidFill>
          </w14:textFill>
        </w:rPr>
        <w:t>4.3款的有关要求。</w:t>
      </w:r>
    </w:p>
    <w:p w14:paraId="5B71E46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3.2.4 </w:t>
      </w:r>
      <w:r>
        <w:rPr>
          <w:rFonts w:hint="eastAsia" w:ascii="宋体" w:hAnsi="宋体" w:cs="宋体"/>
          <w:color w:val="000000" w:themeColor="text1"/>
          <w:szCs w:val="21"/>
          <w:highlight w:val="none"/>
          <w14:textFill>
            <w14:solidFill>
              <w14:schemeClr w14:val="tx1"/>
            </w14:solidFill>
          </w14:textFill>
        </w:rPr>
        <w:t>投标人如果发现工程量清单中的数量与图纸中数量不一致时，应立即通知招标人核查，除非招标人以书面方式予以更正，否则，应以工程量清单中列出的数量为准。</w:t>
      </w:r>
    </w:p>
    <w:p w14:paraId="2C2EFF0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3.2.5 </w:t>
      </w:r>
      <w:r>
        <w:rPr>
          <w:rFonts w:hint="eastAsia" w:ascii="宋体" w:hAnsi="宋体" w:cs="宋体"/>
          <w:color w:val="000000" w:themeColor="text1"/>
          <w:szCs w:val="21"/>
          <w:highlight w:val="none"/>
          <w14:textFill>
            <w14:solidFill>
              <w14:schemeClr w14:val="tx1"/>
            </w14:solidFill>
          </w14:textFill>
        </w:rPr>
        <w:t>投标人应根据《公路水运工程安全生产监督管理办法》，在投标总价中计入安全生产费用，安全生产费用应符合合同条款第</w:t>
      </w:r>
      <w:r>
        <w:rPr>
          <w:rFonts w:ascii="宋体" w:hAnsi="宋体" w:cs="宋体"/>
          <w:color w:val="000000" w:themeColor="text1"/>
          <w:szCs w:val="21"/>
          <w:highlight w:val="none"/>
          <w14:textFill>
            <w14:solidFill>
              <w14:schemeClr w14:val="tx1"/>
            </w14:solidFill>
          </w14:textFill>
        </w:rPr>
        <w:t>9.2.5项的规定。工程量清单100章内列有上述安全生产费的支付子目，由投标人按招标文件的规定填写总额价。</w:t>
      </w:r>
    </w:p>
    <w:p w14:paraId="65D108DC">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3.2.6 </w:t>
      </w:r>
      <w:r>
        <w:rPr>
          <w:rFonts w:hint="eastAsia" w:ascii="宋体" w:hAnsi="宋体" w:cs="宋体"/>
          <w:color w:val="000000" w:themeColor="text1"/>
          <w:szCs w:val="21"/>
          <w:highlight w:val="none"/>
          <w14:textFill>
            <w14:solidFill>
              <w14:schemeClr w14:val="tx1"/>
            </w14:solidFill>
          </w14:textFill>
        </w:rPr>
        <w:t>招标人不接受调价函。</w:t>
      </w:r>
    </w:p>
    <w:p w14:paraId="18094C56">
      <w:pPr>
        <w:pStyle w:val="7"/>
        <w:spacing w:line="400" w:lineRule="exact"/>
        <w:ind w:firstLine="435"/>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3.2.7 </w:t>
      </w:r>
      <w:r>
        <w:rPr>
          <w:rFonts w:hint="eastAsia" w:ascii="宋体" w:hAnsi="宋体" w:cs="宋体"/>
          <w:color w:val="000000" w:themeColor="text1"/>
          <w:szCs w:val="21"/>
          <w:highlight w:val="none"/>
          <w14:textFill>
            <w14:solidFill>
              <w14:schemeClr w14:val="tx1"/>
            </w14:solidFill>
          </w14:textFill>
        </w:rPr>
        <w:t>在合同实施期间，投标人填写的单价、合价和总额价是否由于物价波动进行价格调整按照合同条款第</w:t>
      </w:r>
      <w:r>
        <w:rPr>
          <w:rFonts w:ascii="宋体" w:hAnsi="宋体" w:cs="宋体"/>
          <w:color w:val="000000" w:themeColor="text1"/>
          <w:szCs w:val="21"/>
          <w:highlight w:val="none"/>
          <w14:textFill>
            <w14:solidFill>
              <w14:schemeClr w14:val="tx1"/>
            </w14:solidFill>
          </w14:textFill>
        </w:rPr>
        <w:t>16.1款的规定处理。如果按照合同条款第16.1.1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12614A0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3.2.8 </w:t>
      </w:r>
      <w:r>
        <w:rPr>
          <w:rFonts w:hint="eastAsia" w:ascii="宋体" w:hAnsi="宋体" w:cs="宋体"/>
          <w:color w:val="000000" w:themeColor="text1"/>
          <w:szCs w:val="21"/>
          <w:highlight w:val="none"/>
          <w14:textFill>
            <w14:solidFill>
              <w14:schemeClr w14:val="tx1"/>
            </w14:solidFill>
          </w14:textFill>
        </w:rPr>
        <w:t>招标人设有最高投标限价，最高投标限价的计算方法见投标人须知前附表。</w:t>
      </w:r>
    </w:p>
    <w:p w14:paraId="31D8FAD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3.2.9 </w:t>
      </w:r>
      <w:r>
        <w:rPr>
          <w:rFonts w:hint="eastAsia" w:ascii="宋体" w:hAnsi="宋体" w:cs="宋体"/>
          <w:color w:val="000000" w:themeColor="text1"/>
          <w:szCs w:val="21"/>
          <w:highlight w:val="none"/>
          <w14:textFill>
            <w14:solidFill>
              <w14:schemeClr w14:val="tx1"/>
            </w14:solidFill>
          </w14:textFill>
        </w:rPr>
        <w:t>投标报价的其他要求见投标人须知前附表。</w:t>
      </w:r>
    </w:p>
    <w:p w14:paraId="2A0EFD77">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27" w:name="_Toc1994"/>
      <w:bookmarkStart w:id="528" w:name="_Toc452457654"/>
      <w:r>
        <w:rPr>
          <w:rFonts w:hAnsi="宋体" w:cs="宋体"/>
          <w:b/>
          <w:bCs/>
          <w:color w:val="000000" w:themeColor="text1"/>
          <w:szCs w:val="21"/>
          <w:highlight w:val="none"/>
          <w14:textFill>
            <w14:solidFill>
              <w14:schemeClr w14:val="tx1"/>
            </w14:solidFill>
          </w14:textFill>
        </w:rPr>
        <w:t xml:space="preserve">3.3 </w:t>
      </w:r>
      <w:r>
        <w:rPr>
          <w:rFonts w:hint="eastAsia" w:hAnsi="宋体" w:cs="宋体"/>
          <w:b/>
          <w:bCs/>
          <w:color w:val="000000" w:themeColor="text1"/>
          <w:szCs w:val="21"/>
          <w:highlight w:val="none"/>
          <w14:textFill>
            <w14:solidFill>
              <w14:schemeClr w14:val="tx1"/>
            </w14:solidFill>
          </w14:textFill>
        </w:rPr>
        <w:t>投标有效期</w:t>
      </w:r>
      <w:bookmarkEnd w:id="527"/>
      <w:bookmarkEnd w:id="528"/>
    </w:p>
    <w:p w14:paraId="2ED0DD36">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3.3.1 </w:t>
      </w:r>
      <w:r>
        <w:rPr>
          <w:rFonts w:hint="eastAsia" w:ascii="宋体" w:hAnsi="宋体" w:cs="宋体"/>
          <w:color w:val="000000" w:themeColor="text1"/>
          <w:szCs w:val="21"/>
          <w:highlight w:val="none"/>
          <w14:textFill>
            <w14:solidFill>
              <w14:schemeClr w14:val="tx1"/>
            </w14:solidFill>
          </w14:textFill>
        </w:rPr>
        <w:t>除投标人须知前附表另有规定外，投标有效期为</w:t>
      </w:r>
      <w:r>
        <w:rPr>
          <w:rFonts w:ascii="宋体" w:hAnsi="宋体" w:cs="宋体"/>
          <w:color w:val="000000" w:themeColor="text1"/>
          <w:szCs w:val="21"/>
          <w:highlight w:val="none"/>
          <w14:textFill>
            <w14:solidFill>
              <w14:schemeClr w14:val="tx1"/>
            </w14:solidFill>
          </w14:textFill>
        </w:rPr>
        <w:t>90日。</w:t>
      </w:r>
    </w:p>
    <w:p w14:paraId="77E79B3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3.3.2 </w:t>
      </w:r>
      <w:r>
        <w:rPr>
          <w:rFonts w:hint="eastAsia" w:ascii="宋体" w:hAnsi="宋体" w:cs="宋体"/>
          <w:color w:val="000000" w:themeColor="text1"/>
          <w:szCs w:val="21"/>
          <w:highlight w:val="none"/>
          <w14:textFill>
            <w14:solidFill>
              <w14:schemeClr w14:val="tx1"/>
            </w14:solidFill>
          </w14:textFill>
        </w:rPr>
        <w:t>在投标有效期内，投标人撤销投标文件的，应承担招标文件和法律规定的责任。</w:t>
      </w:r>
    </w:p>
    <w:p w14:paraId="057E6E5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3.3.3 </w:t>
      </w:r>
      <w:r>
        <w:rPr>
          <w:rFonts w:hint="eastAsia" w:ascii="宋体" w:hAnsi="宋体" w:cs="宋体"/>
          <w:color w:val="000000" w:themeColor="text1"/>
          <w:highlight w:val="none"/>
          <w14:textFill>
            <w14:solidFill>
              <w14:schemeClr w14:val="tx1"/>
            </w14:solidFill>
          </w14:textFill>
        </w:rPr>
        <w:t>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 xml:space="preserve"> </w:t>
      </w:r>
    </w:p>
    <w:p w14:paraId="3C5CB4DD">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29" w:name="_Toc19232"/>
      <w:bookmarkStart w:id="530" w:name="_Toc452457655"/>
      <w:r>
        <w:rPr>
          <w:rFonts w:hAnsi="宋体" w:cs="宋体"/>
          <w:b/>
          <w:bCs/>
          <w:color w:val="000000" w:themeColor="text1"/>
          <w:szCs w:val="21"/>
          <w:highlight w:val="none"/>
          <w14:textFill>
            <w14:solidFill>
              <w14:schemeClr w14:val="tx1"/>
            </w14:solidFill>
          </w14:textFill>
        </w:rPr>
        <w:t xml:space="preserve">3.4 </w:t>
      </w:r>
      <w:r>
        <w:rPr>
          <w:rFonts w:hint="eastAsia" w:hAnsi="宋体" w:cs="宋体"/>
          <w:b/>
          <w:bCs/>
          <w:color w:val="000000" w:themeColor="text1"/>
          <w:szCs w:val="21"/>
          <w:highlight w:val="none"/>
          <w14:textFill>
            <w14:solidFill>
              <w14:schemeClr w14:val="tx1"/>
            </w14:solidFill>
          </w14:textFill>
        </w:rPr>
        <w:t>投标保证金</w:t>
      </w:r>
      <w:bookmarkEnd w:id="529"/>
      <w:bookmarkEnd w:id="530"/>
    </w:p>
    <w:p w14:paraId="02D5911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3.4.1投标人在递交投标文件的同时，应按投标人须知前附表规定的金额、担保形式和第九章“投标文件格式”规定的投标保证金格式递交投标保证金，并作为其投标文件的组成部分。联合体投标的，其投标保证金由牵头人递交，并应符合投标人须知前附表的规定。</w:t>
      </w:r>
    </w:p>
    <w:p w14:paraId="460AE0B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3.4.2 </w:t>
      </w:r>
      <w:r>
        <w:rPr>
          <w:rFonts w:hint="eastAsia" w:ascii="宋体" w:hAnsi="宋体" w:cs="宋体"/>
          <w:color w:val="000000" w:themeColor="text1"/>
          <w:szCs w:val="21"/>
          <w:highlight w:val="none"/>
          <w14:textFill>
            <w14:solidFill>
              <w14:schemeClr w14:val="tx1"/>
            </w14:solidFill>
          </w14:textFill>
        </w:rPr>
        <w:t>投标人不按本章第</w:t>
      </w:r>
      <w:r>
        <w:rPr>
          <w:rFonts w:ascii="宋体" w:hAnsi="宋体" w:cs="宋体"/>
          <w:color w:val="000000" w:themeColor="text1"/>
          <w:szCs w:val="21"/>
          <w:highlight w:val="none"/>
          <w14:textFill>
            <w14:solidFill>
              <w14:schemeClr w14:val="tx1"/>
            </w14:solidFill>
          </w14:textFill>
        </w:rPr>
        <w:t>3.4.1项要求提交投标保证金的，评标委员会将否决其投标。</w:t>
      </w:r>
    </w:p>
    <w:p w14:paraId="29143C9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3.4.3 </w:t>
      </w:r>
      <w:r>
        <w:rPr>
          <w:rFonts w:hint="eastAsia" w:ascii="宋体" w:hAnsi="宋体" w:cs="宋体"/>
          <w:color w:val="000000" w:themeColor="text1"/>
          <w:szCs w:val="21"/>
          <w:highlight w:val="none"/>
          <w14:textFill>
            <w14:solidFill>
              <w14:schemeClr w14:val="tx1"/>
            </w14:solidFill>
          </w14:textFill>
        </w:rPr>
        <w:t>投标保证金的退还见投标人须知前附表。</w:t>
      </w:r>
    </w:p>
    <w:p w14:paraId="0DAD747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3.4.4投标保证金不予退还的情形见投标人须知前附表。</w:t>
      </w:r>
    </w:p>
    <w:p w14:paraId="7932028A">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31" w:name="_Toc452457657"/>
      <w:bookmarkStart w:id="532" w:name="_Toc20843"/>
      <w:r>
        <w:rPr>
          <w:rFonts w:hAnsi="宋体" w:cs="宋体"/>
          <w:b/>
          <w:bCs/>
          <w:color w:val="000000" w:themeColor="text1"/>
          <w:szCs w:val="21"/>
          <w:highlight w:val="none"/>
          <w14:textFill>
            <w14:solidFill>
              <w14:schemeClr w14:val="tx1"/>
            </w14:solidFill>
          </w14:textFill>
        </w:rPr>
        <w:t xml:space="preserve">3.5 </w:t>
      </w:r>
      <w:r>
        <w:rPr>
          <w:rFonts w:hint="eastAsia" w:hAnsi="宋体" w:cs="宋体"/>
          <w:b/>
          <w:bCs/>
          <w:color w:val="000000" w:themeColor="text1"/>
          <w:szCs w:val="21"/>
          <w:highlight w:val="none"/>
          <w14:textFill>
            <w14:solidFill>
              <w14:schemeClr w14:val="tx1"/>
            </w14:solidFill>
          </w14:textFill>
        </w:rPr>
        <w:t>资格审查资料</w:t>
      </w:r>
      <w:bookmarkEnd w:id="531"/>
      <w:bookmarkEnd w:id="532"/>
    </w:p>
    <w:p w14:paraId="5C98123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除投标人须知前附表另有规定外，投标人应按下列规定提供资格审查资料，以证明其满足本章第</w:t>
      </w:r>
      <w:r>
        <w:rPr>
          <w:rFonts w:ascii="宋体" w:hAnsi="宋体" w:cs="宋体"/>
          <w:color w:val="000000" w:themeColor="text1"/>
          <w:szCs w:val="21"/>
          <w:highlight w:val="none"/>
          <w14:textFill>
            <w14:solidFill>
              <w14:schemeClr w14:val="tx1"/>
            </w14:solidFill>
          </w14:textFill>
        </w:rPr>
        <w:t>1.4款规定的资质、财务、业绩、信誉等要求。</w:t>
      </w:r>
    </w:p>
    <w:p w14:paraId="4B71888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3.5.1 </w:t>
      </w:r>
      <w:r>
        <w:rPr>
          <w:rFonts w:hint="eastAsia" w:ascii="宋体" w:hAnsi="宋体" w:cs="宋体"/>
          <w:color w:val="000000" w:themeColor="text1"/>
          <w:szCs w:val="21"/>
          <w:highlight w:val="none"/>
          <w14:textFill>
            <w14:solidFill>
              <w14:schemeClr w14:val="tx1"/>
            </w14:solidFill>
          </w14:textFill>
        </w:rPr>
        <w:t>“投标人基本情况表”应附资料见投标人须知前附表。</w:t>
      </w:r>
    </w:p>
    <w:p w14:paraId="470DF1D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3.5.2 </w:t>
      </w:r>
      <w:r>
        <w:rPr>
          <w:rFonts w:hint="eastAsia" w:ascii="宋体" w:hAnsi="宋体" w:cs="宋体"/>
          <w:color w:val="000000" w:themeColor="text1"/>
          <w:szCs w:val="21"/>
          <w:highlight w:val="none"/>
          <w14:textFill>
            <w14:solidFill>
              <w14:schemeClr w14:val="tx1"/>
            </w14:solidFill>
          </w14:textFill>
        </w:rPr>
        <w:t>若投标人须知前附表要求提供“近年财务状况表”，则“近年财务状况表”应附经会计师事务所或审计机构审计的财务会计报表，包括资产负债表、现金流量表、利润表和财务情况说明书的复制件，具体年份要求见投标人须知前附表。投标人的成立时间少于投标人须知前附表规定年份的，应提供成立以来的财务状况表。</w:t>
      </w:r>
    </w:p>
    <w:p w14:paraId="76F3DC2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3.5.3  </w:t>
      </w:r>
      <w:r>
        <w:rPr>
          <w:rFonts w:hint="eastAsia" w:ascii="宋体" w:hAnsi="宋体" w:cs="宋体"/>
          <w:color w:val="000000" w:themeColor="text1"/>
          <w:szCs w:val="21"/>
          <w:highlight w:val="none"/>
          <w14:textFill>
            <w14:solidFill>
              <w14:schemeClr w14:val="tx1"/>
            </w14:solidFill>
          </w14:textFill>
        </w:rPr>
        <w:t>“近年完成的类似项目情况表”具体年份及需附资料及要求见投标人须知前附表。</w:t>
      </w:r>
    </w:p>
    <w:p w14:paraId="2F08882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每张表格只填写一个项目，并标明序号。</w:t>
      </w:r>
    </w:p>
    <w:p w14:paraId="66E279B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3.5.4 “投标人的信誉情况表”应附投标人在国家企业信用信息公示系统中未被列入严重违法失信企业名单、在“信用中国”网站中未被列入失信被执行人名单的网页截图。 </w:t>
      </w:r>
    </w:p>
    <w:p w14:paraId="3422952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3.5.5 </w:t>
      </w:r>
      <w:r>
        <w:rPr>
          <w:rFonts w:hint="eastAsia" w:ascii="宋体" w:hAnsi="宋体" w:cs="宋体"/>
          <w:color w:val="000000" w:themeColor="text1"/>
          <w:szCs w:val="21"/>
          <w:highlight w:val="none"/>
          <w14:textFill>
            <w14:solidFill>
              <w14:schemeClr w14:val="tx1"/>
            </w14:solidFill>
          </w14:textFill>
        </w:rPr>
        <w:t>“拟委任的项目经理、项目技术负责人和安全负责人资历表”</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应附资料及要求见投标人须知前附表。</w:t>
      </w:r>
    </w:p>
    <w:p w14:paraId="4BB8C49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3.5.6 </w:t>
      </w:r>
      <w:r>
        <w:rPr>
          <w:rFonts w:hint="eastAsia" w:ascii="宋体" w:hAnsi="宋体" w:cs="宋体"/>
          <w:color w:val="000000" w:themeColor="text1"/>
          <w:szCs w:val="21"/>
          <w:highlight w:val="none"/>
          <w14:textFill>
            <w14:solidFill>
              <w14:schemeClr w14:val="tx1"/>
            </w14:solidFill>
          </w14:textFill>
        </w:rPr>
        <w:t>“拟委任的其他管理和技术人员汇总表”（如有）应填报满足投标人须知前附表附录</w:t>
      </w:r>
      <w:r>
        <w:rPr>
          <w:rFonts w:ascii="宋体" w:hAnsi="宋体" w:cs="宋体"/>
          <w:color w:val="000000" w:themeColor="text1"/>
          <w:szCs w:val="21"/>
          <w:highlight w:val="none"/>
          <w14:textFill>
            <w14:solidFill>
              <w14:schemeClr w14:val="tx1"/>
            </w14:solidFill>
          </w14:textFill>
        </w:rPr>
        <w:t xml:space="preserve"> 6 </w:t>
      </w:r>
      <w:r>
        <w:rPr>
          <w:rFonts w:hint="eastAsia" w:ascii="宋体" w:hAnsi="宋体" w:cs="宋体"/>
          <w:color w:val="000000" w:themeColor="text1"/>
          <w:szCs w:val="21"/>
          <w:highlight w:val="none"/>
          <w14:textFill>
            <w14:solidFill>
              <w14:schemeClr w14:val="tx1"/>
            </w14:solidFill>
          </w14:textFill>
        </w:rPr>
        <w:t>规定的其他人员的相关信息。“拟委任的其他管理和技术人员资历表”（如有）需附资料及要求见投标人须知前附表。</w:t>
      </w:r>
    </w:p>
    <w:p w14:paraId="64BB289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3.5.7 </w:t>
      </w:r>
      <w:r>
        <w:rPr>
          <w:rFonts w:hint="eastAsia" w:ascii="宋体" w:hAnsi="宋体" w:cs="宋体"/>
          <w:color w:val="000000" w:themeColor="text1"/>
          <w:szCs w:val="21"/>
          <w:highlight w:val="none"/>
          <w14:textFill>
            <w14:solidFill>
              <w14:schemeClr w14:val="tx1"/>
            </w14:solidFill>
          </w14:textFill>
        </w:rPr>
        <w:t>“拟投入本标段的主要施工机械表”“拟配备本标段的主要材料试验、测量、质检仪器设备表”（如有）应填报满足投标人须知前附表附录</w:t>
      </w:r>
      <w:r>
        <w:rPr>
          <w:rFonts w:ascii="宋体" w:hAnsi="宋体" w:cs="宋体"/>
          <w:color w:val="000000" w:themeColor="text1"/>
          <w:szCs w:val="21"/>
          <w:highlight w:val="none"/>
          <w14:textFill>
            <w14:solidFill>
              <w14:schemeClr w14:val="tx1"/>
            </w14:solidFill>
          </w14:textFill>
        </w:rPr>
        <w:t xml:space="preserve"> 7 </w:t>
      </w:r>
      <w:r>
        <w:rPr>
          <w:rFonts w:hint="eastAsia" w:ascii="宋体" w:hAnsi="宋体" w:cs="宋体"/>
          <w:color w:val="000000" w:themeColor="text1"/>
          <w:szCs w:val="21"/>
          <w:highlight w:val="none"/>
          <w14:textFill>
            <w14:solidFill>
              <w14:schemeClr w14:val="tx1"/>
            </w14:solidFill>
          </w14:textFill>
        </w:rPr>
        <w:t>规定的机械设备和试验检测设备。</w:t>
      </w:r>
    </w:p>
    <w:p w14:paraId="39FF5A75">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3.5.8 </w:t>
      </w:r>
      <w:r>
        <w:rPr>
          <w:rFonts w:hint="eastAsia" w:ascii="宋体" w:hAnsi="宋体" w:cs="宋体"/>
          <w:color w:val="000000" w:themeColor="text1"/>
          <w:szCs w:val="21"/>
          <w:highlight w:val="none"/>
          <w14:textFill>
            <w14:solidFill>
              <w14:schemeClr w14:val="tx1"/>
            </w14:solidFill>
          </w14:textFill>
        </w:rPr>
        <w:t>投标人须知前附表规定接受联合体投标的，本章第</w:t>
      </w:r>
      <w:r>
        <w:rPr>
          <w:rFonts w:ascii="宋体" w:hAnsi="宋体" w:cs="宋体"/>
          <w:color w:val="000000" w:themeColor="text1"/>
          <w:szCs w:val="21"/>
          <w:highlight w:val="none"/>
          <w14:textFill>
            <w14:solidFill>
              <w14:schemeClr w14:val="tx1"/>
            </w14:solidFill>
          </w14:textFill>
        </w:rPr>
        <w:t>3.5.1项至第3.5.7项规定的表格和资料应包括联合体各方相关情况。</w:t>
      </w:r>
    </w:p>
    <w:p w14:paraId="1B4C131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3.5.9 </w:t>
      </w:r>
      <w:r>
        <w:rPr>
          <w:rFonts w:hint="eastAsia" w:ascii="宋体" w:hAnsi="宋体" w:cs="宋体"/>
          <w:color w:val="000000" w:themeColor="text1"/>
          <w:szCs w:val="21"/>
          <w:highlight w:val="none"/>
          <w14:textFill>
            <w14:solidFill>
              <w14:schemeClr w14:val="tx1"/>
            </w14:solidFill>
          </w14:textFill>
        </w:rPr>
        <w:t>除合同条款约定的特殊情形外，投标人在投标文件中填报的项目经理和项目技术负责人、和安全负责人不允许更换。</w:t>
      </w:r>
    </w:p>
    <w:p w14:paraId="5F663EA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3.5.10投标人在投标文件中填报的资质、业绩、主要人员资历和目前在岗情况、信用等级等信息，应与其在</w:t>
      </w:r>
      <w:r>
        <w:rPr>
          <w:rFonts w:hint="eastAsia" w:ascii="宋体" w:hAnsi="宋体" w:cs="宋体"/>
          <w:color w:val="000000" w:themeColor="text1"/>
          <w:spacing w:val="-4"/>
          <w:highlight w:val="none"/>
          <w14:textFill>
            <w14:solidFill>
              <w14:schemeClr w14:val="tx1"/>
            </w14:solidFill>
          </w14:textFill>
        </w:rPr>
        <w:t>浙江省交通运输信用综合管理服务系统</w:t>
      </w:r>
      <w:r>
        <w:rPr>
          <w:rFonts w:hint="eastAsia" w:ascii="宋体" w:hAnsi="宋体" w:cs="宋体"/>
          <w:color w:val="000000" w:themeColor="text1"/>
          <w:szCs w:val="21"/>
          <w:highlight w:val="none"/>
          <w14:textFill>
            <w14:solidFill>
              <w14:schemeClr w14:val="tx1"/>
            </w14:solidFill>
          </w14:textFill>
        </w:rPr>
        <w:t>上填报并发布的相关信息一致。投标人应根据本单位实际情况及时完成相关信息的申报、录入和动态更新，并对相关信息的真实性、完整性和准确性负责。</w:t>
      </w:r>
    </w:p>
    <w:p w14:paraId="3952FFE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3.5.11 </w:t>
      </w:r>
      <w:r>
        <w:rPr>
          <w:rFonts w:hint="eastAsia" w:ascii="宋体" w:hAnsi="宋体" w:cs="宋体"/>
          <w:color w:val="000000" w:themeColor="text1"/>
          <w:spacing w:val="-4"/>
          <w:highlight w:val="none"/>
          <w14:textFill>
            <w14:solidFill>
              <w14:schemeClr w14:val="tx1"/>
            </w14:solidFill>
          </w14:textFill>
        </w:rPr>
        <w:t>招标人有权核查投标人在投标文件中提供的材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w:t>
      </w:r>
      <w:r>
        <w:rPr>
          <w:rFonts w:ascii="宋体" w:hAnsi="宋体" w:cs="宋体"/>
          <w:color w:val="000000" w:themeColor="text1"/>
          <w:spacing w:val="-4"/>
          <w:highlight w:val="none"/>
          <w14:textFill>
            <w14:solidFill>
              <w14:schemeClr w14:val="tx1"/>
            </w14:solidFill>
          </w14:textFill>
        </w:rPr>
        <w:t>5％签约合同价的金额作为违约金。同时招标人将投标人上述弄虚作假行为上报浙江省交通运输厅，作为不良记录纳入浙江省交通运输信用综合管理服务系统。</w:t>
      </w:r>
    </w:p>
    <w:p w14:paraId="6D8EA51B">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33" w:name="_Toc23238"/>
      <w:bookmarkStart w:id="534" w:name="_Toc452457658"/>
      <w:r>
        <w:rPr>
          <w:rFonts w:hAnsi="宋体" w:cs="宋体"/>
          <w:b/>
          <w:bCs/>
          <w:color w:val="000000" w:themeColor="text1"/>
          <w:szCs w:val="21"/>
          <w:highlight w:val="none"/>
          <w14:textFill>
            <w14:solidFill>
              <w14:schemeClr w14:val="tx1"/>
            </w14:solidFill>
          </w14:textFill>
        </w:rPr>
        <w:t xml:space="preserve">3.6 </w:t>
      </w:r>
      <w:r>
        <w:rPr>
          <w:rFonts w:hint="eastAsia" w:hAnsi="宋体" w:cs="宋体"/>
          <w:b/>
          <w:bCs/>
          <w:color w:val="000000" w:themeColor="text1"/>
          <w:szCs w:val="21"/>
          <w:highlight w:val="none"/>
          <w14:textFill>
            <w14:solidFill>
              <w14:schemeClr w14:val="tx1"/>
            </w14:solidFill>
          </w14:textFill>
        </w:rPr>
        <w:t>备选投标方案</w:t>
      </w:r>
      <w:bookmarkEnd w:id="533"/>
      <w:bookmarkEnd w:id="534"/>
    </w:p>
    <w:p w14:paraId="69511C2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3.6.1 </w:t>
      </w:r>
      <w:r>
        <w:rPr>
          <w:rFonts w:hint="eastAsia" w:ascii="宋体" w:hAnsi="宋体" w:cs="宋体"/>
          <w:color w:val="000000" w:themeColor="text1"/>
          <w:szCs w:val="21"/>
          <w:highlight w:val="none"/>
          <w14:textFill>
            <w14:solidFill>
              <w14:schemeClr w14:val="tx1"/>
            </w14:solidFill>
          </w14:textFill>
        </w:rPr>
        <w:t>除投标人须知前附表规定允许外，投标人不得递交备选投标方案，否则其投标将被否决。</w:t>
      </w:r>
    </w:p>
    <w:p w14:paraId="790B330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3.6.2 </w:t>
      </w:r>
      <w:r>
        <w:rPr>
          <w:rFonts w:hint="eastAsia" w:ascii="宋体" w:hAnsi="宋体" w:cs="宋体"/>
          <w:color w:val="000000" w:themeColor="text1"/>
          <w:szCs w:val="21"/>
          <w:highlight w:val="none"/>
          <w14:textFill>
            <w14:solidFill>
              <w14:schemeClr w14:val="tx1"/>
            </w14:solidFill>
          </w14:textFill>
        </w:rPr>
        <w:t>允许投标人递交备选投标方案的，只有中标人所递交的备选投标方案方可予以考虑。评标委员会认为中标人的备选投标方案优于其按照招标文件要求编制的投标方案的，招标人可以接受该备选投标方案。</w:t>
      </w:r>
    </w:p>
    <w:p w14:paraId="45CF9ED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3.6.3 </w:t>
      </w:r>
      <w:r>
        <w:rPr>
          <w:rFonts w:hint="eastAsia" w:ascii="宋体" w:hAnsi="宋体" w:cs="宋体"/>
          <w:color w:val="000000" w:themeColor="text1"/>
          <w:szCs w:val="21"/>
          <w:highlight w:val="none"/>
          <w14:textFill>
            <w14:solidFill>
              <w14:schemeClr w14:val="tx1"/>
            </w14:solidFill>
          </w14:textFill>
        </w:rPr>
        <w:t>投标人提供两个或两个以上投标报价，或在投标文件中提供一个报价，但同时提供两个或两个以上施工组织设计的，视为提供备选方案。</w:t>
      </w:r>
    </w:p>
    <w:p w14:paraId="061DEC9E">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35" w:name="_Toc7340"/>
      <w:bookmarkStart w:id="536" w:name="_Toc452457659"/>
      <w:r>
        <w:rPr>
          <w:rFonts w:hAnsi="宋体" w:cs="宋体"/>
          <w:b/>
          <w:bCs/>
          <w:color w:val="000000" w:themeColor="text1"/>
          <w:szCs w:val="21"/>
          <w:highlight w:val="none"/>
          <w14:textFill>
            <w14:solidFill>
              <w14:schemeClr w14:val="tx1"/>
            </w14:solidFill>
          </w14:textFill>
        </w:rPr>
        <w:t xml:space="preserve">3.7 </w:t>
      </w:r>
      <w:r>
        <w:rPr>
          <w:rFonts w:hint="eastAsia" w:hAnsi="宋体" w:cs="宋体"/>
          <w:b/>
          <w:bCs/>
          <w:color w:val="000000" w:themeColor="text1"/>
          <w:szCs w:val="21"/>
          <w:highlight w:val="none"/>
          <w14:textFill>
            <w14:solidFill>
              <w14:schemeClr w14:val="tx1"/>
            </w14:solidFill>
          </w14:textFill>
        </w:rPr>
        <w:t>投标文件的编制</w:t>
      </w:r>
      <w:bookmarkEnd w:id="535"/>
      <w:bookmarkEnd w:id="536"/>
    </w:p>
    <w:p w14:paraId="5A76B2D7">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3.7.1投标文件应按第九章“投标文件格式”进行编写，如有必要，可以增加附页，作为投标文件的组成部分。其中，投标函附录在满足招标文件实质性要求的基础上，可以提出比招标文件要求更有利于招标人的承诺。</w:t>
      </w:r>
    </w:p>
    <w:p w14:paraId="0E20E33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3.7.2 </w:t>
      </w:r>
      <w:r>
        <w:rPr>
          <w:rFonts w:hint="eastAsia" w:ascii="宋体" w:hAnsi="宋体" w:cs="宋体"/>
          <w:color w:val="000000" w:themeColor="text1"/>
          <w:szCs w:val="21"/>
          <w:highlight w:val="none"/>
          <w14:textFill>
            <w14:solidFill>
              <w14:schemeClr w14:val="tx1"/>
            </w14:solidFill>
          </w14:textFill>
        </w:rPr>
        <w:t>投标文件应当对招标文件有关工期、投标有效期、质量要求、安全目标、技术标准和要求、招标范围等实质性内容作出响应。</w:t>
      </w:r>
    </w:p>
    <w:p w14:paraId="479B992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3.7.3 </w:t>
      </w:r>
      <w:r>
        <w:rPr>
          <w:rFonts w:hint="eastAsia" w:ascii="宋体" w:hAnsi="宋体" w:cs="宋体"/>
          <w:color w:val="000000" w:themeColor="text1"/>
          <w:szCs w:val="21"/>
          <w:highlight w:val="none"/>
          <w14:textFill>
            <w14:solidFill>
              <w14:schemeClr w14:val="tx1"/>
            </w14:solidFill>
          </w14:textFill>
        </w:rPr>
        <w:t>投标文件的制作应符合投标人须知前附表的规定。</w:t>
      </w:r>
    </w:p>
    <w:p w14:paraId="42980227">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537" w:name="_Toc3060"/>
      <w:bookmarkStart w:id="538" w:name="_Toc5327"/>
      <w:bookmarkStart w:id="539" w:name="_Toc27373"/>
      <w:bookmarkStart w:id="540" w:name="_Toc27563"/>
      <w:bookmarkStart w:id="541" w:name="_Toc24167"/>
      <w:bookmarkStart w:id="542" w:name="_Toc12284"/>
      <w:bookmarkStart w:id="543" w:name="_Toc119585485"/>
      <w:bookmarkStart w:id="544" w:name="_Toc9254"/>
      <w:bookmarkStart w:id="545" w:name="_Toc15976"/>
      <w:bookmarkStart w:id="546" w:name="_Toc452457660"/>
      <w:bookmarkStart w:id="547" w:name="_Toc2887"/>
      <w:bookmarkStart w:id="548" w:name="_Toc98785254"/>
      <w:bookmarkStart w:id="549" w:name="_Toc25711"/>
      <w:bookmarkStart w:id="550" w:name="_Toc29890"/>
      <w:bookmarkStart w:id="551" w:name="_Toc25304"/>
      <w:bookmarkStart w:id="552" w:name="_Toc31496"/>
      <w:bookmarkStart w:id="553" w:name="_Toc120624176"/>
      <w:bookmarkStart w:id="554" w:name="_Toc118195761"/>
      <w:bookmarkStart w:id="555" w:name="_Toc24476"/>
      <w:bookmarkStart w:id="556" w:name="_Toc15144"/>
      <w:r>
        <w:rPr>
          <w:rFonts w:ascii="宋体" w:hAnsi="宋体" w:cs="宋体"/>
          <w:b/>
          <w:bCs/>
          <w:color w:val="000000" w:themeColor="text1"/>
          <w:sz w:val="24"/>
          <w:szCs w:val="24"/>
          <w:highlight w:val="none"/>
          <w14:textFill>
            <w14:solidFill>
              <w14:schemeClr w14:val="tx1"/>
            </w14:solidFill>
          </w14:textFill>
        </w:rPr>
        <w:t xml:space="preserve">4. </w:t>
      </w:r>
      <w:r>
        <w:rPr>
          <w:rFonts w:hint="eastAsia" w:ascii="宋体" w:hAnsi="宋体" w:cs="宋体"/>
          <w:b/>
          <w:bCs/>
          <w:color w:val="000000" w:themeColor="text1"/>
          <w:sz w:val="24"/>
          <w:szCs w:val="24"/>
          <w:highlight w:val="none"/>
          <w14:textFill>
            <w14:solidFill>
              <w14:schemeClr w14:val="tx1"/>
            </w14:solidFill>
          </w14:textFill>
        </w:rPr>
        <w:t>投标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470EA55B">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57" w:name="_Toc20170"/>
      <w:bookmarkStart w:id="558" w:name="_Toc118195762"/>
      <w:bookmarkStart w:id="559" w:name="_Toc31231"/>
      <w:bookmarkStart w:id="560" w:name="_Toc6528"/>
      <w:bookmarkStart w:id="561" w:name="_Toc3695"/>
      <w:bookmarkStart w:id="562" w:name="_Toc27609"/>
      <w:bookmarkStart w:id="563" w:name="_Toc24674"/>
      <w:bookmarkStart w:id="564" w:name="_Toc452457661"/>
      <w:r>
        <w:rPr>
          <w:rFonts w:hAnsi="宋体" w:cs="宋体"/>
          <w:b/>
          <w:bCs/>
          <w:color w:val="000000" w:themeColor="text1"/>
          <w:szCs w:val="21"/>
          <w:highlight w:val="none"/>
          <w14:textFill>
            <w14:solidFill>
              <w14:schemeClr w14:val="tx1"/>
            </w14:solidFill>
          </w14:textFill>
        </w:rPr>
        <w:t xml:space="preserve">4.1 </w:t>
      </w:r>
      <w:r>
        <w:rPr>
          <w:rFonts w:hint="eastAsia" w:hAnsi="宋体" w:cs="宋体"/>
          <w:b/>
          <w:bCs/>
          <w:color w:val="000000" w:themeColor="text1"/>
          <w:szCs w:val="21"/>
          <w:highlight w:val="none"/>
          <w14:textFill>
            <w14:solidFill>
              <w14:schemeClr w14:val="tx1"/>
            </w14:solidFill>
          </w14:textFill>
        </w:rPr>
        <w:t>投标文件的密封和标识</w:t>
      </w:r>
      <w:bookmarkEnd w:id="557"/>
      <w:bookmarkEnd w:id="558"/>
      <w:bookmarkEnd w:id="559"/>
      <w:bookmarkEnd w:id="560"/>
      <w:bookmarkEnd w:id="561"/>
      <w:bookmarkEnd w:id="562"/>
      <w:bookmarkEnd w:id="563"/>
      <w:bookmarkEnd w:id="564"/>
    </w:p>
    <w:p w14:paraId="74261D2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投标文件应</w:t>
      </w:r>
      <w:r>
        <w:rPr>
          <w:rFonts w:hint="eastAsia" w:ascii="宋体" w:hAnsi="宋体" w:cs="宋体"/>
          <w:color w:val="000000" w:themeColor="text1"/>
          <w:highlight w:val="none"/>
          <w14:textFill>
            <w14:solidFill>
              <w14:schemeClr w14:val="tx1"/>
            </w14:solidFill>
          </w14:textFill>
        </w:rPr>
        <w:t>按照本章第</w:t>
      </w:r>
      <w:r>
        <w:rPr>
          <w:rFonts w:ascii="宋体" w:hAnsi="宋体" w:cs="宋体"/>
          <w:color w:val="000000" w:themeColor="text1"/>
          <w:highlight w:val="none"/>
          <w14:textFill>
            <w14:solidFill>
              <w14:schemeClr w14:val="tx1"/>
            </w14:solidFill>
          </w14:textFill>
        </w:rPr>
        <w:t xml:space="preserve"> 3.7.3 </w:t>
      </w:r>
      <w:r>
        <w:rPr>
          <w:rFonts w:hint="eastAsia" w:ascii="宋体" w:hAnsi="宋体" w:cs="宋体"/>
          <w:color w:val="000000" w:themeColor="text1"/>
          <w:highlight w:val="none"/>
          <w14:textFill>
            <w14:solidFill>
              <w14:schemeClr w14:val="tx1"/>
            </w14:solidFill>
          </w14:textFill>
        </w:rPr>
        <w:t>项要求制作并</w:t>
      </w:r>
      <w:r>
        <w:rPr>
          <w:rFonts w:hint="eastAsia"/>
          <w:color w:val="000000" w:themeColor="text1"/>
          <w:highlight w:val="none"/>
          <w14:textFill>
            <w14:solidFill>
              <w14:schemeClr w14:val="tx1"/>
            </w14:solidFill>
          </w14:textFill>
        </w:rPr>
        <w:t>密封</w:t>
      </w:r>
      <w:r>
        <w:rPr>
          <w:rFonts w:hint="eastAsia" w:ascii="宋体" w:hAnsi="宋体" w:cs="宋体"/>
          <w:color w:val="000000" w:themeColor="text1"/>
          <w:highlight w:val="none"/>
          <w14:textFill>
            <w14:solidFill>
              <w14:schemeClr w14:val="tx1"/>
            </w14:solidFill>
          </w14:textFill>
        </w:rPr>
        <w:t>，未按要求</w:t>
      </w:r>
      <w:r>
        <w:rPr>
          <w:rFonts w:hint="eastAsia"/>
          <w:color w:val="000000" w:themeColor="text1"/>
          <w:highlight w:val="none"/>
          <w14:textFill>
            <w14:solidFill>
              <w14:schemeClr w14:val="tx1"/>
            </w14:solidFill>
          </w14:textFill>
        </w:rPr>
        <w:t>密封</w:t>
      </w:r>
      <w:r>
        <w:rPr>
          <w:rFonts w:hint="eastAsia" w:ascii="宋体" w:hAnsi="宋体" w:cs="宋体"/>
          <w:color w:val="000000" w:themeColor="text1"/>
          <w:highlight w:val="none"/>
          <w14:textFill>
            <w14:solidFill>
              <w14:schemeClr w14:val="tx1"/>
            </w14:solidFill>
          </w14:textFill>
        </w:rPr>
        <w:t>的投标文件，招标人将拒绝接收。</w:t>
      </w:r>
    </w:p>
    <w:p w14:paraId="284CC3C7">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65" w:name="_Toc118195763"/>
      <w:bookmarkStart w:id="566" w:name="_Toc23652"/>
      <w:bookmarkStart w:id="567" w:name="_Toc11394"/>
      <w:bookmarkStart w:id="568" w:name="_Toc13109"/>
      <w:bookmarkStart w:id="569" w:name="_Toc27339"/>
      <w:bookmarkStart w:id="570" w:name="_Toc15062"/>
      <w:bookmarkStart w:id="571" w:name="_Toc13270"/>
      <w:bookmarkStart w:id="572" w:name="_Toc452457662"/>
      <w:r>
        <w:rPr>
          <w:rFonts w:hAnsi="宋体" w:cs="宋体"/>
          <w:b/>
          <w:bCs/>
          <w:color w:val="000000" w:themeColor="text1"/>
          <w:szCs w:val="21"/>
          <w:highlight w:val="none"/>
          <w14:textFill>
            <w14:solidFill>
              <w14:schemeClr w14:val="tx1"/>
            </w14:solidFill>
          </w14:textFill>
        </w:rPr>
        <w:t xml:space="preserve">4.2 </w:t>
      </w:r>
      <w:r>
        <w:rPr>
          <w:rFonts w:hint="eastAsia" w:hAnsi="宋体" w:cs="宋体"/>
          <w:b/>
          <w:bCs/>
          <w:color w:val="000000" w:themeColor="text1"/>
          <w:szCs w:val="21"/>
          <w:highlight w:val="none"/>
          <w14:textFill>
            <w14:solidFill>
              <w14:schemeClr w14:val="tx1"/>
            </w14:solidFill>
          </w14:textFill>
        </w:rPr>
        <w:t>投标文件的递交</w:t>
      </w:r>
      <w:bookmarkEnd w:id="565"/>
      <w:bookmarkEnd w:id="566"/>
      <w:bookmarkEnd w:id="567"/>
      <w:bookmarkEnd w:id="568"/>
      <w:bookmarkEnd w:id="569"/>
      <w:bookmarkEnd w:id="570"/>
      <w:bookmarkEnd w:id="571"/>
      <w:bookmarkEnd w:id="572"/>
    </w:p>
    <w:p w14:paraId="369BC8D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4.2.1投标人应在第一章“招标公告”规定的投标截止时间前（第2.2.2项、2.3.1项规定延长投标截止时间的，指延长后的投标截止时间前），</w:t>
      </w:r>
      <w:r>
        <w:rPr>
          <w:rFonts w:hint="eastAsia"/>
          <w:color w:val="000000" w:themeColor="text1"/>
          <w:highlight w:val="none"/>
          <w14:textFill>
            <w14:solidFill>
              <w14:schemeClr w14:val="tx1"/>
            </w14:solidFill>
          </w14:textFill>
        </w:rPr>
        <w:t>递交投标文件</w:t>
      </w:r>
      <w:r>
        <w:rPr>
          <w:rFonts w:hint="eastAsia" w:ascii="宋体" w:hAnsi="宋体" w:cs="宋体"/>
          <w:color w:val="000000" w:themeColor="text1"/>
          <w:szCs w:val="21"/>
          <w:highlight w:val="none"/>
          <w14:textFill>
            <w14:solidFill>
              <w14:schemeClr w14:val="tx1"/>
            </w14:solidFill>
          </w14:textFill>
        </w:rPr>
        <w:t>。</w:t>
      </w:r>
    </w:p>
    <w:p w14:paraId="412D4C7C">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4.2.2 </w:t>
      </w:r>
      <w:r>
        <w:rPr>
          <w:rFonts w:hint="eastAsia" w:ascii="宋体" w:hAnsi="宋体" w:cs="宋体"/>
          <w:color w:val="000000" w:themeColor="text1"/>
          <w:szCs w:val="21"/>
          <w:highlight w:val="none"/>
          <w14:textFill>
            <w14:solidFill>
              <w14:schemeClr w14:val="tx1"/>
            </w14:solidFill>
          </w14:textFill>
        </w:rPr>
        <w:t>递交投标文件方式和地点：见投标人须知前附表。</w:t>
      </w:r>
    </w:p>
    <w:p w14:paraId="6EDA749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bookmarkStart w:id="573" w:name="_Toc452457663"/>
      <w:r>
        <w:rPr>
          <w:rFonts w:ascii="宋体" w:hAnsi="宋体" w:cs="宋体"/>
          <w:color w:val="000000" w:themeColor="text1"/>
          <w:szCs w:val="21"/>
          <w:highlight w:val="none"/>
          <w14:textFill>
            <w14:solidFill>
              <w14:schemeClr w14:val="tx1"/>
            </w14:solidFill>
          </w14:textFill>
        </w:rPr>
        <w:t xml:space="preserve">4.2.3 </w:t>
      </w:r>
      <w:r>
        <w:rPr>
          <w:rFonts w:hint="eastAsia" w:ascii="宋体" w:hAnsi="宋体" w:cs="宋体"/>
          <w:color w:val="000000" w:themeColor="text1"/>
          <w:szCs w:val="21"/>
          <w:highlight w:val="none"/>
          <w14:textFill>
            <w14:solidFill>
              <w14:schemeClr w14:val="tx1"/>
            </w14:solidFill>
          </w14:textFill>
        </w:rPr>
        <w:t>是否退还投标文件：见投标人须知前附表。</w:t>
      </w:r>
    </w:p>
    <w:p w14:paraId="79D3160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4.2.4 </w:t>
      </w:r>
      <w:r>
        <w:rPr>
          <w:rFonts w:hint="eastAsia" w:ascii="宋体" w:hAnsi="宋体" w:cs="宋体"/>
          <w:color w:val="000000" w:themeColor="text1"/>
          <w:szCs w:val="21"/>
          <w:highlight w:val="none"/>
          <w14:textFill>
            <w14:solidFill>
              <w14:schemeClr w14:val="tx1"/>
            </w14:solidFill>
          </w14:textFill>
        </w:rPr>
        <w:t>投标文件不予受理的情形：见投标人须知前附表。</w:t>
      </w:r>
    </w:p>
    <w:p w14:paraId="3824DAAE">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574" w:name="_Toc8343"/>
      <w:bookmarkStart w:id="575" w:name="_Toc28398"/>
      <w:bookmarkStart w:id="576" w:name="_Toc18740"/>
      <w:bookmarkStart w:id="577" w:name="_Toc2062"/>
      <w:bookmarkStart w:id="578" w:name="_Toc20231"/>
      <w:bookmarkStart w:id="579" w:name="_Toc118195764"/>
      <w:bookmarkStart w:id="580" w:name="_Toc6589"/>
      <w:r>
        <w:rPr>
          <w:rFonts w:hAnsi="宋体" w:cs="宋体"/>
          <w:b/>
          <w:bCs/>
          <w:color w:val="000000" w:themeColor="text1"/>
          <w:szCs w:val="21"/>
          <w:highlight w:val="none"/>
          <w14:textFill>
            <w14:solidFill>
              <w14:schemeClr w14:val="tx1"/>
            </w14:solidFill>
          </w14:textFill>
        </w:rPr>
        <w:t xml:space="preserve">4.3 </w:t>
      </w:r>
      <w:r>
        <w:rPr>
          <w:rFonts w:hint="eastAsia" w:hAnsi="宋体" w:cs="宋体"/>
          <w:b/>
          <w:bCs/>
          <w:color w:val="000000" w:themeColor="text1"/>
          <w:szCs w:val="21"/>
          <w:highlight w:val="none"/>
          <w14:textFill>
            <w14:solidFill>
              <w14:schemeClr w14:val="tx1"/>
            </w14:solidFill>
          </w14:textFill>
        </w:rPr>
        <w:t>投标文件的修改与撤回</w:t>
      </w:r>
      <w:bookmarkEnd w:id="573"/>
      <w:bookmarkEnd w:id="574"/>
      <w:bookmarkEnd w:id="575"/>
      <w:bookmarkEnd w:id="576"/>
      <w:bookmarkEnd w:id="577"/>
      <w:bookmarkEnd w:id="578"/>
      <w:bookmarkEnd w:id="579"/>
      <w:bookmarkEnd w:id="580"/>
    </w:p>
    <w:p w14:paraId="74A18338">
      <w:pPr>
        <w:pStyle w:val="7"/>
        <w:spacing w:line="400" w:lineRule="exact"/>
        <w:ind w:firstLine="420" w:firstLineChars="200"/>
        <w:jc w:val="left"/>
        <w:rPr>
          <w:rFonts w:ascii="宋体" w:hAnsi="宋体" w:eastAsia="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4.3.1 </w:t>
      </w:r>
      <w:r>
        <w:rPr>
          <w:rFonts w:hint="eastAsia" w:ascii="宋体" w:hAnsi="宋体" w:cs="宋体"/>
          <w:color w:val="000000" w:themeColor="text1"/>
          <w:szCs w:val="21"/>
          <w:highlight w:val="none"/>
          <w14:textFill>
            <w14:solidFill>
              <w14:schemeClr w14:val="tx1"/>
            </w14:solidFill>
          </w14:textFill>
        </w:rPr>
        <w:t>在本章第</w:t>
      </w:r>
      <w:r>
        <w:rPr>
          <w:rFonts w:ascii="宋体" w:hAnsi="宋体" w:cs="宋体"/>
          <w:color w:val="000000" w:themeColor="text1"/>
          <w:szCs w:val="21"/>
          <w:highlight w:val="none"/>
          <w14:textFill>
            <w14:solidFill>
              <w14:schemeClr w14:val="tx1"/>
            </w14:solidFill>
          </w14:textFill>
        </w:rPr>
        <w:t>4.2.1项规定的投标截止时间前，投标人可以修改或撤回已递交的投标文件</w:t>
      </w: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但应以书面形式通知招标人。</w:t>
      </w:r>
    </w:p>
    <w:p w14:paraId="0C3E312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4.3.2</w:t>
      </w:r>
      <w:r>
        <w:rPr>
          <w:rFonts w:hint="eastAsia"/>
          <w:color w:val="000000" w:themeColor="text1"/>
          <w:highlight w:val="none"/>
          <w14:textFill>
            <w14:solidFill>
              <w14:schemeClr w14:val="tx1"/>
            </w14:solidFill>
          </w14:textFill>
        </w:rPr>
        <w:t>投标人修改或撤回已递交投标文件的书面通知应按照本章第</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7款的要求签字或盖单位章。招标人收到书面通知后，向投标人出具签收凭证。</w:t>
      </w:r>
    </w:p>
    <w:p w14:paraId="56D397B9">
      <w:pPr>
        <w:pStyle w:val="7"/>
        <w:spacing w:line="400" w:lineRule="exact"/>
        <w:ind w:firstLine="420" w:firstLineChars="20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4.3.3</w:t>
      </w:r>
      <w:r>
        <w:rPr>
          <w:rFonts w:hint="eastAsia"/>
          <w:color w:val="000000" w:themeColor="text1"/>
          <w:highlight w:val="none"/>
          <w14:textFill>
            <w14:solidFill>
              <w14:schemeClr w14:val="tx1"/>
            </w14:solidFill>
          </w14:textFill>
        </w:rPr>
        <w:t>修改的内容为投标文件的组成部分。修改的投标文件应按照本章第</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条、第</w:t>
      </w: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条规定进行编制、密封、标记和递交，并标明</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修改</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字样。</w:t>
      </w:r>
    </w:p>
    <w:p w14:paraId="53AC8366">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581" w:name="_Toc13038"/>
      <w:bookmarkStart w:id="582" w:name="_Toc27282"/>
      <w:bookmarkStart w:id="583" w:name="_Toc98785255"/>
      <w:bookmarkStart w:id="584" w:name="_Toc3616"/>
      <w:bookmarkStart w:id="585" w:name="_Toc17050"/>
      <w:bookmarkStart w:id="586" w:name="_Toc28112"/>
      <w:bookmarkStart w:id="587" w:name="_Toc9192"/>
      <w:bookmarkStart w:id="588" w:name="_Toc452457664"/>
      <w:bookmarkStart w:id="589" w:name="_Toc119585486"/>
      <w:bookmarkStart w:id="590" w:name="_Toc32648"/>
      <w:bookmarkStart w:id="591" w:name="_Toc18762"/>
      <w:bookmarkStart w:id="592" w:name="_Toc5046"/>
      <w:bookmarkStart w:id="593" w:name="_Toc1988"/>
      <w:bookmarkStart w:id="594" w:name="_Toc22777"/>
      <w:bookmarkStart w:id="595" w:name="_Toc30415"/>
      <w:bookmarkStart w:id="596" w:name="_Toc118195765"/>
      <w:bookmarkStart w:id="597" w:name="_Toc4731"/>
      <w:bookmarkStart w:id="598" w:name="_Toc120624177"/>
      <w:bookmarkStart w:id="599" w:name="_Toc20423"/>
      <w:bookmarkStart w:id="600" w:name="_Toc6730"/>
      <w:r>
        <w:rPr>
          <w:rFonts w:ascii="宋体" w:hAnsi="宋体" w:cs="宋体"/>
          <w:b/>
          <w:bCs/>
          <w:color w:val="000000" w:themeColor="text1"/>
          <w:sz w:val="24"/>
          <w:szCs w:val="24"/>
          <w:highlight w:val="none"/>
          <w14:textFill>
            <w14:solidFill>
              <w14:schemeClr w14:val="tx1"/>
            </w14:solidFill>
          </w14:textFill>
        </w:rPr>
        <w:t xml:space="preserve">5. </w:t>
      </w:r>
      <w:r>
        <w:rPr>
          <w:rFonts w:hint="eastAsia" w:ascii="宋体" w:hAnsi="宋体" w:cs="宋体"/>
          <w:b/>
          <w:bCs/>
          <w:color w:val="000000" w:themeColor="text1"/>
          <w:sz w:val="24"/>
          <w:szCs w:val="24"/>
          <w:highlight w:val="none"/>
          <w14:textFill>
            <w14:solidFill>
              <w14:schemeClr w14:val="tx1"/>
            </w14:solidFill>
          </w14:textFill>
        </w:rPr>
        <w:t>开标</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3903E18B">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601" w:name="_Toc118195766"/>
      <w:bookmarkStart w:id="602" w:name="_Toc31389"/>
      <w:bookmarkStart w:id="603" w:name="_Toc11395"/>
      <w:bookmarkStart w:id="604" w:name="_Toc17021"/>
      <w:bookmarkStart w:id="605" w:name="_Toc452457666"/>
      <w:bookmarkStart w:id="606" w:name="_Toc24084"/>
      <w:bookmarkStart w:id="607" w:name="_Toc21950"/>
      <w:bookmarkStart w:id="608" w:name="_Toc17566"/>
      <w:r>
        <w:rPr>
          <w:rFonts w:hAnsi="宋体" w:cs="宋体"/>
          <w:b/>
          <w:bCs/>
          <w:color w:val="000000" w:themeColor="text1"/>
          <w:szCs w:val="21"/>
          <w:highlight w:val="none"/>
          <w14:textFill>
            <w14:solidFill>
              <w14:schemeClr w14:val="tx1"/>
            </w14:solidFill>
          </w14:textFill>
        </w:rPr>
        <w:t xml:space="preserve">5.1 </w:t>
      </w:r>
      <w:r>
        <w:rPr>
          <w:rFonts w:hint="eastAsia" w:hAnsi="宋体" w:cs="宋体"/>
          <w:b/>
          <w:bCs/>
          <w:color w:val="000000" w:themeColor="text1"/>
          <w:szCs w:val="21"/>
          <w:highlight w:val="none"/>
          <w14:textFill>
            <w14:solidFill>
              <w14:schemeClr w14:val="tx1"/>
            </w14:solidFill>
          </w14:textFill>
        </w:rPr>
        <w:t>开标时间和地点</w:t>
      </w:r>
      <w:bookmarkEnd w:id="601"/>
      <w:bookmarkEnd w:id="602"/>
      <w:bookmarkEnd w:id="603"/>
      <w:bookmarkEnd w:id="604"/>
      <w:bookmarkEnd w:id="605"/>
      <w:bookmarkEnd w:id="606"/>
      <w:bookmarkEnd w:id="607"/>
      <w:bookmarkEnd w:id="608"/>
    </w:p>
    <w:p w14:paraId="34C72D79">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招标人在本章第4.2.1项规定的投标截止时间（开标时间）和投标人须知前附表规定的地点对收到的投标文件第一个信封（商务及技术文件）公开开标，并邀请所有投标人的法定代表人或其委托代理人准时参加。</w:t>
      </w:r>
    </w:p>
    <w:p w14:paraId="59CACEF3">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招标人在投标人须知前附表规定的时间和地点对投标文件第二个信封（报价文件）进行开标，并邀请所有投标人的法定代表人或其委托代理人准时参加。</w:t>
      </w:r>
    </w:p>
    <w:p w14:paraId="799ACB40">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投标人若未派法定代表人或委托代理人出席开标活动，视为该投标人默认开标结果。</w:t>
      </w:r>
    </w:p>
    <w:p w14:paraId="0B94E57C">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609" w:name="_Toc10361"/>
      <w:bookmarkStart w:id="610" w:name="_Toc2516"/>
      <w:bookmarkStart w:id="611" w:name="_Toc5360"/>
      <w:bookmarkStart w:id="612" w:name="_Toc118195767"/>
      <w:bookmarkStart w:id="613" w:name="_Toc452457667"/>
      <w:bookmarkStart w:id="614" w:name="_Toc31436"/>
      <w:bookmarkStart w:id="615" w:name="_Toc1389"/>
      <w:bookmarkStart w:id="616" w:name="_Toc30495"/>
      <w:r>
        <w:rPr>
          <w:rFonts w:hAnsi="宋体" w:cs="宋体"/>
          <w:b/>
          <w:bCs/>
          <w:color w:val="000000" w:themeColor="text1"/>
          <w:szCs w:val="21"/>
          <w:highlight w:val="none"/>
          <w14:textFill>
            <w14:solidFill>
              <w14:schemeClr w14:val="tx1"/>
            </w14:solidFill>
          </w14:textFill>
        </w:rPr>
        <w:t xml:space="preserve">5.2 </w:t>
      </w:r>
      <w:r>
        <w:rPr>
          <w:rFonts w:hint="eastAsia" w:hAnsi="宋体" w:cs="宋体"/>
          <w:b/>
          <w:bCs/>
          <w:color w:val="000000" w:themeColor="text1"/>
          <w:szCs w:val="21"/>
          <w:highlight w:val="none"/>
          <w14:textFill>
            <w14:solidFill>
              <w14:schemeClr w14:val="tx1"/>
            </w14:solidFill>
          </w14:textFill>
        </w:rPr>
        <w:t>开标程序</w:t>
      </w:r>
      <w:bookmarkEnd w:id="609"/>
      <w:bookmarkEnd w:id="610"/>
      <w:bookmarkEnd w:id="611"/>
      <w:bookmarkEnd w:id="612"/>
      <w:bookmarkEnd w:id="613"/>
      <w:bookmarkEnd w:id="614"/>
      <w:bookmarkEnd w:id="615"/>
      <w:bookmarkEnd w:id="616"/>
    </w:p>
    <w:p w14:paraId="314E257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bookmarkStart w:id="617" w:name="_Toc452457668"/>
      <w:r>
        <w:rPr>
          <w:rFonts w:hint="eastAsia" w:ascii="宋体" w:hAnsi="宋体" w:cs="宋体"/>
          <w:color w:val="000000" w:themeColor="text1"/>
          <w:szCs w:val="21"/>
          <w:highlight w:val="none"/>
          <w14:textFill>
            <w14:solidFill>
              <w14:schemeClr w14:val="tx1"/>
            </w14:solidFill>
          </w14:textFill>
        </w:rPr>
        <w:t>开标程序见</w:t>
      </w:r>
      <w:bookmarkEnd w:id="617"/>
      <w:r>
        <w:rPr>
          <w:rFonts w:hint="eastAsia" w:ascii="宋体" w:hAnsi="宋体" w:cs="宋体"/>
          <w:color w:val="000000" w:themeColor="text1"/>
          <w:szCs w:val="21"/>
          <w:highlight w:val="none"/>
          <w14:textFill>
            <w14:solidFill>
              <w14:schemeClr w14:val="tx1"/>
            </w14:solidFill>
          </w14:textFill>
        </w:rPr>
        <w:t>投标人须知前附表。</w:t>
      </w:r>
    </w:p>
    <w:p w14:paraId="46225E84">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618" w:name="_Toc120624178"/>
      <w:bookmarkStart w:id="619" w:name="_Toc14654"/>
      <w:bookmarkStart w:id="620" w:name="_Toc1506"/>
      <w:bookmarkStart w:id="621" w:name="_Toc5530"/>
      <w:bookmarkStart w:id="622" w:name="_Toc4441"/>
      <w:bookmarkStart w:id="623" w:name="_Toc20065"/>
      <w:bookmarkStart w:id="624" w:name="_Toc17718"/>
      <w:bookmarkStart w:id="625" w:name="_Toc98785256"/>
      <w:bookmarkStart w:id="626" w:name="_Toc22638"/>
      <w:bookmarkStart w:id="627" w:name="_Toc14722"/>
      <w:bookmarkStart w:id="628" w:name="_Toc8743"/>
      <w:bookmarkStart w:id="629" w:name="_Toc2057"/>
      <w:bookmarkStart w:id="630" w:name="_Toc118195769"/>
      <w:bookmarkStart w:id="631" w:name="_Toc27501"/>
      <w:bookmarkStart w:id="632" w:name="_Toc1267"/>
      <w:bookmarkStart w:id="633" w:name="_Toc452457669"/>
      <w:bookmarkStart w:id="634" w:name="_Toc119585487"/>
      <w:bookmarkStart w:id="635" w:name="_Toc8263"/>
      <w:bookmarkStart w:id="636" w:name="_Toc18111"/>
      <w:bookmarkStart w:id="637" w:name="_Toc3518"/>
      <w:r>
        <w:rPr>
          <w:rFonts w:ascii="宋体" w:hAnsi="宋体" w:cs="宋体"/>
          <w:b/>
          <w:bCs/>
          <w:color w:val="000000" w:themeColor="text1"/>
          <w:sz w:val="24"/>
          <w:szCs w:val="24"/>
          <w:highlight w:val="none"/>
          <w14:textFill>
            <w14:solidFill>
              <w14:schemeClr w14:val="tx1"/>
            </w14:solidFill>
          </w14:textFill>
        </w:rPr>
        <w:t xml:space="preserve">6. </w:t>
      </w:r>
      <w:r>
        <w:rPr>
          <w:rFonts w:hint="eastAsia" w:ascii="宋体" w:hAnsi="宋体" w:cs="宋体"/>
          <w:b/>
          <w:bCs/>
          <w:color w:val="000000" w:themeColor="text1"/>
          <w:sz w:val="24"/>
          <w:szCs w:val="24"/>
          <w:highlight w:val="none"/>
          <w14:textFill>
            <w14:solidFill>
              <w14:schemeClr w14:val="tx1"/>
            </w14:solidFill>
          </w14:textFill>
        </w:rPr>
        <w:t>评标</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0A87C1A4">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638" w:name="_Toc24704"/>
      <w:bookmarkStart w:id="639" w:name="_Toc8621"/>
      <w:bookmarkStart w:id="640" w:name="_Toc11428"/>
      <w:bookmarkStart w:id="641" w:name="_Toc452457670"/>
      <w:bookmarkStart w:id="642" w:name="_Toc19711"/>
      <w:bookmarkStart w:id="643" w:name="_Toc21763"/>
      <w:bookmarkStart w:id="644" w:name="_Toc118195770"/>
      <w:bookmarkStart w:id="645" w:name="_Toc5899"/>
      <w:r>
        <w:rPr>
          <w:rFonts w:hAnsi="宋体" w:cs="宋体"/>
          <w:b/>
          <w:bCs/>
          <w:color w:val="000000" w:themeColor="text1"/>
          <w:szCs w:val="21"/>
          <w:highlight w:val="none"/>
          <w14:textFill>
            <w14:solidFill>
              <w14:schemeClr w14:val="tx1"/>
            </w14:solidFill>
          </w14:textFill>
        </w:rPr>
        <w:t xml:space="preserve">6.1 </w:t>
      </w:r>
      <w:r>
        <w:rPr>
          <w:rFonts w:hint="eastAsia" w:hAnsi="宋体" w:cs="宋体"/>
          <w:b/>
          <w:bCs/>
          <w:color w:val="000000" w:themeColor="text1"/>
          <w:szCs w:val="21"/>
          <w:highlight w:val="none"/>
          <w14:textFill>
            <w14:solidFill>
              <w14:schemeClr w14:val="tx1"/>
            </w14:solidFill>
          </w14:textFill>
        </w:rPr>
        <w:t>评标委员会</w:t>
      </w:r>
      <w:bookmarkEnd w:id="638"/>
      <w:bookmarkEnd w:id="639"/>
      <w:bookmarkEnd w:id="640"/>
      <w:bookmarkEnd w:id="641"/>
      <w:bookmarkEnd w:id="642"/>
      <w:bookmarkEnd w:id="643"/>
      <w:bookmarkEnd w:id="644"/>
      <w:bookmarkEnd w:id="645"/>
    </w:p>
    <w:p w14:paraId="535F10B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6.1.1 </w:t>
      </w:r>
      <w:r>
        <w:rPr>
          <w:rFonts w:hint="eastAsia" w:ascii="宋体" w:hAnsi="宋体" w:cs="宋体"/>
          <w:color w:val="000000" w:themeColor="text1"/>
          <w:szCs w:val="21"/>
          <w:highlight w:val="none"/>
          <w14:textFill>
            <w14:solidFill>
              <w14:schemeClr w14:val="tx1"/>
            </w14:solidFill>
          </w14:textFill>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6A18540">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6.1.2 </w:t>
      </w:r>
      <w:r>
        <w:rPr>
          <w:rFonts w:hint="eastAsia" w:ascii="宋体" w:hAnsi="宋体" w:cs="宋体"/>
          <w:color w:val="000000" w:themeColor="text1"/>
          <w:szCs w:val="21"/>
          <w:highlight w:val="none"/>
          <w14:textFill>
            <w14:solidFill>
              <w14:schemeClr w14:val="tx1"/>
            </w14:solidFill>
          </w14:textFill>
        </w:rPr>
        <w:t>评标委员会成员有下列情形之一的，应主动提出回避：</w:t>
      </w:r>
    </w:p>
    <w:p w14:paraId="525FD59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(1)为负责招标项目监督管理的交通运输主管部门的工作人员；</w:t>
      </w:r>
    </w:p>
    <w:p w14:paraId="1200782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(2)与投标人法定代表人或其委托代理人有近亲属关系；</w:t>
      </w:r>
    </w:p>
    <w:p w14:paraId="67A17B8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(3)为投标人的工作人员或退休人员；</w:t>
      </w:r>
    </w:p>
    <w:p w14:paraId="2424DB8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(4)与投标人有其他利害关系，可能影响评标活动公正性；</w:t>
      </w:r>
    </w:p>
    <w:p w14:paraId="3E01FFD3">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5</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在与招标投标有关的活动中有过违法违规行为、曾受过行政处罚或者刑事处罚的人员。</w:t>
      </w:r>
    </w:p>
    <w:p w14:paraId="2B246E5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招标人及其子公司、招标人的上级主管部门或者控股公司、招标代理机构的工作人员或者退休人员不得以专家身份参与本单位招标或者招标代理项目的评标。</w:t>
      </w:r>
    </w:p>
    <w:p w14:paraId="6B45319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6.1.3 </w:t>
      </w:r>
      <w:r>
        <w:rPr>
          <w:rFonts w:hint="eastAsia" w:ascii="宋体" w:hAnsi="宋体" w:cs="宋体"/>
          <w:color w:val="000000" w:themeColor="text1"/>
          <w:szCs w:val="21"/>
          <w:highlight w:val="none"/>
          <w14:textFill>
            <w14:solidFill>
              <w14:schemeClr w14:val="tx1"/>
            </w14:solidFill>
          </w14:textFill>
        </w:rPr>
        <w:t>评标过程中，评标委员会成员有回避事由、擅离职守或因健康等原因不能继续评标的，招标人有权更换。被更换的评标委员会成员作出的评审结论无效，由更换后的评标委员会成员重新进行评审。</w:t>
      </w:r>
    </w:p>
    <w:p w14:paraId="62506FE9">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646" w:name="_Toc29743"/>
      <w:bookmarkStart w:id="647" w:name="_Toc452457671"/>
      <w:r>
        <w:rPr>
          <w:rFonts w:hAnsi="宋体" w:cs="宋体"/>
          <w:b/>
          <w:bCs/>
          <w:color w:val="000000" w:themeColor="text1"/>
          <w:szCs w:val="21"/>
          <w:highlight w:val="none"/>
          <w14:textFill>
            <w14:solidFill>
              <w14:schemeClr w14:val="tx1"/>
            </w14:solidFill>
          </w14:textFill>
        </w:rPr>
        <w:t xml:space="preserve">6.2 </w:t>
      </w:r>
      <w:r>
        <w:rPr>
          <w:rFonts w:hint="eastAsia" w:hAnsi="宋体" w:cs="宋体"/>
          <w:b/>
          <w:bCs/>
          <w:color w:val="000000" w:themeColor="text1"/>
          <w:szCs w:val="21"/>
          <w:highlight w:val="none"/>
          <w14:textFill>
            <w14:solidFill>
              <w14:schemeClr w14:val="tx1"/>
            </w14:solidFill>
          </w14:textFill>
        </w:rPr>
        <w:t>评标原则</w:t>
      </w:r>
      <w:bookmarkEnd w:id="646"/>
      <w:bookmarkEnd w:id="647"/>
    </w:p>
    <w:p w14:paraId="507DBE3C">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评标活动遵循公平、公正、科学和择优的原则。</w:t>
      </w:r>
    </w:p>
    <w:p w14:paraId="0D97979B">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648" w:name="_Toc12303"/>
      <w:bookmarkStart w:id="649" w:name="_Toc118195771"/>
      <w:bookmarkStart w:id="650" w:name="_Toc5494"/>
      <w:bookmarkStart w:id="651" w:name="_Toc2392"/>
      <w:bookmarkStart w:id="652" w:name="_Toc860"/>
      <w:bookmarkStart w:id="653" w:name="_Toc2925"/>
      <w:bookmarkStart w:id="654" w:name="_Toc452457672"/>
      <w:bookmarkStart w:id="655" w:name="_Toc23741"/>
      <w:r>
        <w:rPr>
          <w:rFonts w:hAnsi="宋体" w:cs="宋体"/>
          <w:b/>
          <w:bCs/>
          <w:color w:val="000000" w:themeColor="text1"/>
          <w:szCs w:val="21"/>
          <w:highlight w:val="none"/>
          <w14:textFill>
            <w14:solidFill>
              <w14:schemeClr w14:val="tx1"/>
            </w14:solidFill>
          </w14:textFill>
        </w:rPr>
        <w:t xml:space="preserve">6.3 </w:t>
      </w:r>
      <w:r>
        <w:rPr>
          <w:rFonts w:hint="eastAsia" w:hAnsi="宋体" w:cs="宋体"/>
          <w:b/>
          <w:bCs/>
          <w:color w:val="000000" w:themeColor="text1"/>
          <w:szCs w:val="21"/>
          <w:highlight w:val="none"/>
          <w14:textFill>
            <w14:solidFill>
              <w14:schemeClr w14:val="tx1"/>
            </w14:solidFill>
          </w14:textFill>
        </w:rPr>
        <w:t>评标</w:t>
      </w:r>
      <w:bookmarkEnd w:id="648"/>
      <w:bookmarkEnd w:id="649"/>
      <w:bookmarkEnd w:id="650"/>
      <w:bookmarkEnd w:id="651"/>
      <w:bookmarkEnd w:id="652"/>
      <w:bookmarkEnd w:id="653"/>
      <w:bookmarkEnd w:id="654"/>
      <w:bookmarkEnd w:id="655"/>
    </w:p>
    <w:p w14:paraId="6936FCB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6.3.1 </w:t>
      </w:r>
      <w:r>
        <w:rPr>
          <w:rFonts w:hint="eastAsia" w:ascii="宋体" w:hAnsi="宋体" w:cs="宋体"/>
          <w:color w:val="000000" w:themeColor="text1"/>
          <w:szCs w:val="21"/>
          <w:highlight w:val="none"/>
          <w14:textFill>
            <w14:solidFill>
              <w14:schemeClr w14:val="tx1"/>
            </w14:solidFill>
          </w14:textFill>
        </w:rPr>
        <w:t>评标委员会按照第三章“评标办法”规定的方法、评审因素、标准和程序对投标文件进行评审。第三章“评标办法”没有规定的方法、评审因素和标准，不作为评标依据。</w:t>
      </w:r>
    </w:p>
    <w:p w14:paraId="349F451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bookmarkStart w:id="656" w:name="EB083aca0714e544d9aa7bd641ad807fb3"/>
      <w:r>
        <w:rPr>
          <w:rFonts w:ascii="宋体" w:hAnsi="宋体" w:cs="宋体"/>
          <w:color w:val="000000" w:themeColor="text1"/>
          <w:szCs w:val="21"/>
          <w:highlight w:val="none"/>
          <w14:textFill>
            <w14:solidFill>
              <w14:schemeClr w14:val="tx1"/>
            </w14:solidFill>
          </w14:textFill>
        </w:rPr>
        <w:t xml:space="preserve">6.3.2 </w:t>
      </w:r>
      <w:r>
        <w:rPr>
          <w:rFonts w:hint="eastAsia" w:ascii="宋体" w:hAnsi="宋体" w:cs="宋体"/>
          <w:color w:val="000000" w:themeColor="text1"/>
          <w:szCs w:val="21"/>
          <w:highlight w:val="none"/>
          <w14:textFill>
            <w14:solidFill>
              <w14:schemeClr w14:val="tx1"/>
            </w14:solidFill>
          </w14:textFill>
        </w:rPr>
        <w:t>评标完成后，评标委员会应向招标人提交书面评标报告和中标候选人名单。评标委员会推荐中标候选人的人数见投标人须知前附表。</w:t>
      </w:r>
    </w:p>
    <w:p w14:paraId="0337510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6.3.3评标及补救措施 </w:t>
      </w:r>
    </w:p>
    <w:p w14:paraId="12432AC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评标委员会按照本章第</w:t>
      </w:r>
      <w:r>
        <w:rPr>
          <w:rFonts w:ascii="宋体" w:hAnsi="宋体" w:cs="宋体"/>
          <w:color w:val="000000" w:themeColor="text1"/>
          <w:szCs w:val="21"/>
          <w:highlight w:val="none"/>
          <w14:textFill>
            <w14:solidFill>
              <w14:schemeClr w14:val="tx1"/>
            </w14:solidFill>
          </w14:textFill>
        </w:rPr>
        <w:t xml:space="preserve"> 6.3.1 </w:t>
      </w:r>
      <w:r>
        <w:rPr>
          <w:rFonts w:hint="eastAsia" w:ascii="宋体" w:hAnsi="宋体" w:cs="宋体"/>
          <w:color w:val="000000" w:themeColor="text1"/>
          <w:szCs w:val="21"/>
          <w:highlight w:val="none"/>
          <w14:textFill>
            <w14:solidFill>
              <w14:schemeClr w14:val="tx1"/>
            </w14:solidFill>
          </w14:textFill>
        </w:rPr>
        <w:t>项的规定开展评审工作。如果评标过程中出现异常情况，导致无法继续评审工作的，可暂停评标，对原有资料及信息作出妥善保密处理，待恢复正常之后，应重新组织评审。</w:t>
      </w:r>
      <w:bookmarkEnd w:id="656"/>
    </w:p>
    <w:p w14:paraId="5C556C44">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657" w:name="EB8674c9d816a3480b99c9fc8a9a591485"/>
      <w:bookmarkEnd w:id="657"/>
      <w:bookmarkStart w:id="658" w:name="EBd0ea3e2df3ee4deca444e4d9be62cfc1"/>
      <w:bookmarkEnd w:id="658"/>
      <w:bookmarkStart w:id="659" w:name="_Toc10425"/>
      <w:bookmarkStart w:id="660" w:name="_Toc119585488"/>
      <w:bookmarkStart w:id="661" w:name="_Toc118195772"/>
      <w:bookmarkStart w:id="662" w:name="_Toc882"/>
      <w:bookmarkStart w:id="663" w:name="_Toc23094"/>
      <w:bookmarkStart w:id="664" w:name="_Toc3074"/>
      <w:bookmarkStart w:id="665" w:name="_Toc17027"/>
      <w:bookmarkStart w:id="666" w:name="_Toc452457673"/>
      <w:bookmarkStart w:id="667" w:name="_Toc17753"/>
      <w:bookmarkStart w:id="668" w:name="_Toc7923"/>
      <w:bookmarkStart w:id="669" w:name="_Toc5479"/>
      <w:bookmarkStart w:id="670" w:name="_Toc13456"/>
      <w:bookmarkStart w:id="671" w:name="_Toc18067"/>
      <w:bookmarkStart w:id="672" w:name="_Toc26415"/>
      <w:bookmarkStart w:id="673" w:name="_Toc7676"/>
      <w:bookmarkStart w:id="674" w:name="_Toc7686"/>
      <w:bookmarkStart w:id="675" w:name="_Toc120624179"/>
      <w:bookmarkStart w:id="676" w:name="_Toc29099"/>
      <w:bookmarkStart w:id="677" w:name="_Toc98785257"/>
      <w:bookmarkStart w:id="678" w:name="_Toc30131"/>
      <w:r>
        <w:rPr>
          <w:rFonts w:ascii="宋体" w:hAnsi="宋体" w:cs="宋体"/>
          <w:b/>
          <w:bCs/>
          <w:color w:val="000000" w:themeColor="text1"/>
          <w:sz w:val="24"/>
          <w:szCs w:val="24"/>
          <w:highlight w:val="none"/>
          <w14:textFill>
            <w14:solidFill>
              <w14:schemeClr w14:val="tx1"/>
            </w14:solidFill>
          </w14:textFill>
        </w:rPr>
        <w:t xml:space="preserve">7. </w:t>
      </w:r>
      <w:r>
        <w:rPr>
          <w:rFonts w:hint="eastAsia" w:ascii="宋体" w:hAnsi="宋体" w:cs="宋体"/>
          <w:b/>
          <w:bCs/>
          <w:color w:val="000000" w:themeColor="text1"/>
          <w:sz w:val="24"/>
          <w:szCs w:val="24"/>
          <w:highlight w:val="none"/>
          <w14:textFill>
            <w14:solidFill>
              <w14:schemeClr w14:val="tx1"/>
            </w14:solidFill>
          </w14:textFill>
        </w:rPr>
        <w:t>合同授予</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14:paraId="7288F7BC">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679" w:name="_Toc11584"/>
      <w:bookmarkStart w:id="680" w:name="_Toc7976"/>
      <w:bookmarkStart w:id="681" w:name="_Toc32140"/>
      <w:bookmarkStart w:id="682" w:name="_Toc16283"/>
      <w:bookmarkStart w:id="683" w:name="_Toc30132"/>
      <w:bookmarkStart w:id="684" w:name="_Toc118195773"/>
      <w:bookmarkStart w:id="685" w:name="_Toc26744"/>
      <w:bookmarkStart w:id="686" w:name="_Toc452457674"/>
      <w:r>
        <w:rPr>
          <w:rFonts w:hAnsi="宋体" w:cs="宋体"/>
          <w:b/>
          <w:bCs/>
          <w:color w:val="000000" w:themeColor="text1"/>
          <w:szCs w:val="21"/>
          <w:highlight w:val="none"/>
          <w14:textFill>
            <w14:solidFill>
              <w14:schemeClr w14:val="tx1"/>
            </w14:solidFill>
          </w14:textFill>
        </w:rPr>
        <w:t xml:space="preserve">7.1 </w:t>
      </w:r>
      <w:r>
        <w:rPr>
          <w:rFonts w:hint="eastAsia" w:hAnsi="宋体" w:cs="宋体"/>
          <w:b/>
          <w:bCs/>
          <w:color w:val="000000" w:themeColor="text1"/>
          <w:szCs w:val="21"/>
          <w:highlight w:val="none"/>
          <w14:textFill>
            <w14:solidFill>
              <w14:schemeClr w14:val="tx1"/>
            </w14:solidFill>
          </w14:textFill>
        </w:rPr>
        <w:t>中标候选人公示</w:t>
      </w:r>
      <w:bookmarkEnd w:id="679"/>
      <w:bookmarkEnd w:id="680"/>
      <w:bookmarkEnd w:id="681"/>
      <w:bookmarkEnd w:id="682"/>
      <w:bookmarkEnd w:id="683"/>
      <w:bookmarkEnd w:id="684"/>
      <w:bookmarkEnd w:id="685"/>
    </w:p>
    <w:p w14:paraId="14A9435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招标人在收到评标报告之日起</w:t>
      </w:r>
      <w:r>
        <w:rPr>
          <w:rFonts w:ascii="宋体" w:hAnsi="宋体" w:cs="宋体"/>
          <w:color w:val="000000" w:themeColor="text1"/>
          <w:szCs w:val="21"/>
          <w:highlight w:val="non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日内，按照投标人须知前附表规定的公示媒体和期限公示中标候选人，公示期不得少于</w:t>
      </w:r>
      <w:r>
        <w:rPr>
          <w:rFonts w:ascii="宋体" w:hAnsi="宋体" w:cs="宋体"/>
          <w:color w:val="000000" w:themeColor="text1"/>
          <w:szCs w:val="21"/>
          <w:highlight w:val="none"/>
          <w14:textFill>
            <w14:solidFill>
              <w14:schemeClr w14:val="tx1"/>
            </w14:solidFill>
          </w14:textFill>
        </w:rPr>
        <w:t>3日，公示内容见投标人须知前附表。</w:t>
      </w:r>
    </w:p>
    <w:p w14:paraId="764696C2">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687" w:name="_Toc25573"/>
      <w:bookmarkStart w:id="688" w:name="_Toc25259"/>
      <w:bookmarkStart w:id="689" w:name="_Toc14439"/>
      <w:bookmarkStart w:id="690" w:name="_Toc780"/>
      <w:bookmarkStart w:id="691" w:name="_Toc118195774"/>
      <w:bookmarkStart w:id="692" w:name="_Toc12357"/>
      <w:bookmarkStart w:id="693" w:name="_Toc23816"/>
      <w:r>
        <w:rPr>
          <w:rFonts w:hAnsi="宋体" w:cs="宋体"/>
          <w:b/>
          <w:bCs/>
          <w:color w:val="000000" w:themeColor="text1"/>
          <w:szCs w:val="21"/>
          <w:highlight w:val="none"/>
          <w14:textFill>
            <w14:solidFill>
              <w14:schemeClr w14:val="tx1"/>
            </w14:solidFill>
          </w14:textFill>
        </w:rPr>
        <w:t xml:space="preserve">7.2 </w:t>
      </w:r>
      <w:r>
        <w:rPr>
          <w:rFonts w:hint="eastAsia" w:hAnsi="宋体" w:cs="宋体"/>
          <w:b/>
          <w:bCs/>
          <w:color w:val="000000" w:themeColor="text1"/>
          <w:szCs w:val="21"/>
          <w:highlight w:val="none"/>
          <w14:textFill>
            <w14:solidFill>
              <w14:schemeClr w14:val="tx1"/>
            </w14:solidFill>
          </w14:textFill>
        </w:rPr>
        <w:t>评标结果异议</w:t>
      </w:r>
      <w:bookmarkEnd w:id="687"/>
      <w:bookmarkEnd w:id="688"/>
      <w:bookmarkEnd w:id="689"/>
      <w:bookmarkEnd w:id="690"/>
      <w:bookmarkEnd w:id="691"/>
      <w:bookmarkEnd w:id="692"/>
      <w:bookmarkEnd w:id="693"/>
    </w:p>
    <w:p w14:paraId="2D6887D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投标人或者其他利害关系人对依法必须进行招标的项目的评标结果有异议的，应在中标候选人公示期间提出。招标人将在收到异议之日起</w:t>
      </w:r>
      <w:r>
        <w:rPr>
          <w:rFonts w:ascii="宋体" w:hAnsi="宋体" w:cs="宋体"/>
          <w:color w:val="000000" w:themeColor="text1"/>
          <w:szCs w:val="21"/>
          <w:highlight w:val="none"/>
          <w14:textFill>
            <w14:solidFill>
              <w14:schemeClr w14:val="tx1"/>
            </w14:solidFill>
          </w14:textFill>
        </w:rPr>
        <w:t>3日内作出答复；作出答复前，将暂停招标投标活动。</w:t>
      </w:r>
      <w:r>
        <w:rPr>
          <w:rFonts w:hint="eastAsia" w:ascii="宋体" w:hAnsi="宋体" w:cs="宋体"/>
          <w:color w:val="000000" w:themeColor="text1"/>
          <w:highlight w:val="none"/>
          <w14:textFill>
            <w14:solidFill>
              <w14:schemeClr w14:val="tx1"/>
            </w14:solidFill>
          </w14:textFill>
        </w:rPr>
        <w:t>提出异议与作出答复均应以</w:t>
      </w:r>
      <w:r>
        <w:rPr>
          <w:rFonts w:hint="eastAsia"/>
          <w:color w:val="000000" w:themeColor="text1"/>
          <w:highlight w:val="none"/>
          <w14:textFill>
            <w14:solidFill>
              <w14:schemeClr w14:val="tx1"/>
            </w14:solidFill>
          </w14:textFill>
        </w:rPr>
        <w:t>书面形式（包括信函、电报、传真等可以有形地表现所载内容的形式，下同）</w:t>
      </w:r>
      <w:r>
        <w:rPr>
          <w:rFonts w:hint="eastAsia" w:ascii="宋体" w:hAnsi="宋体" w:cs="宋体"/>
          <w:color w:val="000000" w:themeColor="text1"/>
          <w:highlight w:val="none"/>
          <w14:textFill>
            <w14:solidFill>
              <w14:schemeClr w14:val="tx1"/>
            </w14:solidFill>
          </w14:textFill>
        </w:rPr>
        <w:t>进行。</w:t>
      </w:r>
    </w:p>
    <w:p w14:paraId="29AD8B33">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694" w:name="_Toc19740"/>
      <w:bookmarkStart w:id="695" w:name="_Toc20503"/>
      <w:bookmarkStart w:id="696" w:name="_Toc30001"/>
      <w:bookmarkStart w:id="697" w:name="_Toc11600"/>
      <w:bookmarkStart w:id="698" w:name="_Toc24574"/>
      <w:bookmarkStart w:id="699" w:name="_Toc118195775"/>
      <w:bookmarkStart w:id="700" w:name="_Toc17813"/>
      <w:r>
        <w:rPr>
          <w:rFonts w:hAnsi="宋体" w:cs="宋体"/>
          <w:b/>
          <w:bCs/>
          <w:color w:val="000000" w:themeColor="text1"/>
          <w:szCs w:val="21"/>
          <w:highlight w:val="none"/>
          <w14:textFill>
            <w14:solidFill>
              <w14:schemeClr w14:val="tx1"/>
            </w14:solidFill>
          </w14:textFill>
        </w:rPr>
        <w:t xml:space="preserve">7.3 </w:t>
      </w:r>
      <w:r>
        <w:rPr>
          <w:rFonts w:hint="eastAsia" w:hAnsi="宋体" w:cs="宋体"/>
          <w:b/>
          <w:bCs/>
          <w:color w:val="000000" w:themeColor="text1"/>
          <w:szCs w:val="21"/>
          <w:highlight w:val="none"/>
          <w14:textFill>
            <w14:solidFill>
              <w14:schemeClr w14:val="tx1"/>
            </w14:solidFill>
          </w14:textFill>
        </w:rPr>
        <w:t>中标候选人履约能力审查</w:t>
      </w:r>
      <w:bookmarkEnd w:id="694"/>
      <w:bookmarkEnd w:id="695"/>
      <w:bookmarkEnd w:id="696"/>
      <w:bookmarkEnd w:id="697"/>
      <w:bookmarkEnd w:id="698"/>
      <w:bookmarkEnd w:id="699"/>
      <w:bookmarkEnd w:id="700"/>
    </w:p>
    <w:p w14:paraId="445130C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标候选人的经营、财务状况发生较大变化或者存在违法行为，招标人认为可能影响其履约能力的，将在发出中标通知书前报请行政监督部门，由招标人召集原评标委员会按照招标文件规定的标准和方法审查确认。</w:t>
      </w:r>
    </w:p>
    <w:p w14:paraId="0E81B314">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01" w:name="_Toc29911"/>
      <w:bookmarkStart w:id="702" w:name="_Toc10801"/>
      <w:bookmarkStart w:id="703" w:name="_Toc12935"/>
      <w:bookmarkStart w:id="704" w:name="_Toc118195776"/>
      <w:bookmarkStart w:id="705" w:name="_Toc1410"/>
      <w:bookmarkStart w:id="706" w:name="_Toc8563"/>
      <w:bookmarkStart w:id="707" w:name="_Toc31297"/>
      <w:r>
        <w:rPr>
          <w:rFonts w:hAnsi="宋体" w:cs="宋体"/>
          <w:b/>
          <w:bCs/>
          <w:color w:val="000000" w:themeColor="text1"/>
          <w:szCs w:val="21"/>
          <w:highlight w:val="none"/>
          <w14:textFill>
            <w14:solidFill>
              <w14:schemeClr w14:val="tx1"/>
            </w14:solidFill>
          </w14:textFill>
        </w:rPr>
        <w:t xml:space="preserve">7.4 </w:t>
      </w:r>
      <w:r>
        <w:rPr>
          <w:rFonts w:hint="eastAsia" w:hAnsi="宋体" w:cs="宋体"/>
          <w:b/>
          <w:bCs/>
          <w:color w:val="000000" w:themeColor="text1"/>
          <w:szCs w:val="21"/>
          <w:highlight w:val="none"/>
          <w14:textFill>
            <w14:solidFill>
              <w14:schemeClr w14:val="tx1"/>
            </w14:solidFill>
          </w14:textFill>
        </w:rPr>
        <w:t>定标</w:t>
      </w:r>
      <w:bookmarkEnd w:id="686"/>
      <w:bookmarkEnd w:id="701"/>
      <w:bookmarkEnd w:id="702"/>
      <w:bookmarkEnd w:id="703"/>
      <w:bookmarkEnd w:id="704"/>
      <w:bookmarkEnd w:id="705"/>
      <w:bookmarkEnd w:id="706"/>
      <w:bookmarkEnd w:id="707"/>
    </w:p>
    <w:p w14:paraId="5716D84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按照投标人须知前附表的规定，招标人或招标人授权的评标委员会依法确定中标人。</w:t>
      </w:r>
    </w:p>
    <w:p w14:paraId="659903D4">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08" w:name="_Toc3629"/>
      <w:bookmarkStart w:id="709" w:name="_Toc29557"/>
      <w:bookmarkStart w:id="710" w:name="_Toc12299"/>
      <w:bookmarkStart w:id="711" w:name="_Toc26216"/>
      <w:bookmarkStart w:id="712" w:name="_Toc452457675"/>
      <w:bookmarkStart w:id="713" w:name="_Toc201"/>
      <w:bookmarkStart w:id="714" w:name="_Toc118195777"/>
      <w:bookmarkStart w:id="715" w:name="_Toc19519"/>
      <w:r>
        <w:rPr>
          <w:rFonts w:hAnsi="宋体" w:cs="宋体"/>
          <w:b/>
          <w:bCs/>
          <w:color w:val="000000" w:themeColor="text1"/>
          <w:szCs w:val="21"/>
          <w:highlight w:val="none"/>
          <w14:textFill>
            <w14:solidFill>
              <w14:schemeClr w14:val="tx1"/>
            </w14:solidFill>
          </w14:textFill>
        </w:rPr>
        <w:t xml:space="preserve">7.5 </w:t>
      </w:r>
      <w:r>
        <w:rPr>
          <w:rFonts w:hint="eastAsia" w:hAnsi="宋体" w:cs="宋体"/>
          <w:b/>
          <w:bCs/>
          <w:color w:val="000000" w:themeColor="text1"/>
          <w:szCs w:val="21"/>
          <w:highlight w:val="none"/>
          <w14:textFill>
            <w14:solidFill>
              <w14:schemeClr w14:val="tx1"/>
            </w14:solidFill>
          </w14:textFill>
        </w:rPr>
        <w:t>中标通知</w:t>
      </w:r>
      <w:bookmarkEnd w:id="708"/>
      <w:bookmarkEnd w:id="709"/>
      <w:bookmarkEnd w:id="710"/>
      <w:bookmarkEnd w:id="711"/>
      <w:bookmarkEnd w:id="712"/>
      <w:bookmarkEnd w:id="713"/>
      <w:bookmarkEnd w:id="714"/>
      <w:bookmarkEnd w:id="715"/>
    </w:p>
    <w:p w14:paraId="2860844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在本章第</w:t>
      </w:r>
      <w:r>
        <w:rPr>
          <w:rFonts w:ascii="宋体" w:hAnsi="宋体" w:cs="宋体"/>
          <w:color w:val="000000" w:themeColor="text1"/>
          <w:szCs w:val="21"/>
          <w:highlight w:val="none"/>
          <w14:textFill>
            <w14:solidFill>
              <w14:schemeClr w14:val="tx1"/>
            </w14:solidFill>
          </w14:textFill>
        </w:rPr>
        <w:t>3.3款规定的投标有效期内，</w:t>
      </w:r>
      <w:r>
        <w:rPr>
          <w:rFonts w:hint="eastAsia"/>
          <w:color w:val="000000" w:themeColor="text1"/>
          <w:highlight w:val="none"/>
          <w14:textFill>
            <w14:solidFill>
              <w14:schemeClr w14:val="tx1"/>
            </w14:solidFill>
          </w14:textFill>
        </w:rPr>
        <w:t>招标人以书面形式向中标人发出中标通知书，</w:t>
      </w:r>
      <w:r>
        <w:rPr>
          <w:rFonts w:hint="eastAsia" w:ascii="宋体" w:hAnsi="宋体" w:cs="宋体"/>
          <w:color w:val="000000" w:themeColor="text1"/>
          <w:szCs w:val="21"/>
          <w:highlight w:val="none"/>
          <w14:textFill>
            <w14:solidFill>
              <w14:schemeClr w14:val="tx1"/>
            </w14:solidFill>
          </w14:textFill>
        </w:rPr>
        <w:t>同时将中标结果通知未中标的投标人。</w:t>
      </w:r>
    </w:p>
    <w:p w14:paraId="6D6B823F">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16" w:name="_Toc26385"/>
      <w:bookmarkStart w:id="717" w:name="_Toc13445"/>
      <w:bookmarkStart w:id="718" w:name="_Toc1811"/>
      <w:bookmarkStart w:id="719" w:name="_Toc7890"/>
      <w:bookmarkStart w:id="720" w:name="_Toc23458"/>
      <w:bookmarkStart w:id="721" w:name="_Toc14383"/>
      <w:bookmarkStart w:id="722" w:name="_Toc658"/>
      <w:bookmarkStart w:id="723" w:name="_Toc118195768"/>
      <w:bookmarkStart w:id="724" w:name="_Toc17276"/>
      <w:bookmarkStart w:id="725" w:name="_Toc32173"/>
      <w:bookmarkStart w:id="726" w:name="_Toc11976"/>
      <w:bookmarkStart w:id="727" w:name="_Toc1440"/>
      <w:bookmarkStart w:id="728" w:name="_Toc118195778"/>
      <w:bookmarkStart w:id="729" w:name="_Toc32081"/>
      <w:r>
        <w:rPr>
          <w:rFonts w:hAnsi="宋体" w:cs="宋体"/>
          <w:b/>
          <w:bCs/>
          <w:color w:val="000000" w:themeColor="text1"/>
          <w:szCs w:val="21"/>
          <w:highlight w:val="none"/>
          <w14:textFill>
            <w14:solidFill>
              <w14:schemeClr w14:val="tx1"/>
            </w14:solidFill>
          </w14:textFill>
        </w:rPr>
        <w:t xml:space="preserve">5.3 </w:t>
      </w:r>
      <w:r>
        <w:rPr>
          <w:rFonts w:hint="eastAsia" w:hAnsi="宋体" w:cs="宋体"/>
          <w:b/>
          <w:bCs/>
          <w:color w:val="000000" w:themeColor="text1"/>
          <w:szCs w:val="21"/>
          <w:highlight w:val="none"/>
          <w14:textFill>
            <w14:solidFill>
              <w14:schemeClr w14:val="tx1"/>
            </w14:solidFill>
          </w14:textFill>
        </w:rPr>
        <w:t>开标异议</w:t>
      </w:r>
      <w:bookmarkEnd w:id="716"/>
      <w:bookmarkEnd w:id="717"/>
      <w:bookmarkEnd w:id="718"/>
      <w:bookmarkEnd w:id="719"/>
      <w:bookmarkEnd w:id="720"/>
      <w:bookmarkEnd w:id="721"/>
      <w:bookmarkEnd w:id="722"/>
      <w:bookmarkEnd w:id="723"/>
    </w:p>
    <w:p w14:paraId="7AB32B11">
      <w:pPr>
        <w:pStyle w:val="7"/>
        <w:spacing w:line="400" w:lineRule="exact"/>
        <w:ind w:firstLine="420" w:firstLineChars="20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投标人对开标有异议的，应当在开标现场提出，招标人当场作出答复，并制作记录。</w:t>
      </w:r>
      <w:bookmarkStart w:id="730" w:name="EBe2b2093e10fb4da68ea9b5a63f9c83fd"/>
      <w:bookmarkEnd w:id="730"/>
    </w:p>
    <w:p w14:paraId="2215E8F3">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31" w:name="_Toc7024"/>
      <w:r>
        <w:rPr>
          <w:rFonts w:hAnsi="宋体" w:cs="宋体"/>
          <w:b/>
          <w:bCs/>
          <w:color w:val="000000" w:themeColor="text1"/>
          <w:szCs w:val="21"/>
          <w:highlight w:val="none"/>
          <w14:textFill>
            <w14:solidFill>
              <w14:schemeClr w14:val="tx1"/>
            </w14:solidFill>
          </w14:textFill>
        </w:rPr>
        <w:t xml:space="preserve">7.6 </w:t>
      </w:r>
      <w:r>
        <w:rPr>
          <w:rFonts w:hint="eastAsia" w:hAnsi="宋体" w:cs="宋体"/>
          <w:b/>
          <w:bCs/>
          <w:color w:val="000000" w:themeColor="text1"/>
          <w:szCs w:val="21"/>
          <w:highlight w:val="none"/>
          <w14:textFill>
            <w14:solidFill>
              <w14:schemeClr w14:val="tx1"/>
            </w14:solidFill>
          </w14:textFill>
        </w:rPr>
        <w:t>中标结果公告</w:t>
      </w:r>
      <w:bookmarkEnd w:id="724"/>
      <w:bookmarkEnd w:id="725"/>
      <w:bookmarkEnd w:id="726"/>
      <w:bookmarkEnd w:id="727"/>
      <w:bookmarkEnd w:id="728"/>
      <w:bookmarkEnd w:id="729"/>
      <w:bookmarkEnd w:id="731"/>
    </w:p>
    <w:p w14:paraId="17C3072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招标人在确定中标人之日起</w:t>
      </w:r>
      <w:r>
        <w:rPr>
          <w:rFonts w:ascii="宋体" w:hAnsi="宋体" w:cs="宋体"/>
          <w:color w:val="000000" w:themeColor="text1"/>
          <w:szCs w:val="21"/>
          <w:highlight w:val="none"/>
          <w14:textFill>
            <w14:solidFill>
              <w14:schemeClr w14:val="tx1"/>
            </w14:solidFill>
          </w14:textFill>
        </w:rPr>
        <w:t>3日内，按照投标人须知前附表规定的公告媒介和期限公告中标结果，公告期不得少于3日。公告内容包括中标人名称、中标价。</w:t>
      </w:r>
    </w:p>
    <w:p w14:paraId="435096AA">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32" w:name="_Toc452457676"/>
      <w:bookmarkStart w:id="733" w:name="_Toc118195779"/>
      <w:bookmarkStart w:id="734" w:name="_Toc22109"/>
      <w:bookmarkStart w:id="735" w:name="_Toc23415"/>
      <w:bookmarkStart w:id="736" w:name="_Toc23917"/>
      <w:bookmarkStart w:id="737" w:name="_Toc30029"/>
      <w:bookmarkStart w:id="738" w:name="_Toc32344"/>
      <w:bookmarkStart w:id="739" w:name="_Toc22519"/>
      <w:r>
        <w:rPr>
          <w:rFonts w:hAnsi="宋体" w:cs="宋体"/>
          <w:b/>
          <w:bCs/>
          <w:color w:val="000000" w:themeColor="text1"/>
          <w:szCs w:val="21"/>
          <w:highlight w:val="none"/>
          <w14:textFill>
            <w14:solidFill>
              <w14:schemeClr w14:val="tx1"/>
            </w14:solidFill>
          </w14:textFill>
        </w:rPr>
        <w:t xml:space="preserve">7.7 </w:t>
      </w:r>
      <w:bookmarkEnd w:id="732"/>
      <w:r>
        <w:rPr>
          <w:rFonts w:hint="eastAsia" w:hAnsi="宋体" w:cs="宋体"/>
          <w:b/>
          <w:bCs/>
          <w:color w:val="000000" w:themeColor="text1"/>
          <w:szCs w:val="21"/>
          <w:highlight w:val="none"/>
          <w14:textFill>
            <w14:solidFill>
              <w14:schemeClr w14:val="tx1"/>
            </w14:solidFill>
          </w14:textFill>
        </w:rPr>
        <w:t>履约保证金</w:t>
      </w:r>
      <w:bookmarkEnd w:id="733"/>
      <w:bookmarkEnd w:id="734"/>
      <w:bookmarkEnd w:id="735"/>
      <w:bookmarkEnd w:id="736"/>
      <w:bookmarkEnd w:id="737"/>
      <w:bookmarkEnd w:id="738"/>
      <w:bookmarkEnd w:id="739"/>
    </w:p>
    <w:p w14:paraId="2819EB72">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7.7.1 </w:t>
      </w:r>
      <w:r>
        <w:rPr>
          <w:rFonts w:hint="eastAsia" w:ascii="宋体" w:hAnsi="宋体" w:cs="宋体"/>
          <w:color w:val="000000" w:themeColor="text1"/>
          <w:szCs w:val="21"/>
          <w:highlight w:val="none"/>
          <w14:textFill>
            <w14:solidFill>
              <w14:schemeClr w14:val="tx1"/>
            </w14:solidFill>
          </w14:textFill>
        </w:rPr>
        <w:t>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牵头人的名义提交。</w:t>
      </w:r>
    </w:p>
    <w:p w14:paraId="4513B65B">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采用银行保函时，应由符合投标人须知前附表规定级别的银行开具，所需的费用由中标人承担，中标人应保证银行保函有效。</w:t>
      </w:r>
    </w:p>
    <w:p w14:paraId="3D87E40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7.7.2 </w:t>
      </w:r>
      <w:r>
        <w:rPr>
          <w:rFonts w:hint="eastAsia" w:ascii="宋体" w:hAnsi="宋体" w:cs="宋体"/>
          <w:color w:val="000000" w:themeColor="text1"/>
          <w:szCs w:val="21"/>
          <w:highlight w:val="none"/>
          <w14:textFill>
            <w14:solidFill>
              <w14:schemeClr w14:val="tx1"/>
            </w14:solidFill>
          </w14:textFill>
        </w:rPr>
        <w:t>中标人不能按本章第</w:t>
      </w:r>
      <w:r>
        <w:rPr>
          <w:rFonts w:ascii="宋体" w:hAnsi="宋体" w:cs="宋体"/>
          <w:color w:val="000000" w:themeColor="text1"/>
          <w:szCs w:val="21"/>
          <w:highlight w:val="none"/>
          <w14:textFill>
            <w14:solidFill>
              <w14:schemeClr w14:val="tx1"/>
            </w14:solidFill>
          </w14:textFill>
        </w:rPr>
        <w:t>7.7.1项要求提交履约保证金的，视为放弃中标，其投标保证金及同</w:t>
      </w:r>
      <w:r>
        <w:rPr>
          <w:rFonts w:hint="eastAsia" w:ascii="宋体" w:hAnsi="宋体" w:cs="宋体"/>
          <w:color w:val="000000" w:themeColor="text1"/>
          <w:szCs w:val="21"/>
          <w:highlight w:val="none"/>
          <w14:textFill>
            <w14:solidFill>
              <w14:schemeClr w14:val="tx1"/>
            </w14:solidFill>
          </w14:textFill>
        </w:rPr>
        <w:t>期银行存款利息不予退还，给招标人造成的损失超过投标保证金数额及同期银行存款利息的，中标人还应当对超过部分予以赔偿。</w:t>
      </w:r>
    </w:p>
    <w:p w14:paraId="769E1321">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40" w:name="_Toc12005"/>
      <w:bookmarkStart w:id="741" w:name="_Toc16314"/>
      <w:bookmarkStart w:id="742" w:name="_Toc31353"/>
      <w:bookmarkStart w:id="743" w:name="_Toc27183"/>
      <w:bookmarkStart w:id="744" w:name="_Toc18046"/>
      <w:bookmarkStart w:id="745" w:name="_Toc28844"/>
      <w:bookmarkStart w:id="746" w:name="_Toc118195780"/>
      <w:bookmarkStart w:id="747" w:name="_Toc452457677"/>
      <w:r>
        <w:rPr>
          <w:rFonts w:hAnsi="宋体" w:cs="宋体"/>
          <w:b/>
          <w:bCs/>
          <w:color w:val="000000" w:themeColor="text1"/>
          <w:szCs w:val="21"/>
          <w:highlight w:val="none"/>
          <w14:textFill>
            <w14:solidFill>
              <w14:schemeClr w14:val="tx1"/>
            </w14:solidFill>
          </w14:textFill>
        </w:rPr>
        <w:t xml:space="preserve">7.8 </w:t>
      </w:r>
      <w:r>
        <w:rPr>
          <w:rFonts w:hint="eastAsia" w:hAnsi="宋体" w:cs="宋体"/>
          <w:b/>
          <w:bCs/>
          <w:color w:val="000000" w:themeColor="text1"/>
          <w:szCs w:val="21"/>
          <w:highlight w:val="none"/>
          <w14:textFill>
            <w14:solidFill>
              <w14:schemeClr w14:val="tx1"/>
            </w14:solidFill>
          </w14:textFill>
        </w:rPr>
        <w:t>签订合同</w:t>
      </w:r>
      <w:bookmarkEnd w:id="740"/>
      <w:bookmarkEnd w:id="741"/>
      <w:bookmarkEnd w:id="742"/>
      <w:bookmarkEnd w:id="743"/>
      <w:bookmarkEnd w:id="744"/>
      <w:bookmarkEnd w:id="745"/>
      <w:bookmarkEnd w:id="746"/>
      <w:bookmarkEnd w:id="747"/>
    </w:p>
    <w:p w14:paraId="3DD5088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7.8.1 </w:t>
      </w:r>
      <w:r>
        <w:rPr>
          <w:rFonts w:hint="eastAsia" w:ascii="宋体" w:hAnsi="宋体" w:cs="宋体"/>
          <w:color w:val="000000" w:themeColor="text1"/>
          <w:szCs w:val="21"/>
          <w:highlight w:val="none"/>
          <w14:textFill>
            <w14:solidFill>
              <w14:schemeClr w14:val="tx1"/>
            </w14:solidFill>
          </w14:textFill>
        </w:rPr>
        <w:t>招标人和中标人应当自中标通知书发出之日起</w:t>
      </w:r>
      <w:r>
        <w:rPr>
          <w:rFonts w:ascii="宋体" w:hAnsi="宋体" w:cs="宋体"/>
          <w:color w:val="000000" w:themeColor="text1"/>
          <w:szCs w:val="21"/>
          <w:highlight w:val="none"/>
          <w14:textFill>
            <w14:solidFill>
              <w14:schemeClr w14:val="tx1"/>
            </w14:solidFill>
          </w14:textFill>
        </w:rPr>
        <w:t>30日内，根据招标文件和中标人的投标文件订立书面合同。中标人无正当理由拒签合同的，在签订合同时向招标人提出附加条件，或不能按照招标文件要求提交履约保证金的，招标人取消其中标资格，其投标保证金及同期银行存款利息不予退还；给招标人造成的损失超过投标保证金及同期银行存款利息数额的，中标人还应当对超过部分予以赔偿。</w:t>
      </w:r>
    </w:p>
    <w:p w14:paraId="7CC0D4F4">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7.8.2 </w:t>
      </w:r>
      <w:r>
        <w:rPr>
          <w:rFonts w:hint="eastAsia" w:ascii="宋体" w:hAnsi="宋体" w:cs="宋体"/>
          <w:color w:val="000000" w:themeColor="text1"/>
          <w:szCs w:val="21"/>
          <w:highlight w:val="none"/>
          <w14:textFill>
            <w14:solidFill>
              <w14:schemeClr w14:val="tx1"/>
            </w14:solidFill>
          </w14:textFill>
        </w:rPr>
        <w:t>发出中标通知书后，招标人无正当理由拒签合同，或在签订合同时向中标人提出附加条件的，招标人向中标人退还投标保证金及同期银行存款利息；给中标人造成损失的，还应当赔偿损失。</w:t>
      </w:r>
    </w:p>
    <w:p w14:paraId="51D386C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7.8.3签约合同价的确定原则如下：</w:t>
      </w:r>
    </w:p>
    <w:p w14:paraId="5E51E36B">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(1)按照评标办法规定对投标报价进行修正后，若修正后的最终投标报价小于开标时的投标函大写金额报价，则签订合同时以修正后的最终投标报价为准；</w:t>
      </w:r>
    </w:p>
    <w:p w14:paraId="5222C51C">
      <w:pPr>
        <w:pStyle w:val="7"/>
        <w:spacing w:line="4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(2)按照评标办法规定对投标报价进行修正后，若修正后的最终投标报价大于开标时的投标函大写金额报价，则签订合同时以开标时的投标函大写金额报价为准，同时按比例修正相应子目的单价或合价。</w:t>
      </w:r>
    </w:p>
    <w:p w14:paraId="0F3AE599">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7.8.4 </w:t>
      </w:r>
      <w:r>
        <w:rPr>
          <w:rFonts w:hint="eastAsia" w:ascii="宋体" w:hAnsi="宋体" w:cs="宋体"/>
          <w:color w:val="000000" w:themeColor="text1"/>
          <w:szCs w:val="21"/>
          <w:highlight w:val="none"/>
          <w14:textFill>
            <w14:solidFill>
              <w14:schemeClr w14:val="tx1"/>
            </w14:solidFill>
          </w14:textFill>
        </w:rPr>
        <w:t>联合体中标的，联合体各方应共同与招标人签订合同，就中标项目向招标人承担连带责任。</w:t>
      </w:r>
    </w:p>
    <w:p w14:paraId="4FD20D5E">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7.8.5 </w:t>
      </w:r>
      <w:r>
        <w:rPr>
          <w:rFonts w:hint="eastAsia" w:ascii="宋体" w:hAnsi="宋体" w:cs="宋体"/>
          <w:color w:val="000000" w:themeColor="text1"/>
          <w:szCs w:val="21"/>
          <w:highlight w:val="none"/>
          <w14:textFill>
            <w14:solidFill>
              <w14:schemeClr w14:val="tx1"/>
            </w14:solidFill>
          </w14:textFill>
        </w:rPr>
        <w:t>招标人和中标人在签订合同协议书的同时，须按照本招标文件规定的格式和要求签订廉政合同、安全生产合同、工程质量责任合同和工程资金监管协议，明确双方在廉政建设、安全生产、工程质量和工程资金监管方面的权利和义务以及应承担的违约责任。</w:t>
      </w:r>
    </w:p>
    <w:p w14:paraId="0DDDF2BF">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7.8.6 </w:t>
      </w:r>
      <w:r>
        <w:rPr>
          <w:rFonts w:hint="eastAsia" w:ascii="宋体" w:hAnsi="宋体" w:cs="宋体"/>
          <w:color w:val="000000" w:themeColor="text1"/>
          <w:szCs w:val="21"/>
          <w:highlight w:val="none"/>
          <w14:textFill>
            <w14:solidFill>
              <w14:schemeClr w14:val="tx1"/>
            </w14:solidFill>
          </w14:textFill>
        </w:rPr>
        <w:t>在签订合同协议书的同时，中标人应签署项目图纸资料和保密承诺书。</w:t>
      </w:r>
    </w:p>
    <w:p w14:paraId="0C1E6CC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7.8.7 </w:t>
      </w:r>
      <w:r>
        <w:rPr>
          <w:rFonts w:hint="eastAsia" w:ascii="宋体" w:hAnsi="宋体" w:cs="宋体"/>
          <w:color w:val="000000" w:themeColor="text1"/>
          <w:szCs w:val="21"/>
          <w:highlight w:val="none"/>
          <w14:textFill>
            <w14:solidFill>
              <w14:schemeClr w14:val="tx1"/>
            </w14:solidFill>
          </w14:textFill>
        </w:rPr>
        <w:t>排名第一的中标候选人放弃中标、因不可抗力提出不能履行合同、不按照招标文件的要求提交履约保证金，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p>
    <w:p w14:paraId="3863CDCF">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748" w:name="EB8656d5be54b64815b1790afbcb240fa6"/>
      <w:bookmarkEnd w:id="748"/>
      <w:bookmarkStart w:id="749" w:name="EB5490f1f2f3114715a358059518329d4c"/>
      <w:bookmarkEnd w:id="749"/>
      <w:bookmarkStart w:id="750" w:name="_Toc27547"/>
      <w:bookmarkStart w:id="751" w:name="_Toc29553"/>
      <w:bookmarkStart w:id="752" w:name="_Toc120624180"/>
      <w:bookmarkStart w:id="753" w:name="_Toc32330"/>
      <w:bookmarkStart w:id="754" w:name="_Toc9570"/>
      <w:bookmarkStart w:id="755" w:name="_Toc19308"/>
      <w:bookmarkStart w:id="756" w:name="_Toc16747"/>
      <w:bookmarkStart w:id="757" w:name="_Toc452457681"/>
      <w:bookmarkStart w:id="758" w:name="_Toc29115"/>
      <w:bookmarkStart w:id="759" w:name="_Toc16968"/>
      <w:bookmarkStart w:id="760" w:name="_Toc18534"/>
      <w:bookmarkStart w:id="761" w:name="_Toc2817"/>
      <w:bookmarkStart w:id="762" w:name="_Toc98785258"/>
      <w:bookmarkStart w:id="763" w:name="_Toc25688"/>
      <w:bookmarkStart w:id="764" w:name="_Toc3609"/>
      <w:bookmarkStart w:id="765" w:name="_Toc15578"/>
      <w:bookmarkStart w:id="766" w:name="_Toc118195781"/>
      <w:bookmarkStart w:id="767" w:name="_Toc119585489"/>
      <w:bookmarkStart w:id="768" w:name="_Toc15079"/>
      <w:bookmarkStart w:id="769" w:name="_Toc29207"/>
      <w:r>
        <w:rPr>
          <w:rFonts w:ascii="宋体" w:hAnsi="宋体" w:cs="宋体"/>
          <w:b/>
          <w:bCs/>
          <w:color w:val="000000" w:themeColor="text1"/>
          <w:sz w:val="24"/>
          <w:szCs w:val="24"/>
          <w:highlight w:val="none"/>
          <w14:textFill>
            <w14:solidFill>
              <w14:schemeClr w14:val="tx1"/>
            </w14:solidFill>
          </w14:textFill>
        </w:rPr>
        <w:t xml:space="preserve">8. </w:t>
      </w:r>
      <w:r>
        <w:rPr>
          <w:rFonts w:hint="eastAsia" w:ascii="宋体" w:hAnsi="宋体" w:cs="宋体"/>
          <w:b/>
          <w:bCs/>
          <w:color w:val="000000" w:themeColor="text1"/>
          <w:sz w:val="24"/>
          <w:szCs w:val="24"/>
          <w:highlight w:val="none"/>
          <w14:textFill>
            <w14:solidFill>
              <w14:schemeClr w14:val="tx1"/>
            </w14:solidFill>
          </w14:textFill>
        </w:rPr>
        <w:t>纪律和监督</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14:paraId="18969FB7">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70" w:name="_Toc25754"/>
      <w:bookmarkStart w:id="771" w:name="_Toc12565"/>
      <w:bookmarkStart w:id="772" w:name="_Toc118195782"/>
      <w:bookmarkStart w:id="773" w:name="_Toc1573"/>
      <w:bookmarkStart w:id="774" w:name="_Toc24668"/>
      <w:bookmarkStart w:id="775" w:name="_Toc17140"/>
      <w:bookmarkStart w:id="776" w:name="_Toc6292"/>
      <w:bookmarkStart w:id="777" w:name="_Toc452457682"/>
      <w:r>
        <w:rPr>
          <w:rFonts w:hAnsi="宋体" w:cs="宋体"/>
          <w:b/>
          <w:bCs/>
          <w:color w:val="000000" w:themeColor="text1"/>
          <w:szCs w:val="21"/>
          <w:highlight w:val="none"/>
          <w14:textFill>
            <w14:solidFill>
              <w14:schemeClr w14:val="tx1"/>
            </w14:solidFill>
          </w14:textFill>
        </w:rPr>
        <w:t xml:space="preserve">8.1 </w:t>
      </w:r>
      <w:r>
        <w:rPr>
          <w:rFonts w:hint="eastAsia" w:hAnsi="宋体" w:cs="宋体"/>
          <w:b/>
          <w:bCs/>
          <w:color w:val="000000" w:themeColor="text1"/>
          <w:szCs w:val="21"/>
          <w:highlight w:val="none"/>
          <w14:textFill>
            <w14:solidFill>
              <w14:schemeClr w14:val="tx1"/>
            </w14:solidFill>
          </w14:textFill>
        </w:rPr>
        <w:t>对招标人的纪律要求</w:t>
      </w:r>
      <w:bookmarkEnd w:id="770"/>
      <w:bookmarkEnd w:id="771"/>
      <w:bookmarkEnd w:id="772"/>
      <w:bookmarkEnd w:id="773"/>
      <w:bookmarkEnd w:id="774"/>
      <w:bookmarkEnd w:id="775"/>
      <w:bookmarkEnd w:id="776"/>
      <w:bookmarkEnd w:id="777"/>
    </w:p>
    <w:p w14:paraId="5CB93F4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招标人不得泄漏招标投标活动中应当保密的情况和资料，不得与投标人串通损害国家利益、社会公共利益或他人合法权益。</w:t>
      </w:r>
    </w:p>
    <w:p w14:paraId="1AB1AAA2">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78" w:name="_Toc16732"/>
      <w:bookmarkStart w:id="779" w:name="_Toc118195783"/>
      <w:bookmarkStart w:id="780" w:name="_Toc587"/>
      <w:bookmarkStart w:id="781" w:name="_Toc18669"/>
      <w:bookmarkStart w:id="782" w:name="_Toc28554"/>
      <w:bookmarkStart w:id="783" w:name="_Toc2309"/>
      <w:bookmarkStart w:id="784" w:name="_Toc452457683"/>
      <w:bookmarkStart w:id="785" w:name="_Toc9079"/>
      <w:r>
        <w:rPr>
          <w:rFonts w:hAnsi="宋体" w:cs="宋体"/>
          <w:b/>
          <w:bCs/>
          <w:color w:val="000000" w:themeColor="text1"/>
          <w:szCs w:val="21"/>
          <w:highlight w:val="none"/>
          <w14:textFill>
            <w14:solidFill>
              <w14:schemeClr w14:val="tx1"/>
            </w14:solidFill>
          </w14:textFill>
        </w:rPr>
        <w:t xml:space="preserve">8.2 </w:t>
      </w:r>
      <w:r>
        <w:rPr>
          <w:rFonts w:hint="eastAsia" w:hAnsi="宋体" w:cs="宋体"/>
          <w:b/>
          <w:bCs/>
          <w:color w:val="000000" w:themeColor="text1"/>
          <w:szCs w:val="21"/>
          <w:highlight w:val="none"/>
          <w14:textFill>
            <w14:solidFill>
              <w14:schemeClr w14:val="tx1"/>
            </w14:solidFill>
          </w14:textFill>
        </w:rPr>
        <w:t>对投标人的纪律要求</w:t>
      </w:r>
      <w:bookmarkEnd w:id="778"/>
      <w:bookmarkEnd w:id="779"/>
      <w:bookmarkEnd w:id="780"/>
      <w:bookmarkEnd w:id="781"/>
      <w:bookmarkEnd w:id="782"/>
      <w:bookmarkEnd w:id="783"/>
      <w:bookmarkEnd w:id="784"/>
      <w:bookmarkEnd w:id="785"/>
    </w:p>
    <w:p w14:paraId="69D9A4E8">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3620318">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86" w:name="_Toc24415"/>
      <w:bookmarkStart w:id="787" w:name="_Toc118195784"/>
      <w:bookmarkStart w:id="788" w:name="_Toc452457684"/>
      <w:bookmarkStart w:id="789" w:name="_Toc17958"/>
      <w:bookmarkStart w:id="790" w:name="_Toc10291"/>
      <w:bookmarkStart w:id="791" w:name="_Toc10210"/>
      <w:bookmarkStart w:id="792" w:name="_Toc29784"/>
      <w:bookmarkStart w:id="793" w:name="_Toc10932"/>
      <w:r>
        <w:rPr>
          <w:rFonts w:hAnsi="宋体" w:cs="宋体"/>
          <w:b/>
          <w:bCs/>
          <w:color w:val="000000" w:themeColor="text1"/>
          <w:szCs w:val="21"/>
          <w:highlight w:val="none"/>
          <w14:textFill>
            <w14:solidFill>
              <w14:schemeClr w14:val="tx1"/>
            </w14:solidFill>
          </w14:textFill>
        </w:rPr>
        <w:t xml:space="preserve">8.3 </w:t>
      </w:r>
      <w:r>
        <w:rPr>
          <w:rFonts w:hint="eastAsia" w:hAnsi="宋体" w:cs="宋体"/>
          <w:b/>
          <w:bCs/>
          <w:color w:val="000000" w:themeColor="text1"/>
          <w:szCs w:val="21"/>
          <w:highlight w:val="none"/>
          <w14:textFill>
            <w14:solidFill>
              <w14:schemeClr w14:val="tx1"/>
            </w14:solidFill>
          </w14:textFill>
        </w:rPr>
        <w:t>对评标委员会成员的纪律要求</w:t>
      </w:r>
      <w:bookmarkEnd w:id="786"/>
      <w:bookmarkEnd w:id="787"/>
      <w:bookmarkEnd w:id="788"/>
      <w:bookmarkEnd w:id="789"/>
      <w:bookmarkEnd w:id="790"/>
      <w:bookmarkEnd w:id="791"/>
      <w:bookmarkEnd w:id="792"/>
      <w:bookmarkEnd w:id="793"/>
    </w:p>
    <w:p w14:paraId="45C0837A">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5754280B">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794" w:name="_Toc118195785"/>
      <w:bookmarkStart w:id="795" w:name="_Toc452457685"/>
      <w:bookmarkStart w:id="796" w:name="_Toc28914"/>
      <w:bookmarkStart w:id="797" w:name="_Toc30034"/>
      <w:bookmarkStart w:id="798" w:name="_Toc25865"/>
      <w:bookmarkStart w:id="799" w:name="_Toc24249"/>
      <w:bookmarkStart w:id="800" w:name="_Toc23529"/>
      <w:bookmarkStart w:id="801" w:name="_Toc29015"/>
      <w:r>
        <w:rPr>
          <w:rFonts w:hAnsi="宋体" w:cs="宋体"/>
          <w:b/>
          <w:bCs/>
          <w:color w:val="000000" w:themeColor="text1"/>
          <w:szCs w:val="21"/>
          <w:highlight w:val="none"/>
          <w14:textFill>
            <w14:solidFill>
              <w14:schemeClr w14:val="tx1"/>
            </w14:solidFill>
          </w14:textFill>
        </w:rPr>
        <w:t xml:space="preserve">8.4 </w:t>
      </w:r>
      <w:r>
        <w:rPr>
          <w:rFonts w:hint="eastAsia" w:hAnsi="宋体" w:cs="宋体"/>
          <w:b/>
          <w:bCs/>
          <w:color w:val="000000" w:themeColor="text1"/>
          <w:szCs w:val="21"/>
          <w:highlight w:val="none"/>
          <w14:textFill>
            <w14:solidFill>
              <w14:schemeClr w14:val="tx1"/>
            </w14:solidFill>
          </w14:textFill>
        </w:rPr>
        <w:t>对与评标活动有关的工作人员的纪律要求</w:t>
      </w:r>
      <w:bookmarkEnd w:id="794"/>
      <w:bookmarkEnd w:id="795"/>
      <w:bookmarkEnd w:id="796"/>
      <w:bookmarkEnd w:id="797"/>
      <w:bookmarkEnd w:id="798"/>
      <w:bookmarkEnd w:id="799"/>
      <w:bookmarkEnd w:id="800"/>
      <w:bookmarkEnd w:id="801"/>
    </w:p>
    <w:p w14:paraId="71E3DEC1">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00CE962">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802" w:name="_Toc31053"/>
      <w:bookmarkStart w:id="803" w:name="_Toc14216"/>
      <w:bookmarkStart w:id="804" w:name="_Toc118195786"/>
      <w:bookmarkStart w:id="805" w:name="_Toc452457686"/>
      <w:bookmarkStart w:id="806" w:name="_Toc16207"/>
      <w:bookmarkStart w:id="807" w:name="_Toc119585490"/>
      <w:bookmarkStart w:id="808" w:name="_Toc14511"/>
      <w:bookmarkStart w:id="809" w:name="_Toc13152"/>
      <w:bookmarkStart w:id="810" w:name="_Toc27247"/>
      <w:bookmarkStart w:id="811" w:name="_Toc25220"/>
      <w:r>
        <w:rPr>
          <w:rFonts w:hAnsi="宋体" w:cs="宋体"/>
          <w:b/>
          <w:bCs/>
          <w:color w:val="000000" w:themeColor="text1"/>
          <w:szCs w:val="21"/>
          <w:highlight w:val="none"/>
          <w14:textFill>
            <w14:solidFill>
              <w14:schemeClr w14:val="tx1"/>
            </w14:solidFill>
          </w14:textFill>
        </w:rPr>
        <w:t xml:space="preserve">8.5 </w:t>
      </w:r>
      <w:r>
        <w:rPr>
          <w:rFonts w:hint="eastAsia" w:hAnsi="宋体" w:cs="宋体"/>
          <w:b/>
          <w:bCs/>
          <w:color w:val="000000" w:themeColor="text1"/>
          <w:szCs w:val="21"/>
          <w:highlight w:val="none"/>
          <w14:textFill>
            <w14:solidFill>
              <w14:schemeClr w14:val="tx1"/>
            </w14:solidFill>
          </w14:textFill>
        </w:rPr>
        <w:t>投诉</w:t>
      </w:r>
      <w:bookmarkEnd w:id="802"/>
      <w:bookmarkEnd w:id="803"/>
      <w:bookmarkEnd w:id="804"/>
      <w:bookmarkEnd w:id="805"/>
      <w:bookmarkEnd w:id="806"/>
      <w:bookmarkEnd w:id="807"/>
      <w:bookmarkEnd w:id="808"/>
      <w:bookmarkEnd w:id="809"/>
      <w:bookmarkEnd w:id="810"/>
      <w:bookmarkEnd w:id="811"/>
    </w:p>
    <w:p w14:paraId="743DE343">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8.5.1 </w:t>
      </w:r>
      <w:r>
        <w:rPr>
          <w:rFonts w:hint="eastAsia" w:ascii="宋体" w:hAnsi="宋体" w:cs="宋体"/>
          <w:color w:val="000000" w:themeColor="text1"/>
          <w:szCs w:val="21"/>
          <w:highlight w:val="none"/>
          <w14:textFill>
            <w14:solidFill>
              <w14:schemeClr w14:val="tx1"/>
            </w14:solidFill>
          </w14:textFill>
        </w:rPr>
        <w:t>招标人逾期未答复异议事项，或者潜在投标人或其他利害关系人对招标人的答复不满意，或者潜在投标人或其他利害关系人认为本次招标活动违反法律、法规和规章规定的，投标人或其他利害关系人可以自知道或应当知道之日起</w:t>
      </w:r>
      <w:r>
        <w:rPr>
          <w:rFonts w:ascii="宋体" w:hAnsi="宋体" w:cs="宋体"/>
          <w:color w:val="000000" w:themeColor="text1"/>
          <w:szCs w:val="21"/>
          <w:highlight w:val="none"/>
          <w14:textFill>
            <w14:solidFill>
              <w14:schemeClr w14:val="tx1"/>
            </w14:solidFill>
          </w14:textFill>
        </w:rPr>
        <w:t>10日内向有关行政监督部门投诉。投诉应按《中华人民共和国招标投标法实施条例》、《工程建设项目招标投标活动投诉处理办法》（国家七部委令2004年第11号）及《关于废止和修改部分招标投标规章和规范性文件的决定》（国家发改委等九部委令2013年第23号）办理。</w:t>
      </w:r>
    </w:p>
    <w:p w14:paraId="3AE6232A">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上述时限最后一日如遇国家法定休假日的，顺延至法定休假日后的第一个工作日。</w:t>
      </w:r>
    </w:p>
    <w:p w14:paraId="7D63D01C">
      <w:pPr>
        <w:pStyle w:val="7"/>
        <w:spacing w:line="400" w:lineRule="exact"/>
        <w:ind w:firstLine="42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监督部门的联系方式见投标人须知前附表。</w:t>
      </w:r>
      <w:bookmarkStart w:id="812" w:name="EB6fb229df8b21495b90a4b2310fca5afe"/>
      <w:bookmarkEnd w:id="812"/>
    </w:p>
    <w:p w14:paraId="3445C54C">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8.5.2 </w:t>
      </w:r>
      <w:r>
        <w:rPr>
          <w:rFonts w:hint="eastAsia" w:ascii="宋体" w:hAnsi="宋体" w:cs="宋体"/>
          <w:color w:val="000000" w:themeColor="text1"/>
          <w:szCs w:val="21"/>
          <w:highlight w:val="none"/>
          <w14:textFill>
            <w14:solidFill>
              <w14:schemeClr w14:val="tx1"/>
            </w14:solidFill>
          </w14:textFill>
        </w:rPr>
        <w:t>投标人或其他利害关系人对招标文件、开标和评标结果提出投诉的，应按照本章第</w:t>
      </w:r>
      <w:r>
        <w:rPr>
          <w:rFonts w:ascii="宋体" w:hAnsi="宋体" w:cs="宋体"/>
          <w:color w:val="000000" w:themeColor="text1"/>
          <w:szCs w:val="21"/>
          <w:highlight w:val="none"/>
          <w14:textFill>
            <w14:solidFill>
              <w14:schemeClr w14:val="tx1"/>
            </w14:solidFill>
          </w14:textFill>
        </w:rPr>
        <w:t>2.4款、第5.3款和第7.2款的规定先向招标人提出异议。异议答复期间不计算在第8.5.1项规定的期限内。</w:t>
      </w:r>
    </w:p>
    <w:p w14:paraId="3E92E602">
      <w:pPr>
        <w:pStyle w:val="7"/>
        <w:spacing w:before="120" w:after="120" w:line="440" w:lineRule="exact"/>
        <w:jc w:val="left"/>
        <w:outlineLvl w:val="1"/>
        <w:rPr>
          <w:rFonts w:ascii="宋体" w:hAnsi="宋体" w:cs="宋体"/>
          <w:b/>
          <w:bCs/>
          <w:color w:val="000000" w:themeColor="text1"/>
          <w:sz w:val="24"/>
          <w:szCs w:val="24"/>
          <w:highlight w:val="none"/>
          <w14:textFill>
            <w14:solidFill>
              <w14:schemeClr w14:val="tx1"/>
            </w14:solidFill>
          </w14:textFill>
        </w:rPr>
      </w:pPr>
      <w:bookmarkStart w:id="813" w:name="_Toc98785259"/>
      <w:bookmarkStart w:id="814" w:name="_Toc24590"/>
      <w:bookmarkStart w:id="815" w:name="_Toc13531"/>
      <w:bookmarkStart w:id="816" w:name="_Toc120624181"/>
      <w:bookmarkStart w:id="817" w:name="_Toc23424"/>
      <w:bookmarkStart w:id="818" w:name="_Toc16832"/>
      <w:bookmarkStart w:id="819" w:name="_Toc5188"/>
      <w:bookmarkStart w:id="820" w:name="_Toc28916"/>
      <w:bookmarkStart w:id="821" w:name="_Toc452457687"/>
      <w:bookmarkStart w:id="822" w:name="_Toc118195787"/>
      <w:bookmarkStart w:id="823" w:name="_Toc4267"/>
      <w:bookmarkStart w:id="824" w:name="_Toc17355"/>
      <w:bookmarkStart w:id="825" w:name="_Toc15215"/>
      <w:bookmarkStart w:id="826" w:name="_Toc32557"/>
      <w:bookmarkStart w:id="827" w:name="_Toc27494"/>
      <w:bookmarkStart w:id="828" w:name="_Toc23304"/>
      <w:bookmarkStart w:id="829" w:name="_Toc26838"/>
      <w:bookmarkStart w:id="830" w:name="_Toc28420"/>
      <w:bookmarkStart w:id="831" w:name="_Toc119585491"/>
      <w:bookmarkStart w:id="832" w:name="_Toc28732"/>
      <w:r>
        <w:rPr>
          <w:rFonts w:ascii="宋体" w:hAnsi="宋体" w:cs="宋体"/>
          <w:b/>
          <w:bCs/>
          <w:color w:val="000000" w:themeColor="text1"/>
          <w:sz w:val="24"/>
          <w:szCs w:val="24"/>
          <w:highlight w:val="none"/>
          <w14:textFill>
            <w14:solidFill>
              <w14:schemeClr w14:val="tx1"/>
            </w14:solidFill>
          </w14:textFill>
        </w:rPr>
        <w:t xml:space="preserve">9. </w:t>
      </w:r>
      <w:r>
        <w:rPr>
          <w:rFonts w:hint="eastAsia" w:ascii="宋体" w:hAnsi="宋体" w:cs="宋体"/>
          <w:b/>
          <w:bCs/>
          <w:color w:val="000000" w:themeColor="text1"/>
          <w:sz w:val="24"/>
          <w:szCs w:val="24"/>
          <w:highlight w:val="none"/>
          <w14:textFill>
            <w14:solidFill>
              <w14:schemeClr w14:val="tx1"/>
            </w14:solidFill>
          </w14:textFill>
        </w:rPr>
        <w:t>需要补充的其他内容</w:t>
      </w:r>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194E99CD">
      <w:pPr>
        <w:pStyle w:val="7"/>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9.1自获取招标文件之日起，投标人应自行关注“电子交易平台”，以便及时收到招标人发出的函件（招标文件的澄清、修改等），投标文件递交后应保证其提供的联系方式（电话、传真、电子邮件）一直有效并应及时向招标人反馈信息，否则招标人不承担由此引起的一切后果。</w:t>
      </w:r>
    </w:p>
    <w:p w14:paraId="0B1D342E">
      <w:pPr>
        <w:pStyle w:val="34"/>
        <w:spacing w:line="400" w:lineRule="exact"/>
        <w:ind w:firstLine="422"/>
        <w:jc w:val="left"/>
        <w:outlineLvl w:val="2"/>
        <w:rPr>
          <w:rFonts w:hAnsi="宋体" w:cs="宋体"/>
          <w:b/>
          <w:bCs/>
          <w:color w:val="000000" w:themeColor="text1"/>
          <w:szCs w:val="21"/>
          <w:highlight w:val="none"/>
          <w14:textFill>
            <w14:solidFill>
              <w14:schemeClr w14:val="tx1"/>
            </w14:solidFill>
          </w14:textFill>
        </w:rPr>
      </w:pPr>
      <w:bookmarkStart w:id="833" w:name="_Toc25897"/>
      <w:r>
        <w:rPr>
          <w:rFonts w:hAnsi="宋体" w:cs="宋体"/>
          <w:b/>
          <w:bCs/>
          <w:color w:val="000000" w:themeColor="text1"/>
          <w:szCs w:val="21"/>
          <w:highlight w:val="none"/>
          <w14:textFill>
            <w14:solidFill>
              <w14:schemeClr w14:val="tx1"/>
            </w14:solidFill>
          </w14:textFill>
        </w:rPr>
        <w:t xml:space="preserve">9.2 </w:t>
      </w:r>
      <w:r>
        <w:rPr>
          <w:rFonts w:hint="eastAsia" w:hAnsi="宋体" w:cs="宋体"/>
          <w:b/>
          <w:bCs/>
          <w:color w:val="000000" w:themeColor="text1"/>
          <w:szCs w:val="21"/>
          <w:highlight w:val="none"/>
          <w14:textFill>
            <w14:solidFill>
              <w14:schemeClr w14:val="tx1"/>
            </w14:solidFill>
          </w14:textFill>
        </w:rPr>
        <w:t>其他约定</w:t>
      </w:r>
      <w:bookmarkEnd w:id="833"/>
    </w:p>
    <w:p w14:paraId="170CBE5E">
      <w:pPr>
        <w:pStyle w:val="7"/>
        <w:spacing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需要补充的其他内容</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：见投标人须知前附表。</w:t>
      </w:r>
    </w:p>
    <w:p w14:paraId="59E9F61C">
      <w:pPr>
        <w:pStyle w:val="7"/>
        <w:spacing w:line="360" w:lineRule="auto"/>
        <w:rPr>
          <w:rFonts w:ascii="宋体" w:hAnsi="宋体" w:cs="宋体"/>
          <w:color w:val="000000" w:themeColor="text1"/>
          <w:highlight w:val="none"/>
          <w14:textFill>
            <w14:solidFill>
              <w14:schemeClr w14:val="tx1"/>
            </w14:solidFill>
          </w14:textFill>
        </w:rPr>
      </w:pPr>
      <w:bookmarkStart w:id="834" w:name="EB32a49eed5e014a3aa21e33ddd9f37c73"/>
      <w:bookmarkEnd w:id="834"/>
    </w:p>
    <w:p w14:paraId="4CDCD0F3">
      <w:pPr>
        <w:pStyle w:val="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bookmarkStart w:id="835" w:name="EB5f2f9c2557c44c2cb9331cc3f79951db"/>
      <w:bookmarkEnd w:id="835"/>
      <w:bookmarkStart w:id="836" w:name="EBf79d25d2d0944346aaf4151a94a03dfd"/>
      <w:bookmarkEnd w:id="836"/>
    </w:p>
    <w:p w14:paraId="796C6365">
      <w:pPr>
        <w:pStyle w:val="7"/>
        <w:spacing w:line="360" w:lineRule="auto"/>
        <w:jc w:val="left"/>
        <w:rPr>
          <w:rFonts w:ascii="宋体" w:hAnsi="宋体" w:cs="宋体"/>
          <w:color w:val="000000" w:themeColor="text1"/>
          <w:sz w:val="28"/>
          <w:szCs w:val="28"/>
          <w:highlight w:val="none"/>
          <w14:textFill>
            <w14:solidFill>
              <w14:schemeClr w14:val="tx1"/>
            </w14:solidFill>
          </w14:textFill>
        </w:rPr>
      </w:pPr>
      <w:bookmarkStart w:id="837" w:name="_Toc14303"/>
      <w:bookmarkStart w:id="838" w:name="_Toc27285"/>
      <w:bookmarkStart w:id="839" w:name="_Toc11279"/>
      <w:bookmarkStart w:id="840" w:name="_Toc119585492"/>
      <w:bookmarkStart w:id="841" w:name="_Toc452457688"/>
      <w:bookmarkStart w:id="842" w:name="_Toc5773"/>
      <w:bookmarkStart w:id="843" w:name="_Toc6689"/>
      <w:bookmarkStart w:id="844" w:name="_Toc98785260"/>
      <w:bookmarkStart w:id="845" w:name="_Toc23161"/>
      <w:bookmarkStart w:id="846" w:name="_Toc26104"/>
      <w:bookmarkStart w:id="847" w:name="_Toc32610"/>
      <w:bookmarkStart w:id="848" w:name="_Toc28249"/>
      <w:bookmarkStart w:id="849" w:name="_Toc120624182"/>
      <w:bookmarkStart w:id="850" w:name="_Toc11223"/>
      <w:bookmarkStart w:id="851" w:name="_Toc23292"/>
      <w:bookmarkStart w:id="852" w:name="_Toc1337"/>
      <w:bookmarkStart w:id="853" w:name="_Toc118195788"/>
      <w:bookmarkStart w:id="854" w:name="_Toc31096"/>
      <w:bookmarkStart w:id="855" w:name="_Toc3964"/>
      <w:bookmarkStart w:id="856" w:name="_Toc1970"/>
      <w:r>
        <w:rPr>
          <w:rFonts w:hint="eastAsia" w:ascii="宋体" w:hAnsi="宋体" w:cs="宋体"/>
          <w:color w:val="000000" w:themeColor="text1"/>
          <w:sz w:val="28"/>
          <w:szCs w:val="28"/>
          <w:highlight w:val="none"/>
          <w14:textFill>
            <w14:solidFill>
              <w14:schemeClr w14:val="tx1"/>
            </w14:solidFill>
          </w14:textFill>
        </w:rPr>
        <w:t>附表一：开标记录表</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3741BD31">
      <w:pPr>
        <w:pStyle w:val="7"/>
        <w:spacing w:line="360" w:lineRule="auto"/>
        <w:jc w:val="center"/>
        <w:rPr>
          <w:rFonts w:ascii="宋体" w:hAnsi="宋体" w:cs="宋体"/>
          <w:color w:val="000000" w:themeColor="text1"/>
          <w:sz w:val="28"/>
          <w:szCs w:val="28"/>
          <w:highlight w:val="none"/>
          <w:u w:val="single"/>
          <w14:textFill>
            <w14:solidFill>
              <w14:schemeClr w14:val="tx1"/>
            </w14:solidFill>
          </w14:textFill>
        </w:rPr>
      </w:pPr>
    </w:p>
    <w:p w14:paraId="60695AE1">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（项目名称）</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标段施工第一个信封（商务及技术文件）</w:t>
      </w:r>
    </w:p>
    <w:p w14:paraId="4060A5A0">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开标记录表</w:t>
      </w:r>
    </w:p>
    <w:p w14:paraId="03EC786C">
      <w:pPr>
        <w:pStyle w:val="7"/>
        <w:spacing w:line="360" w:lineRule="auto"/>
        <w:rPr>
          <w:rFonts w:ascii="宋体" w:hAnsi="宋体" w:cs="宋体"/>
          <w:color w:val="000000" w:themeColor="text1"/>
          <w:highlight w:val="none"/>
          <w14:textFill>
            <w14:solidFill>
              <w14:schemeClr w14:val="tx1"/>
            </w14:solidFill>
          </w14:textFill>
        </w:rPr>
      </w:pPr>
    </w:p>
    <w:p w14:paraId="5DFB4543">
      <w:pPr>
        <w:pStyle w:val="7"/>
        <w:spacing w:line="360" w:lineRule="auto"/>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开标时间：</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年</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月</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日</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时</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分</w:t>
      </w:r>
    </w:p>
    <w:tbl>
      <w:tblPr>
        <w:tblStyle w:val="28"/>
        <w:tblW w:w="4743"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258"/>
        <w:gridCol w:w="1938"/>
        <w:gridCol w:w="1429"/>
        <w:gridCol w:w="1429"/>
        <w:gridCol w:w="1146"/>
        <w:gridCol w:w="1717"/>
      </w:tblGrid>
      <w:tr w14:paraId="370C3B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1" w:hRule="atLeast"/>
          <w:jc w:val="center"/>
        </w:trPr>
        <w:tc>
          <w:tcPr>
            <w:tcW w:w="705" w:type="pct"/>
            <w:vAlign w:val="center"/>
          </w:tcPr>
          <w:p w14:paraId="6059C665">
            <w:pPr>
              <w:pStyle w:val="7"/>
              <w:spacing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086" w:type="pct"/>
            <w:vAlign w:val="center"/>
          </w:tcPr>
          <w:p w14:paraId="46B67B7C">
            <w:pPr>
              <w:pStyle w:val="7"/>
              <w:spacing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w:t>
            </w:r>
          </w:p>
        </w:tc>
        <w:tc>
          <w:tcPr>
            <w:tcW w:w="801" w:type="pct"/>
            <w:vAlign w:val="center"/>
          </w:tcPr>
          <w:p w14:paraId="70AB362E">
            <w:pPr>
              <w:pStyle w:val="7"/>
              <w:spacing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质量目标</w:t>
            </w:r>
          </w:p>
        </w:tc>
        <w:tc>
          <w:tcPr>
            <w:tcW w:w="801" w:type="pct"/>
            <w:vAlign w:val="center"/>
          </w:tcPr>
          <w:p w14:paraId="5E43F01D">
            <w:pPr>
              <w:pStyle w:val="7"/>
              <w:spacing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安全目标</w:t>
            </w:r>
          </w:p>
        </w:tc>
        <w:tc>
          <w:tcPr>
            <w:tcW w:w="642" w:type="pct"/>
            <w:vAlign w:val="center"/>
          </w:tcPr>
          <w:p w14:paraId="072AEDF0">
            <w:pPr>
              <w:pStyle w:val="7"/>
              <w:spacing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工期</w:t>
            </w:r>
          </w:p>
        </w:tc>
        <w:tc>
          <w:tcPr>
            <w:tcW w:w="962" w:type="pct"/>
            <w:vAlign w:val="center"/>
          </w:tcPr>
          <w:p w14:paraId="3EE4C7EA">
            <w:pPr>
              <w:pStyle w:val="7"/>
              <w:spacing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245852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4" w:hRule="atLeast"/>
          <w:jc w:val="center"/>
        </w:trPr>
        <w:tc>
          <w:tcPr>
            <w:tcW w:w="705" w:type="pct"/>
            <w:vAlign w:val="center"/>
          </w:tcPr>
          <w:p w14:paraId="79357429">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4DF61BC6">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5B539099">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160B56C7">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1AE339DA">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611FA993">
            <w:pPr>
              <w:pStyle w:val="7"/>
              <w:spacing w:line="440" w:lineRule="exact"/>
              <w:jc w:val="left"/>
              <w:rPr>
                <w:rFonts w:ascii="宋体" w:hAnsi="宋体" w:cs="宋体"/>
                <w:color w:val="000000" w:themeColor="text1"/>
                <w:szCs w:val="21"/>
                <w:highlight w:val="none"/>
                <w14:textFill>
                  <w14:solidFill>
                    <w14:schemeClr w14:val="tx1"/>
                  </w14:solidFill>
                </w14:textFill>
              </w:rPr>
            </w:pPr>
          </w:p>
        </w:tc>
      </w:tr>
      <w:tr w14:paraId="7A2D78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4" w:hRule="atLeast"/>
          <w:jc w:val="center"/>
        </w:trPr>
        <w:tc>
          <w:tcPr>
            <w:tcW w:w="705" w:type="pct"/>
            <w:vAlign w:val="center"/>
          </w:tcPr>
          <w:p w14:paraId="0B763F02">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29EC747B">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6673D29D">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3FE064C7">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45038F58">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0584435C">
            <w:pPr>
              <w:pStyle w:val="7"/>
              <w:spacing w:line="440" w:lineRule="exact"/>
              <w:jc w:val="left"/>
              <w:rPr>
                <w:rFonts w:ascii="宋体" w:hAnsi="宋体" w:cs="宋体"/>
                <w:color w:val="000000" w:themeColor="text1"/>
                <w:szCs w:val="21"/>
                <w:highlight w:val="none"/>
                <w14:textFill>
                  <w14:solidFill>
                    <w14:schemeClr w14:val="tx1"/>
                  </w14:solidFill>
                </w14:textFill>
              </w:rPr>
            </w:pPr>
          </w:p>
        </w:tc>
      </w:tr>
      <w:tr w14:paraId="2B56D1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4" w:hRule="atLeast"/>
          <w:jc w:val="center"/>
        </w:trPr>
        <w:tc>
          <w:tcPr>
            <w:tcW w:w="705" w:type="pct"/>
            <w:vAlign w:val="center"/>
          </w:tcPr>
          <w:p w14:paraId="0F900AAB">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374EC3B2">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675FF0E1">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4BF98EC0">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5C1BB079">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46B84C67">
            <w:pPr>
              <w:pStyle w:val="7"/>
              <w:spacing w:line="440" w:lineRule="exact"/>
              <w:jc w:val="left"/>
              <w:rPr>
                <w:rFonts w:ascii="宋体" w:hAnsi="宋体" w:cs="宋体"/>
                <w:color w:val="000000" w:themeColor="text1"/>
                <w:szCs w:val="21"/>
                <w:highlight w:val="none"/>
                <w14:textFill>
                  <w14:solidFill>
                    <w14:schemeClr w14:val="tx1"/>
                  </w14:solidFill>
                </w14:textFill>
              </w:rPr>
            </w:pPr>
          </w:p>
        </w:tc>
      </w:tr>
      <w:tr w14:paraId="6ABE32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4" w:hRule="atLeast"/>
          <w:jc w:val="center"/>
        </w:trPr>
        <w:tc>
          <w:tcPr>
            <w:tcW w:w="705" w:type="pct"/>
            <w:vAlign w:val="center"/>
          </w:tcPr>
          <w:p w14:paraId="42944593">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10F2339A">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59EA7FC4">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7188CB9E">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796D5F67">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5435E610">
            <w:pPr>
              <w:pStyle w:val="7"/>
              <w:spacing w:line="440" w:lineRule="exact"/>
              <w:jc w:val="left"/>
              <w:rPr>
                <w:rFonts w:ascii="宋体" w:hAnsi="宋体" w:cs="宋体"/>
                <w:color w:val="000000" w:themeColor="text1"/>
                <w:szCs w:val="21"/>
                <w:highlight w:val="none"/>
                <w14:textFill>
                  <w14:solidFill>
                    <w14:schemeClr w14:val="tx1"/>
                  </w14:solidFill>
                </w14:textFill>
              </w:rPr>
            </w:pPr>
          </w:p>
        </w:tc>
      </w:tr>
      <w:tr w14:paraId="130430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4" w:hRule="atLeast"/>
          <w:jc w:val="center"/>
        </w:trPr>
        <w:tc>
          <w:tcPr>
            <w:tcW w:w="705" w:type="pct"/>
            <w:vAlign w:val="center"/>
          </w:tcPr>
          <w:p w14:paraId="0ADDC0C0">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49AA04A8">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4B780613">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6CF910C2">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657C0870">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29872B95">
            <w:pPr>
              <w:pStyle w:val="7"/>
              <w:spacing w:line="440" w:lineRule="exact"/>
              <w:jc w:val="left"/>
              <w:rPr>
                <w:rFonts w:ascii="宋体" w:hAnsi="宋体" w:cs="宋体"/>
                <w:color w:val="000000" w:themeColor="text1"/>
                <w:szCs w:val="21"/>
                <w:highlight w:val="none"/>
                <w14:textFill>
                  <w14:solidFill>
                    <w14:schemeClr w14:val="tx1"/>
                  </w14:solidFill>
                </w14:textFill>
              </w:rPr>
            </w:pPr>
          </w:p>
        </w:tc>
      </w:tr>
      <w:tr w14:paraId="0B7E4D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4" w:hRule="atLeast"/>
          <w:jc w:val="center"/>
        </w:trPr>
        <w:tc>
          <w:tcPr>
            <w:tcW w:w="705" w:type="pct"/>
            <w:vAlign w:val="center"/>
          </w:tcPr>
          <w:p w14:paraId="71040E47">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7A24C1EF">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39039C74">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49E160F3">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361D5670">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6635CB8D">
            <w:pPr>
              <w:pStyle w:val="7"/>
              <w:spacing w:line="440" w:lineRule="exact"/>
              <w:jc w:val="left"/>
              <w:rPr>
                <w:rFonts w:ascii="宋体" w:hAnsi="宋体" w:cs="宋体"/>
                <w:color w:val="000000" w:themeColor="text1"/>
                <w:szCs w:val="21"/>
                <w:highlight w:val="none"/>
                <w14:textFill>
                  <w14:solidFill>
                    <w14:schemeClr w14:val="tx1"/>
                  </w14:solidFill>
                </w14:textFill>
              </w:rPr>
            </w:pPr>
          </w:p>
        </w:tc>
      </w:tr>
      <w:tr w14:paraId="52A6C6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4" w:hRule="atLeast"/>
          <w:jc w:val="center"/>
        </w:trPr>
        <w:tc>
          <w:tcPr>
            <w:tcW w:w="705" w:type="pct"/>
            <w:vAlign w:val="center"/>
          </w:tcPr>
          <w:p w14:paraId="06C3453F">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3D27A8DF">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1160DAFF">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2C427D94">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21BFF0CA">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7A76C455">
            <w:pPr>
              <w:pStyle w:val="7"/>
              <w:spacing w:line="440" w:lineRule="exact"/>
              <w:jc w:val="left"/>
              <w:rPr>
                <w:rFonts w:ascii="宋体" w:hAnsi="宋体" w:cs="宋体"/>
                <w:color w:val="000000" w:themeColor="text1"/>
                <w:szCs w:val="21"/>
                <w:highlight w:val="none"/>
                <w14:textFill>
                  <w14:solidFill>
                    <w14:schemeClr w14:val="tx1"/>
                  </w14:solidFill>
                </w14:textFill>
              </w:rPr>
            </w:pPr>
          </w:p>
        </w:tc>
      </w:tr>
      <w:tr w14:paraId="22A986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4" w:hRule="atLeast"/>
          <w:jc w:val="center"/>
        </w:trPr>
        <w:tc>
          <w:tcPr>
            <w:tcW w:w="705" w:type="pct"/>
            <w:vAlign w:val="center"/>
          </w:tcPr>
          <w:p w14:paraId="6FE8A690">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55200F1F">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0EAA1932">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5EAD7AD8">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393BB76C">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4023B551">
            <w:pPr>
              <w:pStyle w:val="7"/>
              <w:spacing w:line="440" w:lineRule="exact"/>
              <w:jc w:val="left"/>
              <w:rPr>
                <w:rFonts w:ascii="宋体" w:hAnsi="宋体" w:cs="宋体"/>
                <w:color w:val="000000" w:themeColor="text1"/>
                <w:szCs w:val="21"/>
                <w:highlight w:val="none"/>
                <w14:textFill>
                  <w14:solidFill>
                    <w14:schemeClr w14:val="tx1"/>
                  </w14:solidFill>
                </w14:textFill>
              </w:rPr>
            </w:pPr>
          </w:p>
        </w:tc>
      </w:tr>
      <w:tr w14:paraId="33CE48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8" w:hRule="atLeast"/>
          <w:jc w:val="center"/>
        </w:trPr>
        <w:tc>
          <w:tcPr>
            <w:tcW w:w="705" w:type="pct"/>
            <w:vAlign w:val="center"/>
          </w:tcPr>
          <w:p w14:paraId="052C6B23">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1086" w:type="pct"/>
            <w:vAlign w:val="center"/>
          </w:tcPr>
          <w:p w14:paraId="52EBBE6F">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2EFB864B">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801" w:type="pct"/>
            <w:vAlign w:val="center"/>
          </w:tcPr>
          <w:p w14:paraId="778EF4FB">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642" w:type="pct"/>
            <w:vAlign w:val="center"/>
          </w:tcPr>
          <w:p w14:paraId="77445C0A">
            <w:pPr>
              <w:pStyle w:val="7"/>
              <w:spacing w:line="440" w:lineRule="exact"/>
              <w:jc w:val="left"/>
              <w:rPr>
                <w:rFonts w:ascii="宋体" w:hAnsi="宋体" w:cs="宋体"/>
                <w:color w:val="000000" w:themeColor="text1"/>
                <w:szCs w:val="21"/>
                <w:highlight w:val="none"/>
                <w14:textFill>
                  <w14:solidFill>
                    <w14:schemeClr w14:val="tx1"/>
                  </w14:solidFill>
                </w14:textFill>
              </w:rPr>
            </w:pPr>
          </w:p>
        </w:tc>
        <w:tc>
          <w:tcPr>
            <w:tcW w:w="962" w:type="pct"/>
            <w:vAlign w:val="center"/>
          </w:tcPr>
          <w:p w14:paraId="1D0F58B4">
            <w:pPr>
              <w:pStyle w:val="7"/>
              <w:spacing w:line="440" w:lineRule="exact"/>
              <w:jc w:val="left"/>
              <w:rPr>
                <w:rFonts w:ascii="宋体" w:hAnsi="宋体" w:cs="宋体"/>
                <w:color w:val="000000" w:themeColor="text1"/>
                <w:szCs w:val="21"/>
                <w:highlight w:val="none"/>
                <w14:textFill>
                  <w14:solidFill>
                    <w14:schemeClr w14:val="tx1"/>
                  </w14:solidFill>
                </w14:textFill>
              </w:rPr>
            </w:pPr>
          </w:p>
        </w:tc>
      </w:tr>
    </w:tbl>
    <w:p w14:paraId="2F428915">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　</w:t>
      </w:r>
    </w:p>
    <w:p w14:paraId="08C72755">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招标人代表：</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记录人：</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w:t>
      </w:r>
    </w:p>
    <w:p w14:paraId="3A1EB8B5">
      <w:pPr>
        <w:pStyle w:val="7"/>
        <w:spacing w:line="360" w:lineRule="auto"/>
        <w:ind w:firstLine="315" w:firstLineChars="150"/>
        <w:jc w:val="right"/>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5F640CF8">
      <w:pPr>
        <w:pStyle w:val="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br w:type="page"/>
      </w:r>
    </w:p>
    <w:p w14:paraId="74F57C41">
      <w:pPr>
        <w:pStyle w:val="40"/>
        <w:spacing w:before="0" w:after="0" w:line="360" w:lineRule="auto"/>
        <w:jc w:val="left"/>
        <w:rPr>
          <w:rFonts w:ascii="宋体" w:hAnsi="宋体" w:cs="宋体"/>
          <w:b w:val="0"/>
          <w:color w:val="000000" w:themeColor="text1"/>
          <w:sz w:val="28"/>
          <w:szCs w:val="28"/>
          <w:highlight w:val="none"/>
          <w14:textFill>
            <w14:solidFill>
              <w14:schemeClr w14:val="tx1"/>
            </w14:solidFill>
          </w14:textFill>
        </w:rPr>
      </w:pPr>
      <w:bookmarkStart w:id="857" w:name="_Toc7051"/>
      <w:r>
        <w:rPr>
          <w:rFonts w:hint="eastAsia" w:ascii="宋体" w:hAnsi="宋体" w:cs="宋体"/>
          <w:b w:val="0"/>
          <w:color w:val="000000" w:themeColor="text1"/>
          <w:sz w:val="28"/>
          <w:szCs w:val="28"/>
          <w:highlight w:val="none"/>
          <w14:textFill>
            <w14:solidFill>
              <w14:schemeClr w14:val="tx1"/>
            </w14:solidFill>
          </w14:textFill>
        </w:rPr>
        <w:t>附表一：开标记录表</w:t>
      </w:r>
      <w:bookmarkEnd w:id="857"/>
    </w:p>
    <w:p w14:paraId="29A394CA">
      <w:pPr>
        <w:pStyle w:val="7"/>
        <w:spacing w:line="360" w:lineRule="auto"/>
        <w:rPr>
          <w:rFonts w:ascii="宋体" w:hAnsi="宋体" w:cs="宋体"/>
          <w:color w:val="000000" w:themeColor="text1"/>
          <w:sz w:val="28"/>
          <w:szCs w:val="28"/>
          <w:highlight w:val="none"/>
          <w:u w:val="single"/>
          <w14:textFill>
            <w14:solidFill>
              <w14:schemeClr w14:val="tx1"/>
            </w14:solidFill>
          </w14:textFill>
        </w:rPr>
      </w:pPr>
    </w:p>
    <w:p w14:paraId="25078ACF">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（项目名称）</w:t>
      </w:r>
      <w:r>
        <w:rPr>
          <w:rFonts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标段施工第二个信封（报价文件）</w:t>
      </w:r>
    </w:p>
    <w:p w14:paraId="2E1D3562">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开标记录表</w:t>
      </w:r>
    </w:p>
    <w:p w14:paraId="78831C7F">
      <w:pPr>
        <w:pStyle w:val="7"/>
        <w:spacing w:line="360" w:lineRule="auto"/>
        <w:rPr>
          <w:rFonts w:ascii="宋体" w:hAnsi="宋体" w:cs="宋体"/>
          <w:color w:val="000000" w:themeColor="text1"/>
          <w:highlight w:val="none"/>
          <w14:textFill>
            <w14:solidFill>
              <w14:schemeClr w14:val="tx1"/>
            </w14:solidFill>
          </w14:textFill>
        </w:rPr>
      </w:pPr>
    </w:p>
    <w:p w14:paraId="4F34B75F">
      <w:pPr>
        <w:pStyle w:val="7"/>
        <w:spacing w:line="360" w:lineRule="auto"/>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开标时间：</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年</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月</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日</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时</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分</w:t>
      </w:r>
    </w:p>
    <w:tbl>
      <w:tblPr>
        <w:tblStyle w:val="28"/>
        <w:tblW w:w="4883"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34"/>
        <w:gridCol w:w="3411"/>
        <w:gridCol w:w="2811"/>
        <w:gridCol w:w="2124"/>
      </w:tblGrid>
      <w:tr w14:paraId="626E07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18AF198F">
            <w:pPr>
              <w:pStyle w:val="7"/>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1858" w:type="pct"/>
            <w:vAlign w:val="center"/>
          </w:tcPr>
          <w:p w14:paraId="04703CBF">
            <w:pPr>
              <w:pStyle w:val="7"/>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w:t>
            </w:r>
          </w:p>
        </w:tc>
        <w:tc>
          <w:tcPr>
            <w:tcW w:w="1531" w:type="pct"/>
            <w:vAlign w:val="center"/>
          </w:tcPr>
          <w:p w14:paraId="1C9016C7">
            <w:pPr>
              <w:pStyle w:val="7"/>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投标报价（元）</w:t>
            </w:r>
          </w:p>
        </w:tc>
        <w:tc>
          <w:tcPr>
            <w:tcW w:w="1158" w:type="pct"/>
            <w:vAlign w:val="center"/>
          </w:tcPr>
          <w:p w14:paraId="125F0090">
            <w:pPr>
              <w:pStyle w:val="7"/>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备注</w:t>
            </w:r>
          </w:p>
        </w:tc>
      </w:tr>
      <w:tr w14:paraId="307F85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1F97F24C">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3A279E22">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674B6301">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3165B2AB">
            <w:pPr>
              <w:pStyle w:val="7"/>
              <w:spacing w:line="440" w:lineRule="exact"/>
              <w:jc w:val="left"/>
              <w:rPr>
                <w:color w:val="000000" w:themeColor="text1"/>
                <w:szCs w:val="21"/>
                <w:highlight w:val="none"/>
                <w14:textFill>
                  <w14:solidFill>
                    <w14:schemeClr w14:val="tx1"/>
                  </w14:solidFill>
                </w14:textFill>
              </w:rPr>
            </w:pPr>
          </w:p>
        </w:tc>
      </w:tr>
      <w:tr w14:paraId="0911B6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2AD1917B">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38B32A05">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25BA6FE5">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2A141188">
            <w:pPr>
              <w:pStyle w:val="7"/>
              <w:spacing w:line="440" w:lineRule="exact"/>
              <w:jc w:val="left"/>
              <w:rPr>
                <w:color w:val="000000" w:themeColor="text1"/>
                <w:szCs w:val="21"/>
                <w:highlight w:val="none"/>
                <w14:textFill>
                  <w14:solidFill>
                    <w14:schemeClr w14:val="tx1"/>
                  </w14:solidFill>
                </w14:textFill>
              </w:rPr>
            </w:pPr>
          </w:p>
        </w:tc>
      </w:tr>
      <w:tr w14:paraId="18B7AF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3A78EAF6">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20E69533">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5400F602">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3C56E6AD">
            <w:pPr>
              <w:pStyle w:val="7"/>
              <w:spacing w:line="440" w:lineRule="exact"/>
              <w:jc w:val="left"/>
              <w:rPr>
                <w:color w:val="000000" w:themeColor="text1"/>
                <w:szCs w:val="21"/>
                <w:highlight w:val="none"/>
                <w14:textFill>
                  <w14:solidFill>
                    <w14:schemeClr w14:val="tx1"/>
                  </w14:solidFill>
                </w14:textFill>
              </w:rPr>
            </w:pPr>
          </w:p>
        </w:tc>
      </w:tr>
      <w:tr w14:paraId="1FF306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1FF281D0">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20A38F81">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583D1561">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37A9C004">
            <w:pPr>
              <w:pStyle w:val="7"/>
              <w:spacing w:line="440" w:lineRule="exact"/>
              <w:jc w:val="left"/>
              <w:rPr>
                <w:color w:val="000000" w:themeColor="text1"/>
                <w:szCs w:val="21"/>
                <w:highlight w:val="none"/>
                <w14:textFill>
                  <w14:solidFill>
                    <w14:schemeClr w14:val="tx1"/>
                  </w14:solidFill>
                </w14:textFill>
              </w:rPr>
            </w:pPr>
          </w:p>
        </w:tc>
      </w:tr>
      <w:tr w14:paraId="4C49DA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7DD09C2C">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35304A48">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51A94ED1">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7696EB0A">
            <w:pPr>
              <w:pStyle w:val="7"/>
              <w:spacing w:line="440" w:lineRule="exact"/>
              <w:jc w:val="left"/>
              <w:rPr>
                <w:color w:val="000000" w:themeColor="text1"/>
                <w:szCs w:val="21"/>
                <w:highlight w:val="none"/>
                <w14:textFill>
                  <w14:solidFill>
                    <w14:schemeClr w14:val="tx1"/>
                  </w14:solidFill>
                </w14:textFill>
              </w:rPr>
            </w:pPr>
          </w:p>
        </w:tc>
      </w:tr>
      <w:tr w14:paraId="38E979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51FF1B2E">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04A33DB9">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238C8C99">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36CEE535">
            <w:pPr>
              <w:pStyle w:val="7"/>
              <w:spacing w:line="440" w:lineRule="exact"/>
              <w:jc w:val="left"/>
              <w:rPr>
                <w:color w:val="000000" w:themeColor="text1"/>
                <w:szCs w:val="21"/>
                <w:highlight w:val="none"/>
                <w14:textFill>
                  <w14:solidFill>
                    <w14:schemeClr w14:val="tx1"/>
                  </w14:solidFill>
                </w14:textFill>
              </w:rPr>
            </w:pPr>
          </w:p>
        </w:tc>
      </w:tr>
      <w:tr w14:paraId="555D15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201A6992">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39210980">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001A54D9">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1EFE5329">
            <w:pPr>
              <w:pStyle w:val="7"/>
              <w:spacing w:line="440" w:lineRule="exact"/>
              <w:jc w:val="left"/>
              <w:rPr>
                <w:color w:val="000000" w:themeColor="text1"/>
                <w:szCs w:val="21"/>
                <w:highlight w:val="none"/>
                <w14:textFill>
                  <w14:solidFill>
                    <w14:schemeClr w14:val="tx1"/>
                  </w14:solidFill>
                </w14:textFill>
              </w:rPr>
            </w:pPr>
          </w:p>
        </w:tc>
      </w:tr>
      <w:tr w14:paraId="168FED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30999B4B">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5EFE39DC">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519D5B8B">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72BF6A3E">
            <w:pPr>
              <w:pStyle w:val="7"/>
              <w:spacing w:line="440" w:lineRule="exact"/>
              <w:jc w:val="left"/>
              <w:rPr>
                <w:color w:val="000000" w:themeColor="text1"/>
                <w:szCs w:val="21"/>
                <w:highlight w:val="none"/>
                <w14:textFill>
                  <w14:solidFill>
                    <w14:schemeClr w14:val="tx1"/>
                  </w14:solidFill>
                </w14:textFill>
              </w:rPr>
            </w:pPr>
          </w:p>
        </w:tc>
      </w:tr>
      <w:tr w14:paraId="64CE13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210A83C1">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1A9002C8">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17C1498F">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393C395E">
            <w:pPr>
              <w:pStyle w:val="7"/>
              <w:spacing w:line="440" w:lineRule="exact"/>
              <w:jc w:val="left"/>
              <w:rPr>
                <w:color w:val="000000" w:themeColor="text1"/>
                <w:szCs w:val="21"/>
                <w:highlight w:val="none"/>
                <w14:textFill>
                  <w14:solidFill>
                    <w14:schemeClr w14:val="tx1"/>
                  </w14:solidFill>
                </w14:textFill>
              </w:rPr>
            </w:pPr>
          </w:p>
        </w:tc>
      </w:tr>
      <w:tr w14:paraId="3D17A0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7BBAB686">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001EDE5D">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0929863F">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3418C5A5">
            <w:pPr>
              <w:pStyle w:val="7"/>
              <w:spacing w:line="440" w:lineRule="exact"/>
              <w:jc w:val="left"/>
              <w:rPr>
                <w:color w:val="000000" w:themeColor="text1"/>
                <w:szCs w:val="21"/>
                <w:highlight w:val="none"/>
                <w14:textFill>
                  <w14:solidFill>
                    <w14:schemeClr w14:val="tx1"/>
                  </w14:solidFill>
                </w14:textFill>
              </w:rPr>
            </w:pPr>
          </w:p>
        </w:tc>
      </w:tr>
      <w:tr w14:paraId="0BC418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454" w:type="pct"/>
            <w:vAlign w:val="center"/>
          </w:tcPr>
          <w:p w14:paraId="4B2186B1">
            <w:pPr>
              <w:pStyle w:val="7"/>
              <w:spacing w:line="440" w:lineRule="exact"/>
              <w:jc w:val="left"/>
              <w:rPr>
                <w:color w:val="000000" w:themeColor="text1"/>
                <w:szCs w:val="21"/>
                <w:highlight w:val="none"/>
                <w14:textFill>
                  <w14:solidFill>
                    <w14:schemeClr w14:val="tx1"/>
                  </w14:solidFill>
                </w14:textFill>
              </w:rPr>
            </w:pPr>
          </w:p>
        </w:tc>
        <w:tc>
          <w:tcPr>
            <w:tcW w:w="1858" w:type="pct"/>
            <w:vAlign w:val="center"/>
          </w:tcPr>
          <w:p w14:paraId="47267BB0">
            <w:pPr>
              <w:pStyle w:val="7"/>
              <w:spacing w:line="440" w:lineRule="exact"/>
              <w:jc w:val="left"/>
              <w:rPr>
                <w:color w:val="000000" w:themeColor="text1"/>
                <w:szCs w:val="21"/>
                <w:highlight w:val="none"/>
                <w14:textFill>
                  <w14:solidFill>
                    <w14:schemeClr w14:val="tx1"/>
                  </w14:solidFill>
                </w14:textFill>
              </w:rPr>
            </w:pPr>
          </w:p>
        </w:tc>
        <w:tc>
          <w:tcPr>
            <w:tcW w:w="1531" w:type="pct"/>
            <w:vAlign w:val="center"/>
          </w:tcPr>
          <w:p w14:paraId="7868F5DD">
            <w:pPr>
              <w:pStyle w:val="7"/>
              <w:spacing w:line="440" w:lineRule="exact"/>
              <w:jc w:val="left"/>
              <w:rPr>
                <w:color w:val="000000" w:themeColor="text1"/>
                <w:szCs w:val="21"/>
                <w:highlight w:val="none"/>
                <w14:textFill>
                  <w14:solidFill>
                    <w14:schemeClr w14:val="tx1"/>
                  </w14:solidFill>
                </w14:textFill>
              </w:rPr>
            </w:pPr>
          </w:p>
        </w:tc>
        <w:tc>
          <w:tcPr>
            <w:tcW w:w="1158" w:type="pct"/>
            <w:vAlign w:val="center"/>
          </w:tcPr>
          <w:p w14:paraId="26D6618B">
            <w:pPr>
              <w:pStyle w:val="7"/>
              <w:spacing w:line="440" w:lineRule="exact"/>
              <w:jc w:val="left"/>
              <w:rPr>
                <w:color w:val="000000" w:themeColor="text1"/>
                <w:szCs w:val="21"/>
                <w:highlight w:val="none"/>
                <w14:textFill>
                  <w14:solidFill>
                    <w14:schemeClr w14:val="tx1"/>
                  </w14:solidFill>
                </w14:textFill>
              </w:rPr>
            </w:pPr>
          </w:p>
        </w:tc>
      </w:tr>
      <w:tr w14:paraId="41B646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68" w:hRule="atLeast"/>
          <w:jc w:val="center"/>
        </w:trPr>
        <w:tc>
          <w:tcPr>
            <w:tcW w:w="2312" w:type="pct"/>
            <w:gridSpan w:val="2"/>
            <w:vAlign w:val="center"/>
          </w:tcPr>
          <w:p w14:paraId="1CF73AAF">
            <w:pPr>
              <w:pStyle w:val="7"/>
              <w:spacing w:line="44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招标人编制的工程量清单预算价（元）：</w:t>
            </w:r>
          </w:p>
        </w:tc>
        <w:tc>
          <w:tcPr>
            <w:tcW w:w="2688" w:type="pct"/>
            <w:gridSpan w:val="2"/>
            <w:vAlign w:val="center"/>
          </w:tcPr>
          <w:p w14:paraId="4D128CC5">
            <w:pPr>
              <w:pStyle w:val="7"/>
              <w:spacing w:line="44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调整系数：</w:t>
            </w:r>
          </w:p>
        </w:tc>
      </w:tr>
      <w:tr w14:paraId="78D2BB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68" w:hRule="atLeast"/>
          <w:jc w:val="center"/>
        </w:trPr>
        <w:tc>
          <w:tcPr>
            <w:tcW w:w="2312" w:type="pct"/>
            <w:gridSpan w:val="2"/>
            <w:vAlign w:val="center"/>
          </w:tcPr>
          <w:p w14:paraId="7F610C88">
            <w:pPr>
              <w:pStyle w:val="7"/>
              <w:spacing w:line="44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复合系数（</w:t>
            </w:r>
            <w:r>
              <w:rPr>
                <w:color w:val="000000" w:themeColor="text1"/>
                <w:szCs w:val="21"/>
                <w:highlight w:val="none"/>
                <w14:textFill>
                  <w14:solidFill>
                    <w14:schemeClr w14:val="tx1"/>
                  </w14:solidFill>
                </w14:textFill>
              </w:rPr>
              <w:t>k</w:t>
            </w:r>
            <w:r>
              <w:rPr>
                <w:rFonts w:hint="eastAsia"/>
                <w:color w:val="000000" w:themeColor="text1"/>
                <w:szCs w:val="21"/>
                <w:highlight w:val="none"/>
                <w14:textFill>
                  <w14:solidFill>
                    <w14:schemeClr w14:val="tx1"/>
                  </w14:solidFill>
                </w14:textFill>
              </w:rPr>
              <w:t>）：</w:t>
            </w:r>
          </w:p>
        </w:tc>
        <w:tc>
          <w:tcPr>
            <w:tcW w:w="2688" w:type="pct"/>
            <w:gridSpan w:val="2"/>
            <w:vAlign w:val="center"/>
          </w:tcPr>
          <w:p w14:paraId="6DC34912">
            <w:pPr>
              <w:pStyle w:val="7"/>
              <w:spacing w:line="44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下浮系数（</w:t>
            </w:r>
            <w:r>
              <w:rPr>
                <w:color w:val="000000" w:themeColor="text1"/>
                <w:szCs w:val="21"/>
                <w:highlight w:val="none"/>
                <w14:textFill>
                  <w14:solidFill>
                    <w14:schemeClr w14:val="tx1"/>
                  </w14:solidFill>
                </w14:textFill>
              </w:rPr>
              <w:t>i</w:t>
            </w:r>
            <w:r>
              <w:rPr>
                <w:rFonts w:hint="eastAsia"/>
                <w:color w:val="000000" w:themeColor="text1"/>
                <w:szCs w:val="21"/>
                <w:highlight w:val="none"/>
                <w14:textFill>
                  <w14:solidFill>
                    <w14:schemeClr w14:val="tx1"/>
                  </w14:solidFill>
                </w14:textFill>
              </w:rPr>
              <w:t>）：</w:t>
            </w:r>
          </w:p>
        </w:tc>
      </w:tr>
    </w:tbl>
    <w:p w14:paraId="6518620E">
      <w:pPr>
        <w:pStyle w:val="7"/>
        <w:spacing w:line="360" w:lineRule="auto"/>
        <w:rPr>
          <w:rFonts w:ascii="宋体" w:hAnsi="宋体" w:cs="宋体"/>
          <w:color w:val="000000" w:themeColor="text1"/>
          <w:szCs w:val="21"/>
          <w:highlight w:val="none"/>
          <w14:textFill>
            <w14:solidFill>
              <w14:schemeClr w14:val="tx1"/>
            </w14:solidFill>
          </w14:textFill>
        </w:rPr>
      </w:pPr>
    </w:p>
    <w:p w14:paraId="2379FA3B">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招标人代表：</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记录人：</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w:t>
      </w:r>
    </w:p>
    <w:p w14:paraId="22B7122F">
      <w:pPr>
        <w:pStyle w:val="7"/>
        <w:spacing w:line="360" w:lineRule="auto"/>
        <w:ind w:firstLine="315" w:firstLineChars="150"/>
        <w:jc w:val="right"/>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1EF98751">
      <w:pPr>
        <w:pStyle w:val="7"/>
        <w:spacing w:line="360" w:lineRule="auto"/>
        <w:rPr>
          <w:rFonts w:ascii="宋体" w:hAnsi="宋体" w:cs="宋体"/>
          <w:color w:val="000000" w:themeColor="text1"/>
          <w:sz w:val="20"/>
          <w:szCs w:val="20"/>
          <w:highlight w:val="none"/>
          <w14:textFill>
            <w14:solidFill>
              <w14:schemeClr w14:val="tx1"/>
            </w14:solidFill>
          </w14:textFill>
        </w:rPr>
      </w:pPr>
    </w:p>
    <w:p w14:paraId="794570AD">
      <w:pPr>
        <w:pStyle w:val="7"/>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5B4156DE">
      <w:pPr>
        <w:pStyle w:val="40"/>
        <w:spacing w:before="0" w:after="0" w:line="360" w:lineRule="auto"/>
        <w:jc w:val="left"/>
        <w:rPr>
          <w:rFonts w:ascii="宋体" w:hAnsi="宋体" w:cs="宋体"/>
          <w:b w:val="0"/>
          <w:color w:val="000000" w:themeColor="text1"/>
          <w:sz w:val="28"/>
          <w:szCs w:val="28"/>
          <w:highlight w:val="none"/>
          <w14:textFill>
            <w14:solidFill>
              <w14:schemeClr w14:val="tx1"/>
            </w14:solidFill>
          </w14:textFill>
        </w:rPr>
      </w:pPr>
      <w:bookmarkStart w:id="858" w:name="_Toc32110"/>
      <w:bookmarkStart w:id="859" w:name="_Toc13447"/>
      <w:bookmarkStart w:id="860" w:name="_Toc120624183"/>
      <w:bookmarkStart w:id="861" w:name="_Toc11936"/>
      <w:bookmarkStart w:id="862" w:name="_Toc25861"/>
      <w:bookmarkStart w:id="863" w:name="_Toc31536"/>
      <w:bookmarkStart w:id="864" w:name="_Toc27180"/>
      <w:bookmarkStart w:id="865" w:name="_Toc2727"/>
      <w:bookmarkStart w:id="866" w:name="_Toc119585493"/>
      <w:bookmarkStart w:id="867" w:name="_Toc19485"/>
      <w:bookmarkStart w:id="868" w:name="_Toc452457689"/>
      <w:bookmarkStart w:id="869" w:name="_Toc20561"/>
      <w:bookmarkStart w:id="870" w:name="_Toc15257"/>
      <w:bookmarkStart w:id="871" w:name="_Toc14648"/>
      <w:bookmarkStart w:id="872" w:name="_Toc98785261"/>
      <w:bookmarkStart w:id="873" w:name="_Toc118195789"/>
      <w:bookmarkStart w:id="874" w:name="_Toc18369"/>
      <w:bookmarkStart w:id="875" w:name="_Toc15613"/>
      <w:bookmarkStart w:id="876" w:name="_Toc8411"/>
      <w:bookmarkStart w:id="877" w:name="_Toc9377"/>
      <w:r>
        <w:rPr>
          <w:rFonts w:hint="eastAsia" w:ascii="宋体" w:hAnsi="宋体" w:cs="宋体"/>
          <w:b w:val="0"/>
          <w:color w:val="000000" w:themeColor="text1"/>
          <w:sz w:val="28"/>
          <w:szCs w:val="28"/>
          <w:highlight w:val="none"/>
          <w14:textFill>
            <w14:solidFill>
              <w14:schemeClr w14:val="tx1"/>
            </w14:solidFill>
          </w14:textFill>
        </w:rPr>
        <w:t>附表二：问题澄清通知</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14:paraId="29D43728">
      <w:pPr>
        <w:pStyle w:val="7"/>
        <w:spacing w:line="360" w:lineRule="auto"/>
        <w:jc w:val="center"/>
        <w:rPr>
          <w:rFonts w:ascii="宋体" w:hAnsi="宋体" w:cs="宋体"/>
          <w:color w:val="000000" w:themeColor="text1"/>
          <w:szCs w:val="21"/>
          <w:highlight w:val="none"/>
          <w14:textFill>
            <w14:solidFill>
              <w14:schemeClr w14:val="tx1"/>
            </w14:solidFill>
          </w14:textFill>
        </w:rPr>
      </w:pPr>
    </w:p>
    <w:p w14:paraId="659184F8">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问题澄清通知</w:t>
      </w:r>
    </w:p>
    <w:p w14:paraId="000C7E3F">
      <w:pPr>
        <w:pStyle w:val="7"/>
        <w:spacing w:line="360" w:lineRule="auto"/>
        <w:jc w:val="center"/>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编号：</w:t>
      </w:r>
      <w:r>
        <w:rPr>
          <w:rFonts w:ascii="宋体" w:hAnsi="宋体" w:cs="宋体"/>
          <w:color w:val="000000" w:themeColor="text1"/>
          <w:szCs w:val="21"/>
          <w:highlight w:val="none"/>
          <w:u w:val="single"/>
          <w14:textFill>
            <w14:solidFill>
              <w14:schemeClr w14:val="tx1"/>
            </w14:solidFill>
          </w14:textFill>
        </w:rPr>
        <w:t xml:space="preserve">          </w:t>
      </w:r>
    </w:p>
    <w:p w14:paraId="3A5F6CA2">
      <w:pPr>
        <w:pStyle w:val="7"/>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（投标人名称）：</w:t>
      </w:r>
    </w:p>
    <w:p w14:paraId="207CC726">
      <w:pPr>
        <w:pStyle w:val="7"/>
        <w:spacing w:line="360" w:lineRule="auto"/>
        <w:rPr>
          <w:rFonts w:ascii="宋体" w:hAnsi="宋体" w:cs="宋体"/>
          <w:color w:val="000000" w:themeColor="text1"/>
          <w:szCs w:val="21"/>
          <w:highlight w:val="none"/>
          <w14:textFill>
            <w14:solidFill>
              <w14:schemeClr w14:val="tx1"/>
            </w14:solidFill>
          </w14:textFill>
        </w:rPr>
      </w:pPr>
    </w:p>
    <w:p w14:paraId="0EBABE1C">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r>
        <w:rPr>
          <w:rFonts w:hint="eastAsia" w:ascii="宋体" w:hAnsi="宋体" w:cs="宋体"/>
          <w:color w:val="000000" w:themeColor="text1"/>
          <w:szCs w:val="21"/>
          <w:highlight w:val="none"/>
          <w:u w:val="single"/>
          <w14:textFill>
            <w14:solidFill>
              <w14:schemeClr w14:val="tx1"/>
            </w14:solidFill>
          </w14:textFill>
        </w:rPr>
        <w:t>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（项目名称）</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标段施工招标的评标委员会，对你方的投标文件进行了仔细的审查，现需你方对下列问题通过</w:t>
      </w:r>
      <w:r>
        <w:rPr>
          <w:rFonts w:hint="eastAsia" w:ascii="宋体" w:hAnsi="宋体" w:cs="宋体"/>
          <w:snapToGrid w:val="0"/>
          <w:color w:val="000000" w:themeColor="text1"/>
          <w:highlight w:val="none"/>
          <w14:textFill>
            <w14:solidFill>
              <w14:schemeClr w14:val="tx1"/>
            </w14:solidFill>
          </w14:textFill>
        </w:rPr>
        <w:t>“电子交易平台”</w:t>
      </w:r>
      <w:r>
        <w:rPr>
          <w:rFonts w:hint="eastAsia" w:ascii="宋体" w:hAnsi="宋体" w:cs="宋体"/>
          <w:color w:val="000000" w:themeColor="text1"/>
          <w:szCs w:val="21"/>
          <w:highlight w:val="none"/>
          <w14:textFill>
            <w14:solidFill>
              <w14:schemeClr w14:val="tx1"/>
            </w14:solidFill>
          </w14:textFill>
        </w:rPr>
        <w:t>予以澄清：</w:t>
      </w:r>
    </w:p>
    <w:p w14:paraId="38E8A08B">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6D9C479D">
      <w:pPr>
        <w:pStyle w:val="7"/>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1.</w:t>
      </w:r>
    </w:p>
    <w:p w14:paraId="4016A1EC">
      <w:pPr>
        <w:pStyle w:val="7"/>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2.</w:t>
      </w:r>
    </w:p>
    <w:p w14:paraId="035B992E">
      <w:pPr>
        <w:pStyle w:val="7"/>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   </w:t>
      </w:r>
    </w:p>
    <w:p w14:paraId="781EECBF">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47EBBE93">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请将上述问题的澄清于</w:t>
      </w:r>
      <w:r>
        <w:rPr>
          <w:rFonts w:ascii="宋体" w:hAnsi="宋体" w:cs="宋体"/>
          <w:color w:val="000000" w:themeColor="text1"/>
          <w:szCs w:val="21"/>
          <w:highlight w:val="none"/>
          <w14:textFill>
            <w14:solidFill>
              <w14:schemeClr w14:val="tx1"/>
            </w14:solidFill>
          </w14:textFill>
        </w:rPr>
        <w:t>____年____月____日时前通过“电子交易平台”递交。</w:t>
      </w:r>
    </w:p>
    <w:p w14:paraId="35AE7D3D">
      <w:pPr>
        <w:pStyle w:val="7"/>
        <w:spacing w:line="360" w:lineRule="auto"/>
        <w:rPr>
          <w:rFonts w:ascii="宋体" w:hAnsi="宋体" w:cs="宋体"/>
          <w:color w:val="000000" w:themeColor="text1"/>
          <w:szCs w:val="21"/>
          <w:highlight w:val="none"/>
          <w14:textFill>
            <w14:solidFill>
              <w14:schemeClr w14:val="tx1"/>
            </w14:solidFill>
          </w14:textFill>
        </w:rPr>
      </w:pPr>
    </w:p>
    <w:p w14:paraId="24DD5A75">
      <w:pPr>
        <w:pStyle w:val="7"/>
        <w:spacing w:line="360" w:lineRule="auto"/>
        <w:rPr>
          <w:rFonts w:ascii="宋体" w:hAnsi="宋体" w:cs="宋体"/>
          <w:color w:val="000000" w:themeColor="text1"/>
          <w:szCs w:val="21"/>
          <w:highlight w:val="none"/>
          <w14:textFill>
            <w14:solidFill>
              <w14:schemeClr w14:val="tx1"/>
            </w14:solidFill>
          </w14:textFill>
        </w:rPr>
      </w:pPr>
    </w:p>
    <w:p w14:paraId="1332A381">
      <w:pPr>
        <w:pStyle w:val="7"/>
        <w:spacing w:line="360" w:lineRule="auto"/>
        <w:jc w:val="righ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（项目名称）标段施工招标评标委员会</w:t>
      </w:r>
    </w:p>
    <w:p w14:paraId="4DCAA13C">
      <w:pPr>
        <w:pStyle w:val="7"/>
        <w:spacing w:line="360" w:lineRule="auto"/>
        <w:rPr>
          <w:rFonts w:ascii="宋体" w:hAnsi="宋体" w:cs="宋体"/>
          <w:color w:val="000000" w:themeColor="text1"/>
          <w:szCs w:val="21"/>
          <w:highlight w:val="none"/>
          <w14:textFill>
            <w14:solidFill>
              <w14:schemeClr w14:val="tx1"/>
            </w14:solidFill>
          </w14:textFill>
        </w:rPr>
      </w:pPr>
    </w:p>
    <w:p w14:paraId="7A34CC5F">
      <w:pPr>
        <w:pStyle w:val="7"/>
        <w:spacing w:line="360" w:lineRule="auto"/>
        <w:ind w:firstLine="315" w:firstLineChars="150"/>
        <w:jc w:val="right"/>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______年____月____日</w:t>
      </w:r>
    </w:p>
    <w:p w14:paraId="511682C5">
      <w:pPr>
        <w:pStyle w:val="7"/>
        <w:spacing w:line="360" w:lineRule="auto"/>
        <w:rPr>
          <w:rFonts w:ascii="宋体" w:hAnsi="宋体" w:cs="宋体"/>
          <w:color w:val="000000" w:themeColor="text1"/>
          <w:highlight w:val="none"/>
          <w14:textFill>
            <w14:solidFill>
              <w14:schemeClr w14:val="tx1"/>
            </w14:solidFill>
          </w14:textFill>
        </w:rPr>
      </w:pPr>
    </w:p>
    <w:p w14:paraId="56A348A0">
      <w:pPr>
        <w:pStyle w:val="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5A7CD1EF">
      <w:pPr>
        <w:pStyle w:val="40"/>
        <w:spacing w:before="0" w:after="0" w:line="360" w:lineRule="auto"/>
        <w:jc w:val="left"/>
        <w:rPr>
          <w:rFonts w:ascii="宋体" w:hAnsi="宋体" w:cs="宋体"/>
          <w:b w:val="0"/>
          <w:color w:val="000000" w:themeColor="text1"/>
          <w:sz w:val="28"/>
          <w:szCs w:val="28"/>
          <w:highlight w:val="none"/>
          <w14:textFill>
            <w14:solidFill>
              <w14:schemeClr w14:val="tx1"/>
            </w14:solidFill>
          </w14:textFill>
        </w:rPr>
      </w:pPr>
      <w:bookmarkStart w:id="878" w:name="_Toc9677"/>
      <w:bookmarkStart w:id="879" w:name="_Toc2251"/>
      <w:bookmarkStart w:id="880" w:name="_Toc118195790"/>
      <w:bookmarkStart w:id="881" w:name="_Toc10630"/>
      <w:bookmarkStart w:id="882" w:name="_Toc22847"/>
      <w:bookmarkStart w:id="883" w:name="_Toc15002"/>
      <w:bookmarkStart w:id="884" w:name="_Toc12841"/>
      <w:bookmarkStart w:id="885" w:name="_Toc120624184"/>
      <w:bookmarkStart w:id="886" w:name="_Toc98785262"/>
      <w:bookmarkStart w:id="887" w:name="_Toc21773"/>
      <w:bookmarkStart w:id="888" w:name="_Toc18018"/>
      <w:bookmarkStart w:id="889" w:name="_Toc1156"/>
      <w:bookmarkStart w:id="890" w:name="_Toc452457690"/>
      <w:bookmarkStart w:id="891" w:name="_Toc10808"/>
      <w:bookmarkStart w:id="892" w:name="_Toc15630"/>
      <w:bookmarkStart w:id="893" w:name="_Toc14350"/>
      <w:bookmarkStart w:id="894" w:name="_Toc18510"/>
      <w:bookmarkStart w:id="895" w:name="_Toc119585494"/>
      <w:bookmarkStart w:id="896" w:name="_Toc25243"/>
      <w:bookmarkStart w:id="897" w:name="_Toc19236"/>
      <w:r>
        <w:rPr>
          <w:rFonts w:hint="eastAsia" w:ascii="宋体" w:hAnsi="宋体" w:cs="宋体"/>
          <w:b w:val="0"/>
          <w:color w:val="000000" w:themeColor="text1"/>
          <w:sz w:val="28"/>
          <w:szCs w:val="28"/>
          <w:highlight w:val="none"/>
          <w14:textFill>
            <w14:solidFill>
              <w14:schemeClr w14:val="tx1"/>
            </w14:solidFill>
          </w14:textFill>
        </w:rPr>
        <w:t>附表三：问题的澄清</w:t>
      </w:r>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p>
    <w:p w14:paraId="732007F8">
      <w:pPr>
        <w:pStyle w:val="7"/>
        <w:spacing w:line="360" w:lineRule="auto"/>
        <w:jc w:val="center"/>
        <w:rPr>
          <w:rFonts w:ascii="宋体" w:hAnsi="宋体" w:cs="宋体"/>
          <w:color w:val="000000" w:themeColor="text1"/>
          <w:sz w:val="28"/>
          <w:szCs w:val="28"/>
          <w:highlight w:val="none"/>
          <w14:textFill>
            <w14:solidFill>
              <w14:schemeClr w14:val="tx1"/>
            </w14:solidFill>
          </w14:textFill>
        </w:rPr>
      </w:pPr>
    </w:p>
    <w:p w14:paraId="22DDB94F">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问题的澄清</w:t>
      </w:r>
    </w:p>
    <w:p w14:paraId="65EB0739">
      <w:pPr>
        <w:pStyle w:val="7"/>
        <w:spacing w:line="360" w:lineRule="auto"/>
        <w:ind w:firstLine="3465" w:firstLineChars="165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编号：</w:t>
      </w:r>
      <w:r>
        <w:rPr>
          <w:rFonts w:ascii="宋体" w:hAnsi="宋体" w:cs="宋体"/>
          <w:color w:val="000000" w:themeColor="text1"/>
          <w:highlight w:val="none"/>
          <w:u w:val="single"/>
          <w14:textFill>
            <w14:solidFill>
              <w14:schemeClr w14:val="tx1"/>
            </w14:solidFill>
          </w14:textFill>
        </w:rPr>
        <w:t xml:space="preserve">          </w:t>
      </w:r>
    </w:p>
    <w:p w14:paraId="3B2F10A4">
      <w:pPr>
        <w:pStyle w:val="7"/>
        <w:spacing w:line="360" w:lineRule="auto"/>
        <w:rPr>
          <w:rFonts w:ascii="宋体" w:hAnsi="宋体" w:cs="宋体"/>
          <w:color w:val="000000" w:themeColor="text1"/>
          <w:szCs w:val="21"/>
          <w:highlight w:val="none"/>
          <w14:textFill>
            <w14:solidFill>
              <w14:schemeClr w14:val="tx1"/>
            </w14:solidFill>
          </w14:textFill>
        </w:rPr>
      </w:pPr>
    </w:p>
    <w:p w14:paraId="5BB0EAF4">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（项目名称）</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标段施工招标评标委员会：</w:t>
      </w:r>
    </w:p>
    <w:p w14:paraId="2C8DF15B">
      <w:pPr>
        <w:pStyle w:val="7"/>
        <w:spacing w:line="360" w:lineRule="auto"/>
        <w:rPr>
          <w:rFonts w:ascii="宋体" w:hAnsi="宋体" w:cs="宋体"/>
          <w:color w:val="000000" w:themeColor="text1"/>
          <w:szCs w:val="21"/>
          <w:highlight w:val="none"/>
          <w14:textFill>
            <w14:solidFill>
              <w14:schemeClr w14:val="tx1"/>
            </w14:solidFill>
          </w14:textFill>
        </w:rPr>
      </w:pPr>
    </w:p>
    <w:p w14:paraId="43C64F3E">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问题澄清通知（编号：</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）已收悉，现澄清如下：</w:t>
      </w:r>
    </w:p>
    <w:p w14:paraId="1E04E1D5">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r>
        <w:rPr>
          <w:rFonts w:ascii="宋体" w:hAnsi="宋体" w:cs="宋体"/>
          <w:color w:val="000000" w:themeColor="text1"/>
          <w:szCs w:val="21"/>
          <w:highlight w:val="none"/>
          <w14:textFill>
            <w14:solidFill>
              <w14:schemeClr w14:val="tx1"/>
            </w14:solidFill>
          </w14:textFill>
        </w:rPr>
        <w:t xml:space="preserve">     1.</w:t>
      </w:r>
    </w:p>
    <w:p w14:paraId="2228CEBE">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r>
        <w:rPr>
          <w:rFonts w:ascii="宋体" w:hAnsi="宋体" w:cs="宋体"/>
          <w:color w:val="000000" w:themeColor="text1"/>
          <w:szCs w:val="21"/>
          <w:highlight w:val="none"/>
          <w14:textFill>
            <w14:solidFill>
              <w14:schemeClr w14:val="tx1"/>
            </w14:solidFill>
          </w14:textFill>
        </w:rPr>
        <w:t xml:space="preserve">     2.</w:t>
      </w:r>
    </w:p>
    <w:p w14:paraId="5C9E4EEB">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73BEAEEC">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r>
        <w:rPr>
          <w:rFonts w:ascii="宋体" w:hAnsi="宋体" w:cs="宋体"/>
          <w:color w:val="000000" w:themeColor="text1"/>
          <w:szCs w:val="21"/>
          <w:highlight w:val="none"/>
          <w14:textFill>
            <w14:solidFill>
              <w14:schemeClr w14:val="tx1"/>
            </w14:solidFill>
          </w14:textFill>
        </w:rPr>
        <w:t xml:space="preserve">    .....</w:t>
      </w:r>
    </w:p>
    <w:p w14:paraId="6BA2CF22">
      <w:pPr>
        <w:pStyle w:val="7"/>
        <w:spacing w:line="360" w:lineRule="auto"/>
        <w:rPr>
          <w:rFonts w:ascii="宋体" w:hAnsi="宋体" w:cs="宋体"/>
          <w:color w:val="000000" w:themeColor="text1"/>
          <w:szCs w:val="21"/>
          <w:highlight w:val="none"/>
          <w14:textFill>
            <w14:solidFill>
              <w14:schemeClr w14:val="tx1"/>
            </w14:solidFill>
          </w14:textFill>
        </w:rPr>
      </w:pPr>
    </w:p>
    <w:p w14:paraId="5AAECF3F">
      <w:pPr>
        <w:pStyle w:val="7"/>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上述问题澄清或说明，不改变我方投标文件的实质性内容，构成我方投标文件的组成部分。</w:t>
      </w:r>
    </w:p>
    <w:p w14:paraId="1126459D">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28A11526">
      <w:pPr>
        <w:pStyle w:val="7"/>
        <w:spacing w:line="360" w:lineRule="auto"/>
        <w:rPr>
          <w:rFonts w:ascii="宋体" w:hAnsi="宋体" w:cs="宋体"/>
          <w:color w:val="000000" w:themeColor="text1"/>
          <w:szCs w:val="21"/>
          <w:highlight w:val="none"/>
          <w14:textFill>
            <w14:solidFill>
              <w14:schemeClr w14:val="tx1"/>
            </w14:solidFill>
          </w14:textFill>
        </w:rPr>
      </w:pPr>
    </w:p>
    <w:p w14:paraId="3212E111">
      <w:pPr>
        <w:pStyle w:val="7"/>
        <w:spacing w:line="360" w:lineRule="auto"/>
        <w:rPr>
          <w:rFonts w:ascii="宋体" w:hAnsi="宋体" w:cs="宋体"/>
          <w:color w:val="000000" w:themeColor="text1"/>
          <w:szCs w:val="21"/>
          <w:highlight w:val="none"/>
          <w14:textFill>
            <w14:solidFill>
              <w14:schemeClr w14:val="tx1"/>
            </w14:solidFill>
          </w14:textFill>
        </w:rPr>
      </w:pPr>
    </w:p>
    <w:p w14:paraId="4B7945FC">
      <w:pPr>
        <w:pStyle w:val="7"/>
        <w:spacing w:line="360" w:lineRule="auto"/>
        <w:rPr>
          <w:rFonts w:ascii="宋体" w:hAnsi="宋体" w:cs="宋体"/>
          <w:color w:val="000000" w:themeColor="text1"/>
          <w:szCs w:val="21"/>
          <w:highlight w:val="none"/>
          <w14:textFill>
            <w14:solidFill>
              <w14:schemeClr w14:val="tx1"/>
            </w14:solidFill>
          </w14:textFill>
        </w:rPr>
      </w:pPr>
    </w:p>
    <w:p w14:paraId="575A170B">
      <w:pPr>
        <w:pStyle w:val="7"/>
        <w:spacing w:line="360" w:lineRule="auto"/>
        <w:rPr>
          <w:rFonts w:ascii="宋体" w:hAnsi="宋体" w:cs="宋体"/>
          <w:color w:val="000000" w:themeColor="text1"/>
          <w:szCs w:val="21"/>
          <w:highlight w:val="none"/>
          <w14:textFill>
            <w14:solidFill>
              <w14:schemeClr w14:val="tx1"/>
            </w14:solidFill>
          </w14:textFill>
        </w:rPr>
      </w:pPr>
    </w:p>
    <w:p w14:paraId="7E93E017">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投标人：</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（盖单位公章）</w:t>
      </w:r>
    </w:p>
    <w:p w14:paraId="041642DE">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62EE47E1">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法定代表人：</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（签字）</w:t>
      </w:r>
    </w:p>
    <w:p w14:paraId="32F20787">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7736F96A">
      <w:pPr>
        <w:pStyle w:val="7"/>
        <w:spacing w:line="360" w:lineRule="auto"/>
        <w:ind w:left="3118" w:leftChars="1485" w:firstLine="315" w:firstLineChars="150"/>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______年____月____日</w:t>
      </w:r>
    </w:p>
    <w:p w14:paraId="0D2484EE">
      <w:pPr>
        <w:pStyle w:val="7"/>
        <w:spacing w:line="360" w:lineRule="auto"/>
        <w:rPr>
          <w:rFonts w:ascii="宋体" w:hAnsi="宋体" w:cs="宋体"/>
          <w:color w:val="000000" w:themeColor="text1"/>
          <w:highlight w:val="none"/>
          <w14:textFill>
            <w14:solidFill>
              <w14:schemeClr w14:val="tx1"/>
            </w14:solidFill>
          </w14:textFill>
        </w:rPr>
      </w:pPr>
    </w:p>
    <w:p w14:paraId="2C3BBC9C">
      <w:pPr>
        <w:pStyle w:val="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01A715BF">
      <w:pPr>
        <w:pStyle w:val="40"/>
        <w:spacing w:before="0" w:after="0" w:line="360" w:lineRule="auto"/>
        <w:jc w:val="left"/>
        <w:rPr>
          <w:rFonts w:ascii="宋体" w:hAnsi="宋体" w:cs="宋体"/>
          <w:b w:val="0"/>
          <w:color w:val="000000" w:themeColor="text1"/>
          <w:sz w:val="28"/>
          <w:szCs w:val="28"/>
          <w:highlight w:val="none"/>
          <w14:textFill>
            <w14:solidFill>
              <w14:schemeClr w14:val="tx1"/>
            </w14:solidFill>
          </w14:textFill>
        </w:rPr>
      </w:pPr>
      <w:bookmarkStart w:id="898" w:name="_Toc17291"/>
      <w:bookmarkStart w:id="899" w:name="_Toc8161"/>
      <w:bookmarkStart w:id="900" w:name="_Toc13218"/>
      <w:bookmarkStart w:id="901" w:name="_Toc15258"/>
      <w:bookmarkStart w:id="902" w:name="_Toc118195791"/>
      <w:bookmarkStart w:id="903" w:name="_Toc98785263"/>
      <w:bookmarkStart w:id="904" w:name="_Toc120624185"/>
      <w:bookmarkStart w:id="905" w:name="_Toc14687"/>
      <w:bookmarkStart w:id="906" w:name="_Toc18142"/>
      <w:bookmarkStart w:id="907" w:name="_Toc25849"/>
      <w:bookmarkStart w:id="908" w:name="_Toc32257"/>
      <w:bookmarkStart w:id="909" w:name="_Toc2622"/>
      <w:bookmarkStart w:id="910" w:name="_Toc4995"/>
      <w:bookmarkStart w:id="911" w:name="_Toc452457691"/>
      <w:bookmarkStart w:id="912" w:name="_Toc20726"/>
      <w:bookmarkStart w:id="913" w:name="_Toc16710"/>
      <w:bookmarkStart w:id="914" w:name="_Toc21728"/>
      <w:bookmarkStart w:id="915" w:name="_Toc22080"/>
      <w:bookmarkStart w:id="916" w:name="_Toc11527"/>
      <w:bookmarkStart w:id="917" w:name="_Toc119585495"/>
      <w:r>
        <w:rPr>
          <w:rFonts w:hint="eastAsia" w:ascii="宋体" w:hAnsi="宋体" w:cs="宋体"/>
          <w:b w:val="0"/>
          <w:color w:val="000000" w:themeColor="text1"/>
          <w:sz w:val="28"/>
          <w:szCs w:val="28"/>
          <w:highlight w:val="none"/>
          <w14:textFill>
            <w14:solidFill>
              <w14:schemeClr w14:val="tx1"/>
            </w14:solidFill>
          </w14:textFill>
        </w:rPr>
        <w:t>附表四：中标通知书</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14:paraId="6186395E">
      <w:pPr>
        <w:pStyle w:val="7"/>
        <w:spacing w:line="360" w:lineRule="auto"/>
        <w:rPr>
          <w:rFonts w:ascii="宋体" w:hAnsi="宋体" w:cs="宋体"/>
          <w:color w:val="000000" w:themeColor="text1"/>
          <w:highlight w:val="none"/>
          <w14:textFill>
            <w14:solidFill>
              <w14:schemeClr w14:val="tx1"/>
            </w14:solidFill>
          </w14:textFill>
        </w:rPr>
      </w:pPr>
    </w:p>
    <w:p w14:paraId="3555ED69">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中标通知书</w:t>
      </w:r>
    </w:p>
    <w:p w14:paraId="55CD6E14">
      <w:pPr>
        <w:pStyle w:val="7"/>
        <w:spacing w:line="360" w:lineRule="auto"/>
        <w:rPr>
          <w:rFonts w:ascii="宋体" w:hAnsi="宋体" w:cs="宋体"/>
          <w:color w:val="000000" w:themeColor="text1"/>
          <w:highlight w:val="none"/>
          <w14:textFill>
            <w14:solidFill>
              <w14:schemeClr w14:val="tx1"/>
            </w14:solidFill>
          </w14:textFill>
        </w:rPr>
      </w:pPr>
    </w:p>
    <w:p w14:paraId="3D1F79AD">
      <w:pPr>
        <w:pStyle w:val="7"/>
        <w:spacing w:line="360" w:lineRule="auto"/>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_______________（中标人名称）：</w:t>
      </w:r>
    </w:p>
    <w:p w14:paraId="2B80168F">
      <w:pPr>
        <w:pStyle w:val="7"/>
        <w:spacing w:line="360" w:lineRule="auto"/>
        <w:rPr>
          <w:rFonts w:ascii="宋体" w:hAnsi="宋体" w:cs="宋体"/>
          <w:color w:val="000000" w:themeColor="text1"/>
          <w:szCs w:val="21"/>
          <w:highlight w:val="none"/>
          <w14:textFill>
            <w14:solidFill>
              <w14:schemeClr w14:val="tx1"/>
            </w14:solidFill>
          </w14:textFill>
        </w:rPr>
      </w:pPr>
    </w:p>
    <w:p w14:paraId="481B4ECA">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你方于</w:t>
      </w:r>
      <w:r>
        <w:rPr>
          <w:rFonts w:ascii="宋体" w:hAnsi="宋体" w:cs="宋体"/>
          <w:color w:val="000000" w:themeColor="text1"/>
          <w:szCs w:val="21"/>
          <w:highlight w:val="none"/>
          <w14:textFill>
            <w14:solidFill>
              <w14:schemeClr w14:val="tx1"/>
            </w14:solidFill>
          </w14:textFill>
        </w:rPr>
        <w:t>_____________（投标日期）所递交的__________（项目名称）___标段施工投标文件已被我方接受，被确定为中标人。</w:t>
      </w:r>
    </w:p>
    <w:p w14:paraId="25735C92">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中标价：</w:t>
      </w:r>
      <w:r>
        <w:rPr>
          <w:rFonts w:ascii="宋体" w:hAnsi="宋体" w:cs="宋体"/>
          <w:color w:val="000000" w:themeColor="text1"/>
          <w:szCs w:val="21"/>
          <w:highlight w:val="none"/>
          <w14:textFill>
            <w14:solidFill>
              <w14:schemeClr w14:val="tx1"/>
            </w14:solidFill>
          </w14:textFill>
        </w:rPr>
        <w:t>________________________元。</w:t>
      </w:r>
    </w:p>
    <w:p w14:paraId="203BC0AE">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工期：</w:t>
      </w:r>
      <w:r>
        <w:rPr>
          <w:rFonts w:ascii="宋体" w:hAnsi="宋体" w:cs="宋体"/>
          <w:color w:val="000000" w:themeColor="text1"/>
          <w:szCs w:val="21"/>
          <w:highlight w:val="none"/>
          <w14:textFill>
            <w14:solidFill>
              <w14:schemeClr w14:val="tx1"/>
            </w14:solidFill>
          </w14:textFill>
        </w:rPr>
        <w:t>____________日历天。</w:t>
      </w:r>
    </w:p>
    <w:p w14:paraId="660B60C9">
      <w:pPr>
        <w:pStyle w:val="7"/>
        <w:spacing w:line="360" w:lineRule="auto"/>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工程质量：</w:t>
      </w:r>
      <w:r>
        <w:rPr>
          <w:rFonts w:ascii="宋体" w:hAnsi="宋体" w:cs="宋体"/>
          <w:color w:val="000000" w:themeColor="text1"/>
          <w:szCs w:val="21"/>
          <w:highlight w:val="none"/>
          <w14:textFill>
            <w14:solidFill>
              <w14:schemeClr w14:val="tx1"/>
            </w14:solidFill>
          </w14:textFill>
        </w:rPr>
        <w:t>__________________________。</w:t>
      </w:r>
    </w:p>
    <w:p w14:paraId="0AC49707">
      <w:pPr>
        <w:pStyle w:val="7"/>
        <w:spacing w:line="360" w:lineRule="auto"/>
        <w:ind w:firstLine="210" w:firstLineChars="1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工程安全目标：__________________________。</w:t>
      </w:r>
    </w:p>
    <w:p w14:paraId="5355330A">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项目经理：</w:t>
      </w:r>
      <w:r>
        <w:rPr>
          <w:rFonts w:ascii="宋体" w:hAnsi="宋体" w:cs="宋体"/>
          <w:color w:val="000000" w:themeColor="text1"/>
          <w:szCs w:val="21"/>
          <w:highlight w:val="none"/>
          <w14:textFill>
            <w14:solidFill>
              <w14:schemeClr w14:val="tx1"/>
            </w14:solidFill>
          </w14:textFill>
        </w:rPr>
        <w:t>____________（姓名）。</w:t>
      </w:r>
    </w:p>
    <w:p w14:paraId="6AB42A98">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项目技术负责人：</w:t>
      </w:r>
      <w:r>
        <w:rPr>
          <w:rFonts w:ascii="宋体" w:hAnsi="宋体" w:cs="宋体"/>
          <w:color w:val="000000" w:themeColor="text1"/>
          <w:szCs w:val="21"/>
          <w:highlight w:val="none"/>
          <w14:textFill>
            <w14:solidFill>
              <w14:schemeClr w14:val="tx1"/>
            </w14:solidFill>
          </w14:textFill>
        </w:rPr>
        <w:t>____________（姓名）。</w:t>
      </w:r>
    </w:p>
    <w:p w14:paraId="482D3368">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请你方在接到本通知书后的</w:t>
      </w:r>
      <w:r>
        <w:rPr>
          <w:rFonts w:ascii="宋体" w:hAnsi="宋体" w:cs="宋体"/>
          <w:color w:val="000000" w:themeColor="text1"/>
          <w:szCs w:val="21"/>
          <w:highlight w:val="none"/>
          <w14:textFill>
            <w14:solidFill>
              <w14:schemeClr w14:val="tx1"/>
            </w14:solidFill>
          </w14:textFill>
        </w:rPr>
        <w:t>____日内到________________（指定地点）与我方签订施工承包合同，在此之前按招标文件第二章“投标人须知”第7.7款规定向我方提交履约保证金。</w:t>
      </w:r>
    </w:p>
    <w:p w14:paraId="75547E44">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特此通知。</w:t>
      </w:r>
    </w:p>
    <w:p w14:paraId="5EF1A3BB">
      <w:pPr>
        <w:pStyle w:val="7"/>
        <w:spacing w:line="360" w:lineRule="auto"/>
        <w:rPr>
          <w:rFonts w:ascii="宋体" w:hAnsi="宋体" w:cs="宋体"/>
          <w:color w:val="000000" w:themeColor="text1"/>
          <w:szCs w:val="21"/>
          <w:highlight w:val="none"/>
          <w14:textFill>
            <w14:solidFill>
              <w14:schemeClr w14:val="tx1"/>
            </w14:solidFill>
          </w14:textFill>
        </w:rPr>
      </w:pPr>
    </w:p>
    <w:p w14:paraId="04EB13B6">
      <w:pPr>
        <w:pStyle w:val="7"/>
        <w:spacing w:line="360" w:lineRule="auto"/>
        <w:rPr>
          <w:rFonts w:ascii="宋体" w:hAnsi="宋体" w:cs="宋体"/>
          <w:color w:val="000000" w:themeColor="text1"/>
          <w:szCs w:val="21"/>
          <w:highlight w:val="none"/>
          <w14:textFill>
            <w14:solidFill>
              <w14:schemeClr w14:val="tx1"/>
            </w14:solidFill>
          </w14:textFill>
        </w:rPr>
      </w:pPr>
    </w:p>
    <w:p w14:paraId="347F99D0">
      <w:pPr>
        <w:pStyle w:val="7"/>
        <w:spacing w:line="360" w:lineRule="auto"/>
        <w:rPr>
          <w:rFonts w:ascii="宋体" w:hAnsi="宋体" w:cs="宋体"/>
          <w:color w:val="000000" w:themeColor="text1"/>
          <w:szCs w:val="21"/>
          <w:highlight w:val="none"/>
          <w14:textFill>
            <w14:solidFill>
              <w14:schemeClr w14:val="tx1"/>
            </w14:solidFill>
          </w14:textFill>
        </w:rPr>
      </w:pPr>
    </w:p>
    <w:p w14:paraId="530D3246">
      <w:pPr>
        <w:pStyle w:val="7"/>
        <w:spacing w:line="360" w:lineRule="auto"/>
        <w:ind w:firstLine="3238" w:firstLineChars="15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（盖单位公章）</w:t>
      </w:r>
    </w:p>
    <w:p w14:paraId="051DC3D4">
      <w:pPr>
        <w:pStyle w:val="7"/>
        <w:spacing w:line="360" w:lineRule="auto"/>
        <w:ind w:firstLine="3238" w:firstLineChars="15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招标代理：</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（盖单位公章）</w:t>
      </w:r>
    </w:p>
    <w:p w14:paraId="3C314BCC">
      <w:pPr>
        <w:pStyle w:val="7"/>
        <w:spacing w:line="360" w:lineRule="auto"/>
        <w:ind w:firstLine="3548" w:firstLineChars="169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_______年___月____日</w:t>
      </w:r>
    </w:p>
    <w:p w14:paraId="02B0A89A">
      <w:pPr>
        <w:pStyle w:val="7"/>
        <w:spacing w:line="360" w:lineRule="auto"/>
        <w:rPr>
          <w:rFonts w:ascii="宋体" w:hAnsi="宋体" w:cs="宋体"/>
          <w:color w:val="000000" w:themeColor="text1"/>
          <w:highlight w:val="none"/>
          <w14:textFill>
            <w14:solidFill>
              <w14:schemeClr w14:val="tx1"/>
            </w14:solidFill>
          </w14:textFill>
        </w:rPr>
      </w:pPr>
    </w:p>
    <w:p w14:paraId="0E3316FE">
      <w:pPr>
        <w:pStyle w:val="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496D5749">
      <w:pPr>
        <w:pStyle w:val="40"/>
        <w:spacing w:before="0" w:after="0" w:line="360" w:lineRule="auto"/>
        <w:jc w:val="left"/>
        <w:rPr>
          <w:rFonts w:ascii="宋体" w:hAnsi="宋体" w:cs="宋体"/>
          <w:b w:val="0"/>
          <w:color w:val="000000" w:themeColor="text1"/>
          <w:sz w:val="28"/>
          <w:szCs w:val="28"/>
          <w:highlight w:val="none"/>
          <w14:textFill>
            <w14:solidFill>
              <w14:schemeClr w14:val="tx1"/>
            </w14:solidFill>
          </w14:textFill>
        </w:rPr>
      </w:pPr>
      <w:bookmarkStart w:id="918" w:name="_Toc119585496"/>
      <w:bookmarkStart w:id="919" w:name="_Toc26587"/>
      <w:bookmarkStart w:id="920" w:name="_Toc11347"/>
      <w:bookmarkStart w:id="921" w:name="_Toc25145"/>
      <w:bookmarkStart w:id="922" w:name="_Toc21441"/>
      <w:bookmarkStart w:id="923" w:name="_Toc31982"/>
      <w:bookmarkStart w:id="924" w:name="_Toc8976"/>
      <w:bookmarkStart w:id="925" w:name="_Toc10992"/>
      <w:bookmarkStart w:id="926" w:name="_Toc31090"/>
      <w:bookmarkStart w:id="927" w:name="_Toc7849"/>
      <w:bookmarkStart w:id="928" w:name="_Toc26470"/>
      <w:bookmarkStart w:id="929" w:name="_Toc24838"/>
      <w:bookmarkStart w:id="930" w:name="_Toc26836"/>
      <w:bookmarkStart w:id="931" w:name="_Toc9039"/>
      <w:bookmarkStart w:id="932" w:name="_Toc32132"/>
      <w:bookmarkStart w:id="933" w:name="_Toc98785264"/>
      <w:bookmarkStart w:id="934" w:name="_Toc27564"/>
      <w:bookmarkStart w:id="935" w:name="_Toc118195792"/>
      <w:bookmarkStart w:id="936" w:name="_Toc452457692"/>
      <w:bookmarkStart w:id="937" w:name="_Toc120624186"/>
      <w:r>
        <w:rPr>
          <w:rFonts w:hint="eastAsia" w:ascii="宋体" w:hAnsi="宋体" w:cs="宋体"/>
          <w:b w:val="0"/>
          <w:color w:val="000000" w:themeColor="text1"/>
          <w:sz w:val="28"/>
          <w:szCs w:val="28"/>
          <w:highlight w:val="none"/>
          <w14:textFill>
            <w14:solidFill>
              <w14:schemeClr w14:val="tx1"/>
            </w14:solidFill>
          </w14:textFill>
        </w:rPr>
        <w:t>附表五：中标结果通知书</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3AA7E093">
      <w:pPr>
        <w:pStyle w:val="7"/>
        <w:spacing w:line="360" w:lineRule="auto"/>
        <w:rPr>
          <w:rFonts w:ascii="宋体" w:hAnsi="宋体" w:cs="宋体"/>
          <w:color w:val="000000" w:themeColor="text1"/>
          <w:highlight w:val="none"/>
          <w14:textFill>
            <w14:solidFill>
              <w14:schemeClr w14:val="tx1"/>
            </w14:solidFill>
          </w14:textFill>
        </w:rPr>
      </w:pPr>
    </w:p>
    <w:p w14:paraId="58E021B1">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中标结果通知书</w:t>
      </w:r>
    </w:p>
    <w:p w14:paraId="0F5DC9CF">
      <w:pPr>
        <w:pStyle w:val="7"/>
        <w:spacing w:line="360" w:lineRule="auto"/>
        <w:rPr>
          <w:rFonts w:ascii="宋体" w:hAnsi="宋体" w:cs="宋体"/>
          <w:color w:val="000000" w:themeColor="text1"/>
          <w:highlight w:val="none"/>
          <w14:textFill>
            <w14:solidFill>
              <w14:schemeClr w14:val="tx1"/>
            </w14:solidFill>
          </w14:textFill>
        </w:rPr>
      </w:pPr>
    </w:p>
    <w:p w14:paraId="5A031837">
      <w:pPr>
        <w:pStyle w:val="7"/>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_______________（未中标人名称）：</w:t>
      </w:r>
    </w:p>
    <w:p w14:paraId="6F962EE3">
      <w:pPr>
        <w:pStyle w:val="7"/>
        <w:spacing w:line="360" w:lineRule="auto"/>
        <w:rPr>
          <w:rFonts w:ascii="宋体" w:hAnsi="宋体" w:cs="宋体"/>
          <w:color w:val="000000" w:themeColor="text1"/>
          <w:szCs w:val="21"/>
          <w:highlight w:val="none"/>
          <w14:textFill>
            <w14:solidFill>
              <w14:schemeClr w14:val="tx1"/>
            </w14:solidFill>
          </w14:textFill>
        </w:rPr>
      </w:pPr>
    </w:p>
    <w:p w14:paraId="0F879331">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我方已接受</w:t>
      </w:r>
      <w:r>
        <w:rPr>
          <w:rFonts w:ascii="宋体" w:hAnsi="宋体" w:cs="宋体"/>
          <w:color w:val="000000" w:themeColor="text1"/>
          <w:szCs w:val="21"/>
          <w:highlight w:val="none"/>
          <w14:textFill>
            <w14:solidFill>
              <w14:schemeClr w14:val="tx1"/>
            </w14:solidFill>
          </w14:textFill>
        </w:rPr>
        <w:t>_______________（中标人名称）于_______________（投标日期）所递交的________________（项目名称）_____标段施工投标文件，确定_______________（中标人名称）为中标人。</w:t>
      </w:r>
    </w:p>
    <w:p w14:paraId="296F6BF5">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453F10B1">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感谢你单位对招标项目的参与！</w:t>
      </w:r>
    </w:p>
    <w:p w14:paraId="30928769">
      <w:pPr>
        <w:pStyle w:val="7"/>
        <w:spacing w:line="360" w:lineRule="auto"/>
        <w:rPr>
          <w:rFonts w:ascii="宋体" w:hAnsi="宋体" w:cs="宋体"/>
          <w:color w:val="000000" w:themeColor="text1"/>
          <w:szCs w:val="21"/>
          <w:highlight w:val="none"/>
          <w14:textFill>
            <w14:solidFill>
              <w14:schemeClr w14:val="tx1"/>
            </w14:solidFill>
          </w14:textFill>
        </w:rPr>
      </w:pPr>
    </w:p>
    <w:p w14:paraId="5E1F9F24">
      <w:pPr>
        <w:pStyle w:val="7"/>
        <w:spacing w:line="360" w:lineRule="auto"/>
        <w:rPr>
          <w:rFonts w:ascii="宋体" w:hAnsi="宋体" w:cs="宋体"/>
          <w:color w:val="000000" w:themeColor="text1"/>
          <w:szCs w:val="21"/>
          <w:highlight w:val="none"/>
          <w14:textFill>
            <w14:solidFill>
              <w14:schemeClr w14:val="tx1"/>
            </w14:solidFill>
          </w14:textFill>
        </w:rPr>
      </w:pPr>
    </w:p>
    <w:p w14:paraId="3E26DD65">
      <w:pPr>
        <w:pStyle w:val="7"/>
        <w:spacing w:line="360" w:lineRule="auto"/>
        <w:rPr>
          <w:rFonts w:ascii="宋体" w:hAnsi="宋体" w:cs="宋体"/>
          <w:color w:val="000000" w:themeColor="text1"/>
          <w:szCs w:val="21"/>
          <w:highlight w:val="none"/>
          <w14:textFill>
            <w14:solidFill>
              <w14:schemeClr w14:val="tx1"/>
            </w14:solidFill>
          </w14:textFill>
        </w:rPr>
      </w:pPr>
    </w:p>
    <w:p w14:paraId="4A7B24E8">
      <w:pPr>
        <w:pStyle w:val="7"/>
        <w:spacing w:line="360" w:lineRule="auto"/>
        <w:ind w:firstLine="3238" w:firstLineChars="15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招标人：</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（盖单位公章）</w:t>
      </w:r>
    </w:p>
    <w:p w14:paraId="2BB629A0">
      <w:pPr>
        <w:pStyle w:val="7"/>
        <w:spacing w:line="360" w:lineRule="auto"/>
        <w:ind w:firstLine="3238" w:firstLineChars="15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招标代理：</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（盖单位公章）</w:t>
      </w:r>
    </w:p>
    <w:p w14:paraId="7BCF8255">
      <w:pPr>
        <w:pStyle w:val="7"/>
        <w:spacing w:line="360" w:lineRule="auto"/>
        <w:ind w:firstLine="3548" w:firstLineChars="169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_________年___月____日</w:t>
      </w:r>
    </w:p>
    <w:p w14:paraId="06D90D7E">
      <w:pPr>
        <w:pStyle w:val="7"/>
        <w:spacing w:line="360" w:lineRule="auto"/>
        <w:rPr>
          <w:rFonts w:ascii="宋体" w:hAnsi="宋体" w:cs="宋体"/>
          <w:color w:val="000000" w:themeColor="text1"/>
          <w:highlight w:val="none"/>
          <w14:textFill>
            <w14:solidFill>
              <w14:schemeClr w14:val="tx1"/>
            </w14:solidFill>
          </w14:textFill>
        </w:rPr>
      </w:pPr>
    </w:p>
    <w:p w14:paraId="22175F7D">
      <w:pPr>
        <w:pStyle w:val="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15B49661">
      <w:pPr>
        <w:pStyle w:val="40"/>
        <w:spacing w:before="0" w:after="0" w:line="360" w:lineRule="auto"/>
        <w:jc w:val="left"/>
        <w:rPr>
          <w:rFonts w:ascii="宋体" w:hAnsi="宋体" w:cs="宋体"/>
          <w:b w:val="0"/>
          <w:color w:val="000000" w:themeColor="text1"/>
          <w:sz w:val="28"/>
          <w:szCs w:val="28"/>
          <w:highlight w:val="none"/>
          <w14:textFill>
            <w14:solidFill>
              <w14:schemeClr w14:val="tx1"/>
            </w14:solidFill>
          </w14:textFill>
        </w:rPr>
      </w:pPr>
      <w:bookmarkStart w:id="938" w:name="_Toc22068"/>
      <w:bookmarkStart w:id="939" w:name="_Toc29715"/>
      <w:bookmarkStart w:id="940" w:name="_Toc118195793"/>
      <w:bookmarkStart w:id="941" w:name="_Toc23284"/>
      <w:bookmarkStart w:id="942" w:name="_Toc18439"/>
      <w:bookmarkStart w:id="943" w:name="_Toc20279"/>
      <w:bookmarkStart w:id="944" w:name="_Toc24468"/>
      <w:bookmarkStart w:id="945" w:name="_Toc2803"/>
      <w:bookmarkStart w:id="946" w:name="_Toc98785265"/>
      <w:bookmarkStart w:id="947" w:name="_Toc15624"/>
      <w:bookmarkStart w:id="948" w:name="_Toc30866"/>
      <w:bookmarkStart w:id="949" w:name="_Toc17534"/>
      <w:bookmarkStart w:id="950" w:name="_Toc10386"/>
      <w:bookmarkStart w:id="951" w:name="_Toc24798"/>
      <w:bookmarkStart w:id="952" w:name="_Toc452457693"/>
      <w:bookmarkStart w:id="953" w:name="_Toc16536"/>
      <w:bookmarkStart w:id="954" w:name="_Toc120624187"/>
      <w:bookmarkStart w:id="955" w:name="_Toc5987"/>
      <w:bookmarkStart w:id="956" w:name="_Toc119585497"/>
      <w:bookmarkStart w:id="957" w:name="_Toc7927"/>
      <w:r>
        <w:rPr>
          <w:rFonts w:hint="eastAsia" w:ascii="宋体" w:hAnsi="宋体" w:cs="宋体"/>
          <w:b w:val="0"/>
          <w:color w:val="000000" w:themeColor="text1"/>
          <w:sz w:val="28"/>
          <w:szCs w:val="28"/>
          <w:highlight w:val="none"/>
          <w14:textFill>
            <w14:solidFill>
              <w14:schemeClr w14:val="tx1"/>
            </w14:solidFill>
          </w14:textFill>
        </w:rPr>
        <w:t>附表六：确认通知</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p w14:paraId="1991182D">
      <w:pPr>
        <w:pStyle w:val="7"/>
        <w:spacing w:line="360" w:lineRule="auto"/>
        <w:rPr>
          <w:rFonts w:ascii="宋体" w:hAnsi="宋体" w:cs="宋体"/>
          <w:color w:val="000000" w:themeColor="text1"/>
          <w:highlight w:val="none"/>
          <w14:textFill>
            <w14:solidFill>
              <w14:schemeClr w14:val="tx1"/>
            </w14:solidFill>
          </w14:textFill>
        </w:rPr>
      </w:pPr>
    </w:p>
    <w:p w14:paraId="396391C9">
      <w:pPr>
        <w:pStyle w:val="7"/>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确认通知</w:t>
      </w:r>
    </w:p>
    <w:p w14:paraId="42E9A1EC">
      <w:pPr>
        <w:pStyle w:val="7"/>
        <w:spacing w:line="360" w:lineRule="auto"/>
        <w:rPr>
          <w:rFonts w:ascii="宋体" w:hAnsi="宋体" w:cs="宋体"/>
          <w:color w:val="000000" w:themeColor="text1"/>
          <w:highlight w:val="none"/>
          <w14:textFill>
            <w14:solidFill>
              <w14:schemeClr w14:val="tx1"/>
            </w14:solidFill>
          </w14:textFill>
        </w:rPr>
      </w:pPr>
    </w:p>
    <w:p w14:paraId="30688CB6">
      <w:pPr>
        <w:pStyle w:val="7"/>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_______________（招标人名称）：</w:t>
      </w:r>
    </w:p>
    <w:p w14:paraId="3BEBF1A3">
      <w:pPr>
        <w:pStyle w:val="7"/>
        <w:spacing w:line="360" w:lineRule="auto"/>
        <w:rPr>
          <w:rFonts w:ascii="宋体" w:hAnsi="宋体" w:cs="宋体"/>
          <w:color w:val="000000" w:themeColor="text1"/>
          <w:szCs w:val="21"/>
          <w:highlight w:val="none"/>
          <w14:textFill>
            <w14:solidFill>
              <w14:schemeClr w14:val="tx1"/>
            </w14:solidFill>
          </w14:textFill>
        </w:rPr>
      </w:pPr>
    </w:p>
    <w:p w14:paraId="711DCC5D">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我方已接到你方</w:t>
      </w:r>
      <w:r>
        <w:rPr>
          <w:rFonts w:ascii="宋体" w:hAnsi="宋体" w:cs="宋体"/>
          <w:color w:val="000000" w:themeColor="text1"/>
          <w:szCs w:val="21"/>
          <w:highlight w:val="none"/>
          <w14:textFill>
            <w14:solidFill>
              <w14:schemeClr w14:val="tx1"/>
            </w14:solidFill>
          </w14:textFill>
        </w:rPr>
        <w:t>____年__月__日发出的________________（项目名称）</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标段施工招标关于___________的通知，我方已于____年__月__日收到。</w:t>
      </w:r>
    </w:p>
    <w:p w14:paraId="44F96B89">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6809F0E8">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特此确认。</w:t>
      </w:r>
    </w:p>
    <w:p w14:paraId="09349DC5">
      <w:pPr>
        <w:pStyle w:val="7"/>
        <w:spacing w:line="360" w:lineRule="auto"/>
        <w:rPr>
          <w:rFonts w:ascii="宋体" w:hAnsi="宋体" w:cs="宋体"/>
          <w:color w:val="000000" w:themeColor="text1"/>
          <w:szCs w:val="21"/>
          <w:highlight w:val="none"/>
          <w14:textFill>
            <w14:solidFill>
              <w14:schemeClr w14:val="tx1"/>
            </w14:solidFill>
          </w14:textFill>
        </w:rPr>
      </w:pPr>
    </w:p>
    <w:p w14:paraId="622BECB9">
      <w:pPr>
        <w:pStyle w:val="7"/>
        <w:spacing w:line="360" w:lineRule="auto"/>
        <w:rPr>
          <w:rFonts w:ascii="宋体" w:hAnsi="宋体" w:cs="宋体"/>
          <w:color w:val="000000" w:themeColor="text1"/>
          <w:szCs w:val="21"/>
          <w:highlight w:val="none"/>
          <w14:textFill>
            <w14:solidFill>
              <w14:schemeClr w14:val="tx1"/>
            </w14:solidFill>
          </w14:textFill>
        </w:rPr>
      </w:pPr>
    </w:p>
    <w:p w14:paraId="76FB7978">
      <w:pPr>
        <w:pStyle w:val="7"/>
        <w:spacing w:line="360" w:lineRule="auto"/>
        <w:rPr>
          <w:rFonts w:ascii="宋体" w:hAnsi="宋体" w:cs="宋体"/>
          <w:color w:val="000000" w:themeColor="text1"/>
          <w:szCs w:val="21"/>
          <w:highlight w:val="none"/>
          <w14:textFill>
            <w14:solidFill>
              <w14:schemeClr w14:val="tx1"/>
            </w14:solidFill>
          </w14:textFill>
        </w:rPr>
      </w:pPr>
    </w:p>
    <w:p w14:paraId="1102CB3E">
      <w:pPr>
        <w:pStyle w:val="7"/>
        <w:spacing w:line="360" w:lineRule="auto"/>
        <w:ind w:firstLine="3238" w:firstLineChars="15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（盖单位公章）</w:t>
      </w:r>
    </w:p>
    <w:p w14:paraId="00A60726">
      <w:pPr>
        <w:pStyle w:val="7"/>
        <w:spacing w:line="360" w:lineRule="auto"/>
        <w:ind w:firstLine="3548" w:firstLineChars="1690"/>
        <w:rPr>
          <w:rFonts w:ascii="宋体" w:hAnsi="宋体" w:cs="宋体"/>
          <w:color w:val="000000" w:themeColor="text1"/>
          <w:szCs w:val="21"/>
          <w:highlight w:val="none"/>
          <w14:textFill>
            <w14:solidFill>
              <w14:schemeClr w14:val="tx1"/>
            </w14:solidFill>
          </w14:textFill>
        </w:rPr>
      </w:pPr>
      <w:bookmarkStart w:id="958" w:name="EBf1b73dc259f649b89fc87465bbec220a"/>
      <w:r>
        <w:rPr>
          <w:rFonts w:ascii="宋体" w:hAnsi="宋体" w:cs="宋体"/>
          <w:color w:val="000000" w:themeColor="text1"/>
          <w:szCs w:val="21"/>
          <w:highlight w:val="none"/>
          <w14:textFill>
            <w14:solidFill>
              <w14:schemeClr w14:val="tx1"/>
            </w14:solidFill>
          </w14:textFill>
        </w:rPr>
        <w:t>_________年___月____日</w:t>
      </w:r>
    </w:p>
    <w:bookmarkEnd w:id="958"/>
    <w:p w14:paraId="44CB5F1F">
      <w:pPr>
        <w:pStyle w:val="7"/>
        <w:spacing w:line="360" w:lineRule="auto"/>
        <w:rPr>
          <w:rFonts w:ascii="宋体" w:hAnsi="宋体" w:cs="宋体"/>
          <w:color w:val="000000" w:themeColor="text1"/>
          <w:highlight w:val="none"/>
          <w14:textFill>
            <w14:solidFill>
              <w14:schemeClr w14:val="tx1"/>
            </w14:solidFill>
          </w14:textFill>
        </w:rPr>
      </w:pPr>
    </w:p>
    <w:p w14:paraId="7D06B27F">
      <w:pPr>
        <w:pStyle w:val="7"/>
        <w:spacing w:line="360" w:lineRule="auto"/>
        <w:jc w:val="left"/>
        <w:rPr>
          <w:rFonts w:ascii="宋体" w:hAnsi="宋体" w:cs="宋体"/>
          <w:color w:val="000000" w:themeColor="text1"/>
          <w:szCs w:val="21"/>
          <w:highlight w:val="none"/>
          <w14:textFill>
            <w14:solidFill>
              <w14:schemeClr w14:val="tx1"/>
            </w14:solidFill>
          </w14:textFill>
        </w:rPr>
      </w:pPr>
    </w:p>
    <w:p w14:paraId="7B425C6A">
      <w:pPr>
        <w:pStyle w:val="7"/>
        <w:spacing w:line="360" w:lineRule="auto"/>
        <w:jc w:val="left"/>
        <w:rPr>
          <w:rFonts w:ascii="宋体" w:hAnsi="宋体" w:cs="宋体"/>
          <w:color w:val="000000" w:themeColor="text1"/>
          <w:szCs w:val="21"/>
          <w:highlight w:val="none"/>
          <w14:textFill>
            <w14:solidFill>
              <w14:schemeClr w14:val="tx1"/>
            </w14:solidFill>
          </w14:textFill>
        </w:rPr>
      </w:pPr>
    </w:p>
    <w:p w14:paraId="1C156F2C">
      <w:pPr>
        <w:pStyle w:val="7"/>
        <w:spacing w:line="360" w:lineRule="auto"/>
        <w:rPr>
          <w:rFonts w:ascii="宋体" w:hAnsi="宋体" w:cs="宋体"/>
          <w:color w:val="000000" w:themeColor="text1"/>
          <w:sz w:val="52"/>
          <w:szCs w:val="52"/>
          <w:highlight w:val="none"/>
          <w14:textFill>
            <w14:solidFill>
              <w14:schemeClr w14:val="tx1"/>
            </w14:solidFill>
          </w14:textFill>
        </w:rPr>
      </w:pPr>
    </w:p>
    <w:p w14:paraId="04C46369">
      <w:pPr>
        <w:pStyle w:val="7"/>
        <w:spacing w:line="360" w:lineRule="auto"/>
        <w:rPr>
          <w:rFonts w:ascii="宋体" w:hAnsi="宋体" w:cs="宋体"/>
          <w:color w:val="000000" w:themeColor="text1"/>
          <w:sz w:val="52"/>
          <w:szCs w:val="52"/>
          <w:highlight w:val="none"/>
          <w14:textFill>
            <w14:solidFill>
              <w14:schemeClr w14:val="tx1"/>
            </w14:solidFill>
          </w14:textFill>
        </w:rPr>
      </w:pPr>
    </w:p>
    <w:p w14:paraId="088A7DFC">
      <w:pPr>
        <w:pStyle w:val="7"/>
        <w:spacing w:line="360" w:lineRule="auto"/>
        <w:rPr>
          <w:rFonts w:ascii="宋体" w:hAnsi="宋体" w:cs="宋体"/>
          <w:color w:val="000000" w:themeColor="text1"/>
          <w:sz w:val="52"/>
          <w:szCs w:val="52"/>
          <w:highlight w:val="none"/>
          <w14:textFill>
            <w14:solidFill>
              <w14:schemeClr w14:val="tx1"/>
            </w14:solidFill>
          </w14:textFill>
        </w:rPr>
      </w:pPr>
    </w:p>
    <w:p w14:paraId="63E44A9E">
      <w:pPr>
        <w:pStyle w:val="7"/>
        <w:spacing w:line="360" w:lineRule="auto"/>
        <w:rPr>
          <w:rFonts w:ascii="宋体" w:hAnsi="宋体" w:cs="宋体"/>
          <w:color w:val="000000" w:themeColor="text1"/>
          <w:sz w:val="52"/>
          <w:szCs w:val="52"/>
          <w:highlight w:val="none"/>
          <w14:textFill>
            <w14:solidFill>
              <w14:schemeClr w14:val="tx1"/>
            </w14:solidFill>
          </w14:textFill>
        </w:rPr>
      </w:pPr>
    </w:p>
    <w:p w14:paraId="3B34A1D1">
      <w:pPr>
        <w:pStyle w:val="7"/>
        <w:spacing w:line="360" w:lineRule="auto"/>
        <w:rPr>
          <w:rFonts w:ascii="宋体" w:hAnsi="宋体" w:cs="宋体"/>
          <w:color w:val="000000" w:themeColor="text1"/>
          <w:sz w:val="52"/>
          <w:szCs w:val="52"/>
          <w:highlight w:val="none"/>
          <w14:textFill>
            <w14:solidFill>
              <w14:schemeClr w14:val="tx1"/>
            </w14:solidFill>
          </w14:textFill>
        </w:rPr>
      </w:pPr>
    </w:p>
    <w:p w14:paraId="50CFF706">
      <w:pPr>
        <w:spacing w:line="360" w:lineRule="auto"/>
        <w:rPr>
          <w:rFonts w:eastAsia="黑体"/>
          <w:color w:val="000000" w:themeColor="text1"/>
          <w:sz w:val="52"/>
          <w:szCs w:val="52"/>
          <w:highlight w:val="none"/>
          <w14:textFill>
            <w14:solidFill>
              <w14:schemeClr w14:val="tx1"/>
            </w14:solidFill>
          </w14:textFill>
        </w:rPr>
      </w:pPr>
    </w:p>
    <w:p w14:paraId="39D36FD7">
      <w:pPr>
        <w:spacing w:line="360" w:lineRule="auto"/>
        <w:rPr>
          <w:rFonts w:eastAsia="黑体"/>
          <w:color w:val="000000" w:themeColor="text1"/>
          <w:sz w:val="52"/>
          <w:szCs w:val="52"/>
          <w:highlight w:val="none"/>
          <w14:textFill>
            <w14:solidFill>
              <w14:schemeClr w14:val="tx1"/>
            </w14:solidFill>
          </w14:textFill>
        </w:rPr>
      </w:pPr>
    </w:p>
    <w:p w14:paraId="188B4835">
      <w:pPr>
        <w:spacing w:line="360" w:lineRule="auto"/>
        <w:rPr>
          <w:rFonts w:eastAsia="黑体"/>
          <w:color w:val="000000" w:themeColor="text1"/>
          <w:sz w:val="52"/>
          <w:szCs w:val="52"/>
          <w:highlight w:val="none"/>
          <w14:textFill>
            <w14:solidFill>
              <w14:schemeClr w14:val="tx1"/>
            </w14:solidFill>
          </w14:textFill>
        </w:rPr>
      </w:pPr>
    </w:p>
    <w:p w14:paraId="77257719">
      <w:pPr>
        <w:spacing w:line="360" w:lineRule="auto"/>
        <w:rPr>
          <w:rFonts w:eastAsia="黑体"/>
          <w:color w:val="000000" w:themeColor="text1"/>
          <w:sz w:val="52"/>
          <w:szCs w:val="52"/>
          <w:highlight w:val="none"/>
          <w14:textFill>
            <w14:solidFill>
              <w14:schemeClr w14:val="tx1"/>
            </w14:solidFill>
          </w14:textFill>
        </w:rPr>
      </w:pPr>
    </w:p>
    <w:p w14:paraId="1B06509B">
      <w:pPr>
        <w:spacing w:line="360" w:lineRule="auto"/>
        <w:rPr>
          <w:rFonts w:eastAsia="黑体"/>
          <w:color w:val="000000" w:themeColor="text1"/>
          <w:sz w:val="52"/>
          <w:szCs w:val="52"/>
          <w:highlight w:val="none"/>
          <w14:textFill>
            <w14:solidFill>
              <w14:schemeClr w14:val="tx1"/>
            </w14:solidFill>
          </w14:textFill>
        </w:rPr>
      </w:pPr>
    </w:p>
    <w:p w14:paraId="3F9B38FB">
      <w:pPr>
        <w:pStyle w:val="36"/>
        <w:spacing w:before="260" w:after="260" w:line="500" w:lineRule="exact"/>
        <w:jc w:val="center"/>
        <w:rPr>
          <w:rFonts w:eastAsia="黑体"/>
          <w:b/>
          <w:color w:val="000000" w:themeColor="text1"/>
          <w:sz w:val="48"/>
          <w:szCs w:val="48"/>
          <w:highlight w:val="none"/>
          <w14:textFill>
            <w14:solidFill>
              <w14:schemeClr w14:val="tx1"/>
            </w14:solidFill>
          </w14:textFill>
        </w:rPr>
      </w:pPr>
      <w:bookmarkStart w:id="959" w:name="_Toc22341"/>
      <w:r>
        <w:rPr>
          <w:rFonts w:hint="eastAsia" w:eastAsia="黑体"/>
          <w:b/>
          <w:color w:val="000000" w:themeColor="text1"/>
          <w:sz w:val="48"/>
          <w:szCs w:val="48"/>
          <w:highlight w:val="none"/>
          <w14:textFill>
            <w14:solidFill>
              <w14:schemeClr w14:val="tx1"/>
            </w14:solidFill>
          </w14:textFill>
        </w:rPr>
        <w:t>第三章</w:t>
      </w:r>
      <w:r>
        <w:rPr>
          <w:rFonts w:eastAsia="黑体"/>
          <w:b/>
          <w:color w:val="000000" w:themeColor="text1"/>
          <w:sz w:val="48"/>
          <w:szCs w:val="48"/>
          <w:highlight w:val="none"/>
          <w14:textFill>
            <w14:solidFill>
              <w14:schemeClr w14:val="tx1"/>
            </w14:solidFill>
          </w14:textFill>
        </w:rPr>
        <w:t xml:space="preserve">  </w:t>
      </w:r>
      <w:r>
        <w:rPr>
          <w:rFonts w:hint="eastAsia" w:eastAsia="黑体"/>
          <w:b/>
          <w:color w:val="000000" w:themeColor="text1"/>
          <w:sz w:val="48"/>
          <w:szCs w:val="48"/>
          <w:highlight w:val="none"/>
          <w14:textFill>
            <w14:solidFill>
              <w14:schemeClr w14:val="tx1"/>
            </w14:solidFill>
          </w14:textFill>
        </w:rPr>
        <w:t>评标办法</w:t>
      </w:r>
      <w:bookmarkEnd w:id="959"/>
    </w:p>
    <w:p w14:paraId="56C82264">
      <w:pPr>
        <w:spacing w:line="360" w:lineRule="auto"/>
        <w:rPr>
          <w:rFonts w:eastAsia="黑体"/>
          <w:color w:val="000000" w:themeColor="text1"/>
          <w:sz w:val="52"/>
          <w:szCs w:val="52"/>
          <w:highlight w:val="none"/>
          <w14:textFill>
            <w14:solidFill>
              <w14:schemeClr w14:val="tx1"/>
            </w14:solidFill>
          </w14:textFill>
        </w:rPr>
      </w:pPr>
    </w:p>
    <w:p w14:paraId="13E3DEE0">
      <w:pPr>
        <w:spacing w:line="360" w:lineRule="auto"/>
        <w:rPr>
          <w:rFonts w:eastAsia="黑体"/>
          <w:color w:val="000000" w:themeColor="text1"/>
          <w:sz w:val="52"/>
          <w:szCs w:val="52"/>
          <w:highlight w:val="none"/>
          <w14:textFill>
            <w14:solidFill>
              <w14:schemeClr w14:val="tx1"/>
            </w14:solidFill>
          </w14:textFill>
        </w:rPr>
      </w:pPr>
    </w:p>
    <w:p w14:paraId="3E8814C4">
      <w:pPr>
        <w:spacing w:line="360" w:lineRule="auto"/>
        <w:ind w:firstLine="960" w:firstLineChars="200"/>
        <w:rPr>
          <w:rFonts w:hint="eastAsia" w:ascii="宋体" w:hAnsi="宋体" w:eastAsia="Times New Roman" w:cs="宋体"/>
          <w:color w:val="000000" w:themeColor="text1"/>
          <w:sz w:val="48"/>
          <w:szCs w:val="48"/>
          <w:highlight w:val="none"/>
          <w14:textFill>
            <w14:solidFill>
              <w14:schemeClr w14:val="tx1"/>
            </w14:solidFill>
          </w14:textFill>
        </w:rPr>
        <w:sectPr>
          <w:headerReference r:id="rId5" w:type="default"/>
          <w:footerReference r:id="rId6" w:type="default"/>
          <w:footnotePr>
            <w:numFmt w:val="decimalEnclosedCircleChinese"/>
            <w:numRestart w:val="eachPage"/>
          </w:footnotePr>
          <w:pgSz w:w="11906" w:h="16838"/>
          <w:pgMar w:top="1418" w:right="1361" w:bottom="1418" w:left="1361" w:header="851" w:footer="992" w:gutter="0"/>
          <w:pgNumType w:fmt="decimal" w:start="1"/>
          <w:cols w:space="425" w:num="1"/>
          <w:docGrid w:linePitch="312" w:charSpace="0"/>
        </w:sectPr>
      </w:pPr>
    </w:p>
    <w:p w14:paraId="3088FA4B">
      <w:pPr>
        <w:pStyle w:val="36"/>
        <w:spacing w:before="260" w:after="260" w:line="500" w:lineRule="exact"/>
        <w:jc w:val="center"/>
        <w:rPr>
          <w:rFonts w:hint="eastAsia" w:ascii="宋体" w:hAnsi="宋体" w:eastAsia="宋体" w:cs="宋体"/>
          <w:b/>
          <w:bCs/>
          <w:color w:val="000000" w:themeColor="text1"/>
          <w:sz w:val="32"/>
          <w:szCs w:val="32"/>
          <w:highlight w:val="none"/>
          <w14:textFill>
            <w14:solidFill>
              <w14:schemeClr w14:val="tx1"/>
            </w14:solidFill>
          </w14:textFill>
        </w:rPr>
      </w:pPr>
      <w:bookmarkStart w:id="960" w:name="_Toc452457694"/>
      <w:bookmarkStart w:id="961" w:name="_Toc154675055"/>
      <w:r>
        <w:rPr>
          <w:rFonts w:hint="eastAsia" w:ascii="宋体" w:hAnsi="宋体" w:eastAsia="Times New Roman" w:cs="宋体"/>
          <w:color w:val="000000" w:themeColor="text1"/>
          <w:sz w:val="48"/>
          <w:szCs w:val="48"/>
          <w:highlight w:val="none"/>
          <w14:textFill>
            <w14:solidFill>
              <w14:schemeClr w14:val="tx1"/>
            </w14:solidFill>
          </w14:textFill>
        </w:rPr>
        <w:t xml:space="preserve"> </w:t>
      </w:r>
      <w:bookmarkStart w:id="962" w:name="_Toc20954"/>
      <w:r>
        <w:rPr>
          <w:rFonts w:hint="eastAsia" w:ascii="宋体" w:hAnsi="宋体" w:eastAsia="宋体" w:cs="宋体"/>
          <w:b/>
          <w:bCs/>
          <w:color w:val="000000" w:themeColor="text1"/>
          <w:sz w:val="32"/>
          <w:szCs w:val="32"/>
          <w:highlight w:val="none"/>
          <w14:textFill>
            <w14:solidFill>
              <w14:schemeClr w14:val="tx1"/>
            </w14:solidFill>
          </w14:textFill>
        </w:rPr>
        <w:t>评标办法</w:t>
      </w:r>
      <w:bookmarkEnd w:id="960"/>
      <w:r>
        <w:rPr>
          <w:rFonts w:hint="eastAsia" w:ascii="宋体" w:hAnsi="宋体" w:eastAsia="宋体" w:cs="宋体"/>
          <w:b/>
          <w:bCs/>
          <w:color w:val="000000" w:themeColor="text1"/>
          <w:sz w:val="32"/>
          <w:szCs w:val="32"/>
          <w:highlight w:val="none"/>
          <w14:textFill>
            <w14:solidFill>
              <w14:schemeClr w14:val="tx1"/>
            </w14:solidFill>
          </w14:textFill>
        </w:rPr>
        <w:t>（技术通过制的合理低价法）</w:t>
      </w:r>
      <w:bookmarkEnd w:id="961"/>
      <w:bookmarkEnd w:id="962"/>
    </w:p>
    <w:p w14:paraId="7220E825">
      <w:pPr>
        <w:pStyle w:val="34"/>
        <w:numPr>
          <w:ilvl w:val="0"/>
          <w:numId w:val="0"/>
        </w:numPr>
        <w:rPr>
          <w:rFonts w:hint="eastAsia"/>
          <w:color w:val="000000" w:themeColor="text1"/>
          <w:highlight w:val="none"/>
          <w14:textFill>
            <w14:solidFill>
              <w14:schemeClr w14:val="tx1"/>
            </w14:solidFill>
          </w14:textFill>
        </w:rPr>
      </w:pPr>
    </w:p>
    <w:p w14:paraId="3478A92C">
      <w:pPr>
        <w:pStyle w:val="4"/>
        <w:spacing w:before="0" w:after="0" w:line="360" w:lineRule="auto"/>
        <w:jc w:val="left"/>
        <w:rPr>
          <w:rFonts w:ascii="Times New Roman" w:hAnsi="Times New Roman"/>
          <w:color w:val="000000" w:themeColor="text1"/>
          <w:highlight w:val="none"/>
          <w14:textFill>
            <w14:solidFill>
              <w14:schemeClr w14:val="tx1"/>
            </w14:solidFill>
          </w14:textFill>
        </w:rPr>
      </w:pPr>
      <w:bookmarkStart w:id="963" w:name="_Toc18944"/>
      <w:bookmarkStart w:id="964" w:name="_Toc154675056"/>
      <w:r>
        <w:rPr>
          <w:rFonts w:hint="eastAsia" w:ascii="Times New Roman" w:hAnsi="Times New Roman"/>
          <w:b w:val="0"/>
          <w:color w:val="000000" w:themeColor="text1"/>
          <w:sz w:val="28"/>
          <w:szCs w:val="28"/>
          <w:highlight w:val="none"/>
          <w14:textFill>
            <w14:solidFill>
              <w14:schemeClr w14:val="tx1"/>
            </w14:solidFill>
          </w14:textFill>
        </w:rPr>
        <w:t>评标办法前附表</w:t>
      </w:r>
      <w:bookmarkEnd w:id="963"/>
      <w:bookmarkEnd w:id="964"/>
    </w:p>
    <w:tbl>
      <w:tblPr>
        <w:tblStyle w:val="28"/>
        <w:tblW w:w="5013" w:type="pct"/>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0" w:type="dxa"/>
          <w:bottom w:w="0" w:type="dxa"/>
          <w:right w:w="0" w:type="dxa"/>
        </w:tblCellMar>
      </w:tblPr>
      <w:tblGrid>
        <w:gridCol w:w="854"/>
        <w:gridCol w:w="2234"/>
        <w:gridCol w:w="6038"/>
      </w:tblGrid>
      <w:tr w14:paraId="1FF77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47" w:hRule="atLeast"/>
          <w:tblHeader/>
        </w:trPr>
        <w:tc>
          <w:tcPr>
            <w:tcW w:w="468" w:type="pct"/>
            <w:vAlign w:val="center"/>
          </w:tcPr>
          <w:p w14:paraId="44241415">
            <w:pPr>
              <w:spacing w:before="120" w:line="360" w:lineRule="auto"/>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条款号</w:t>
            </w:r>
          </w:p>
        </w:tc>
        <w:tc>
          <w:tcPr>
            <w:tcW w:w="1224" w:type="pct"/>
            <w:vAlign w:val="center"/>
          </w:tcPr>
          <w:p w14:paraId="1B049EE7">
            <w:pPr>
              <w:spacing w:line="360" w:lineRule="auto"/>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条款内容</w:t>
            </w:r>
          </w:p>
        </w:tc>
        <w:tc>
          <w:tcPr>
            <w:tcW w:w="3306" w:type="pct"/>
            <w:vAlign w:val="center"/>
          </w:tcPr>
          <w:p w14:paraId="1A0F473E">
            <w:pPr>
              <w:spacing w:line="360" w:lineRule="auto"/>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编列内容</w:t>
            </w:r>
          </w:p>
        </w:tc>
      </w:tr>
      <w:tr w14:paraId="598C3E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4" w:hRule="atLeast"/>
        </w:trPr>
        <w:tc>
          <w:tcPr>
            <w:tcW w:w="468" w:type="pct"/>
            <w:vAlign w:val="center"/>
          </w:tcPr>
          <w:p w14:paraId="0EA86822">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1224" w:type="pct"/>
            <w:vAlign w:val="center"/>
          </w:tcPr>
          <w:p w14:paraId="348CA9CD">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综合得分相等时</w:t>
            </w:r>
          </w:p>
          <w:p w14:paraId="1511992E">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优先顺序</w:t>
            </w:r>
          </w:p>
        </w:tc>
        <w:tc>
          <w:tcPr>
            <w:tcW w:w="3306" w:type="pct"/>
            <w:vAlign w:val="center"/>
          </w:tcPr>
          <w:p w14:paraId="0F9857B3">
            <w:pPr>
              <w:spacing w:line="360" w:lineRule="auto"/>
              <w:ind w:firstLine="420" w:firstLineChars="200"/>
              <w:jc w:val="lef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综合评分相等时，以投标报价低的优先；投标报价也相等的，</w:t>
            </w:r>
            <w:r>
              <w:rPr>
                <w:rFonts w:hint="eastAsia" w:ascii="宋体" w:hAnsi="宋体"/>
                <w:color w:val="000000" w:themeColor="text1"/>
                <w:highlight w:val="none"/>
                <w14:textFill>
                  <w14:solidFill>
                    <w14:schemeClr w14:val="tx1"/>
                  </w14:solidFill>
                </w14:textFill>
              </w:rPr>
              <w:t>由评标委员会按抽签的方式确定</w:t>
            </w:r>
            <w:r>
              <w:rPr>
                <w:rFonts w:hint="eastAsia" w:ascii="宋体" w:hAnsi="宋体" w:cs="宋体"/>
                <w:color w:val="000000" w:themeColor="text1"/>
                <w:highlight w:val="none"/>
                <w14:textFill>
                  <w14:solidFill>
                    <w14:schemeClr w14:val="tx1"/>
                  </w14:solidFill>
                </w14:textFill>
              </w:rPr>
              <w:t>。</w:t>
            </w:r>
          </w:p>
        </w:tc>
      </w:tr>
      <w:tr w14:paraId="591FB1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4" w:hRule="atLeast"/>
        </w:trPr>
        <w:tc>
          <w:tcPr>
            <w:tcW w:w="468" w:type="pct"/>
            <w:vAlign w:val="center"/>
          </w:tcPr>
          <w:p w14:paraId="3A29A3AA">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2.1.1</w:t>
            </w:r>
          </w:p>
          <w:p w14:paraId="3742F3CA">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2.1.3</w:t>
            </w:r>
          </w:p>
        </w:tc>
        <w:tc>
          <w:tcPr>
            <w:tcW w:w="1224" w:type="pct"/>
            <w:vAlign w:val="center"/>
          </w:tcPr>
          <w:p w14:paraId="62E32491">
            <w:pPr>
              <w:spacing w:line="360" w:lineRule="auto"/>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第一个信封形式评审</w:t>
            </w:r>
          </w:p>
          <w:p w14:paraId="7D7CD7BF">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与响应性评审标准</w:t>
            </w:r>
          </w:p>
        </w:tc>
        <w:tc>
          <w:tcPr>
            <w:tcW w:w="3306" w:type="pct"/>
            <w:vAlign w:val="center"/>
          </w:tcPr>
          <w:p w14:paraId="7A967668">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（1）投标文件第一个信封按照招标文件规定的格式、内容填写，字迹清晰可辨：</w:t>
            </w:r>
          </w:p>
          <w:p w14:paraId="0A3217E0">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 a．投标函按招标文件规定填报了项目名称、标段号、补遗书编号（如有）、工期、工程质量要求及安全目标、拟委任项目经理、项目技术负责人；</w:t>
            </w:r>
          </w:p>
          <w:p w14:paraId="7FBB23AA">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 b．投标文件组成齐全完整，内容均按规定填写。</w:t>
            </w:r>
          </w:p>
          <w:p w14:paraId="546E19C2">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（2）投标文件第一个信封中法定代表人或</w:t>
            </w:r>
            <w:bookmarkStart w:id="965" w:name="OLE_LINK1"/>
            <w:r>
              <w:rPr>
                <w:rFonts w:hint="eastAsia" w:ascii="Times New Roman" w:hAnsi="Times New Roman" w:eastAsia="宋体" w:cs="Times New Roman"/>
                <w:color w:val="000000" w:themeColor="text1"/>
                <w:highlight w:val="none"/>
                <w14:textFill>
                  <w14:solidFill>
                    <w14:schemeClr w14:val="tx1"/>
                  </w14:solidFill>
                </w14:textFill>
              </w:rPr>
              <w:t>其委托代理人</w:t>
            </w:r>
            <w:bookmarkEnd w:id="965"/>
            <w:r>
              <w:rPr>
                <w:rFonts w:hint="eastAsia" w:ascii="Times New Roman" w:hAnsi="Times New Roman" w:eastAsia="宋体" w:cs="Times New Roman"/>
                <w:color w:val="000000" w:themeColor="text1"/>
                <w:highlight w:val="none"/>
                <w14:textFill>
                  <w14:solidFill>
                    <w14:schemeClr w14:val="tx1"/>
                  </w14:solidFill>
                </w14:textFill>
              </w:rPr>
              <w:t>签字、投标人的单位公章盖章齐全，符合招标文件规定。</w:t>
            </w:r>
          </w:p>
          <w:p w14:paraId="5260755B">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（3）投标人按照招标文件的规定提供了投标保证金，或按招标文件规定免交投标保证金。</w:t>
            </w:r>
          </w:p>
          <w:p w14:paraId="07C95ECF">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（4）投标人法定代表人授权委托代理人签署投标文件的，需提交授权委托书，且授权人在授权书上签名（未使用印章、签名章或其他电子制版签名），授权书加盖投标人单位公章。</w:t>
            </w:r>
          </w:p>
          <w:p w14:paraId="78394E70">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（5）投标人法定代表人若亲自签署投标文件的，提供了法定代表人身份证明，且法定代表人在法定代表人身份证明上签名（未使用印章、签名章或其他电子制版签名）。</w:t>
            </w:r>
          </w:p>
          <w:p w14:paraId="6C7365E0">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（6）投标人是独家投标。</w:t>
            </w:r>
          </w:p>
          <w:p w14:paraId="13D4AFBC">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（7）投标人的分包计划符合招标文件第二章“投标人须知”第1.11款规定，且按第九章“投标文件格式”的要求填写”拟分包项目情况表”（如有）。</w:t>
            </w:r>
          </w:p>
          <w:p w14:paraId="6188179E">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（8）同一投标人未提交两个及以上不同的投标文件，但招标文件要求提交备选投标的除外。</w:t>
            </w:r>
          </w:p>
          <w:p w14:paraId="3098F001">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（9）投标文件中未出现有关投标报价的内容。</w:t>
            </w:r>
          </w:p>
          <w:p w14:paraId="79B57286">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（10）投标文件载明的招标项目完成期限未超过招标文件规定的时限。</w:t>
            </w:r>
          </w:p>
          <w:p w14:paraId="04AE1FF3">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（11）投标文件对招标文件的实质性要求和条件作出响应。</w:t>
            </w:r>
          </w:p>
          <w:p w14:paraId="5ABCDF27">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（12）权利义务符合招标文件规定：</w:t>
            </w:r>
          </w:p>
          <w:p w14:paraId="5CF25048">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 a．投标人应接受招标文件规定的风险划分原则，未提出新的风险划分办法；</w:t>
            </w:r>
          </w:p>
          <w:p w14:paraId="42502EBD">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 b．投标人未增加发包人的责任范围，或减少投标人义务；</w:t>
            </w:r>
          </w:p>
          <w:p w14:paraId="59989236">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 c．投标人未提出不同的工程验收、计量、支付办法；</w:t>
            </w:r>
          </w:p>
          <w:p w14:paraId="0FA3E6E9">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 d．投标人对合同纠纷、事故处理办法未提出异议；</w:t>
            </w:r>
          </w:p>
          <w:p w14:paraId="1A14BAAB">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 e．投标人在投标活动中无欺诈行为；</w:t>
            </w:r>
          </w:p>
          <w:p w14:paraId="620B99EE">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 f．投标人未对合同条款有重要保留。</w:t>
            </w:r>
          </w:p>
          <w:p w14:paraId="24AC38EC">
            <w:pPr>
              <w:spacing w:line="360" w:lineRule="auto"/>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（13）人员、业绩、履约信誉证明材料真实、有效。</w:t>
            </w:r>
          </w:p>
          <w:p w14:paraId="7F0FB10F">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4）</w:t>
            </w:r>
            <w:r>
              <w:rPr>
                <w:color w:val="000000" w:themeColor="text1"/>
                <w:highlight w:val="none"/>
                <w14:textFill>
                  <w14:solidFill>
                    <w14:schemeClr w14:val="tx1"/>
                  </w14:solidFill>
                </w14:textFill>
              </w:rPr>
              <w:t>_</w:t>
            </w:r>
            <w:r>
              <w:rPr>
                <w:rFonts w:hint="eastAsia"/>
                <w:color w:val="000000" w:themeColor="text1"/>
                <w:highlight w:val="none"/>
                <w:u w:val="single"/>
                <w14:textFill>
                  <w14:solidFill>
                    <w14:schemeClr w14:val="tx1"/>
                  </w14:solidFill>
                </w14:textFill>
              </w:rPr>
              <w:t>2023</w:t>
            </w:r>
            <w:r>
              <w:rPr>
                <w:color w:val="000000" w:themeColor="text1"/>
                <w:highlight w:val="none"/>
                <w14:textFill>
                  <w14:solidFill>
                    <w14:schemeClr w14:val="tx1"/>
                  </w14:solidFill>
                </w14:textFill>
              </w:rPr>
              <w:t>_</w:t>
            </w:r>
            <w:r>
              <w:rPr>
                <w:rFonts w:hint="eastAsia"/>
                <w:color w:val="000000" w:themeColor="text1"/>
                <w:highlight w:val="none"/>
                <w14:textFill>
                  <w14:solidFill>
                    <w14:schemeClr w14:val="tx1"/>
                  </w14:solidFill>
                </w14:textFill>
              </w:rPr>
              <w:t>年</w:t>
            </w:r>
            <w:r>
              <w:rPr>
                <w:color w:val="000000" w:themeColor="text1"/>
                <w:highlight w:val="none"/>
                <w14:textFill>
                  <w14:solidFill>
                    <w14:schemeClr w14:val="tx1"/>
                  </w14:solidFill>
                </w14:textFill>
              </w:rPr>
              <w:t>_</w:t>
            </w:r>
            <w:r>
              <w:rPr>
                <w:rFonts w:hint="eastAsia"/>
                <w:color w:val="000000" w:themeColor="text1"/>
                <w:highlight w:val="none"/>
                <w:u w:val="single"/>
                <w14:textFill>
                  <w14:solidFill>
                    <w14:schemeClr w14:val="tx1"/>
                  </w14:solidFill>
                </w14:textFill>
              </w:rPr>
              <w:t>7</w:t>
            </w:r>
            <w:r>
              <w:rPr>
                <w:color w:val="000000" w:themeColor="text1"/>
                <w:highlight w:val="none"/>
                <w14:textFill>
                  <w14:solidFill>
                    <w14:schemeClr w14:val="tx1"/>
                  </w14:solidFill>
                </w14:textFill>
              </w:rPr>
              <w:t>_</w:t>
            </w:r>
            <w:r>
              <w:rPr>
                <w:rFonts w:hint="eastAsia"/>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日以来，被交通运输部、浙江省交通运输厅、浙江省发展和改革委员会三部门以外的省级及以上单位（部门）书面通报限制投标，并在处罚期内的，隐瞒不报的一经查实，作否决投标处理，并视为投标人提供虚假资料，按投标人须知第</w:t>
            </w:r>
            <w:r>
              <w:rPr>
                <w:color w:val="000000" w:themeColor="text1"/>
                <w:highlight w:val="none"/>
                <w14:textFill>
                  <w14:solidFill>
                    <w14:schemeClr w14:val="tx1"/>
                  </w14:solidFill>
                </w14:textFill>
              </w:rPr>
              <w:t>3.5.11</w:t>
            </w:r>
            <w:r>
              <w:rPr>
                <w:rFonts w:hint="eastAsia"/>
                <w:color w:val="000000" w:themeColor="text1"/>
                <w:highlight w:val="none"/>
                <w14:textFill>
                  <w14:solidFill>
                    <w14:schemeClr w14:val="tx1"/>
                  </w14:solidFill>
                </w14:textFill>
              </w:rPr>
              <w:t>项处理。</w:t>
            </w:r>
          </w:p>
          <w:p w14:paraId="53800C9A">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（15）</w:t>
            </w:r>
            <w:r>
              <w:rPr>
                <w:rFonts w:hint="eastAsia" w:ascii="宋体" w:hAnsi="宋体" w:cs="宋体"/>
                <w:color w:val="000000" w:themeColor="text1"/>
                <w:highlight w:val="none"/>
                <w14:textFill>
                  <w14:solidFill>
                    <w14:schemeClr w14:val="tx1"/>
                  </w14:solidFill>
                </w14:textFill>
              </w:rPr>
              <w:t>投标文件未附有招标人不能接受的条件。</w:t>
            </w:r>
          </w:p>
        </w:tc>
      </w:tr>
      <w:tr w14:paraId="3D7AC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4" w:hRule="atLeast"/>
        </w:trPr>
        <w:tc>
          <w:tcPr>
            <w:tcW w:w="468" w:type="pct"/>
            <w:vAlign w:val="center"/>
          </w:tcPr>
          <w:p w14:paraId="408501D2">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2.1.1</w:t>
            </w:r>
          </w:p>
          <w:p w14:paraId="4D9EC21B">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2.1.3</w:t>
            </w:r>
          </w:p>
        </w:tc>
        <w:tc>
          <w:tcPr>
            <w:tcW w:w="1224" w:type="pct"/>
            <w:vAlign w:val="center"/>
          </w:tcPr>
          <w:p w14:paraId="5BED0344">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第二个信封形式评审与响应性评审标准</w:t>
            </w:r>
          </w:p>
        </w:tc>
        <w:tc>
          <w:tcPr>
            <w:tcW w:w="3306" w:type="pct"/>
            <w:vAlign w:val="center"/>
          </w:tcPr>
          <w:p w14:paraId="0B3B13E8">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）投标文件第二个信封按照招标文件规定的格式、内容填写，字迹清晰可辨：</w:t>
            </w:r>
          </w:p>
          <w:p w14:paraId="52084270">
            <w:pPr>
              <w:spacing w:line="360" w:lineRule="auto"/>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a</w:t>
            </w:r>
            <w:r>
              <w:rPr>
                <w:rFonts w:hint="eastAsia"/>
                <w:color w:val="000000" w:themeColor="text1"/>
                <w:highlight w:val="none"/>
                <w14:textFill>
                  <w14:solidFill>
                    <w14:schemeClr w14:val="tx1"/>
                  </w14:solidFill>
                </w14:textFill>
              </w:rPr>
              <w:t>．投标函按招标文件规定填报了项目名称、标段号、补遗书编号（如有）、投标价（包括大写金额和小写金额），且投标人名称与第一个信封投标人名称一致；</w:t>
            </w:r>
          </w:p>
          <w:p w14:paraId="23D394A7">
            <w:pPr>
              <w:spacing w:line="360" w:lineRule="auto"/>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b</w:t>
            </w:r>
            <w:r>
              <w:rPr>
                <w:rFonts w:hint="eastAsia"/>
                <w:color w:val="000000" w:themeColor="text1"/>
                <w:highlight w:val="none"/>
                <w14:textFill>
                  <w14:solidFill>
                    <w14:schemeClr w14:val="tx1"/>
                  </w14:solidFill>
                </w14:textFill>
              </w:rPr>
              <w:t>．已标价工程量清单说明文字与招标文件规定一致，未进行实质性修改和删减；</w:t>
            </w:r>
          </w:p>
          <w:p w14:paraId="6821C8F5">
            <w:pPr>
              <w:spacing w:line="360" w:lineRule="auto"/>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c</w:t>
            </w:r>
            <w:r>
              <w:rPr>
                <w:rFonts w:hint="eastAsia"/>
                <w:color w:val="000000" w:themeColor="text1"/>
                <w:highlight w:val="none"/>
                <w14:textFill>
                  <w14:solidFill>
                    <w14:schemeClr w14:val="tx1"/>
                  </w14:solidFill>
                </w14:textFill>
              </w:rPr>
              <w:t>．投标文件组成齐全完整，内容均按规定填写。</w:t>
            </w:r>
          </w:p>
          <w:p w14:paraId="67971F4E">
            <w:pPr>
              <w:spacing w:line="360" w:lineRule="auto"/>
              <w:jc w:val="left"/>
              <w:rPr>
                <w:rFonts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）投标文件第二个信封中</w:t>
            </w:r>
            <w:r>
              <w:rPr>
                <w:rFonts w:ascii="宋体" w:hAnsi="宋体" w:cs="宋体"/>
                <w:color w:val="000000" w:themeColor="text1"/>
                <w:highlight w:val="none"/>
                <w14:textFill>
                  <w14:solidFill>
                    <w14:schemeClr w14:val="tx1"/>
                  </w14:solidFill>
                </w14:textFill>
              </w:rPr>
              <w:t>法定代表人</w:t>
            </w:r>
            <w:r>
              <w:rPr>
                <w:rFonts w:hint="eastAsia" w:ascii="宋体" w:hAnsi="宋体" w:cs="宋体"/>
                <w:color w:val="000000" w:themeColor="text1"/>
                <w:highlight w:val="none"/>
                <w14:textFill>
                  <w14:solidFill>
                    <w14:schemeClr w14:val="tx1"/>
                  </w14:solidFill>
                </w14:textFill>
              </w:rPr>
              <w:t>或其委托代理人签名（</w:t>
            </w:r>
            <w:r>
              <w:rPr>
                <w:rFonts w:hint="eastAsia" w:ascii="宋体" w:hAnsi="宋体"/>
                <w:color w:val="000000" w:themeColor="text1"/>
                <w:highlight w:val="none"/>
                <w14:textFill>
                  <w14:solidFill>
                    <w14:schemeClr w14:val="tx1"/>
                  </w14:solidFill>
                </w14:textFill>
              </w:rPr>
              <w:t>未使用印章、签名章或其他电子制版签名</w:t>
            </w:r>
            <w:r>
              <w:rPr>
                <w:rFonts w:hint="eastAsia" w:ascii="宋体" w:hAnsi="宋体" w:cs="宋体"/>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投标人的</w:t>
            </w:r>
            <w:r>
              <w:rPr>
                <w:rFonts w:hint="eastAsia" w:ascii="宋体" w:hAnsi="宋体" w:cs="宋体"/>
                <w:color w:val="000000" w:themeColor="text1"/>
                <w:highlight w:val="none"/>
                <w14:textFill>
                  <w14:solidFill>
                    <w14:schemeClr w14:val="tx1"/>
                  </w14:solidFill>
                </w14:textFill>
              </w:rPr>
              <w:t>单位公章</w:t>
            </w:r>
            <w:r>
              <w:rPr>
                <w:rFonts w:ascii="宋体" w:hAnsi="宋体" w:cs="宋体"/>
                <w:color w:val="000000" w:themeColor="text1"/>
                <w:highlight w:val="none"/>
                <w14:textFill>
                  <w14:solidFill>
                    <w14:schemeClr w14:val="tx1"/>
                  </w14:solidFill>
                </w14:textFill>
              </w:rPr>
              <w:t>盖章齐全，符合招标文件规定。</w:t>
            </w:r>
          </w:p>
          <w:p w14:paraId="4220EEE0">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）投标报价未超过招标文件设定的最高投标限价。</w:t>
            </w:r>
          </w:p>
          <w:p w14:paraId="7CF36089">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）投标报价的大写金额能够确定具体数值。</w:t>
            </w:r>
          </w:p>
          <w:p w14:paraId="134900C1">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）同一投标人未提交两个及以上不同的投标报价。</w:t>
            </w:r>
            <w:r>
              <w:rPr>
                <w:color w:val="000000" w:themeColor="text1"/>
                <w:highlight w:val="none"/>
                <w14:textFill>
                  <w14:solidFill>
                    <w14:schemeClr w14:val="tx1"/>
                  </w14:solidFill>
                </w14:textFill>
              </w:rPr>
              <w:t xml:space="preserve"> </w:t>
            </w:r>
          </w:p>
          <w:p w14:paraId="1ADB8A30">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）投标人未提交调价函。</w:t>
            </w:r>
          </w:p>
        </w:tc>
      </w:tr>
      <w:tr w14:paraId="597A25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4" w:hRule="atLeast"/>
        </w:trPr>
        <w:tc>
          <w:tcPr>
            <w:tcW w:w="468" w:type="pct"/>
            <w:vAlign w:val="center"/>
          </w:tcPr>
          <w:p w14:paraId="3CA561BF">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2.1.2</w:t>
            </w:r>
          </w:p>
        </w:tc>
        <w:tc>
          <w:tcPr>
            <w:tcW w:w="1224" w:type="pct"/>
            <w:vAlign w:val="center"/>
          </w:tcPr>
          <w:p w14:paraId="6A8579D2">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资格评审标准</w:t>
            </w:r>
          </w:p>
        </w:tc>
        <w:tc>
          <w:tcPr>
            <w:tcW w:w="3306" w:type="pct"/>
            <w:vAlign w:val="center"/>
          </w:tcPr>
          <w:p w14:paraId="2FC3B90C">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）投标人具备有效的营业执照、组织机构代码证和基本账户开户许可证（或银行出具的基本账户存款证明或基本存款账户信息）。</w:t>
            </w:r>
            <w:r>
              <w:rPr>
                <w:color w:val="000000" w:themeColor="text1"/>
                <w:highlight w:val="none"/>
                <w14:textFill>
                  <w14:solidFill>
                    <w14:schemeClr w14:val="tx1"/>
                  </w14:solidFill>
                </w14:textFill>
              </w:rPr>
              <w:t xml:space="preserve"> </w:t>
            </w:r>
          </w:p>
          <w:p w14:paraId="7678A9C5">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）投标人的资质等级（资格）符合招标文件规定。</w:t>
            </w:r>
          </w:p>
          <w:p w14:paraId="4274E3E4">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）投标人的财务状况符合招标文件规定。</w:t>
            </w:r>
          </w:p>
          <w:p w14:paraId="18F06CE7">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）投标人的类似项目业绩符合招标文件规定。</w:t>
            </w:r>
          </w:p>
          <w:p w14:paraId="2B85E46C">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）投标人的信誉符合招标文件规定。</w:t>
            </w:r>
          </w:p>
          <w:p w14:paraId="2E2CB52E">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）投标人的项目经理、项目技术负责人资格、项目经理在岗情况符合招标文件规定。</w:t>
            </w:r>
          </w:p>
        </w:tc>
      </w:tr>
      <w:tr w14:paraId="017B8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4" w:hRule="atLeast"/>
        </w:trPr>
        <w:tc>
          <w:tcPr>
            <w:tcW w:w="468" w:type="pct"/>
            <w:vAlign w:val="center"/>
          </w:tcPr>
          <w:p w14:paraId="55120CEB">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2.2.1</w:t>
            </w:r>
          </w:p>
        </w:tc>
        <w:tc>
          <w:tcPr>
            <w:tcW w:w="1224" w:type="pct"/>
            <w:vAlign w:val="center"/>
          </w:tcPr>
          <w:p w14:paraId="2F6D686A">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分值构成</w:t>
            </w:r>
          </w:p>
          <w:p w14:paraId="70E0DB4B">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（总分</w:t>
            </w:r>
            <w:r>
              <w:rPr>
                <w:color w:val="000000" w:themeColor="text1"/>
                <w:highlight w:val="none"/>
                <w14:textFill>
                  <w14:solidFill>
                    <w14:schemeClr w14:val="tx1"/>
                  </w14:solidFill>
                </w14:textFill>
              </w:rPr>
              <w:t>100</w:t>
            </w:r>
            <w:r>
              <w:rPr>
                <w:rFonts w:hint="eastAsia"/>
                <w:color w:val="000000" w:themeColor="text1"/>
                <w:highlight w:val="none"/>
                <w14:textFill>
                  <w14:solidFill>
                    <w14:schemeClr w14:val="tx1"/>
                  </w14:solidFill>
                </w14:textFill>
              </w:rPr>
              <w:t>分）</w:t>
            </w:r>
          </w:p>
        </w:tc>
        <w:tc>
          <w:tcPr>
            <w:tcW w:w="3306" w:type="pct"/>
            <w:vAlign w:val="center"/>
          </w:tcPr>
          <w:p w14:paraId="2B48F7FD">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评标价：</w:t>
            </w:r>
            <w:r>
              <w:rPr>
                <w:rFonts w:hint="eastAsia"/>
                <w:color w:val="000000" w:themeColor="text1"/>
                <w:highlight w:val="none"/>
                <w:u w:val="single"/>
                <w14:textFill>
                  <w14:solidFill>
                    <w14:schemeClr w14:val="tx1"/>
                  </w14:solidFill>
                </w14:textFill>
              </w:rPr>
              <w:t>100</w:t>
            </w:r>
            <w:r>
              <w:rPr>
                <w:rFonts w:hint="eastAsia"/>
                <w:color w:val="000000" w:themeColor="text1"/>
                <w:highlight w:val="none"/>
                <w14:textFill>
                  <w14:solidFill>
                    <w14:schemeClr w14:val="tx1"/>
                  </w14:solidFill>
                </w14:textFill>
              </w:rPr>
              <w:t>分</w:t>
            </w:r>
          </w:p>
          <w:p w14:paraId="4398FA1F">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信誉：</w:t>
            </w:r>
            <w:r>
              <w:rPr>
                <w:rFonts w:hint="eastAsia"/>
                <w:color w:val="000000" w:themeColor="text1"/>
                <w:highlight w:val="none"/>
                <w:u w:val="single"/>
                <w14:textFill>
                  <w14:solidFill>
                    <w14:schemeClr w14:val="tx1"/>
                  </w14:solidFill>
                </w14:textFill>
              </w:rPr>
              <w:t>0</w:t>
            </w:r>
            <w:r>
              <w:rPr>
                <w:rFonts w:hint="eastAsia"/>
                <w:color w:val="000000" w:themeColor="text1"/>
                <w:highlight w:val="none"/>
                <w14:textFill>
                  <w14:solidFill>
                    <w14:schemeClr w14:val="tx1"/>
                  </w14:solidFill>
                </w14:textFill>
              </w:rPr>
              <w:t>分</w:t>
            </w:r>
          </w:p>
        </w:tc>
      </w:tr>
      <w:tr w14:paraId="434EA0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418" w:hRule="atLeast"/>
        </w:trPr>
        <w:tc>
          <w:tcPr>
            <w:tcW w:w="468" w:type="pct"/>
            <w:vAlign w:val="center"/>
          </w:tcPr>
          <w:p w14:paraId="2901310F">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2.2.2</w:t>
            </w:r>
          </w:p>
        </w:tc>
        <w:tc>
          <w:tcPr>
            <w:tcW w:w="1224" w:type="pct"/>
            <w:vAlign w:val="center"/>
          </w:tcPr>
          <w:p w14:paraId="0C1639C8">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评标基准价计算方法</w:t>
            </w:r>
          </w:p>
        </w:tc>
        <w:tc>
          <w:tcPr>
            <w:tcW w:w="3306" w:type="pct"/>
            <w:vAlign w:val="center"/>
          </w:tcPr>
          <w:p w14:paraId="3C813814">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评标基准价的计算：</w:t>
            </w:r>
          </w:p>
          <w:p w14:paraId="1C28C10B">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评标基准价由评标委员会计算、复核并签字确认。除计算差错外，确认后的评标基准价在本次招标期间保持不变。计算差错，仅限于以下两种情况：（</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）纯算术性四则运算差错；（</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）未按约定的计算方法，多计或少计投标人报价。由于评标差错，导致否决投标错误，重新评标纠正等其他情况，不属于计算差错。</w:t>
            </w:r>
          </w:p>
          <w:p w14:paraId="10792489">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）评标价的确定：</w:t>
            </w:r>
          </w:p>
          <w:p w14:paraId="738DB2D6">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评标价</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投标函的文字报价</w:t>
            </w:r>
          </w:p>
          <w:p w14:paraId="2DB70E16">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评标基准价按以下公式计算</w:t>
            </w:r>
          </w:p>
          <w:p w14:paraId="2A23B507">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C=</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A×K+B×</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1-K</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100-i</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/100</w:t>
            </w:r>
          </w:p>
          <w:p w14:paraId="5BECC5C2">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式中：</w:t>
            </w:r>
          </w:p>
          <w:p w14:paraId="3570CEBF">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C</w:t>
            </w:r>
            <w:r>
              <w:rPr>
                <w:rFonts w:hint="eastAsia"/>
                <w:color w:val="000000" w:themeColor="text1"/>
                <w:szCs w:val="21"/>
                <w:highlight w:val="none"/>
                <w14:textFill>
                  <w14:solidFill>
                    <w14:schemeClr w14:val="tx1"/>
                  </w14:solidFill>
                </w14:textFill>
              </w:rPr>
              <w:t>为评标基准价</w:t>
            </w:r>
          </w:p>
          <w:p w14:paraId="3218BF1F">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A</w:t>
            </w:r>
            <w:r>
              <w:rPr>
                <w:rFonts w:hint="eastAsia"/>
                <w:color w:val="000000" w:themeColor="text1"/>
                <w:szCs w:val="21"/>
                <w:highlight w:val="none"/>
                <w14:textFill>
                  <w14:solidFill>
                    <w14:schemeClr w14:val="tx1"/>
                  </w14:solidFill>
                </w14:textFill>
              </w:rPr>
              <w:t>为招标人的最高投标限价（最高投标限价的确定见投标人须知前附表</w:t>
            </w:r>
            <w:r>
              <w:rPr>
                <w:color w:val="000000" w:themeColor="text1"/>
                <w:szCs w:val="21"/>
                <w:highlight w:val="none"/>
                <w14:textFill>
                  <w14:solidFill>
                    <w14:schemeClr w14:val="tx1"/>
                  </w14:solidFill>
                </w14:textFill>
              </w:rPr>
              <w:t>3.2.8</w:t>
            </w:r>
            <w:r>
              <w:rPr>
                <w:rFonts w:hint="eastAsia"/>
                <w:color w:val="000000" w:themeColor="text1"/>
                <w:szCs w:val="21"/>
                <w:highlight w:val="none"/>
                <w14:textFill>
                  <w14:solidFill>
                    <w14:schemeClr w14:val="tx1"/>
                  </w14:solidFill>
                </w14:textFill>
              </w:rPr>
              <w:t>项规定）；</w:t>
            </w:r>
          </w:p>
          <w:p w14:paraId="2E1863D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K</w:t>
            </w:r>
            <w:r>
              <w:rPr>
                <w:rFonts w:hint="eastAsia"/>
                <w:color w:val="000000" w:themeColor="text1"/>
                <w:szCs w:val="21"/>
                <w:highlight w:val="none"/>
                <w14:textFill>
                  <w14:solidFill>
                    <w14:schemeClr w14:val="tx1"/>
                  </w14:solidFill>
                </w14:textFill>
              </w:rPr>
              <w:t>为复合系数（开标时从</w:t>
            </w:r>
            <w:r>
              <w:rPr>
                <w:color w:val="000000" w:themeColor="text1"/>
                <w:szCs w:val="21"/>
                <w:highlight w:val="none"/>
                <w14:textFill>
                  <w14:solidFill>
                    <w14:schemeClr w14:val="tx1"/>
                  </w14:solidFill>
                </w14:textFill>
              </w:rPr>
              <w:t>0.30</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0.35</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0.40</w:t>
            </w:r>
            <w:r>
              <w:rPr>
                <w:rFonts w:hint="eastAsia"/>
                <w:color w:val="000000" w:themeColor="text1"/>
                <w:szCs w:val="21"/>
                <w:highlight w:val="none"/>
                <w14:textFill>
                  <w14:solidFill>
                    <w14:schemeClr w14:val="tx1"/>
                  </w14:solidFill>
                </w14:textFill>
              </w:rPr>
              <w:t>三值中随机抽取一个值）；</w:t>
            </w:r>
            <w:r>
              <w:rPr>
                <w:color w:val="000000" w:themeColor="text1"/>
                <w:szCs w:val="21"/>
                <w:highlight w:val="none"/>
                <w14:textFill>
                  <w14:solidFill>
                    <w14:schemeClr w14:val="tx1"/>
                  </w14:solidFill>
                </w14:textFill>
              </w:rPr>
              <w:t>i</w:t>
            </w:r>
            <w:r>
              <w:rPr>
                <w:rFonts w:hint="eastAsia"/>
                <w:color w:val="000000" w:themeColor="text1"/>
                <w:szCs w:val="21"/>
                <w:highlight w:val="none"/>
                <w14:textFill>
                  <w14:solidFill>
                    <w14:schemeClr w14:val="tx1"/>
                  </w14:solidFill>
                </w14:textFill>
              </w:rPr>
              <w:t>为下浮系数（开标时从</w:t>
            </w:r>
            <w:r>
              <w:rPr>
                <w:rFonts w:hint="eastAsia"/>
                <w:color w:val="000000" w:themeColor="text1"/>
                <w:szCs w:val="21"/>
                <w:highlight w:val="none"/>
                <w:u w:val="single"/>
                <w:lang w:val="en-US" w:eastAsia="zh-CN"/>
                <w14:textFill>
                  <w14:solidFill>
                    <w14:schemeClr w14:val="tx1"/>
                  </w14:solidFill>
                </w14:textFill>
              </w:rPr>
              <w:t>2</w:t>
            </w:r>
            <w:r>
              <w:rPr>
                <w:rFonts w:hint="eastAsia"/>
                <w:color w:val="000000" w:themeColor="text1"/>
                <w:szCs w:val="21"/>
                <w:highlight w:val="none"/>
                <w14:textFill>
                  <w14:solidFill>
                    <w14:schemeClr w14:val="tx1"/>
                  </w14:solidFill>
                </w14:textFill>
              </w:rPr>
              <w:t>、</w:t>
            </w:r>
            <w:r>
              <w:rPr>
                <w:rFonts w:hint="eastAsia"/>
                <w:color w:val="000000" w:themeColor="text1"/>
                <w:szCs w:val="21"/>
                <w:highlight w:val="none"/>
                <w:u w:val="single"/>
                <w:lang w:val="en-US" w:eastAsia="zh-CN"/>
                <w14:textFill>
                  <w14:solidFill>
                    <w14:schemeClr w14:val="tx1"/>
                  </w14:solidFill>
                </w14:textFill>
              </w:rPr>
              <w:t>2.5</w:t>
            </w:r>
            <w:r>
              <w:rPr>
                <w:rFonts w:hint="eastAsia"/>
                <w:color w:val="000000" w:themeColor="text1"/>
                <w:szCs w:val="21"/>
                <w:highlight w:val="none"/>
                <w14:textFill>
                  <w14:solidFill>
                    <w14:schemeClr w14:val="tx1"/>
                  </w14:solidFill>
                </w14:textFill>
              </w:rPr>
              <w:t>、</w:t>
            </w:r>
            <w:r>
              <w:rPr>
                <w:rFonts w:hint="eastAsia"/>
                <w:strike w:val="0"/>
                <w:dstrike w:val="0"/>
                <w:color w:val="000000" w:themeColor="text1"/>
                <w:szCs w:val="21"/>
                <w:highlight w:val="none"/>
                <w:u w:val="single"/>
                <w:lang w:val="en-US" w:eastAsia="zh-CN"/>
                <w14:textFill>
                  <w14:solidFill>
                    <w14:schemeClr w14:val="tx1"/>
                  </w14:solidFill>
                </w14:textFill>
              </w:rPr>
              <w:t>3</w:t>
            </w:r>
            <w:r>
              <w:rPr>
                <w:rFonts w:hint="eastAsia"/>
                <w:color w:val="000000" w:themeColor="text1"/>
                <w:szCs w:val="21"/>
                <w:highlight w:val="none"/>
                <w14:textFill>
                  <w14:solidFill>
                    <w14:schemeClr w14:val="tx1"/>
                  </w14:solidFill>
                </w14:textFill>
              </w:rPr>
              <w:t>三个连续值</w:t>
            </w:r>
            <w:r>
              <w:rPr>
                <w:rStyle w:val="32"/>
                <w:rFonts w:hint="eastAsia"/>
                <w:color w:val="000000" w:themeColor="text1"/>
                <w:szCs w:val="21"/>
                <w:highlight w:val="none"/>
                <w14:textFill>
                  <w14:solidFill>
                    <w14:schemeClr w14:val="tx1"/>
                  </w14:solidFill>
                </w14:textFill>
              </w:rPr>
              <w:footnoteReference w:id="8"/>
            </w:r>
            <w:r>
              <w:rPr>
                <w:rFonts w:hint="eastAsia"/>
                <w:color w:val="000000" w:themeColor="text1"/>
                <w:szCs w:val="21"/>
                <w:highlight w:val="none"/>
                <w14:textFill>
                  <w14:solidFill>
                    <w14:schemeClr w14:val="tx1"/>
                  </w14:solidFill>
                </w14:textFill>
              </w:rPr>
              <w:t>中随机抽取一个值）。</w:t>
            </w:r>
          </w:p>
          <w:p w14:paraId="7A1D635B">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B</w:t>
            </w:r>
            <w:r>
              <w:rPr>
                <w:rFonts w:hint="eastAsia"/>
                <w:color w:val="000000" w:themeColor="text1"/>
                <w:szCs w:val="21"/>
                <w:highlight w:val="none"/>
                <w14:textFill>
                  <w14:solidFill>
                    <w14:schemeClr w14:val="tx1"/>
                  </w14:solidFill>
                </w14:textFill>
              </w:rPr>
              <w:t>值：</w:t>
            </w:r>
            <w:r>
              <w:rPr>
                <w:color w:val="000000" w:themeColor="text1"/>
                <w:szCs w:val="21"/>
                <w:highlight w:val="none"/>
                <w14:textFill>
                  <w14:solidFill>
                    <w14:schemeClr w14:val="tx1"/>
                  </w14:solidFill>
                </w14:textFill>
              </w:rPr>
              <w:t xml:space="preserve"> </w:t>
            </w:r>
          </w:p>
          <w:p w14:paraId="22E785EC">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所有通过第一个信封评审及第二个信封初步评审的</w:t>
            </w:r>
            <w:r>
              <w:rPr>
                <w:rFonts w:hint="eastAsia"/>
                <w:color w:val="000000" w:themeColor="text1"/>
                <w:highlight w:val="none"/>
                <w14:textFill>
                  <w14:solidFill>
                    <w14:schemeClr w14:val="tx1"/>
                  </w14:solidFill>
                </w14:textFill>
              </w:rPr>
              <w:t>投标人评标价，根据下述区段计算区段平均值（区段内各投标人评标价的算术平均值），再将计算得出的区段平均值进行加权平均，得出的投标人评标价二次平均值即为</w:t>
            </w:r>
            <w:r>
              <w:rPr>
                <w:color w:val="000000" w:themeColor="text1"/>
                <w:highlight w:val="none"/>
                <w14:textFill>
                  <w14:solidFill>
                    <w14:schemeClr w14:val="tx1"/>
                  </w14:solidFill>
                </w14:textFill>
              </w:rPr>
              <w:t>B</w:t>
            </w:r>
            <w:r>
              <w:rPr>
                <w:rFonts w:hint="eastAsia"/>
                <w:color w:val="000000" w:themeColor="text1"/>
                <w:highlight w:val="none"/>
                <w14:textFill>
                  <w14:solidFill>
                    <w14:schemeClr w14:val="tx1"/>
                  </w14:solidFill>
                </w14:textFill>
              </w:rPr>
              <w:t>值</w:t>
            </w:r>
            <w:r>
              <w:rPr>
                <w:rFonts w:hint="eastAsia"/>
                <w:color w:val="000000" w:themeColor="text1"/>
                <w:szCs w:val="21"/>
                <w:highlight w:val="none"/>
                <w14:textFill>
                  <w14:solidFill>
                    <w14:schemeClr w14:val="tx1"/>
                  </w14:solidFill>
                </w14:textFill>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4"/>
              <w:gridCol w:w="1052"/>
              <w:gridCol w:w="1639"/>
            </w:tblGrid>
            <w:tr w14:paraId="12B0B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33EE1705">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区段</w:t>
                  </w:r>
                </w:p>
              </w:tc>
              <w:tc>
                <w:tcPr>
                  <w:tcW w:w="1052" w:type="dxa"/>
                  <w:shd w:val="clear" w:color="auto" w:fill="auto"/>
                  <w:vAlign w:val="center"/>
                </w:tcPr>
                <w:p w14:paraId="0E6E1B72">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区段</w:t>
                  </w:r>
                </w:p>
                <w:p w14:paraId="34DD6EEB">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平均值</w:t>
                  </w:r>
                </w:p>
              </w:tc>
              <w:tc>
                <w:tcPr>
                  <w:tcW w:w="1641" w:type="dxa"/>
                  <w:shd w:val="clear" w:color="auto" w:fill="auto"/>
                  <w:vAlign w:val="center"/>
                </w:tcPr>
                <w:p w14:paraId="52BA138C">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二次平均值</w:t>
                  </w:r>
                </w:p>
              </w:tc>
            </w:tr>
            <w:tr w14:paraId="601E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0F8714A5">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A*0.97&lt;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w:t>
                  </w:r>
                </w:p>
              </w:tc>
              <w:tc>
                <w:tcPr>
                  <w:tcW w:w="1052" w:type="dxa"/>
                  <w:shd w:val="clear" w:color="auto" w:fill="auto"/>
                  <w:vAlign w:val="center"/>
                </w:tcPr>
                <w:p w14:paraId="55D0B2E7">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A1</w:t>
                  </w:r>
                </w:p>
              </w:tc>
              <w:tc>
                <w:tcPr>
                  <w:tcW w:w="1641" w:type="dxa"/>
                  <w:vMerge w:val="restart"/>
                  <w:shd w:val="clear" w:color="auto" w:fill="auto"/>
                  <w:vAlign w:val="center"/>
                </w:tcPr>
                <w:p w14:paraId="52A1B1A4">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B</w:t>
                  </w:r>
                  <w:r>
                    <w:rPr>
                      <w:rFonts w:hint="eastAsia"/>
                      <w:color w:val="000000" w:themeColor="text1"/>
                      <w:highlight w:val="none"/>
                      <w14:textFill>
                        <w14:solidFill>
                          <w14:schemeClr w14:val="tx1"/>
                        </w14:solidFill>
                      </w14:textFill>
                    </w:rPr>
                    <w:t>为</w:t>
                  </w:r>
                  <w:r>
                    <w:rPr>
                      <w:color w:val="000000" w:themeColor="text1"/>
                      <w:highlight w:val="none"/>
                      <w14:textFill>
                        <w14:solidFill>
                          <w14:schemeClr w14:val="tx1"/>
                        </w14:solidFill>
                      </w14:textFill>
                    </w:rPr>
                    <w:t>A1~A15</w:t>
                  </w:r>
                  <w:r>
                    <w:rPr>
                      <w:rFonts w:hint="eastAsia"/>
                      <w:color w:val="000000" w:themeColor="text1"/>
                      <w:highlight w:val="none"/>
                      <w14:textFill>
                        <w14:solidFill>
                          <w14:schemeClr w14:val="tx1"/>
                        </w14:solidFill>
                      </w14:textFill>
                    </w:rPr>
                    <w:t>的加权平均值（</w:t>
                  </w:r>
                  <w:r>
                    <w:rPr>
                      <w:color w:val="000000" w:themeColor="text1"/>
                      <w:highlight w:val="none"/>
                      <w14:textFill>
                        <w14:solidFill>
                          <w14:schemeClr w14:val="tx1"/>
                        </w14:solidFill>
                      </w14:textFill>
                    </w:rPr>
                    <w:t>A1</w:t>
                  </w:r>
                  <w:r>
                    <w:rPr>
                      <w:rFonts w:hint="eastAsia"/>
                      <w:color w:val="000000" w:themeColor="text1"/>
                      <w:highlight w:val="none"/>
                      <w14:textFill>
                        <w14:solidFill>
                          <w14:schemeClr w14:val="tx1"/>
                        </w14:solidFill>
                      </w14:textFill>
                    </w:rPr>
                    <w:t>和</w:t>
                  </w:r>
                  <w:r>
                    <w:rPr>
                      <w:color w:val="000000" w:themeColor="text1"/>
                      <w:highlight w:val="none"/>
                      <w14:textFill>
                        <w14:solidFill>
                          <w14:schemeClr w14:val="tx1"/>
                        </w14:solidFill>
                      </w14:textFill>
                    </w:rPr>
                    <w:t>A15</w:t>
                  </w:r>
                  <w:r>
                    <w:rPr>
                      <w:rFonts w:hint="eastAsia"/>
                      <w:color w:val="000000" w:themeColor="text1"/>
                      <w:highlight w:val="none"/>
                      <w14:textFill>
                        <w14:solidFill>
                          <w14:schemeClr w14:val="tx1"/>
                        </w14:solidFill>
                      </w14:textFill>
                    </w:rPr>
                    <w:t>权重为</w:t>
                  </w:r>
                  <w:r>
                    <w:rPr>
                      <w:color w:val="000000" w:themeColor="text1"/>
                      <w:highlight w:val="none"/>
                      <w14:textFill>
                        <w14:solidFill>
                          <w14:schemeClr w14:val="tx1"/>
                        </w14:solidFill>
                      </w14:textFill>
                    </w:rPr>
                    <w:t>0.3</w:t>
                  </w:r>
                  <w:r>
                    <w:rPr>
                      <w:rFonts w:hint="eastAsia"/>
                      <w:color w:val="000000" w:themeColor="text1"/>
                      <w:highlight w:val="none"/>
                      <w14:textFill>
                        <w14:solidFill>
                          <w14:schemeClr w14:val="tx1"/>
                        </w14:solidFill>
                      </w14:textFill>
                    </w:rPr>
                    <w:t>，其余权重为</w:t>
                  </w:r>
                  <w:r>
                    <w:rPr>
                      <w:color w:val="000000" w:themeColor="text1"/>
                      <w:highlight w:val="none"/>
                      <w14:textFill>
                        <w14:solidFill>
                          <w14:schemeClr w14:val="tx1"/>
                        </w14:solidFill>
                      </w14:textFill>
                    </w:rPr>
                    <w:t>1.0</w:t>
                  </w:r>
                  <w:r>
                    <w:rPr>
                      <w:rFonts w:hint="eastAsia"/>
                      <w:color w:val="000000" w:themeColor="text1"/>
                      <w:highlight w:val="none"/>
                      <w14:textFill>
                        <w14:solidFill>
                          <w14:schemeClr w14:val="tx1"/>
                        </w14:solidFill>
                      </w14:textFill>
                    </w:rPr>
                    <w:t>）。</w:t>
                  </w:r>
                </w:p>
                <w:p w14:paraId="02C4EF65">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若某区段无投标人评标价，则该区段不计区段平均值。</w:t>
                  </w:r>
                </w:p>
                <w:p w14:paraId="52566DD7">
                  <w:pPr>
                    <w:spacing w:line="360" w:lineRule="auto"/>
                    <w:rPr>
                      <w:color w:val="000000" w:themeColor="text1"/>
                      <w:highlight w:val="none"/>
                      <w14:textFill>
                        <w14:solidFill>
                          <w14:schemeClr w14:val="tx1"/>
                        </w14:solidFill>
                      </w14:textFill>
                    </w:rPr>
                  </w:pPr>
                </w:p>
              </w:tc>
            </w:tr>
            <w:tr w14:paraId="6FE5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7495D047">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A*0.95&lt;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A*0.97</w:t>
                  </w:r>
                </w:p>
              </w:tc>
              <w:tc>
                <w:tcPr>
                  <w:tcW w:w="1052" w:type="dxa"/>
                  <w:shd w:val="clear" w:color="auto" w:fill="auto"/>
                  <w:vAlign w:val="center"/>
                </w:tcPr>
                <w:p w14:paraId="582FE929">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A2</w:t>
                  </w:r>
                </w:p>
              </w:tc>
              <w:tc>
                <w:tcPr>
                  <w:tcW w:w="1641" w:type="dxa"/>
                  <w:vMerge w:val="continue"/>
                  <w:shd w:val="clear" w:color="auto" w:fill="auto"/>
                  <w:vAlign w:val="center"/>
                </w:tcPr>
                <w:p w14:paraId="4B7F3F2C">
                  <w:pPr>
                    <w:spacing w:line="360" w:lineRule="auto"/>
                    <w:rPr>
                      <w:color w:val="000000" w:themeColor="text1"/>
                      <w:highlight w:val="none"/>
                      <w14:textFill>
                        <w14:solidFill>
                          <w14:schemeClr w14:val="tx1"/>
                        </w14:solidFill>
                      </w14:textFill>
                    </w:rPr>
                  </w:pPr>
                </w:p>
              </w:tc>
            </w:tr>
            <w:tr w14:paraId="657F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070CDA55">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A*0.94&lt;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A*0.95</w:t>
                  </w:r>
                </w:p>
              </w:tc>
              <w:tc>
                <w:tcPr>
                  <w:tcW w:w="1052" w:type="dxa"/>
                  <w:shd w:val="clear" w:color="auto" w:fill="auto"/>
                  <w:vAlign w:val="center"/>
                </w:tcPr>
                <w:p w14:paraId="6F2105E6">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A3</w:t>
                  </w:r>
                </w:p>
              </w:tc>
              <w:tc>
                <w:tcPr>
                  <w:tcW w:w="1641" w:type="dxa"/>
                  <w:vMerge w:val="continue"/>
                  <w:shd w:val="clear" w:color="auto" w:fill="auto"/>
                  <w:vAlign w:val="center"/>
                </w:tcPr>
                <w:p w14:paraId="7158B797">
                  <w:pPr>
                    <w:spacing w:line="360" w:lineRule="auto"/>
                    <w:ind w:firstLine="420" w:firstLineChars="200"/>
                    <w:rPr>
                      <w:color w:val="000000" w:themeColor="text1"/>
                      <w:highlight w:val="none"/>
                      <w14:textFill>
                        <w14:solidFill>
                          <w14:schemeClr w14:val="tx1"/>
                        </w14:solidFill>
                      </w14:textFill>
                    </w:rPr>
                  </w:pPr>
                </w:p>
              </w:tc>
            </w:tr>
            <w:tr w14:paraId="5BB43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002F90EE">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A*0.93&lt;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A*0.94</w:t>
                  </w:r>
                </w:p>
              </w:tc>
              <w:tc>
                <w:tcPr>
                  <w:tcW w:w="1052" w:type="dxa"/>
                  <w:shd w:val="clear" w:color="auto" w:fill="auto"/>
                  <w:vAlign w:val="center"/>
                </w:tcPr>
                <w:p w14:paraId="548D6545">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A4</w:t>
                  </w:r>
                </w:p>
              </w:tc>
              <w:tc>
                <w:tcPr>
                  <w:tcW w:w="1641" w:type="dxa"/>
                  <w:vMerge w:val="continue"/>
                  <w:shd w:val="clear" w:color="auto" w:fill="auto"/>
                  <w:vAlign w:val="center"/>
                </w:tcPr>
                <w:p w14:paraId="61975ECB">
                  <w:pPr>
                    <w:spacing w:line="360" w:lineRule="auto"/>
                    <w:ind w:firstLine="420" w:firstLineChars="200"/>
                    <w:rPr>
                      <w:color w:val="000000" w:themeColor="text1"/>
                      <w:highlight w:val="none"/>
                      <w14:textFill>
                        <w14:solidFill>
                          <w14:schemeClr w14:val="tx1"/>
                        </w14:solidFill>
                      </w14:textFill>
                    </w:rPr>
                  </w:pPr>
                </w:p>
              </w:tc>
            </w:tr>
            <w:tr w14:paraId="054D6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579B923A">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A*0.92&lt;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A*0.93</w:t>
                  </w:r>
                </w:p>
              </w:tc>
              <w:tc>
                <w:tcPr>
                  <w:tcW w:w="1052" w:type="dxa"/>
                  <w:shd w:val="clear" w:color="auto" w:fill="auto"/>
                  <w:vAlign w:val="center"/>
                </w:tcPr>
                <w:p w14:paraId="142B9A87">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A5</w:t>
                  </w:r>
                </w:p>
              </w:tc>
              <w:tc>
                <w:tcPr>
                  <w:tcW w:w="1641" w:type="dxa"/>
                  <w:vMerge w:val="continue"/>
                  <w:shd w:val="clear" w:color="auto" w:fill="auto"/>
                  <w:vAlign w:val="center"/>
                </w:tcPr>
                <w:p w14:paraId="06C243C2">
                  <w:pPr>
                    <w:spacing w:line="360" w:lineRule="auto"/>
                    <w:ind w:firstLine="420" w:firstLineChars="200"/>
                    <w:rPr>
                      <w:color w:val="000000" w:themeColor="text1"/>
                      <w:highlight w:val="none"/>
                      <w14:textFill>
                        <w14:solidFill>
                          <w14:schemeClr w14:val="tx1"/>
                        </w14:solidFill>
                      </w14:textFill>
                    </w:rPr>
                  </w:pPr>
                </w:p>
              </w:tc>
            </w:tr>
            <w:tr w14:paraId="44B1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1F84A3AA">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A*0.91&lt;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A*0.92</w:t>
                  </w:r>
                </w:p>
              </w:tc>
              <w:tc>
                <w:tcPr>
                  <w:tcW w:w="1052" w:type="dxa"/>
                  <w:shd w:val="clear" w:color="auto" w:fill="auto"/>
                  <w:vAlign w:val="center"/>
                </w:tcPr>
                <w:p w14:paraId="28A61410">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A6</w:t>
                  </w:r>
                </w:p>
              </w:tc>
              <w:tc>
                <w:tcPr>
                  <w:tcW w:w="1641" w:type="dxa"/>
                  <w:vMerge w:val="continue"/>
                  <w:shd w:val="clear" w:color="auto" w:fill="auto"/>
                  <w:vAlign w:val="center"/>
                </w:tcPr>
                <w:p w14:paraId="74D7BE12">
                  <w:pPr>
                    <w:spacing w:line="360" w:lineRule="auto"/>
                    <w:ind w:firstLine="420" w:firstLineChars="200"/>
                    <w:rPr>
                      <w:color w:val="000000" w:themeColor="text1"/>
                      <w:highlight w:val="none"/>
                      <w14:textFill>
                        <w14:solidFill>
                          <w14:schemeClr w14:val="tx1"/>
                        </w14:solidFill>
                      </w14:textFill>
                    </w:rPr>
                  </w:pPr>
                </w:p>
              </w:tc>
            </w:tr>
            <w:tr w14:paraId="2738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2B100591">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A*0.90&lt;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A*0.91</w:t>
                  </w:r>
                </w:p>
              </w:tc>
              <w:tc>
                <w:tcPr>
                  <w:tcW w:w="1052" w:type="dxa"/>
                  <w:shd w:val="clear" w:color="auto" w:fill="auto"/>
                  <w:vAlign w:val="center"/>
                </w:tcPr>
                <w:p w14:paraId="48F10536">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A7</w:t>
                  </w:r>
                </w:p>
              </w:tc>
              <w:tc>
                <w:tcPr>
                  <w:tcW w:w="1641" w:type="dxa"/>
                  <w:vMerge w:val="continue"/>
                  <w:shd w:val="clear" w:color="auto" w:fill="auto"/>
                  <w:vAlign w:val="center"/>
                </w:tcPr>
                <w:p w14:paraId="4C8BB6B8">
                  <w:pPr>
                    <w:spacing w:line="360" w:lineRule="auto"/>
                    <w:ind w:firstLine="420" w:firstLineChars="200"/>
                    <w:rPr>
                      <w:color w:val="000000" w:themeColor="text1"/>
                      <w:highlight w:val="none"/>
                      <w14:textFill>
                        <w14:solidFill>
                          <w14:schemeClr w14:val="tx1"/>
                        </w14:solidFill>
                      </w14:textFill>
                    </w:rPr>
                  </w:pPr>
                </w:p>
              </w:tc>
            </w:tr>
            <w:tr w14:paraId="49753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584D016B">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A*0.89&lt;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A*0.90</w:t>
                  </w:r>
                </w:p>
              </w:tc>
              <w:tc>
                <w:tcPr>
                  <w:tcW w:w="1052" w:type="dxa"/>
                  <w:shd w:val="clear" w:color="auto" w:fill="auto"/>
                  <w:vAlign w:val="center"/>
                </w:tcPr>
                <w:p w14:paraId="399A2B23">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A8</w:t>
                  </w:r>
                </w:p>
              </w:tc>
              <w:tc>
                <w:tcPr>
                  <w:tcW w:w="1641" w:type="dxa"/>
                  <w:vMerge w:val="continue"/>
                  <w:shd w:val="clear" w:color="auto" w:fill="auto"/>
                  <w:vAlign w:val="center"/>
                </w:tcPr>
                <w:p w14:paraId="2BC6FFAB">
                  <w:pPr>
                    <w:spacing w:line="360" w:lineRule="auto"/>
                    <w:ind w:firstLine="420" w:firstLineChars="200"/>
                    <w:rPr>
                      <w:color w:val="000000" w:themeColor="text1"/>
                      <w:highlight w:val="none"/>
                      <w14:textFill>
                        <w14:solidFill>
                          <w14:schemeClr w14:val="tx1"/>
                        </w14:solidFill>
                      </w14:textFill>
                    </w:rPr>
                  </w:pPr>
                </w:p>
              </w:tc>
            </w:tr>
            <w:tr w14:paraId="06C7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6CCD3A0A">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A*0.88&lt;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A*0.89</w:t>
                  </w:r>
                </w:p>
              </w:tc>
              <w:tc>
                <w:tcPr>
                  <w:tcW w:w="1052" w:type="dxa"/>
                  <w:shd w:val="clear" w:color="auto" w:fill="auto"/>
                  <w:vAlign w:val="center"/>
                </w:tcPr>
                <w:p w14:paraId="230166AE">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A9</w:t>
                  </w:r>
                </w:p>
              </w:tc>
              <w:tc>
                <w:tcPr>
                  <w:tcW w:w="1641" w:type="dxa"/>
                  <w:vMerge w:val="continue"/>
                  <w:shd w:val="clear" w:color="auto" w:fill="auto"/>
                  <w:vAlign w:val="center"/>
                </w:tcPr>
                <w:p w14:paraId="50385980">
                  <w:pPr>
                    <w:spacing w:line="360" w:lineRule="auto"/>
                    <w:ind w:firstLine="420" w:firstLineChars="200"/>
                    <w:rPr>
                      <w:color w:val="000000" w:themeColor="text1"/>
                      <w:highlight w:val="none"/>
                      <w14:textFill>
                        <w14:solidFill>
                          <w14:schemeClr w14:val="tx1"/>
                        </w14:solidFill>
                      </w14:textFill>
                    </w:rPr>
                  </w:pPr>
                </w:p>
              </w:tc>
            </w:tr>
            <w:tr w14:paraId="4DE50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5ABA862B">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A*0.87&lt;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A*0.88</w:t>
                  </w:r>
                </w:p>
              </w:tc>
              <w:tc>
                <w:tcPr>
                  <w:tcW w:w="1052" w:type="dxa"/>
                  <w:shd w:val="clear" w:color="auto" w:fill="auto"/>
                  <w:vAlign w:val="center"/>
                </w:tcPr>
                <w:p w14:paraId="22E83919">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A10</w:t>
                  </w:r>
                </w:p>
              </w:tc>
              <w:tc>
                <w:tcPr>
                  <w:tcW w:w="1641" w:type="dxa"/>
                  <w:vMerge w:val="continue"/>
                  <w:shd w:val="clear" w:color="auto" w:fill="auto"/>
                  <w:vAlign w:val="center"/>
                </w:tcPr>
                <w:p w14:paraId="1EDF70EF">
                  <w:pPr>
                    <w:spacing w:line="360" w:lineRule="auto"/>
                    <w:ind w:firstLine="420" w:firstLineChars="200"/>
                    <w:rPr>
                      <w:color w:val="000000" w:themeColor="text1"/>
                      <w:highlight w:val="none"/>
                      <w14:textFill>
                        <w14:solidFill>
                          <w14:schemeClr w14:val="tx1"/>
                        </w14:solidFill>
                      </w14:textFill>
                    </w:rPr>
                  </w:pPr>
                </w:p>
              </w:tc>
            </w:tr>
            <w:tr w14:paraId="689CA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2A46825C">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A*0.86&lt;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A*0.87</w:t>
                  </w:r>
                </w:p>
              </w:tc>
              <w:tc>
                <w:tcPr>
                  <w:tcW w:w="1052" w:type="dxa"/>
                  <w:shd w:val="clear" w:color="auto" w:fill="auto"/>
                  <w:vAlign w:val="center"/>
                </w:tcPr>
                <w:p w14:paraId="70E531B3">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A11</w:t>
                  </w:r>
                </w:p>
              </w:tc>
              <w:tc>
                <w:tcPr>
                  <w:tcW w:w="1641" w:type="dxa"/>
                  <w:vMerge w:val="continue"/>
                  <w:shd w:val="clear" w:color="auto" w:fill="auto"/>
                  <w:vAlign w:val="center"/>
                </w:tcPr>
                <w:p w14:paraId="76821AB9">
                  <w:pPr>
                    <w:spacing w:line="360" w:lineRule="auto"/>
                    <w:ind w:firstLine="420" w:firstLineChars="200"/>
                    <w:rPr>
                      <w:color w:val="000000" w:themeColor="text1"/>
                      <w:highlight w:val="none"/>
                      <w14:textFill>
                        <w14:solidFill>
                          <w14:schemeClr w14:val="tx1"/>
                        </w14:solidFill>
                      </w14:textFill>
                    </w:rPr>
                  </w:pPr>
                </w:p>
              </w:tc>
            </w:tr>
            <w:tr w14:paraId="3779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4553A5B9">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A*0.85&lt;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A*0.86</w:t>
                  </w:r>
                </w:p>
              </w:tc>
              <w:tc>
                <w:tcPr>
                  <w:tcW w:w="1052" w:type="dxa"/>
                  <w:shd w:val="clear" w:color="auto" w:fill="auto"/>
                  <w:vAlign w:val="center"/>
                </w:tcPr>
                <w:p w14:paraId="016A0BAA">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A12</w:t>
                  </w:r>
                </w:p>
              </w:tc>
              <w:tc>
                <w:tcPr>
                  <w:tcW w:w="1641" w:type="dxa"/>
                  <w:vMerge w:val="continue"/>
                  <w:shd w:val="clear" w:color="auto" w:fill="auto"/>
                  <w:vAlign w:val="center"/>
                </w:tcPr>
                <w:p w14:paraId="6E921CB9">
                  <w:pPr>
                    <w:spacing w:line="360" w:lineRule="auto"/>
                    <w:ind w:firstLine="420" w:firstLineChars="200"/>
                    <w:rPr>
                      <w:color w:val="000000" w:themeColor="text1"/>
                      <w:highlight w:val="none"/>
                      <w14:textFill>
                        <w14:solidFill>
                          <w14:schemeClr w14:val="tx1"/>
                        </w14:solidFill>
                      </w14:textFill>
                    </w:rPr>
                  </w:pPr>
                </w:p>
              </w:tc>
            </w:tr>
            <w:tr w14:paraId="2D145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5E7E2D5B">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A*0.83&lt;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A*0.85</w:t>
                  </w:r>
                </w:p>
              </w:tc>
              <w:tc>
                <w:tcPr>
                  <w:tcW w:w="1052" w:type="dxa"/>
                  <w:shd w:val="clear" w:color="auto" w:fill="auto"/>
                  <w:vAlign w:val="center"/>
                </w:tcPr>
                <w:p w14:paraId="30D7BB90">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A13</w:t>
                  </w:r>
                </w:p>
              </w:tc>
              <w:tc>
                <w:tcPr>
                  <w:tcW w:w="1641" w:type="dxa"/>
                  <w:vMerge w:val="continue"/>
                  <w:shd w:val="clear" w:color="auto" w:fill="auto"/>
                  <w:vAlign w:val="center"/>
                </w:tcPr>
                <w:p w14:paraId="4B655CF9">
                  <w:pPr>
                    <w:spacing w:line="360" w:lineRule="auto"/>
                    <w:ind w:firstLine="420" w:firstLineChars="200"/>
                    <w:rPr>
                      <w:color w:val="000000" w:themeColor="text1"/>
                      <w:highlight w:val="none"/>
                      <w14:textFill>
                        <w14:solidFill>
                          <w14:schemeClr w14:val="tx1"/>
                        </w14:solidFill>
                      </w14:textFill>
                    </w:rPr>
                  </w:pPr>
                </w:p>
              </w:tc>
            </w:tr>
            <w:tr w14:paraId="48918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531307AC">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A*0.80&lt;</w:t>
                  </w: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A*0.83</w:t>
                  </w:r>
                </w:p>
              </w:tc>
              <w:tc>
                <w:tcPr>
                  <w:tcW w:w="1052" w:type="dxa"/>
                  <w:shd w:val="clear" w:color="auto" w:fill="auto"/>
                  <w:vAlign w:val="center"/>
                </w:tcPr>
                <w:p w14:paraId="55A309DF">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A14</w:t>
                  </w:r>
                </w:p>
              </w:tc>
              <w:tc>
                <w:tcPr>
                  <w:tcW w:w="1641" w:type="dxa"/>
                  <w:vMerge w:val="continue"/>
                  <w:shd w:val="clear" w:color="auto" w:fill="auto"/>
                  <w:vAlign w:val="center"/>
                </w:tcPr>
                <w:p w14:paraId="62FC6EAD">
                  <w:pPr>
                    <w:spacing w:line="360" w:lineRule="auto"/>
                    <w:ind w:firstLine="420" w:firstLineChars="200"/>
                    <w:rPr>
                      <w:color w:val="000000" w:themeColor="text1"/>
                      <w:highlight w:val="none"/>
                      <w14:textFill>
                        <w14:solidFill>
                          <w14:schemeClr w14:val="tx1"/>
                        </w14:solidFill>
                      </w14:textFill>
                    </w:rPr>
                  </w:pPr>
                </w:p>
              </w:tc>
            </w:tr>
            <w:tr w14:paraId="3C03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21" w:type="dxa"/>
                  <w:shd w:val="clear" w:color="auto" w:fill="auto"/>
                  <w:vAlign w:val="center"/>
                </w:tcPr>
                <w:p w14:paraId="166F1432">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投标人评标价</w:t>
                  </w:r>
                  <w:r>
                    <w:rPr>
                      <w:rFonts w:hint="eastAsia" w:ascii="宋体" w:hAnsi="宋体" w:cs="宋体"/>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A*0.80</w:t>
                  </w:r>
                </w:p>
              </w:tc>
              <w:tc>
                <w:tcPr>
                  <w:tcW w:w="1052" w:type="dxa"/>
                  <w:shd w:val="clear" w:color="auto" w:fill="auto"/>
                  <w:vAlign w:val="center"/>
                </w:tcPr>
                <w:p w14:paraId="411343CC">
                  <w:pPr>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A15</w:t>
                  </w:r>
                </w:p>
              </w:tc>
              <w:tc>
                <w:tcPr>
                  <w:tcW w:w="1641" w:type="dxa"/>
                  <w:vMerge w:val="continue"/>
                  <w:shd w:val="clear" w:color="auto" w:fill="auto"/>
                  <w:vAlign w:val="center"/>
                </w:tcPr>
                <w:p w14:paraId="1B606CC2">
                  <w:pPr>
                    <w:spacing w:line="360" w:lineRule="auto"/>
                    <w:ind w:firstLine="420" w:firstLineChars="200"/>
                    <w:rPr>
                      <w:color w:val="000000" w:themeColor="text1"/>
                      <w:highlight w:val="none"/>
                      <w14:textFill>
                        <w14:solidFill>
                          <w14:schemeClr w14:val="tx1"/>
                        </w14:solidFill>
                      </w14:textFill>
                    </w:rPr>
                  </w:pPr>
                </w:p>
              </w:tc>
            </w:tr>
          </w:tbl>
          <w:p w14:paraId="2C3F01D5">
            <w:pPr>
              <w:spacing w:line="360" w:lineRule="auto"/>
              <w:rPr>
                <w:rFonts w:ascii="Arial" w:hAnsi="Arial"/>
                <w:color w:val="000000" w:themeColor="text1"/>
                <w:highlight w:val="none"/>
                <w:lang w:val="de-DE" w:eastAsia="de-DE"/>
                <w14:textFill>
                  <w14:solidFill>
                    <w14:schemeClr w14:val="tx1"/>
                  </w14:solidFill>
                </w14:textFill>
              </w:rPr>
            </w:pPr>
          </w:p>
        </w:tc>
      </w:tr>
      <w:tr w14:paraId="19A571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0" w:hRule="atLeast"/>
        </w:trPr>
        <w:tc>
          <w:tcPr>
            <w:tcW w:w="468" w:type="pct"/>
            <w:vAlign w:val="center"/>
          </w:tcPr>
          <w:p w14:paraId="5FD936B5">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2.2.3</w:t>
            </w:r>
          </w:p>
        </w:tc>
        <w:tc>
          <w:tcPr>
            <w:tcW w:w="1224" w:type="pct"/>
            <w:vAlign w:val="center"/>
          </w:tcPr>
          <w:p w14:paraId="25F8B8C0">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评标价的偏差率计算</w:t>
            </w:r>
          </w:p>
          <w:p w14:paraId="2997382B">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公式</w:t>
            </w:r>
          </w:p>
        </w:tc>
        <w:tc>
          <w:tcPr>
            <w:tcW w:w="3306" w:type="pct"/>
            <w:vAlign w:val="center"/>
          </w:tcPr>
          <w:p w14:paraId="5D7658CD">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偏差率</w:t>
            </w:r>
            <w:r>
              <w:rPr>
                <w:color w:val="000000" w:themeColor="text1"/>
                <w:highlight w:val="none"/>
                <w14:textFill>
                  <w14:solidFill>
                    <w14:schemeClr w14:val="tx1"/>
                  </w14:solidFill>
                </w14:textFill>
              </w:rPr>
              <w:t>=100%×</w:t>
            </w:r>
            <w:r>
              <w:rPr>
                <w:rFonts w:hint="eastAsia"/>
                <w:color w:val="000000" w:themeColor="text1"/>
                <w:highlight w:val="none"/>
                <w14:textFill>
                  <w14:solidFill>
                    <w14:schemeClr w14:val="tx1"/>
                  </w14:solidFill>
                </w14:textFill>
              </w:rPr>
              <w:t>（投标人评标价－评标基准价）／评标基准价</w:t>
            </w:r>
          </w:p>
        </w:tc>
      </w:tr>
      <w:tr w14:paraId="3A1CF1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453" w:hRule="atLeast"/>
        </w:trPr>
        <w:tc>
          <w:tcPr>
            <w:tcW w:w="468" w:type="pct"/>
            <w:vAlign w:val="center"/>
          </w:tcPr>
          <w:p w14:paraId="3FE2112C">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2.2.4</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p>
        </w:tc>
        <w:tc>
          <w:tcPr>
            <w:tcW w:w="1224" w:type="pct"/>
            <w:vAlign w:val="center"/>
          </w:tcPr>
          <w:p w14:paraId="1A2CB807">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评标价</w:t>
            </w:r>
          </w:p>
        </w:tc>
        <w:tc>
          <w:tcPr>
            <w:tcW w:w="3306" w:type="pct"/>
            <w:vAlign w:val="center"/>
          </w:tcPr>
          <w:p w14:paraId="0ED14B33">
            <w:pPr>
              <w:spacing w:line="360" w:lineRule="auto"/>
              <w:ind w:firstLine="210" w:firstLineChars="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评标价（</w:t>
            </w:r>
            <w:r>
              <w:rPr>
                <w:rFonts w:hint="eastAsia"/>
                <w:color w:val="000000" w:themeColor="text1"/>
                <w:highlight w:val="none"/>
                <w:u w:val="single"/>
                <w14:textFill>
                  <w14:solidFill>
                    <w14:schemeClr w14:val="tx1"/>
                  </w14:solidFill>
                </w14:textFill>
              </w:rPr>
              <w:t>100</w:t>
            </w:r>
            <w:r>
              <w:rPr>
                <w:rFonts w:hint="eastAsia"/>
                <w:color w:val="000000" w:themeColor="text1"/>
                <w:highlight w:val="none"/>
                <w14:textFill>
                  <w14:solidFill>
                    <w14:schemeClr w14:val="tx1"/>
                  </w14:solidFill>
                </w14:textFill>
              </w:rPr>
              <w:t>分）</w:t>
            </w:r>
          </w:p>
          <w:p w14:paraId="47D7F088">
            <w:pPr>
              <w:spacing w:line="360" w:lineRule="auto"/>
              <w:ind w:firstLine="210" w:firstLineChars="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投标人评标价得分的计算（保留两位小数）</w:t>
            </w:r>
          </w:p>
          <w:p w14:paraId="6DB75DEA">
            <w:pPr>
              <w:spacing w:line="360" w:lineRule="auto"/>
              <w:ind w:firstLine="210" w:firstLineChars="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如果投标人的评标价＞评标基准价，则评标价得分＝</w:t>
            </w:r>
            <w:r>
              <w:rPr>
                <w:rFonts w:hint="eastAsia"/>
                <w:color w:val="000000" w:themeColor="text1"/>
                <w:highlight w:val="none"/>
                <w:u w:val="single"/>
                <w14:textFill>
                  <w14:solidFill>
                    <w14:schemeClr w14:val="tx1"/>
                  </w14:solidFill>
                </w14:textFill>
              </w:rPr>
              <w:t>100</w:t>
            </w:r>
            <w:r>
              <w:rPr>
                <w:rFonts w:hint="eastAsia"/>
                <w:color w:val="000000" w:themeColor="text1"/>
                <w:highlight w:val="none"/>
                <w14:textFill>
                  <w14:solidFill>
                    <w14:schemeClr w14:val="tx1"/>
                  </w14:solidFill>
                </w14:textFill>
              </w:rPr>
              <w:t>－偏差率</w:t>
            </w:r>
            <w:r>
              <w:rPr>
                <w:color w:val="000000" w:themeColor="text1"/>
                <w:highlight w:val="none"/>
                <w14:textFill>
                  <w14:solidFill>
                    <w14:schemeClr w14:val="tx1"/>
                  </w14:solidFill>
                </w14:textFill>
              </w:rPr>
              <w:t>×100×E</w:t>
            </w:r>
            <w:r>
              <w:rPr>
                <w:color w:val="000000" w:themeColor="text1"/>
                <w:highlight w:val="none"/>
                <w:vertAlign w:val="subscript"/>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 xml:space="preserve"> </w:t>
            </w:r>
          </w:p>
          <w:p w14:paraId="0271434C">
            <w:pPr>
              <w:spacing w:line="360" w:lineRule="auto"/>
              <w:ind w:firstLine="210" w:firstLineChars="1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如果投标人的评标价</w:t>
            </w:r>
            <w:r>
              <w:rPr>
                <w:rFonts w:hint="eastAsia" w:ascii="宋体" w:hAnsi="宋体" w:cs="宋体"/>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评标基准价，则评标价得分＝</w:t>
            </w:r>
            <w:r>
              <w:rPr>
                <w:rFonts w:hint="eastAsia"/>
                <w:color w:val="000000" w:themeColor="text1"/>
                <w:highlight w:val="none"/>
                <w:u w:val="single"/>
                <w14:textFill>
                  <w14:solidFill>
                    <w14:schemeClr w14:val="tx1"/>
                  </w14:solidFill>
                </w14:textFill>
              </w:rPr>
              <w:t>100</w:t>
            </w:r>
            <w:r>
              <w:rPr>
                <w:rFonts w:hint="eastAsia"/>
                <w:color w:val="000000" w:themeColor="text1"/>
                <w:highlight w:val="none"/>
                <w14:textFill>
                  <w14:solidFill>
                    <w14:schemeClr w14:val="tx1"/>
                  </w14:solidFill>
                </w14:textFill>
              </w:rPr>
              <w:t>＋偏差率</w:t>
            </w:r>
            <w:r>
              <w:rPr>
                <w:color w:val="000000" w:themeColor="text1"/>
                <w:highlight w:val="none"/>
                <w14:textFill>
                  <w14:solidFill>
                    <w14:schemeClr w14:val="tx1"/>
                  </w14:solidFill>
                </w14:textFill>
              </w:rPr>
              <w:t>×100×E</w:t>
            </w:r>
            <w:r>
              <w:rPr>
                <w:color w:val="000000" w:themeColor="text1"/>
                <w:highlight w:val="none"/>
                <w:vertAlign w:val="subscript"/>
                <w14:textFill>
                  <w14:solidFill>
                    <w14:schemeClr w14:val="tx1"/>
                  </w14:solidFill>
                </w14:textFill>
              </w:rPr>
              <w:t>2</w:t>
            </w:r>
            <w:r>
              <w:rPr>
                <w:rFonts w:hint="eastAsia"/>
                <w:color w:val="000000" w:themeColor="text1"/>
                <w:highlight w:val="none"/>
                <w14:textFill>
                  <w14:solidFill>
                    <w14:schemeClr w14:val="tx1"/>
                  </w14:solidFill>
                </w14:textFill>
              </w:rPr>
              <w:t>。</w:t>
            </w:r>
          </w:p>
          <w:p w14:paraId="490A9134">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其中：</w:t>
            </w:r>
            <w:r>
              <w:rPr>
                <w:color w:val="000000" w:themeColor="text1"/>
                <w:highlight w:val="none"/>
                <w14:textFill>
                  <w14:solidFill>
                    <w14:schemeClr w14:val="tx1"/>
                  </w14:solidFill>
                </w14:textFill>
              </w:rPr>
              <w:t>E</w:t>
            </w:r>
            <w:r>
              <w:rPr>
                <w:color w:val="000000" w:themeColor="text1"/>
                <w:highlight w:val="none"/>
                <w:vertAlign w:val="subscript"/>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1.5</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E</w:t>
            </w:r>
            <w:r>
              <w:rPr>
                <w:color w:val="000000" w:themeColor="text1"/>
                <w:highlight w:val="none"/>
                <w:vertAlign w:val="subscript"/>
                <w14:textFill>
                  <w14:solidFill>
                    <w14:schemeClr w14:val="tx1"/>
                  </w14:solidFill>
                </w14:textFill>
              </w:rPr>
              <w:t>2</w:t>
            </w:r>
            <w:r>
              <w:rPr>
                <w:rFonts w:hint="eastAsia"/>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1.0</w:t>
            </w:r>
            <w:r>
              <w:rPr>
                <w:rFonts w:hint="eastAsia"/>
                <w:color w:val="000000" w:themeColor="text1"/>
                <w:highlight w:val="none"/>
                <w14:textFill>
                  <w14:solidFill>
                    <w14:schemeClr w14:val="tx1"/>
                  </w14:solidFill>
                </w14:textFill>
              </w:rPr>
              <w:t>。</w:t>
            </w:r>
          </w:p>
        </w:tc>
      </w:tr>
      <w:tr w14:paraId="60C742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4" w:hRule="atLeast"/>
        </w:trPr>
        <w:tc>
          <w:tcPr>
            <w:tcW w:w="468" w:type="pct"/>
            <w:vAlign w:val="center"/>
          </w:tcPr>
          <w:p w14:paraId="096F74A5">
            <w:pPr>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2.2.4</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w:t>
            </w:r>
          </w:p>
        </w:tc>
        <w:tc>
          <w:tcPr>
            <w:tcW w:w="1224" w:type="pct"/>
            <w:vAlign w:val="center"/>
          </w:tcPr>
          <w:p w14:paraId="443D7DD6">
            <w:pPr>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信誉</w:t>
            </w:r>
          </w:p>
        </w:tc>
        <w:tc>
          <w:tcPr>
            <w:tcW w:w="3306" w:type="pct"/>
            <w:vAlign w:val="center"/>
          </w:tcPr>
          <w:p w14:paraId="5F3EAC26">
            <w:pPr>
              <w:spacing w:line="360" w:lineRule="auto"/>
              <w:jc w:val="left"/>
              <w:rPr>
                <w:rFonts w:ascii="宋体" w:hAnsi="宋体" w:cs="Calibri"/>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信誉</w:t>
            </w:r>
            <w:r>
              <w:rPr>
                <w:rFonts w:hint="eastAsia" w:ascii="宋体" w:hAnsi="宋体" w:cs="Calibri"/>
                <w:color w:val="000000" w:themeColor="text1"/>
                <w:szCs w:val="21"/>
                <w:highlight w:val="none"/>
                <w14:textFill>
                  <w14:solidFill>
                    <w14:schemeClr w14:val="tx1"/>
                  </w14:solidFill>
                </w14:textFill>
              </w:rPr>
              <w:t>-4～0分</w:t>
            </w:r>
          </w:p>
          <w:p w14:paraId="3AD0792D">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（1）近一年（</w:t>
            </w:r>
            <w:bookmarkStart w:id="966" w:name="OLE_LINK39"/>
            <w:r>
              <w:rPr>
                <w:rFonts w:hint="eastAsia"/>
                <w:color w:val="000000" w:themeColor="text1"/>
                <w:highlight w:val="none"/>
                <w:u w:val="single"/>
                <w14:textFill>
                  <w14:solidFill>
                    <w14:schemeClr w14:val="tx1"/>
                  </w14:solidFill>
                </w14:textFill>
              </w:rPr>
              <w:t>2023</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7</w:t>
            </w:r>
            <w:r>
              <w:rPr>
                <w:rFonts w:hint="eastAsia"/>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t>1</w:t>
            </w:r>
            <w:bookmarkEnd w:id="966"/>
            <w:r>
              <w:rPr>
                <w:rFonts w:hint="eastAsia"/>
                <w:color w:val="000000" w:themeColor="text1"/>
                <w:highlight w:val="none"/>
                <w14:textFill>
                  <w14:solidFill>
                    <w14:schemeClr w14:val="tx1"/>
                  </w14:solidFill>
                </w14:textFill>
              </w:rPr>
              <w:t>日以来），被交通运输部、浙江省交通运输厅、浙江省发展和改革委员会三部门以外的省级及以上单位（部门）书面通报限制投标，并在处罚期内的，如实填报的扣</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分，隐瞒不报的一经查实，作否决投标处理，并视为投标人提供虚假资料，按投标人须知第</w:t>
            </w:r>
            <w:r>
              <w:rPr>
                <w:color w:val="000000" w:themeColor="text1"/>
                <w:highlight w:val="none"/>
                <w14:textFill>
                  <w14:solidFill>
                    <w14:schemeClr w14:val="tx1"/>
                  </w14:solidFill>
                </w14:textFill>
              </w:rPr>
              <w:t>3.5.11</w:t>
            </w:r>
            <w:r>
              <w:rPr>
                <w:rFonts w:hint="eastAsia"/>
                <w:color w:val="000000" w:themeColor="text1"/>
                <w:highlight w:val="none"/>
                <w14:textFill>
                  <w14:solidFill>
                    <w14:schemeClr w14:val="tx1"/>
                  </w14:solidFill>
                </w14:textFill>
              </w:rPr>
              <w:t>项处理；</w:t>
            </w:r>
          </w:p>
          <w:p w14:paraId="10D4AB2A">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（2）近三年（</w:t>
            </w:r>
            <w:bookmarkStart w:id="967" w:name="OLE_LINK49"/>
            <w:r>
              <w:rPr>
                <w:rFonts w:hint="eastAsia"/>
                <w:color w:val="000000" w:themeColor="text1"/>
                <w:highlight w:val="none"/>
                <w:u w:val="single"/>
                <w14:textFill>
                  <w14:solidFill>
                    <w14:schemeClr w14:val="tx1"/>
                  </w14:solidFill>
                </w14:textFill>
              </w:rPr>
              <w:t>2021</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7</w:t>
            </w:r>
            <w:r>
              <w:rPr>
                <w:rFonts w:hint="eastAsia"/>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t>1</w:t>
            </w:r>
            <w:bookmarkEnd w:id="967"/>
            <w:r>
              <w:rPr>
                <w:rFonts w:hint="eastAsia"/>
                <w:color w:val="000000" w:themeColor="text1"/>
                <w:highlight w:val="none"/>
                <w14:textFill>
                  <w14:solidFill>
                    <w14:schemeClr w14:val="tx1"/>
                  </w14:solidFill>
                </w14:textFill>
              </w:rPr>
              <w:t>日以来），投标人或其法定代表人或拟委任的项目经理在工程建设领域中，有行贿行为未构成犯罪的，如实填报的扣</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分，隐瞒不报的一经查实，作否决投标处理，并视为投标人提供虚假资料，按投标人须知第</w:t>
            </w:r>
            <w:r>
              <w:rPr>
                <w:color w:val="000000" w:themeColor="text1"/>
                <w:highlight w:val="none"/>
                <w14:textFill>
                  <w14:solidFill>
                    <w14:schemeClr w14:val="tx1"/>
                  </w14:solidFill>
                </w14:textFill>
              </w:rPr>
              <w:t>3.5.11</w:t>
            </w:r>
            <w:r>
              <w:rPr>
                <w:rFonts w:hint="eastAsia"/>
                <w:color w:val="000000" w:themeColor="text1"/>
                <w:highlight w:val="none"/>
                <w14:textFill>
                  <w14:solidFill>
                    <w14:schemeClr w14:val="tx1"/>
                  </w14:solidFill>
                </w14:textFill>
              </w:rPr>
              <w:t>项处理；</w:t>
            </w:r>
          </w:p>
          <w:p w14:paraId="4DF56032">
            <w:pPr>
              <w:spacing w:line="360" w:lineRule="auto"/>
              <w:jc w:val="left"/>
              <w:rPr>
                <w:rFonts w:ascii="Arial" w:hAnsi="Arial"/>
                <w:color w:val="000000" w:themeColor="text1"/>
                <w:highlight w:val="none"/>
                <w:lang w:val="de-DE" w:eastAsia="de-DE"/>
                <w14:textFill>
                  <w14:solidFill>
                    <w14:schemeClr w14:val="tx1"/>
                  </w14:solidFill>
                </w14:textFill>
              </w:rPr>
            </w:pPr>
            <w:r>
              <w:rPr>
                <w:rFonts w:hint="eastAsia"/>
                <w:color w:val="000000" w:themeColor="text1"/>
                <w:highlight w:val="none"/>
                <w14:textFill>
                  <w14:solidFill>
                    <w14:schemeClr w14:val="tx1"/>
                  </w14:solidFill>
                </w14:textFill>
              </w:rPr>
              <w:t>（3）近三年（</w:t>
            </w:r>
            <w:r>
              <w:rPr>
                <w:rFonts w:hint="eastAsia"/>
                <w:color w:val="000000" w:themeColor="text1"/>
                <w:highlight w:val="none"/>
                <w:u w:val="single"/>
                <w14:textFill>
                  <w14:solidFill>
                    <w14:schemeClr w14:val="tx1"/>
                  </w14:solidFill>
                </w14:textFill>
              </w:rPr>
              <w:t>2021</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7</w:t>
            </w:r>
            <w:r>
              <w:rPr>
                <w:rFonts w:hint="eastAsia"/>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日以来），投标人因公路工程（含附属设施）质量、安全问题等原因被交通运输部挂牌督办的，如实填报扣</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分，被</w:t>
            </w:r>
            <w:r>
              <w:rPr>
                <w:rFonts w:hint="eastAsia"/>
                <w:color w:val="000000" w:themeColor="text1"/>
                <w:highlight w:val="none"/>
                <w:lang w:val="en-US" w:eastAsia="zh-CN"/>
                <w14:textFill>
                  <w14:solidFill>
                    <w14:schemeClr w14:val="tx1"/>
                  </w14:solidFill>
                </w14:textFill>
              </w:rPr>
              <w:t>浙江</w:t>
            </w:r>
            <w:r>
              <w:rPr>
                <w:rFonts w:hint="eastAsia"/>
                <w:color w:val="000000" w:themeColor="text1"/>
                <w:highlight w:val="none"/>
                <w14:textFill>
                  <w14:solidFill>
                    <w14:schemeClr w14:val="tx1"/>
                  </w14:solidFill>
                </w14:textFill>
              </w:rPr>
              <w:t>省交通运输厅挂牌督办的，如实填报扣</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分，隐瞒不报的一经查实，作否决投标处理，并视为投标人提供虚假资料，按投标人须知第</w:t>
            </w:r>
            <w:r>
              <w:rPr>
                <w:color w:val="000000" w:themeColor="text1"/>
                <w:highlight w:val="none"/>
                <w14:textFill>
                  <w14:solidFill>
                    <w14:schemeClr w14:val="tx1"/>
                  </w14:solidFill>
                </w14:textFill>
              </w:rPr>
              <w:t>3.5.11</w:t>
            </w:r>
            <w:r>
              <w:rPr>
                <w:rFonts w:hint="eastAsia"/>
                <w:color w:val="000000" w:themeColor="text1"/>
                <w:highlight w:val="none"/>
                <w14:textFill>
                  <w14:solidFill>
                    <w14:schemeClr w14:val="tx1"/>
                  </w14:solidFill>
                </w14:textFill>
              </w:rPr>
              <w:t>项处理。</w:t>
            </w:r>
          </w:p>
        </w:tc>
      </w:tr>
      <w:tr w14:paraId="58FE65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5000" w:type="pct"/>
            <w:gridSpan w:val="3"/>
            <w:vAlign w:val="center"/>
          </w:tcPr>
          <w:p w14:paraId="6056BF3A">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需要补充的其他内容：</w:t>
            </w:r>
          </w:p>
          <w:p w14:paraId="4719AB74">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1.评标委员会发出询标通知后，投标人需在30分钟内进行回复，在规定的时限内投标人不参加核实或不予答复的，视为放弃接受询问核实机会；</w:t>
            </w:r>
          </w:p>
          <w:p w14:paraId="655221D5">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2.评标办法第1条补充如下：</w:t>
            </w:r>
          </w:p>
          <w:p w14:paraId="697FBB96">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评审范围</w:t>
            </w:r>
          </w:p>
          <w:p w14:paraId="52304DA3">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第一个信封的评审范围：所有投标人的投标文件第一个信封。</w:t>
            </w:r>
          </w:p>
          <w:p w14:paraId="7D0CE0C8">
            <w:pPr>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第二个信封的评审范围：通过投标文件第一个信封评审的所有投标人。</w:t>
            </w:r>
          </w:p>
        </w:tc>
      </w:tr>
    </w:tbl>
    <w:p w14:paraId="4C742130">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4577B611">
      <w:pPr>
        <w:pStyle w:val="4"/>
        <w:spacing w:before="0" w:after="0" w:line="360" w:lineRule="auto"/>
        <w:jc w:val="left"/>
        <w:rPr>
          <w:rFonts w:ascii="Times New Roman" w:hAnsi="Times New Roman"/>
          <w:b w:val="0"/>
          <w:color w:val="000000" w:themeColor="text1"/>
          <w:sz w:val="28"/>
          <w:szCs w:val="28"/>
          <w:highlight w:val="none"/>
          <w14:textFill>
            <w14:solidFill>
              <w14:schemeClr w14:val="tx1"/>
            </w14:solidFill>
          </w14:textFill>
        </w:rPr>
      </w:pPr>
      <w:bookmarkStart w:id="968" w:name="_Toc30223"/>
      <w:bookmarkStart w:id="969" w:name="_Toc154675057"/>
      <w:r>
        <w:rPr>
          <w:rFonts w:ascii="Times New Roman" w:hAnsi="Times New Roman"/>
          <w:b w:val="0"/>
          <w:color w:val="000000" w:themeColor="text1"/>
          <w:sz w:val="28"/>
          <w:szCs w:val="28"/>
          <w:highlight w:val="none"/>
          <w14:textFill>
            <w14:solidFill>
              <w14:schemeClr w14:val="tx1"/>
            </w14:solidFill>
          </w14:textFill>
        </w:rPr>
        <w:t xml:space="preserve">1. </w:t>
      </w:r>
      <w:r>
        <w:rPr>
          <w:rFonts w:hint="eastAsia" w:ascii="Times New Roman" w:hAnsi="Times New Roman"/>
          <w:b w:val="0"/>
          <w:color w:val="000000" w:themeColor="text1"/>
          <w:sz w:val="28"/>
          <w:szCs w:val="28"/>
          <w:highlight w:val="none"/>
          <w14:textFill>
            <w14:solidFill>
              <w14:schemeClr w14:val="tx1"/>
            </w14:solidFill>
          </w14:textFill>
        </w:rPr>
        <w:t>评标方法</w:t>
      </w:r>
      <w:bookmarkEnd w:id="968"/>
      <w:bookmarkEnd w:id="969"/>
    </w:p>
    <w:p w14:paraId="02580342">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本次评标采用</w:t>
      </w:r>
      <w:r>
        <w:rPr>
          <w:rFonts w:hint="eastAsia"/>
          <w:color w:val="000000" w:themeColor="text1"/>
          <w:highlight w:val="none"/>
          <w14:textFill>
            <w14:solidFill>
              <w14:schemeClr w14:val="tx1"/>
            </w14:solidFill>
          </w14:textFill>
        </w:rPr>
        <w:t>技术通过制的合理低价法</w:t>
      </w:r>
      <w:r>
        <w:rPr>
          <w:rFonts w:hint="eastAsia"/>
          <w:color w:val="000000" w:themeColor="text1"/>
          <w:szCs w:val="21"/>
          <w:highlight w:val="none"/>
          <w14:textFill>
            <w14:solidFill>
              <w14:schemeClr w14:val="tx1"/>
            </w14:solidFill>
          </w14:textFill>
        </w:rPr>
        <w:t>。</w:t>
      </w:r>
    </w:p>
    <w:p w14:paraId="16C5E0FC">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评标委员会对满足招标文件实质性要求的投标文件，按照本章第</w:t>
      </w:r>
      <w:r>
        <w:rPr>
          <w:color w:val="000000" w:themeColor="text1"/>
          <w:szCs w:val="21"/>
          <w:highlight w:val="none"/>
          <w14:textFill>
            <w14:solidFill>
              <w14:schemeClr w14:val="tx1"/>
            </w14:solidFill>
          </w14:textFill>
        </w:rPr>
        <w:t>2.2</w:t>
      </w:r>
      <w:r>
        <w:rPr>
          <w:rFonts w:hint="eastAsia"/>
          <w:color w:val="000000" w:themeColor="text1"/>
          <w:szCs w:val="21"/>
          <w:highlight w:val="none"/>
          <w14:textFill>
            <w14:solidFill>
              <w14:schemeClr w14:val="tx1"/>
            </w14:solidFill>
          </w14:textFill>
        </w:rPr>
        <w:t>款规定的评分标准进行打分，并按得分由高到低顺序推荐中标候选人，或根据招标人授权直接确定中标人，但投标报价低于其成本的除外。</w:t>
      </w:r>
      <w:bookmarkStart w:id="970" w:name="_Hlk86258507"/>
      <w:r>
        <w:rPr>
          <w:rFonts w:hint="eastAsia"/>
          <w:color w:val="000000" w:themeColor="text1"/>
          <w:szCs w:val="21"/>
          <w:highlight w:val="none"/>
          <w14:textFill>
            <w14:solidFill>
              <w14:schemeClr w14:val="tx1"/>
            </w14:solidFill>
          </w14:textFill>
        </w:rPr>
        <w:t>综合评分相等时，除评标办法前附表另有约定外，评标委员会应依照以下优先顺序推荐中标候选人或确定中标人</w:t>
      </w:r>
      <w:bookmarkEnd w:id="970"/>
      <w:r>
        <w:rPr>
          <w:rFonts w:hint="eastAsia"/>
          <w:color w:val="000000" w:themeColor="text1"/>
          <w:szCs w:val="21"/>
          <w:highlight w:val="none"/>
          <w14:textFill>
            <w14:solidFill>
              <w14:schemeClr w14:val="tx1"/>
            </w14:solidFill>
          </w14:textFill>
        </w:rPr>
        <w:t>：</w:t>
      </w:r>
    </w:p>
    <w:p w14:paraId="51CE04CB">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）评标价低的投标人优先；</w:t>
      </w:r>
    </w:p>
    <w:p w14:paraId="054F1BC7">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）信誉得分高的投标人优先。</w:t>
      </w:r>
    </w:p>
    <w:p w14:paraId="0BF346D6">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若同一个投标人允许参加两个标段投标且两个标段的综合得分均为第一名时，取其评标价高的标段作为推荐中标候选人，其它标段不再推荐。</w:t>
      </w:r>
    </w:p>
    <w:p w14:paraId="6A009461">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凡评标委员会拟作出否决投标决定的，应先向投标人进行询问核实。未进行询问核实程序的，不得做出否决投标决定（投标人所留联系方式无法联系上、在限定时间内投标人不参加询问核实或未出具答复意见的除外）。</w:t>
      </w:r>
    </w:p>
    <w:p w14:paraId="6465334B">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评标办法</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中规定的否决投标情形，由评标委员会审核并经过询问核实程序，其投标文件作否决处理。除此之外招标文件中其他条款均不得作为否决投标的依据。</w:t>
      </w:r>
    </w:p>
    <w:p w14:paraId="4E35EEEC">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由于评标标准和方法前后内容不一致或者部分条款存在易引起歧义、模糊的文字，导致难以界定投标文件偏差的性质，评标委员会应当按照有利于投标人的原则进行处理。</w:t>
      </w:r>
    </w:p>
    <w:p w14:paraId="40A5AA6C">
      <w:pPr>
        <w:spacing w:line="360" w:lineRule="auto"/>
        <w:ind w:firstLine="420" w:firstLineChars="200"/>
        <w:rPr>
          <w:color w:val="000000" w:themeColor="text1"/>
          <w:szCs w:val="21"/>
          <w:highlight w:val="none"/>
          <w14:textFill>
            <w14:solidFill>
              <w14:schemeClr w14:val="tx1"/>
            </w14:solidFill>
          </w14:textFill>
        </w:rPr>
      </w:pPr>
      <w:bookmarkStart w:id="971" w:name="_Hlk92738302"/>
      <w:r>
        <w:rPr>
          <w:rFonts w:hint="eastAsia"/>
          <w:color w:val="000000" w:themeColor="text1"/>
          <w:szCs w:val="21"/>
          <w:highlight w:val="none"/>
          <w14:textFill>
            <w14:solidFill>
              <w14:schemeClr w14:val="tx1"/>
            </w14:solidFill>
          </w14:textFill>
        </w:rPr>
        <w:t>评标委员会成员对需要共同认定的事项存在争议的，应当按照少数服从多数的原则作出结论。持不同意见的评标委员会成员应当在评标报告上以书面形式说明其不同意见和理由并签字确认。</w:t>
      </w:r>
      <w:bookmarkEnd w:id="971"/>
      <w:r>
        <w:rPr>
          <w:rFonts w:hint="eastAsia"/>
          <w:color w:val="000000" w:themeColor="text1"/>
          <w:szCs w:val="21"/>
          <w:highlight w:val="none"/>
          <w14:textFill>
            <w14:solidFill>
              <w14:schemeClr w14:val="tx1"/>
            </w14:solidFill>
          </w14:textFill>
        </w:rPr>
        <w:t>评标委员会成员拒绝在评标报告上签字又不书面说明其不同意见和理由的，视为同意评标结果。</w:t>
      </w:r>
    </w:p>
    <w:p w14:paraId="61E41858">
      <w:pPr>
        <w:pStyle w:val="4"/>
        <w:numPr>
          <w:ilvl w:val="255"/>
          <w:numId w:val="0"/>
        </w:numPr>
        <w:spacing w:before="0" w:after="0" w:line="360" w:lineRule="auto"/>
        <w:jc w:val="left"/>
        <w:rPr>
          <w:rFonts w:ascii="Times New Roman" w:hAnsi="Times New Roman"/>
          <w:b w:val="0"/>
          <w:color w:val="000000" w:themeColor="text1"/>
          <w:sz w:val="28"/>
          <w:szCs w:val="28"/>
          <w:highlight w:val="none"/>
          <w14:textFill>
            <w14:solidFill>
              <w14:schemeClr w14:val="tx1"/>
            </w14:solidFill>
          </w14:textFill>
        </w:rPr>
      </w:pPr>
      <w:bookmarkStart w:id="972" w:name="_Toc4048"/>
      <w:bookmarkStart w:id="973" w:name="_Toc154675058"/>
      <w:r>
        <w:rPr>
          <w:rFonts w:ascii="Times New Roman" w:hAnsi="Times New Roman"/>
          <w:b w:val="0"/>
          <w:color w:val="000000" w:themeColor="text1"/>
          <w:sz w:val="28"/>
          <w:szCs w:val="28"/>
          <w:highlight w:val="none"/>
          <w14:textFill>
            <w14:solidFill>
              <w14:schemeClr w14:val="tx1"/>
            </w14:solidFill>
          </w14:textFill>
        </w:rPr>
        <w:t xml:space="preserve">2. </w:t>
      </w:r>
      <w:r>
        <w:rPr>
          <w:rFonts w:hint="eastAsia" w:ascii="Times New Roman" w:hAnsi="Times New Roman"/>
          <w:b w:val="0"/>
          <w:color w:val="000000" w:themeColor="text1"/>
          <w:sz w:val="28"/>
          <w:szCs w:val="28"/>
          <w:highlight w:val="none"/>
          <w14:textFill>
            <w14:solidFill>
              <w14:schemeClr w14:val="tx1"/>
            </w14:solidFill>
          </w14:textFill>
        </w:rPr>
        <w:t>评审标准</w:t>
      </w:r>
      <w:bookmarkEnd w:id="972"/>
      <w:bookmarkEnd w:id="973"/>
    </w:p>
    <w:p w14:paraId="1CBF9E86">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2.1 </w:t>
      </w:r>
      <w:r>
        <w:rPr>
          <w:rFonts w:hint="eastAsia" w:ascii="Times New Roman"/>
          <w:color w:val="000000" w:themeColor="text1"/>
          <w:szCs w:val="21"/>
          <w:highlight w:val="none"/>
          <w14:textFill>
            <w14:solidFill>
              <w14:schemeClr w14:val="tx1"/>
            </w14:solidFill>
          </w14:textFill>
        </w:rPr>
        <w:t>初步评审标准</w:t>
      </w:r>
    </w:p>
    <w:p w14:paraId="661213B9">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2.1.1 </w:t>
      </w:r>
      <w:r>
        <w:rPr>
          <w:rFonts w:hint="eastAsia"/>
          <w:color w:val="000000" w:themeColor="text1"/>
          <w:szCs w:val="21"/>
          <w:highlight w:val="none"/>
          <w14:textFill>
            <w14:solidFill>
              <w14:schemeClr w14:val="tx1"/>
            </w14:solidFill>
          </w14:textFill>
        </w:rPr>
        <w:t>形式评审标准：见评标办法前附表。</w:t>
      </w:r>
    </w:p>
    <w:p w14:paraId="4E9CFBA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2.1.2 </w:t>
      </w:r>
      <w:r>
        <w:rPr>
          <w:rFonts w:hint="eastAsia"/>
          <w:color w:val="000000" w:themeColor="text1"/>
          <w:szCs w:val="21"/>
          <w:highlight w:val="none"/>
          <w14:textFill>
            <w14:solidFill>
              <w14:schemeClr w14:val="tx1"/>
            </w14:solidFill>
          </w14:textFill>
        </w:rPr>
        <w:t>资格评审标准：见评标办法前附表。</w:t>
      </w:r>
    </w:p>
    <w:p w14:paraId="2F2FD7C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2.1.3 </w:t>
      </w:r>
      <w:r>
        <w:rPr>
          <w:rFonts w:hint="eastAsia"/>
          <w:color w:val="000000" w:themeColor="text1"/>
          <w:szCs w:val="21"/>
          <w:highlight w:val="none"/>
          <w14:textFill>
            <w14:solidFill>
              <w14:schemeClr w14:val="tx1"/>
            </w14:solidFill>
          </w14:textFill>
        </w:rPr>
        <w:t>响应性评审标准：见评标办法前附表。</w:t>
      </w:r>
    </w:p>
    <w:p w14:paraId="13B21DE2">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2.2 </w:t>
      </w:r>
      <w:r>
        <w:rPr>
          <w:rFonts w:hint="eastAsia" w:ascii="Times New Roman"/>
          <w:color w:val="000000" w:themeColor="text1"/>
          <w:szCs w:val="21"/>
          <w:highlight w:val="none"/>
          <w14:textFill>
            <w14:solidFill>
              <w14:schemeClr w14:val="tx1"/>
            </w14:solidFill>
          </w14:textFill>
        </w:rPr>
        <w:t>分值构成与评分标准</w:t>
      </w:r>
    </w:p>
    <w:p w14:paraId="36D04566">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2.2.1 </w:t>
      </w:r>
      <w:r>
        <w:rPr>
          <w:rFonts w:hint="eastAsia"/>
          <w:color w:val="000000" w:themeColor="text1"/>
          <w:szCs w:val="21"/>
          <w:highlight w:val="none"/>
          <w14:textFill>
            <w14:solidFill>
              <w14:schemeClr w14:val="tx1"/>
            </w14:solidFill>
          </w14:textFill>
        </w:rPr>
        <w:t>分值构成</w:t>
      </w:r>
    </w:p>
    <w:p w14:paraId="1BC8590C">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l</w:t>
      </w:r>
      <w:r>
        <w:rPr>
          <w:rFonts w:hint="eastAsia"/>
          <w:color w:val="000000" w:themeColor="text1"/>
          <w:szCs w:val="21"/>
          <w:highlight w:val="none"/>
          <w14:textFill>
            <w14:solidFill>
              <w14:schemeClr w14:val="tx1"/>
            </w14:solidFill>
          </w14:textFill>
        </w:rPr>
        <w:t>）评标价：见评标办法前附表；</w:t>
      </w:r>
    </w:p>
    <w:p w14:paraId="4745B9F1">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）信誉：见评标办法前附表。</w:t>
      </w:r>
    </w:p>
    <w:p w14:paraId="7AEF4376">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2.2.2 </w:t>
      </w:r>
      <w:r>
        <w:rPr>
          <w:rFonts w:hint="eastAsia"/>
          <w:color w:val="000000" w:themeColor="text1"/>
          <w:szCs w:val="21"/>
          <w:highlight w:val="none"/>
          <w14:textFill>
            <w14:solidFill>
              <w14:schemeClr w14:val="tx1"/>
            </w14:solidFill>
          </w14:textFill>
        </w:rPr>
        <w:t>评标基准价计算</w:t>
      </w:r>
    </w:p>
    <w:p w14:paraId="08329F97">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评标基准价计算方法：见评标办法前附表。</w:t>
      </w:r>
    </w:p>
    <w:p w14:paraId="35ABBF04">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2.2.3 </w:t>
      </w:r>
      <w:r>
        <w:rPr>
          <w:rFonts w:hint="eastAsia"/>
          <w:color w:val="000000" w:themeColor="text1"/>
          <w:szCs w:val="21"/>
          <w:highlight w:val="none"/>
          <w14:textFill>
            <w14:solidFill>
              <w14:schemeClr w14:val="tx1"/>
            </w14:solidFill>
          </w14:textFill>
        </w:rPr>
        <w:t>评标价的偏差率计算</w:t>
      </w:r>
    </w:p>
    <w:p w14:paraId="35C76B9C">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评标价的偏差率计算公式：见评标办法前附表。</w:t>
      </w:r>
    </w:p>
    <w:p w14:paraId="21B7E1F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2.2.4 </w:t>
      </w:r>
      <w:r>
        <w:rPr>
          <w:rFonts w:hint="eastAsia"/>
          <w:color w:val="000000" w:themeColor="text1"/>
          <w:szCs w:val="21"/>
          <w:highlight w:val="none"/>
          <w14:textFill>
            <w14:solidFill>
              <w14:schemeClr w14:val="tx1"/>
            </w14:solidFill>
          </w14:textFill>
        </w:rPr>
        <w:t>评分标准</w:t>
      </w:r>
    </w:p>
    <w:p w14:paraId="691403D7">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）评标价评分标准：见评标办法前附表；</w:t>
      </w:r>
    </w:p>
    <w:p w14:paraId="0B4995A8">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）信誉评分标准：见评标办法前附表。</w:t>
      </w:r>
    </w:p>
    <w:p w14:paraId="30577CBE">
      <w:pPr>
        <w:pStyle w:val="4"/>
        <w:spacing w:before="0" w:after="0" w:line="360" w:lineRule="auto"/>
        <w:jc w:val="left"/>
        <w:rPr>
          <w:rFonts w:ascii="Times New Roman" w:hAnsi="Times New Roman"/>
          <w:b w:val="0"/>
          <w:color w:val="000000" w:themeColor="text1"/>
          <w:sz w:val="28"/>
          <w:szCs w:val="28"/>
          <w:highlight w:val="none"/>
          <w14:textFill>
            <w14:solidFill>
              <w14:schemeClr w14:val="tx1"/>
            </w14:solidFill>
          </w14:textFill>
        </w:rPr>
      </w:pPr>
      <w:bookmarkStart w:id="974" w:name="_Toc154675059"/>
      <w:bookmarkStart w:id="975" w:name="_Toc5742"/>
      <w:r>
        <w:rPr>
          <w:rFonts w:ascii="Times New Roman" w:hAnsi="Times New Roman"/>
          <w:b w:val="0"/>
          <w:color w:val="000000" w:themeColor="text1"/>
          <w:sz w:val="28"/>
          <w:szCs w:val="28"/>
          <w:highlight w:val="none"/>
          <w14:textFill>
            <w14:solidFill>
              <w14:schemeClr w14:val="tx1"/>
            </w14:solidFill>
          </w14:textFill>
        </w:rPr>
        <w:t xml:space="preserve">3. </w:t>
      </w:r>
      <w:r>
        <w:rPr>
          <w:rFonts w:hint="eastAsia" w:ascii="Times New Roman" w:hAnsi="Times New Roman"/>
          <w:b w:val="0"/>
          <w:color w:val="000000" w:themeColor="text1"/>
          <w:sz w:val="28"/>
          <w:szCs w:val="28"/>
          <w:highlight w:val="none"/>
          <w14:textFill>
            <w14:solidFill>
              <w14:schemeClr w14:val="tx1"/>
            </w14:solidFill>
          </w14:textFill>
        </w:rPr>
        <w:t>评标程序</w:t>
      </w:r>
      <w:bookmarkEnd w:id="974"/>
      <w:bookmarkEnd w:id="975"/>
    </w:p>
    <w:p w14:paraId="51E2328C">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3.1 </w:t>
      </w:r>
      <w:r>
        <w:rPr>
          <w:rFonts w:hint="eastAsia" w:ascii="Times New Roman"/>
          <w:color w:val="000000" w:themeColor="text1"/>
          <w:szCs w:val="21"/>
          <w:highlight w:val="none"/>
          <w14:textFill>
            <w14:solidFill>
              <w14:schemeClr w14:val="tx1"/>
            </w14:solidFill>
          </w14:textFill>
        </w:rPr>
        <w:t>第一个信封初步评审</w:t>
      </w:r>
    </w:p>
    <w:p w14:paraId="14C2A1D2">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3.1.1</w:t>
      </w:r>
      <w:r>
        <w:rPr>
          <w:rFonts w:hint="eastAsia"/>
          <w:color w:val="000000" w:themeColor="text1"/>
          <w:szCs w:val="21"/>
          <w:highlight w:val="none"/>
          <w14:textFill>
            <w14:solidFill>
              <w14:schemeClr w14:val="tx1"/>
            </w14:solidFill>
          </w14:textFill>
        </w:rPr>
        <w:t>评标委员会依据本章第</w:t>
      </w:r>
      <w:r>
        <w:rPr>
          <w:color w:val="000000" w:themeColor="text1"/>
          <w:szCs w:val="21"/>
          <w:highlight w:val="none"/>
          <w14:textFill>
            <w14:solidFill>
              <w14:schemeClr w14:val="tx1"/>
            </w14:solidFill>
          </w14:textFill>
        </w:rPr>
        <w:t>2.1</w:t>
      </w:r>
      <w:r>
        <w:rPr>
          <w:rFonts w:hint="eastAsia"/>
          <w:color w:val="000000" w:themeColor="text1"/>
          <w:szCs w:val="21"/>
          <w:highlight w:val="none"/>
          <w14:textFill>
            <w14:solidFill>
              <w14:schemeClr w14:val="tx1"/>
            </w14:solidFill>
          </w14:textFill>
        </w:rPr>
        <w:t>款规定的标准对投标文件第一个信封（商务及技术文件）进行初步评审。有一项不符合评审标准的，评标委员会应否决其投标。</w:t>
      </w:r>
    </w:p>
    <w:p w14:paraId="48FF0B89">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3.2 </w:t>
      </w:r>
      <w:r>
        <w:rPr>
          <w:rFonts w:hint="eastAsia" w:ascii="Times New Roman"/>
          <w:color w:val="000000" w:themeColor="text1"/>
          <w:szCs w:val="21"/>
          <w:highlight w:val="none"/>
          <w14:textFill>
            <w14:solidFill>
              <w14:schemeClr w14:val="tx1"/>
            </w14:solidFill>
          </w14:textFill>
        </w:rPr>
        <w:t>第一个信封详细评审</w:t>
      </w:r>
    </w:p>
    <w:p w14:paraId="4F44B9F1">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3.2.1 </w:t>
      </w:r>
      <w:r>
        <w:rPr>
          <w:rFonts w:hint="eastAsia"/>
          <w:color w:val="000000" w:themeColor="text1"/>
          <w:szCs w:val="21"/>
          <w:highlight w:val="none"/>
          <w14:textFill>
            <w14:solidFill>
              <w14:schemeClr w14:val="tx1"/>
            </w14:solidFill>
          </w14:textFill>
        </w:rPr>
        <w:t>评标委员会按本章第</w:t>
      </w:r>
      <w:r>
        <w:rPr>
          <w:color w:val="000000" w:themeColor="text1"/>
          <w:szCs w:val="21"/>
          <w:highlight w:val="none"/>
          <w14:textFill>
            <w14:solidFill>
              <w14:schemeClr w14:val="tx1"/>
            </w14:solidFill>
          </w14:textFill>
        </w:rPr>
        <w:t>2.2.4</w:t>
      </w:r>
      <w:r>
        <w:rPr>
          <w:rFonts w:hint="eastAsia"/>
          <w:color w:val="000000" w:themeColor="text1"/>
          <w:szCs w:val="21"/>
          <w:highlight w:val="none"/>
          <w14:textFill>
            <w14:solidFill>
              <w14:schemeClr w14:val="tx1"/>
            </w14:solidFill>
          </w14:textFill>
        </w:rPr>
        <w:t>项（</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）目规定的量化因素和分值对信誉部分进行打分，并计算得分。</w:t>
      </w:r>
    </w:p>
    <w:p w14:paraId="2E395923">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3.2.2 </w:t>
      </w:r>
      <w:r>
        <w:rPr>
          <w:rFonts w:hint="eastAsia"/>
          <w:color w:val="000000" w:themeColor="text1"/>
          <w:szCs w:val="21"/>
          <w:highlight w:val="none"/>
          <w14:textFill>
            <w14:solidFill>
              <w14:schemeClr w14:val="tx1"/>
            </w14:solidFill>
          </w14:textFill>
        </w:rPr>
        <w:t>信誉得分分值计算保留小数点后两位，小数点后第三位</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四舍五入</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w:t>
      </w:r>
    </w:p>
    <w:p w14:paraId="67D992C2">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3.2.3 </w:t>
      </w:r>
      <w:r>
        <w:rPr>
          <w:rFonts w:hint="eastAsia"/>
          <w:color w:val="000000" w:themeColor="text1"/>
          <w:szCs w:val="21"/>
          <w:highlight w:val="none"/>
          <w14:textFill>
            <w14:solidFill>
              <w14:schemeClr w14:val="tx1"/>
            </w14:solidFill>
          </w14:textFill>
        </w:rPr>
        <w:t>投标人第一个信封得分</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信誉得分。</w:t>
      </w:r>
    </w:p>
    <w:p w14:paraId="6C51F3AA">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3.3 </w:t>
      </w:r>
      <w:r>
        <w:rPr>
          <w:rFonts w:hint="eastAsia" w:ascii="Times New Roman"/>
          <w:color w:val="000000" w:themeColor="text1"/>
          <w:szCs w:val="21"/>
          <w:highlight w:val="none"/>
          <w14:textFill>
            <w14:solidFill>
              <w14:schemeClr w14:val="tx1"/>
            </w14:solidFill>
          </w14:textFill>
        </w:rPr>
        <w:t>第二个信封开标</w:t>
      </w:r>
    </w:p>
    <w:p w14:paraId="100E2097">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第一个信封（商务及技术文件）评审结束后，招标人将按照第二章</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投标人须知</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第</w:t>
      </w:r>
      <w:r>
        <w:rPr>
          <w:color w:val="000000" w:themeColor="text1"/>
          <w:szCs w:val="21"/>
          <w:highlight w:val="none"/>
          <w14:textFill>
            <w14:solidFill>
              <w14:schemeClr w14:val="tx1"/>
            </w14:solidFill>
          </w14:textFill>
        </w:rPr>
        <w:t xml:space="preserve"> 5.1 </w:t>
      </w:r>
      <w:r>
        <w:rPr>
          <w:rFonts w:hint="eastAsia"/>
          <w:color w:val="000000" w:themeColor="text1"/>
          <w:szCs w:val="21"/>
          <w:highlight w:val="none"/>
          <w14:textFill>
            <w14:solidFill>
              <w14:schemeClr w14:val="tx1"/>
            </w14:solidFill>
          </w14:textFill>
        </w:rPr>
        <w:t>款规定的时间和地点对投标文件第二个信封（报价文件）进行开标。</w:t>
      </w:r>
    </w:p>
    <w:p w14:paraId="7F85E934">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3.4 </w:t>
      </w:r>
      <w:r>
        <w:rPr>
          <w:rFonts w:hint="eastAsia" w:ascii="Times New Roman"/>
          <w:color w:val="000000" w:themeColor="text1"/>
          <w:szCs w:val="21"/>
          <w:highlight w:val="none"/>
          <w14:textFill>
            <w14:solidFill>
              <w14:schemeClr w14:val="tx1"/>
            </w14:solidFill>
          </w14:textFill>
        </w:rPr>
        <w:t>第二个信封初步评审</w:t>
      </w:r>
    </w:p>
    <w:p w14:paraId="1CF527B7">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3.4.1</w:t>
      </w:r>
      <w:r>
        <w:rPr>
          <w:rFonts w:hint="eastAsia"/>
          <w:color w:val="000000" w:themeColor="text1"/>
          <w:szCs w:val="21"/>
          <w:highlight w:val="none"/>
          <w14:textFill>
            <w14:solidFill>
              <w14:schemeClr w14:val="tx1"/>
            </w14:solidFill>
          </w14:textFill>
        </w:rPr>
        <w:t>评标委员会依据本章第</w:t>
      </w:r>
      <w:r>
        <w:rPr>
          <w:color w:val="000000" w:themeColor="text1"/>
          <w:szCs w:val="21"/>
          <w:highlight w:val="none"/>
          <w14:textFill>
            <w14:solidFill>
              <w14:schemeClr w14:val="tx1"/>
            </w14:solidFill>
          </w14:textFill>
        </w:rPr>
        <w:t xml:space="preserve">2.1 </w:t>
      </w:r>
      <w:r>
        <w:rPr>
          <w:rFonts w:hint="eastAsia"/>
          <w:color w:val="000000" w:themeColor="text1"/>
          <w:szCs w:val="21"/>
          <w:highlight w:val="none"/>
          <w14:textFill>
            <w14:solidFill>
              <w14:schemeClr w14:val="tx1"/>
            </w14:solidFill>
          </w14:textFill>
        </w:rPr>
        <w:t>款规定的评审标准对投标文件第二个信封（报价文件）进行初步评审。有一项不符合评审标准的，评标委员会应否决其投标。</w:t>
      </w:r>
    </w:p>
    <w:p w14:paraId="1B9C1F65">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3.4.2 </w:t>
      </w:r>
      <w:r>
        <w:rPr>
          <w:rFonts w:hint="eastAsia"/>
          <w:color w:val="000000" w:themeColor="text1"/>
          <w:szCs w:val="21"/>
          <w:highlight w:val="none"/>
          <w14:textFill>
            <w14:solidFill>
              <w14:schemeClr w14:val="tx1"/>
            </w14:solidFill>
          </w14:textFill>
        </w:rPr>
        <w:t>投标报价有算术错误的，评标委员会按以下原则对投标报价进行修正，</w:t>
      </w:r>
      <w:r>
        <w:rPr>
          <w:rFonts w:hint="eastAsia" w:ascii="宋体" w:hAnsi="宋体"/>
          <w:color w:val="000000" w:themeColor="text1"/>
          <w:szCs w:val="21"/>
          <w:highlight w:val="none"/>
          <w14:textFill>
            <w14:solidFill>
              <w14:schemeClr w14:val="tx1"/>
            </w14:solidFill>
          </w14:textFill>
        </w:rPr>
        <w:t>或由招标人根据评标委员会建议在发出中标通知书前对投标报价进行修正</w:t>
      </w:r>
      <w:r>
        <w:rPr>
          <w:rFonts w:ascii="宋体" w:hAnsi="宋体"/>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修正的价格经投标人确认后具有约束力。投标人不接受修正价格的，其投标作否决处理。</w:t>
      </w:r>
    </w:p>
    <w:p w14:paraId="6C432FF4">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）投标文件中的大写金额与小写金额不一致的，以大写金额为准；</w:t>
      </w:r>
    </w:p>
    <w:p w14:paraId="71ECBDCF">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）总价金额与依据单价计算出的结果不一致的，以单价金额为准修正总价，但单价金额小数点有明显错误的除外；</w:t>
      </w:r>
    </w:p>
    <w:p w14:paraId="22ED83A2">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3</w:t>
      </w:r>
      <w:r>
        <w:rPr>
          <w:rFonts w:hint="eastAsia"/>
          <w:color w:val="000000" w:themeColor="text1"/>
          <w:szCs w:val="21"/>
          <w:highlight w:val="none"/>
          <w14:textFill>
            <w14:solidFill>
              <w14:schemeClr w14:val="tx1"/>
            </w14:solidFill>
          </w14:textFill>
        </w:rPr>
        <w:t>）当单价与数量相乘不等于合价时，以单价计算为准，如果单价有明显的小数点位置差错，应以标出的合价为准，同时对单价予以修正；</w:t>
      </w:r>
    </w:p>
    <w:p w14:paraId="0F443E48">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4</w:t>
      </w:r>
      <w:r>
        <w:rPr>
          <w:rFonts w:hint="eastAsia"/>
          <w:color w:val="000000" w:themeColor="text1"/>
          <w:szCs w:val="21"/>
          <w:highlight w:val="none"/>
          <w14:textFill>
            <w14:solidFill>
              <w14:schemeClr w14:val="tx1"/>
            </w14:solidFill>
          </w14:textFill>
        </w:rPr>
        <w:t>）当各子目的合价累计不等于总价时，应以各子目合价累计数为准，修正总价。</w:t>
      </w:r>
    </w:p>
    <w:p w14:paraId="46794867">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5</w:t>
      </w:r>
      <w:r>
        <w:rPr>
          <w:rFonts w:hint="eastAsia"/>
          <w:color w:val="000000" w:themeColor="text1"/>
          <w:szCs w:val="21"/>
          <w:highlight w:val="none"/>
          <w14:textFill>
            <w14:solidFill>
              <w14:schemeClr w14:val="tx1"/>
            </w14:solidFill>
          </w14:textFill>
        </w:rPr>
        <w:t>）安全生产费、暂估价、暂列金额不满足招标文件规定的，按规定的金额修正。</w:t>
      </w:r>
    </w:p>
    <w:p w14:paraId="7D95589A">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3.4.3 </w:t>
      </w:r>
      <w:r>
        <w:rPr>
          <w:rFonts w:hint="eastAsia"/>
          <w:color w:val="000000" w:themeColor="text1"/>
          <w:szCs w:val="21"/>
          <w:highlight w:val="none"/>
          <w14:textFill>
            <w14:solidFill>
              <w14:schemeClr w14:val="tx1"/>
            </w14:solidFill>
          </w14:textFill>
        </w:rPr>
        <w:t>工程量清单中的投标报价有其他错误的，评标委员会按以下原则对投标报价进行修正，</w:t>
      </w:r>
      <w:r>
        <w:rPr>
          <w:rFonts w:hint="eastAsia" w:ascii="宋体" w:hAnsi="宋体"/>
          <w:color w:val="000000" w:themeColor="text1"/>
          <w:szCs w:val="21"/>
          <w:highlight w:val="none"/>
          <w14:textFill>
            <w14:solidFill>
              <w14:schemeClr w14:val="tx1"/>
            </w14:solidFill>
          </w14:textFill>
        </w:rPr>
        <w:t>或由招标人根据评标委员会建议在发出中标通知书前对投标报价进行修正</w:t>
      </w:r>
      <w:r>
        <w:rPr>
          <w:rFonts w:ascii="宋体" w:hAnsi="宋体"/>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修正的价格经投标人确认后具有约束力。投标人不接受修正价格的，其投标作否决处理。</w:t>
      </w:r>
    </w:p>
    <w:p w14:paraId="66E5C823">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在招标人给定的工程量清单中漏报了某个工程子目的单价、合价或总额价，或所报单价、合价或总额价减少了报价范围，则漏报的工程子目单价、合价和总额价或单价、合价和总额价中减少的报价内容视为已含入其他工程子目的单价、合价和总额价之中。</w:t>
      </w:r>
    </w:p>
    <w:p w14:paraId="67C4491E">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）在招标人给定的工程量清单中多报了某个工程子目的单价、合价或总额价，或所报单价、合价或总额价增加了报价范围，则从投标报价中扣除多报的工程子目报价或工程子目报价中增加了报价范围的部分报价。</w:t>
      </w:r>
    </w:p>
    <w:p w14:paraId="09D2B5B2">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3</w:t>
      </w:r>
      <w:r>
        <w:rPr>
          <w:rFonts w:hint="eastAsia"/>
          <w:color w:val="000000" w:themeColor="text1"/>
          <w:szCs w:val="21"/>
          <w:highlight w:val="none"/>
          <w14:textFill>
            <w14:solidFill>
              <w14:schemeClr w14:val="tx1"/>
            </w14:solidFill>
          </w14:textFill>
        </w:rPr>
        <w:t>）当单价与数量的乘积与合价（金额）虽然一致，但投标人修改了该子目的工程数量，则其合价按招标人给定的工程数量乘以投标人所报单价予以修正。</w:t>
      </w:r>
    </w:p>
    <w:p w14:paraId="30BD4BF7">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3.4.4 </w:t>
      </w:r>
      <w:r>
        <w:rPr>
          <w:rFonts w:hint="eastAsia"/>
          <w:color w:val="000000" w:themeColor="text1"/>
          <w:szCs w:val="21"/>
          <w:highlight w:val="none"/>
          <w14:textFill>
            <w14:solidFill>
              <w14:schemeClr w14:val="tx1"/>
            </w14:solidFill>
          </w14:textFill>
        </w:rPr>
        <w:t>修正后的最终投标报价若超过最高投标限价，评标委员会应否决其投标。</w:t>
      </w:r>
    </w:p>
    <w:p w14:paraId="13EC43FC">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3.4.5 </w:t>
      </w:r>
      <w:r>
        <w:rPr>
          <w:rFonts w:hint="eastAsia"/>
          <w:color w:val="000000" w:themeColor="text1"/>
          <w:szCs w:val="21"/>
          <w:highlight w:val="none"/>
          <w14:textFill>
            <w14:solidFill>
              <w14:schemeClr w14:val="tx1"/>
            </w14:solidFill>
          </w14:textFill>
        </w:rPr>
        <w:t>修正后的最终投标报价仅作为签订合同的一个依据，不参与评标价得分的计算。</w:t>
      </w:r>
    </w:p>
    <w:p w14:paraId="1F16FC0F">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3.4.6 </w:t>
      </w:r>
      <w:r>
        <w:rPr>
          <w:rFonts w:hint="eastAsia"/>
          <w:color w:val="000000" w:themeColor="text1"/>
          <w:szCs w:val="21"/>
          <w:highlight w:val="none"/>
          <w14:textFill>
            <w14:solidFill>
              <w14:schemeClr w14:val="tx1"/>
            </w14:solidFill>
          </w14:textFill>
        </w:rPr>
        <w:t>评标委员会发现投标人的报价明显低于其他投标报价，使得其投标报价可能低于其个别成本的，应当要求该投标人作出说明并提供相应的证明材料。投标人不能合理说明或者不能提供相应证明材料的，由评标委员会认定该投标人以低于成本报价竞标，并否决其投标。</w:t>
      </w:r>
    </w:p>
    <w:p w14:paraId="40A7AEA4">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3.5 </w:t>
      </w:r>
      <w:r>
        <w:rPr>
          <w:rFonts w:hint="eastAsia" w:ascii="Times New Roman"/>
          <w:color w:val="000000" w:themeColor="text1"/>
          <w:szCs w:val="21"/>
          <w:highlight w:val="none"/>
          <w14:textFill>
            <w14:solidFill>
              <w14:schemeClr w14:val="tx1"/>
            </w14:solidFill>
          </w14:textFill>
        </w:rPr>
        <w:t>第二个信封详细评审</w:t>
      </w:r>
    </w:p>
    <w:p w14:paraId="187A9E88">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3.5.1 </w:t>
      </w:r>
      <w:r>
        <w:rPr>
          <w:rFonts w:hint="eastAsia"/>
          <w:color w:val="000000" w:themeColor="text1"/>
          <w:szCs w:val="21"/>
          <w:highlight w:val="none"/>
          <w14:textFill>
            <w14:solidFill>
              <w14:schemeClr w14:val="tx1"/>
            </w14:solidFill>
          </w14:textFill>
        </w:rPr>
        <w:t>评标委员会按本章第</w:t>
      </w:r>
      <w:r>
        <w:rPr>
          <w:color w:val="000000" w:themeColor="text1"/>
          <w:szCs w:val="21"/>
          <w:highlight w:val="none"/>
          <w14:textFill>
            <w14:solidFill>
              <w14:schemeClr w14:val="tx1"/>
            </w14:solidFill>
          </w14:textFill>
        </w:rPr>
        <w:t>2.2.4</w:t>
      </w:r>
      <w:r>
        <w:rPr>
          <w:rFonts w:hint="eastAsia"/>
          <w:color w:val="000000" w:themeColor="text1"/>
          <w:szCs w:val="21"/>
          <w:highlight w:val="none"/>
          <w14:textFill>
            <w14:solidFill>
              <w14:schemeClr w14:val="tx1"/>
            </w14:solidFill>
          </w14:textFill>
        </w:rPr>
        <w:t>项（</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）目规定的评审因素和分值对评标价计算出得分。</w:t>
      </w:r>
    </w:p>
    <w:p w14:paraId="76DBD3D7">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3.5.2 </w:t>
      </w:r>
      <w:r>
        <w:rPr>
          <w:rFonts w:hint="eastAsia"/>
          <w:color w:val="000000" w:themeColor="text1"/>
          <w:szCs w:val="21"/>
          <w:highlight w:val="none"/>
          <w14:textFill>
            <w14:solidFill>
              <w14:schemeClr w14:val="tx1"/>
            </w14:solidFill>
          </w14:textFill>
        </w:rPr>
        <w:t>评标价得分分值计算保留小数点后两位，小数点后第三位</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四舍五入</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w:t>
      </w:r>
    </w:p>
    <w:p w14:paraId="558444B1">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3.5.3 </w:t>
      </w:r>
      <w:r>
        <w:rPr>
          <w:rFonts w:hint="eastAsia"/>
          <w:color w:val="000000" w:themeColor="text1"/>
          <w:szCs w:val="21"/>
          <w:highlight w:val="none"/>
          <w14:textFill>
            <w14:solidFill>
              <w14:schemeClr w14:val="tx1"/>
            </w14:solidFill>
          </w14:textFill>
        </w:rPr>
        <w:t>投标人综合得分</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投标人第一个信封得分</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评标价得分</w:t>
      </w:r>
    </w:p>
    <w:p w14:paraId="4DA13775">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3.6 </w:t>
      </w:r>
      <w:r>
        <w:rPr>
          <w:rFonts w:hint="eastAsia" w:ascii="Times New Roman"/>
          <w:color w:val="000000" w:themeColor="text1"/>
          <w:szCs w:val="21"/>
          <w:highlight w:val="none"/>
          <w14:textFill>
            <w14:solidFill>
              <w14:schemeClr w14:val="tx1"/>
            </w14:solidFill>
          </w14:textFill>
        </w:rPr>
        <w:t>投标文件相关信息的核查</w:t>
      </w:r>
    </w:p>
    <w:p w14:paraId="58FD7521">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3.6.1</w:t>
      </w:r>
      <w:r>
        <w:rPr>
          <w:rFonts w:hint="eastAsia"/>
          <w:color w:val="000000" w:themeColor="text1"/>
          <w:szCs w:val="21"/>
          <w:highlight w:val="none"/>
          <w14:textFill>
            <w14:solidFill>
              <w14:schemeClr w14:val="tx1"/>
            </w14:solidFill>
          </w14:textFill>
        </w:rPr>
        <w:t>投标人提供的任一项类似项目《主要业绩信息一览表》中涉及本次招标资格审核与加分的相关信息与投标文件所附的业绩证明材料不一致（投标人须知</w:t>
      </w:r>
      <w:r>
        <w:rPr>
          <w:color w:val="000000" w:themeColor="text1"/>
          <w:szCs w:val="21"/>
          <w:highlight w:val="none"/>
          <w14:textFill>
            <w14:solidFill>
              <w14:schemeClr w14:val="tx1"/>
            </w14:solidFill>
          </w14:textFill>
        </w:rPr>
        <w:t>1.12.3</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4</w:t>
      </w:r>
      <w:r>
        <w:rPr>
          <w:rFonts w:hint="eastAsia"/>
          <w:color w:val="000000" w:themeColor="text1"/>
          <w:szCs w:val="21"/>
          <w:highlight w:val="none"/>
          <w14:textFill>
            <w14:solidFill>
              <w14:schemeClr w14:val="tx1"/>
            </w14:solidFill>
          </w14:textFill>
        </w:rPr>
        <w:t>）规定的细微偏差除外）的，资格审查不予通过或不予加分，并报相应交通运输主管部门按有关规定进行处理。</w:t>
      </w:r>
      <w:r>
        <w:rPr>
          <w:color w:val="000000" w:themeColor="text1"/>
          <w:szCs w:val="21"/>
          <w:highlight w:val="none"/>
          <w14:textFill>
            <w14:solidFill>
              <w14:schemeClr w14:val="tx1"/>
            </w14:solidFill>
          </w14:textFill>
        </w:rPr>
        <w:t xml:space="preserve"> </w:t>
      </w:r>
    </w:p>
    <w:p w14:paraId="45DE8428">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3.6.2 </w:t>
      </w:r>
      <w:r>
        <w:rPr>
          <w:rFonts w:hint="eastAsia"/>
          <w:color w:val="000000" w:themeColor="text1"/>
          <w:szCs w:val="21"/>
          <w:highlight w:val="none"/>
          <w14:textFill>
            <w14:solidFill>
              <w14:schemeClr w14:val="tx1"/>
            </w14:solidFill>
          </w14:textFill>
        </w:rPr>
        <w:t>评标委员会应对在评标过程中发现的投标人与投标人之间、投标人与招标人之间存在的串通投标的情形进行评审和认定。投标人存在串通投标、弄虚作假、行贿等违法行为的，评标委员会应否决其投标。</w:t>
      </w:r>
      <w:r>
        <w:rPr>
          <w:color w:val="000000" w:themeColor="text1"/>
          <w:szCs w:val="21"/>
          <w:highlight w:val="none"/>
          <w14:textFill>
            <w14:solidFill>
              <w14:schemeClr w14:val="tx1"/>
            </w14:solidFill>
          </w14:textFill>
        </w:rPr>
        <w:t xml:space="preserve"> </w:t>
      </w:r>
    </w:p>
    <w:p w14:paraId="0BF78829">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）有下列情形之一的，属于投标人相互串通投标：</w:t>
      </w:r>
      <w:r>
        <w:rPr>
          <w:color w:val="000000" w:themeColor="text1"/>
          <w:szCs w:val="21"/>
          <w:highlight w:val="none"/>
          <w14:textFill>
            <w14:solidFill>
              <w14:schemeClr w14:val="tx1"/>
            </w14:solidFill>
          </w14:textFill>
        </w:rPr>
        <w:t xml:space="preserve"> </w:t>
      </w:r>
    </w:p>
    <w:p w14:paraId="0CF64C82">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a.</w:t>
      </w:r>
      <w:r>
        <w:rPr>
          <w:rFonts w:hint="eastAsia"/>
          <w:color w:val="000000" w:themeColor="text1"/>
          <w:szCs w:val="21"/>
          <w:highlight w:val="none"/>
          <w14:textFill>
            <w14:solidFill>
              <w14:schemeClr w14:val="tx1"/>
            </w14:solidFill>
          </w14:textFill>
        </w:rPr>
        <w:t>投标人之间协商投标报价等投标文件的实质性内容；</w:t>
      </w:r>
      <w:r>
        <w:rPr>
          <w:color w:val="000000" w:themeColor="text1"/>
          <w:szCs w:val="21"/>
          <w:highlight w:val="none"/>
          <w14:textFill>
            <w14:solidFill>
              <w14:schemeClr w14:val="tx1"/>
            </w14:solidFill>
          </w14:textFill>
        </w:rPr>
        <w:t xml:space="preserve"> </w:t>
      </w:r>
    </w:p>
    <w:p w14:paraId="35C4B537">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b.</w:t>
      </w:r>
      <w:r>
        <w:rPr>
          <w:rFonts w:hint="eastAsia"/>
          <w:color w:val="000000" w:themeColor="text1"/>
          <w:szCs w:val="21"/>
          <w:highlight w:val="none"/>
          <w14:textFill>
            <w14:solidFill>
              <w14:schemeClr w14:val="tx1"/>
            </w14:solidFill>
          </w14:textFill>
        </w:rPr>
        <w:t>投标人之间约定中标人；</w:t>
      </w:r>
      <w:r>
        <w:rPr>
          <w:color w:val="000000" w:themeColor="text1"/>
          <w:szCs w:val="21"/>
          <w:highlight w:val="none"/>
          <w14:textFill>
            <w14:solidFill>
              <w14:schemeClr w14:val="tx1"/>
            </w14:solidFill>
          </w14:textFill>
        </w:rPr>
        <w:t xml:space="preserve"> </w:t>
      </w:r>
    </w:p>
    <w:p w14:paraId="4774083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c.</w:t>
      </w:r>
      <w:r>
        <w:rPr>
          <w:rFonts w:hint="eastAsia"/>
          <w:color w:val="000000" w:themeColor="text1"/>
          <w:szCs w:val="21"/>
          <w:highlight w:val="none"/>
          <w14:textFill>
            <w14:solidFill>
              <w14:schemeClr w14:val="tx1"/>
            </w14:solidFill>
          </w14:textFill>
        </w:rPr>
        <w:t>投标人之间约定部分投标人放弃投标或中标；</w:t>
      </w:r>
      <w:r>
        <w:rPr>
          <w:color w:val="000000" w:themeColor="text1"/>
          <w:szCs w:val="21"/>
          <w:highlight w:val="none"/>
          <w14:textFill>
            <w14:solidFill>
              <w14:schemeClr w14:val="tx1"/>
            </w14:solidFill>
          </w14:textFill>
        </w:rPr>
        <w:t xml:space="preserve"> </w:t>
      </w:r>
    </w:p>
    <w:p w14:paraId="222023F9">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d.</w:t>
      </w:r>
      <w:r>
        <w:rPr>
          <w:rFonts w:hint="eastAsia"/>
          <w:color w:val="000000" w:themeColor="text1"/>
          <w:szCs w:val="21"/>
          <w:highlight w:val="none"/>
          <w14:textFill>
            <w14:solidFill>
              <w14:schemeClr w14:val="tx1"/>
            </w14:solidFill>
          </w14:textFill>
        </w:rPr>
        <w:t>属于同一集团、协会、商会等组织成员的投标人按照该组织要求协同投标；</w:t>
      </w:r>
      <w:r>
        <w:rPr>
          <w:color w:val="000000" w:themeColor="text1"/>
          <w:szCs w:val="21"/>
          <w:highlight w:val="none"/>
          <w14:textFill>
            <w14:solidFill>
              <w14:schemeClr w14:val="tx1"/>
            </w14:solidFill>
          </w14:textFill>
        </w:rPr>
        <w:t xml:space="preserve"> </w:t>
      </w:r>
    </w:p>
    <w:p w14:paraId="25C40AF9">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e.</w:t>
      </w:r>
      <w:r>
        <w:rPr>
          <w:rFonts w:hint="eastAsia"/>
          <w:color w:val="000000" w:themeColor="text1"/>
          <w:szCs w:val="21"/>
          <w:highlight w:val="none"/>
          <w14:textFill>
            <w14:solidFill>
              <w14:schemeClr w14:val="tx1"/>
            </w14:solidFill>
          </w14:textFill>
        </w:rPr>
        <w:t>投标人之间为谋取中标或排斥特定投标人而采取的其他联合行动。</w:t>
      </w:r>
      <w:r>
        <w:rPr>
          <w:color w:val="000000" w:themeColor="text1"/>
          <w:szCs w:val="21"/>
          <w:highlight w:val="none"/>
          <w14:textFill>
            <w14:solidFill>
              <w14:schemeClr w14:val="tx1"/>
            </w14:solidFill>
          </w14:textFill>
        </w:rPr>
        <w:t xml:space="preserve"> </w:t>
      </w:r>
    </w:p>
    <w:p w14:paraId="0D02E4A8">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）有下列情形之一的，视为投标人相互串通投标：</w:t>
      </w:r>
      <w:r>
        <w:rPr>
          <w:color w:val="000000" w:themeColor="text1"/>
          <w:szCs w:val="21"/>
          <w:highlight w:val="none"/>
          <w14:textFill>
            <w14:solidFill>
              <w14:schemeClr w14:val="tx1"/>
            </w14:solidFill>
          </w14:textFill>
        </w:rPr>
        <w:t xml:space="preserve"> </w:t>
      </w:r>
    </w:p>
    <w:p w14:paraId="11D62459">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a.</w:t>
      </w:r>
      <w:r>
        <w:rPr>
          <w:rFonts w:hint="eastAsia"/>
          <w:color w:val="000000" w:themeColor="text1"/>
          <w:szCs w:val="21"/>
          <w:highlight w:val="none"/>
          <w14:textFill>
            <w14:solidFill>
              <w14:schemeClr w14:val="tx1"/>
            </w14:solidFill>
          </w14:textFill>
        </w:rPr>
        <w:t>不同投标人的投标文件由同一单位或个人编制；</w:t>
      </w:r>
      <w:r>
        <w:rPr>
          <w:color w:val="000000" w:themeColor="text1"/>
          <w:szCs w:val="21"/>
          <w:highlight w:val="none"/>
          <w14:textFill>
            <w14:solidFill>
              <w14:schemeClr w14:val="tx1"/>
            </w14:solidFill>
          </w14:textFill>
        </w:rPr>
        <w:t xml:space="preserve"> </w:t>
      </w:r>
    </w:p>
    <w:p w14:paraId="341721B8">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b.</w:t>
      </w:r>
      <w:r>
        <w:rPr>
          <w:rFonts w:hint="eastAsia"/>
          <w:color w:val="000000" w:themeColor="text1"/>
          <w:szCs w:val="21"/>
          <w:highlight w:val="none"/>
          <w14:textFill>
            <w14:solidFill>
              <w14:schemeClr w14:val="tx1"/>
            </w14:solidFill>
          </w14:textFill>
        </w:rPr>
        <w:t>不同投标人委托同一单位或个人办理投标事宜；</w:t>
      </w:r>
      <w:r>
        <w:rPr>
          <w:color w:val="000000" w:themeColor="text1"/>
          <w:szCs w:val="21"/>
          <w:highlight w:val="none"/>
          <w14:textFill>
            <w14:solidFill>
              <w14:schemeClr w14:val="tx1"/>
            </w14:solidFill>
          </w14:textFill>
        </w:rPr>
        <w:t xml:space="preserve"> </w:t>
      </w:r>
    </w:p>
    <w:p w14:paraId="7674CF50">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c.</w:t>
      </w:r>
      <w:r>
        <w:rPr>
          <w:rFonts w:hint="eastAsia"/>
          <w:color w:val="000000" w:themeColor="text1"/>
          <w:szCs w:val="21"/>
          <w:highlight w:val="none"/>
          <w14:textFill>
            <w14:solidFill>
              <w14:schemeClr w14:val="tx1"/>
            </w14:solidFill>
          </w14:textFill>
        </w:rPr>
        <w:t>不同投标人的投标文件载明的项目管理成员为同一人；</w:t>
      </w:r>
      <w:r>
        <w:rPr>
          <w:color w:val="000000" w:themeColor="text1"/>
          <w:szCs w:val="21"/>
          <w:highlight w:val="none"/>
          <w14:textFill>
            <w14:solidFill>
              <w14:schemeClr w14:val="tx1"/>
            </w14:solidFill>
          </w14:textFill>
        </w:rPr>
        <w:t xml:space="preserve"> </w:t>
      </w:r>
    </w:p>
    <w:p w14:paraId="0BC815C6">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d.</w:t>
      </w:r>
      <w:r>
        <w:rPr>
          <w:rFonts w:hint="eastAsia"/>
          <w:color w:val="000000" w:themeColor="text1"/>
          <w:szCs w:val="21"/>
          <w:highlight w:val="none"/>
          <w14:textFill>
            <w14:solidFill>
              <w14:schemeClr w14:val="tx1"/>
            </w14:solidFill>
          </w14:textFill>
        </w:rPr>
        <w:t>不同投标人的投标文件异常一致或投标报价呈规律性差异；</w:t>
      </w:r>
      <w:r>
        <w:rPr>
          <w:color w:val="000000" w:themeColor="text1"/>
          <w:szCs w:val="21"/>
          <w:highlight w:val="none"/>
          <w14:textFill>
            <w14:solidFill>
              <w14:schemeClr w14:val="tx1"/>
            </w14:solidFill>
          </w14:textFill>
        </w:rPr>
        <w:t xml:space="preserve"> </w:t>
      </w:r>
    </w:p>
    <w:p w14:paraId="5813C641">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e.</w:t>
      </w:r>
      <w:r>
        <w:rPr>
          <w:rFonts w:hint="eastAsia"/>
          <w:color w:val="000000" w:themeColor="text1"/>
          <w:szCs w:val="21"/>
          <w:highlight w:val="none"/>
          <w14:textFill>
            <w14:solidFill>
              <w14:schemeClr w14:val="tx1"/>
            </w14:solidFill>
          </w14:textFill>
        </w:rPr>
        <w:t>不同投标人的投标文件相互混装；</w:t>
      </w:r>
      <w:r>
        <w:rPr>
          <w:color w:val="000000" w:themeColor="text1"/>
          <w:szCs w:val="21"/>
          <w:highlight w:val="none"/>
          <w14:textFill>
            <w14:solidFill>
              <w14:schemeClr w14:val="tx1"/>
            </w14:solidFill>
          </w14:textFill>
        </w:rPr>
        <w:t xml:space="preserve"> </w:t>
      </w:r>
    </w:p>
    <w:p w14:paraId="1FB81C10">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f.</w:t>
      </w:r>
      <w:r>
        <w:rPr>
          <w:rFonts w:hint="eastAsia"/>
          <w:color w:val="000000" w:themeColor="text1"/>
          <w:szCs w:val="21"/>
          <w:highlight w:val="none"/>
          <w14:textFill>
            <w14:solidFill>
              <w14:schemeClr w14:val="tx1"/>
            </w14:solidFill>
          </w14:textFill>
        </w:rPr>
        <w:t>不同投标人的投标保证金从同一单位或个人的账户转出。</w:t>
      </w:r>
      <w:r>
        <w:rPr>
          <w:color w:val="000000" w:themeColor="text1"/>
          <w:szCs w:val="21"/>
          <w:highlight w:val="none"/>
          <w14:textFill>
            <w14:solidFill>
              <w14:schemeClr w14:val="tx1"/>
            </w14:solidFill>
          </w14:textFill>
        </w:rPr>
        <w:t xml:space="preserve"> </w:t>
      </w:r>
    </w:p>
    <w:p w14:paraId="3900A0BB">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3</w:t>
      </w:r>
      <w:r>
        <w:rPr>
          <w:rFonts w:hint="eastAsia"/>
          <w:color w:val="000000" w:themeColor="text1"/>
          <w:szCs w:val="21"/>
          <w:highlight w:val="none"/>
          <w14:textFill>
            <w14:solidFill>
              <w14:schemeClr w14:val="tx1"/>
            </w14:solidFill>
          </w14:textFill>
        </w:rPr>
        <w:t>）有下列情形之一的，属于招标人与投标人串通投标：</w:t>
      </w:r>
      <w:r>
        <w:rPr>
          <w:color w:val="000000" w:themeColor="text1"/>
          <w:szCs w:val="21"/>
          <w:highlight w:val="none"/>
          <w14:textFill>
            <w14:solidFill>
              <w14:schemeClr w14:val="tx1"/>
            </w14:solidFill>
          </w14:textFill>
        </w:rPr>
        <w:t xml:space="preserve"> </w:t>
      </w:r>
    </w:p>
    <w:p w14:paraId="3F58D897">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a.</w:t>
      </w:r>
      <w:r>
        <w:rPr>
          <w:rFonts w:hint="eastAsia"/>
          <w:color w:val="000000" w:themeColor="text1"/>
          <w:szCs w:val="21"/>
          <w:highlight w:val="none"/>
          <w14:textFill>
            <w14:solidFill>
              <w14:schemeClr w14:val="tx1"/>
            </w14:solidFill>
          </w14:textFill>
        </w:rPr>
        <w:t>招标人在开标前开启投标文件并将有关信息泄露给其他投标人</w:t>
      </w:r>
      <w:r>
        <w:rPr>
          <w:color w:val="000000" w:themeColor="text1"/>
          <w:szCs w:val="21"/>
          <w:highlight w:val="none"/>
          <w14:textFill>
            <w14:solidFill>
              <w14:schemeClr w14:val="tx1"/>
            </w14:solidFill>
          </w14:textFill>
        </w:rPr>
        <w:t xml:space="preserve">; </w:t>
      </w:r>
    </w:p>
    <w:p w14:paraId="1444A82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b.</w:t>
      </w:r>
      <w:r>
        <w:rPr>
          <w:rFonts w:hint="eastAsia"/>
          <w:color w:val="000000" w:themeColor="text1"/>
          <w:szCs w:val="21"/>
          <w:highlight w:val="none"/>
          <w14:textFill>
            <w14:solidFill>
              <w14:schemeClr w14:val="tx1"/>
            </w14:solidFill>
          </w14:textFill>
        </w:rPr>
        <w:t>招标人直接或间接向投标人泄露标底、评标委员会成员等信息；</w:t>
      </w:r>
      <w:r>
        <w:rPr>
          <w:color w:val="000000" w:themeColor="text1"/>
          <w:szCs w:val="21"/>
          <w:highlight w:val="none"/>
          <w14:textFill>
            <w14:solidFill>
              <w14:schemeClr w14:val="tx1"/>
            </w14:solidFill>
          </w14:textFill>
        </w:rPr>
        <w:t xml:space="preserve"> </w:t>
      </w:r>
    </w:p>
    <w:p w14:paraId="7A913656">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c.</w:t>
      </w:r>
      <w:r>
        <w:rPr>
          <w:rFonts w:hint="eastAsia"/>
          <w:color w:val="000000" w:themeColor="text1"/>
          <w:szCs w:val="21"/>
          <w:highlight w:val="none"/>
          <w14:textFill>
            <w14:solidFill>
              <w14:schemeClr w14:val="tx1"/>
            </w14:solidFill>
          </w14:textFill>
        </w:rPr>
        <w:t>招标人明示或暗示投标人压低或抬高投标报价；</w:t>
      </w:r>
      <w:r>
        <w:rPr>
          <w:color w:val="000000" w:themeColor="text1"/>
          <w:szCs w:val="21"/>
          <w:highlight w:val="none"/>
          <w14:textFill>
            <w14:solidFill>
              <w14:schemeClr w14:val="tx1"/>
            </w14:solidFill>
          </w14:textFill>
        </w:rPr>
        <w:t xml:space="preserve"> </w:t>
      </w:r>
    </w:p>
    <w:p w14:paraId="09B1F081">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d.</w:t>
      </w:r>
      <w:r>
        <w:rPr>
          <w:rFonts w:hint="eastAsia"/>
          <w:color w:val="000000" w:themeColor="text1"/>
          <w:szCs w:val="21"/>
          <w:highlight w:val="none"/>
          <w14:textFill>
            <w14:solidFill>
              <w14:schemeClr w14:val="tx1"/>
            </w14:solidFill>
          </w14:textFill>
        </w:rPr>
        <w:t>招标人授意投标人撤换、修改投标文件；</w:t>
      </w:r>
      <w:r>
        <w:rPr>
          <w:color w:val="000000" w:themeColor="text1"/>
          <w:szCs w:val="21"/>
          <w:highlight w:val="none"/>
          <w14:textFill>
            <w14:solidFill>
              <w14:schemeClr w14:val="tx1"/>
            </w14:solidFill>
          </w14:textFill>
        </w:rPr>
        <w:t xml:space="preserve"> </w:t>
      </w:r>
    </w:p>
    <w:p w14:paraId="7BB19EAA">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e.</w:t>
      </w:r>
      <w:r>
        <w:rPr>
          <w:rFonts w:hint="eastAsia"/>
          <w:color w:val="000000" w:themeColor="text1"/>
          <w:szCs w:val="21"/>
          <w:highlight w:val="none"/>
          <w14:textFill>
            <w14:solidFill>
              <w14:schemeClr w14:val="tx1"/>
            </w14:solidFill>
          </w14:textFill>
        </w:rPr>
        <w:t>招标人明示或暗示投标人为特定投标人中标提供方便；</w:t>
      </w:r>
      <w:r>
        <w:rPr>
          <w:color w:val="000000" w:themeColor="text1"/>
          <w:szCs w:val="21"/>
          <w:highlight w:val="none"/>
          <w14:textFill>
            <w14:solidFill>
              <w14:schemeClr w14:val="tx1"/>
            </w14:solidFill>
          </w14:textFill>
        </w:rPr>
        <w:t xml:space="preserve"> </w:t>
      </w:r>
    </w:p>
    <w:p w14:paraId="7C59CF3E">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f.</w:t>
      </w:r>
      <w:r>
        <w:rPr>
          <w:rFonts w:hint="eastAsia"/>
          <w:color w:val="000000" w:themeColor="text1"/>
          <w:szCs w:val="21"/>
          <w:highlight w:val="none"/>
          <w14:textFill>
            <w14:solidFill>
              <w14:schemeClr w14:val="tx1"/>
            </w14:solidFill>
          </w14:textFill>
        </w:rPr>
        <w:t>招标人与投标人为谋求特定投标人中标而采取的其他串通行为。</w:t>
      </w:r>
      <w:r>
        <w:rPr>
          <w:color w:val="000000" w:themeColor="text1"/>
          <w:szCs w:val="21"/>
          <w:highlight w:val="none"/>
          <w14:textFill>
            <w14:solidFill>
              <w14:schemeClr w14:val="tx1"/>
            </w14:solidFill>
          </w14:textFill>
        </w:rPr>
        <w:t xml:space="preserve"> </w:t>
      </w:r>
    </w:p>
    <w:p w14:paraId="1BFC08B9">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4</w:t>
      </w:r>
      <w:r>
        <w:rPr>
          <w:rFonts w:hint="eastAsia"/>
          <w:color w:val="000000" w:themeColor="text1"/>
          <w:szCs w:val="21"/>
          <w:highlight w:val="none"/>
          <w14:textFill>
            <w14:solidFill>
              <w14:schemeClr w14:val="tx1"/>
            </w14:solidFill>
          </w14:textFill>
        </w:rPr>
        <w:t>）投标人有下列情形之一的，属于弄虚作假的行为：</w:t>
      </w:r>
      <w:r>
        <w:rPr>
          <w:color w:val="000000" w:themeColor="text1"/>
          <w:szCs w:val="21"/>
          <w:highlight w:val="none"/>
          <w14:textFill>
            <w14:solidFill>
              <w14:schemeClr w14:val="tx1"/>
            </w14:solidFill>
          </w14:textFill>
        </w:rPr>
        <w:t xml:space="preserve"> </w:t>
      </w:r>
    </w:p>
    <w:p w14:paraId="5CDC5C41">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a.</w:t>
      </w:r>
      <w:r>
        <w:rPr>
          <w:rFonts w:hint="eastAsia"/>
          <w:color w:val="000000" w:themeColor="text1"/>
          <w:szCs w:val="21"/>
          <w:highlight w:val="none"/>
          <w14:textFill>
            <w14:solidFill>
              <w14:schemeClr w14:val="tx1"/>
            </w14:solidFill>
          </w14:textFill>
        </w:rPr>
        <w:t>使用通过受让或租借等方式获取的资格、资质证书投标；</w:t>
      </w:r>
      <w:r>
        <w:rPr>
          <w:color w:val="000000" w:themeColor="text1"/>
          <w:szCs w:val="21"/>
          <w:highlight w:val="none"/>
          <w14:textFill>
            <w14:solidFill>
              <w14:schemeClr w14:val="tx1"/>
            </w14:solidFill>
          </w14:textFill>
        </w:rPr>
        <w:t xml:space="preserve"> </w:t>
      </w:r>
    </w:p>
    <w:p w14:paraId="41F57938">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b.</w:t>
      </w:r>
      <w:r>
        <w:rPr>
          <w:rFonts w:hint="eastAsia"/>
          <w:color w:val="000000" w:themeColor="text1"/>
          <w:szCs w:val="21"/>
          <w:highlight w:val="none"/>
          <w14:textFill>
            <w14:solidFill>
              <w14:schemeClr w14:val="tx1"/>
            </w14:solidFill>
          </w14:textFill>
        </w:rPr>
        <w:t>使用伪造、变造的许可证件；</w:t>
      </w:r>
      <w:r>
        <w:rPr>
          <w:color w:val="000000" w:themeColor="text1"/>
          <w:szCs w:val="21"/>
          <w:highlight w:val="none"/>
          <w14:textFill>
            <w14:solidFill>
              <w14:schemeClr w14:val="tx1"/>
            </w14:solidFill>
          </w14:textFill>
        </w:rPr>
        <w:t xml:space="preserve"> </w:t>
      </w:r>
    </w:p>
    <w:p w14:paraId="6B894B55">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c.</w:t>
      </w:r>
      <w:r>
        <w:rPr>
          <w:rFonts w:hint="eastAsia"/>
          <w:color w:val="000000" w:themeColor="text1"/>
          <w:szCs w:val="21"/>
          <w:highlight w:val="none"/>
          <w14:textFill>
            <w14:solidFill>
              <w14:schemeClr w14:val="tx1"/>
            </w14:solidFill>
          </w14:textFill>
        </w:rPr>
        <w:t>提供虚假的财务状况或业绩；</w:t>
      </w:r>
      <w:r>
        <w:rPr>
          <w:color w:val="000000" w:themeColor="text1"/>
          <w:szCs w:val="21"/>
          <w:highlight w:val="none"/>
          <w14:textFill>
            <w14:solidFill>
              <w14:schemeClr w14:val="tx1"/>
            </w14:solidFill>
          </w14:textFill>
        </w:rPr>
        <w:t xml:space="preserve"> </w:t>
      </w:r>
    </w:p>
    <w:p w14:paraId="580B99C4">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d.</w:t>
      </w:r>
      <w:r>
        <w:rPr>
          <w:rFonts w:hint="eastAsia"/>
          <w:color w:val="000000" w:themeColor="text1"/>
          <w:szCs w:val="21"/>
          <w:highlight w:val="none"/>
          <w14:textFill>
            <w14:solidFill>
              <w14:schemeClr w14:val="tx1"/>
            </w14:solidFill>
          </w14:textFill>
        </w:rPr>
        <w:t>提供虚假的项目负责人或主要技术人员简历、劳动关系证明；</w:t>
      </w:r>
      <w:r>
        <w:rPr>
          <w:color w:val="000000" w:themeColor="text1"/>
          <w:szCs w:val="21"/>
          <w:highlight w:val="none"/>
          <w14:textFill>
            <w14:solidFill>
              <w14:schemeClr w14:val="tx1"/>
            </w14:solidFill>
          </w14:textFill>
        </w:rPr>
        <w:t xml:space="preserve"> </w:t>
      </w:r>
    </w:p>
    <w:p w14:paraId="250350F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e.</w:t>
      </w:r>
      <w:r>
        <w:rPr>
          <w:rFonts w:hint="eastAsia"/>
          <w:color w:val="000000" w:themeColor="text1"/>
          <w:szCs w:val="21"/>
          <w:highlight w:val="none"/>
          <w14:textFill>
            <w14:solidFill>
              <w14:schemeClr w14:val="tx1"/>
            </w14:solidFill>
          </w14:textFill>
        </w:rPr>
        <w:t>提供虚假的信用状况；</w:t>
      </w:r>
    </w:p>
    <w:p w14:paraId="33B905EC">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f.</w:t>
      </w:r>
      <w:r>
        <w:rPr>
          <w:rFonts w:hint="eastAsia"/>
          <w:color w:val="000000" w:themeColor="text1"/>
          <w:szCs w:val="21"/>
          <w:highlight w:val="none"/>
          <w14:textFill>
            <w14:solidFill>
              <w14:schemeClr w14:val="tx1"/>
            </w14:solidFill>
          </w14:textFill>
        </w:rPr>
        <w:t>其他弄虚作假的行为。</w:t>
      </w:r>
    </w:p>
    <w:p w14:paraId="74ABC516">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3.7 </w:t>
      </w:r>
      <w:r>
        <w:rPr>
          <w:rFonts w:hint="eastAsia" w:ascii="Times New Roman"/>
          <w:color w:val="000000" w:themeColor="text1"/>
          <w:szCs w:val="21"/>
          <w:highlight w:val="none"/>
          <w14:textFill>
            <w14:solidFill>
              <w14:schemeClr w14:val="tx1"/>
            </w14:solidFill>
          </w14:textFill>
        </w:rPr>
        <w:t>投标文件的澄清和说明</w:t>
      </w:r>
    </w:p>
    <w:p w14:paraId="126591E6">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3.7.1 </w:t>
      </w:r>
      <w:r>
        <w:rPr>
          <w:rFonts w:hint="eastAsia"/>
          <w:color w:val="000000" w:themeColor="text1"/>
          <w:szCs w:val="21"/>
          <w:highlight w:val="none"/>
          <w14:textFill>
            <w14:solidFill>
              <w14:schemeClr w14:val="tx1"/>
            </w14:solidFill>
          </w14:textFill>
        </w:rPr>
        <w:t>在评标过程中，评标委员会可以通过</w:t>
      </w:r>
      <w:r>
        <w:rPr>
          <w:snapToGrid w:val="0"/>
          <w:color w:val="000000" w:themeColor="text1"/>
          <w:highlight w:val="none"/>
          <w14:textFill>
            <w14:solidFill>
              <w14:schemeClr w14:val="tx1"/>
            </w14:solidFill>
          </w14:textFill>
        </w:rPr>
        <w:t>“</w:t>
      </w:r>
      <w:r>
        <w:rPr>
          <w:rFonts w:hint="eastAsia"/>
          <w:snapToGrid w:val="0"/>
          <w:color w:val="000000" w:themeColor="text1"/>
          <w:highlight w:val="none"/>
          <w14:textFill>
            <w14:solidFill>
              <w14:schemeClr w14:val="tx1"/>
            </w14:solidFill>
          </w14:textFill>
        </w:rPr>
        <w:t>电子交易平台</w:t>
      </w:r>
      <w:r>
        <w:rPr>
          <w:snapToGrid w:val="0"/>
          <w:color w:val="000000" w:themeColor="text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要求投标人对所提交投标文件中含义不明确的内容、明显文字或计算错误进行书面澄清或说明。评标委员会不接受投标人主动提出的澄清、说明。投标人不按评标委员会要求澄清或说明的，评标委员会应否决其投标。</w:t>
      </w:r>
    </w:p>
    <w:p w14:paraId="581C3CD0">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3.7.2 </w:t>
      </w:r>
      <w:r>
        <w:rPr>
          <w:rFonts w:hint="eastAsia"/>
          <w:color w:val="000000" w:themeColor="text1"/>
          <w:szCs w:val="21"/>
          <w:highlight w:val="none"/>
          <w14:textFill>
            <w14:solidFill>
              <w14:schemeClr w14:val="tx1"/>
            </w14:solidFill>
          </w14:textFill>
        </w:rPr>
        <w:t>澄清和说明不得超出投标文件的范围或改变投标文件的实质性内容（算术性错误的修正除外）。投标人的澄清、说明属于投标文件的组成部分。</w:t>
      </w:r>
    </w:p>
    <w:p w14:paraId="57A8EB69">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3.7.3 </w:t>
      </w:r>
      <w:r>
        <w:rPr>
          <w:rFonts w:hint="eastAsia"/>
          <w:color w:val="000000" w:themeColor="text1"/>
          <w:szCs w:val="21"/>
          <w:highlight w:val="none"/>
          <w14:textFill>
            <w14:solidFill>
              <w14:schemeClr w14:val="tx1"/>
            </w14:solidFill>
          </w14:textFill>
        </w:rPr>
        <w:t>评标委员会不得暗示或诱导投标人作出澄清、说明，对投标人提交的澄清、说明有疑问的，可以要求投标人进一步澄清、说明，直至满足评标委员会的要求。</w:t>
      </w:r>
    </w:p>
    <w:p w14:paraId="3C2E47E4">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3.7.4 </w:t>
      </w:r>
      <w:r>
        <w:rPr>
          <w:rFonts w:hint="eastAsia"/>
          <w:color w:val="000000" w:themeColor="text1"/>
          <w:szCs w:val="21"/>
          <w:highlight w:val="none"/>
          <w14:textFill>
            <w14:solidFill>
              <w14:schemeClr w14:val="tx1"/>
            </w14:solidFill>
          </w14:textFill>
        </w:rPr>
        <w:t>凡超出招标文件规定的或给发包人带来未曾要求的利益的变化、偏差或其他因素在评标时不予考虑。</w:t>
      </w:r>
    </w:p>
    <w:p w14:paraId="1D14927D">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3.8</w:t>
      </w:r>
      <w:r>
        <w:rPr>
          <w:rFonts w:ascii="Times New Roman"/>
          <w:color w:val="000000" w:themeColor="text1"/>
          <w:szCs w:val="21"/>
          <w:highlight w:val="none"/>
          <w14:textFill>
            <w14:solidFill>
              <w14:schemeClr w14:val="tx1"/>
            </w14:solidFill>
          </w14:textFill>
        </w:rPr>
        <w:tab/>
      </w:r>
      <w:r>
        <w:rPr>
          <w:rFonts w:hint="eastAsia" w:ascii="Times New Roman"/>
          <w:color w:val="000000" w:themeColor="text1"/>
          <w:szCs w:val="21"/>
          <w:highlight w:val="none"/>
          <w14:textFill>
            <w14:solidFill>
              <w14:schemeClr w14:val="tx1"/>
            </w14:solidFill>
          </w14:textFill>
        </w:rPr>
        <w:t>不得否决投标的情形</w:t>
      </w:r>
      <w:r>
        <w:rPr>
          <w:rFonts w:ascii="Times New Roman"/>
          <w:color w:val="000000" w:themeColor="text1"/>
          <w:szCs w:val="21"/>
          <w:highlight w:val="none"/>
          <w14:textFill>
            <w14:solidFill>
              <w14:schemeClr w14:val="tx1"/>
            </w14:solidFill>
          </w14:textFill>
        </w:rPr>
        <w:t xml:space="preserve"> </w:t>
      </w:r>
    </w:p>
    <w:p w14:paraId="1118452C">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投标文件存在第二章</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投标人须知</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第</w:t>
      </w:r>
      <w:r>
        <w:rPr>
          <w:color w:val="000000" w:themeColor="text1"/>
          <w:szCs w:val="21"/>
          <w:highlight w:val="none"/>
          <w14:textFill>
            <w14:solidFill>
              <w14:schemeClr w14:val="tx1"/>
            </w14:solidFill>
          </w14:textFill>
        </w:rPr>
        <w:t>1.12.3</w:t>
      </w:r>
      <w:r>
        <w:rPr>
          <w:rFonts w:hint="eastAsia"/>
          <w:color w:val="000000" w:themeColor="text1"/>
          <w:szCs w:val="21"/>
          <w:highlight w:val="none"/>
          <w14:textFill>
            <w14:solidFill>
              <w14:schemeClr w14:val="tx1"/>
            </w14:solidFill>
          </w14:textFill>
        </w:rPr>
        <w:t>项所列情形的，均视为细微偏差，评标委员会不得否决投标人的投标，应按照第二章</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投标人须知</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第</w:t>
      </w:r>
      <w:r>
        <w:rPr>
          <w:color w:val="000000" w:themeColor="text1"/>
          <w:szCs w:val="21"/>
          <w:highlight w:val="none"/>
          <w14:textFill>
            <w14:solidFill>
              <w14:schemeClr w14:val="tx1"/>
            </w14:solidFill>
          </w14:textFill>
        </w:rPr>
        <w:t>1.12.4</w:t>
      </w:r>
      <w:r>
        <w:rPr>
          <w:rFonts w:hint="eastAsia"/>
          <w:color w:val="000000" w:themeColor="text1"/>
          <w:szCs w:val="21"/>
          <w:highlight w:val="none"/>
          <w14:textFill>
            <w14:solidFill>
              <w14:schemeClr w14:val="tx1"/>
            </w14:solidFill>
          </w14:textFill>
        </w:rPr>
        <w:t>项规定的原则处理。</w:t>
      </w:r>
    </w:p>
    <w:p w14:paraId="380ACCFB">
      <w:pPr>
        <w:pStyle w:val="34"/>
        <w:spacing w:line="360" w:lineRule="auto"/>
        <w:ind w:firstLine="420"/>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3.9 </w:t>
      </w:r>
      <w:r>
        <w:rPr>
          <w:rFonts w:hint="eastAsia" w:ascii="Times New Roman"/>
          <w:color w:val="000000" w:themeColor="text1"/>
          <w:szCs w:val="21"/>
          <w:highlight w:val="none"/>
          <w14:textFill>
            <w14:solidFill>
              <w14:schemeClr w14:val="tx1"/>
            </w14:solidFill>
          </w14:textFill>
        </w:rPr>
        <w:t>评标结果</w:t>
      </w:r>
    </w:p>
    <w:p w14:paraId="3085B8E6">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3.9.1 </w:t>
      </w:r>
      <w:r>
        <w:rPr>
          <w:rFonts w:hint="eastAsia"/>
          <w:color w:val="000000" w:themeColor="text1"/>
          <w:szCs w:val="21"/>
          <w:highlight w:val="none"/>
          <w14:textFill>
            <w14:solidFill>
              <w14:schemeClr w14:val="tx1"/>
            </w14:solidFill>
          </w14:textFill>
        </w:rPr>
        <w:t>除第二章</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投标人须知</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前附表授权直接确定中标人外，评标委员会按照综合得分由高到低的顺序推荐中标候选人。</w:t>
      </w:r>
    </w:p>
    <w:p w14:paraId="03DF7FC2">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3.9.2 </w:t>
      </w:r>
      <w:r>
        <w:rPr>
          <w:rFonts w:hint="eastAsia"/>
          <w:color w:val="000000" w:themeColor="text1"/>
          <w:szCs w:val="21"/>
          <w:highlight w:val="none"/>
          <w14:textFill>
            <w14:solidFill>
              <w14:schemeClr w14:val="tx1"/>
            </w14:solidFill>
          </w14:textFill>
        </w:rPr>
        <w:t>评标委员会完成评标后，应向招标人提交书面评标报告。</w:t>
      </w:r>
    </w:p>
    <w:p w14:paraId="27DCF97C">
      <w:pPr>
        <w:spacing w:line="360" w:lineRule="auto"/>
        <w:ind w:firstLine="420" w:firstLineChars="200"/>
        <w:rPr>
          <w:color w:val="000000" w:themeColor="text1"/>
          <w:szCs w:val="21"/>
          <w:highlight w:val="none"/>
          <w14:textFill>
            <w14:solidFill>
              <w14:schemeClr w14:val="tx1"/>
            </w14:solidFill>
          </w14:textFill>
        </w:rPr>
      </w:pPr>
    </w:p>
    <w:p w14:paraId="7583EFFD">
      <w:pPr>
        <w:spacing w:line="360" w:lineRule="auto"/>
        <w:rPr>
          <w:color w:val="000000" w:themeColor="text1"/>
          <w:highlight w:val="none"/>
          <w14:textFill>
            <w14:solidFill>
              <w14:schemeClr w14:val="tx1"/>
            </w14:solidFill>
          </w14:textFill>
        </w:rPr>
      </w:pPr>
    </w:p>
    <w:p w14:paraId="00EDE404">
      <w:pPr>
        <w:spacing w:line="360" w:lineRule="auto"/>
        <w:ind w:firstLine="420" w:firstLineChars="200"/>
        <w:rPr>
          <w:color w:val="000000" w:themeColor="text1"/>
          <w:szCs w:val="21"/>
          <w:highlight w:val="none"/>
          <w14:textFill>
            <w14:solidFill>
              <w14:schemeClr w14:val="tx1"/>
            </w14:solidFill>
          </w14:textFill>
        </w:rPr>
      </w:pPr>
    </w:p>
    <w:p w14:paraId="42A1B518">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br w:type="page"/>
      </w:r>
    </w:p>
    <w:p w14:paraId="2AAEDA09">
      <w:pPr>
        <w:pStyle w:val="36"/>
        <w:spacing w:before="260" w:after="260" w:line="500" w:lineRule="exact"/>
        <w:jc w:val="center"/>
        <w:rPr>
          <w:rFonts w:ascii="宋体" w:hAnsi="宋体" w:cs="宋体"/>
          <w:color w:val="000000" w:themeColor="text1"/>
          <w:sz w:val="48"/>
          <w:szCs w:val="48"/>
          <w:highlight w:val="none"/>
          <w14:textFill>
            <w14:solidFill>
              <w14:schemeClr w14:val="tx1"/>
            </w14:solidFill>
          </w14:textFill>
        </w:rPr>
      </w:pPr>
      <w:bookmarkStart w:id="976" w:name="_Toc9408"/>
      <w:bookmarkStart w:id="977" w:name="_Toc3968"/>
      <w:bookmarkStart w:id="978" w:name="_Toc28828"/>
      <w:bookmarkStart w:id="979" w:name="_Toc8036"/>
      <w:bookmarkStart w:id="980" w:name="_Toc24458"/>
      <w:bookmarkStart w:id="981" w:name="_Toc120624193"/>
      <w:bookmarkStart w:id="982" w:name="_Toc98785281"/>
      <w:bookmarkStart w:id="983" w:name="_Toc20975"/>
      <w:bookmarkStart w:id="984" w:name="_Toc4166"/>
      <w:bookmarkStart w:id="985" w:name="_Toc15842"/>
      <w:bookmarkStart w:id="986" w:name="_Toc29546"/>
      <w:bookmarkStart w:id="987" w:name="_Toc32465"/>
      <w:bookmarkStart w:id="988" w:name="_Toc7700"/>
      <w:bookmarkStart w:id="989" w:name="_Toc4472"/>
      <w:bookmarkStart w:id="990" w:name="_Toc18182"/>
      <w:bookmarkStart w:id="991" w:name="_Toc119585503"/>
      <w:bookmarkStart w:id="992" w:name="_Toc118195810"/>
      <w:bookmarkStart w:id="993" w:name="_Toc22356"/>
      <w:bookmarkStart w:id="994" w:name="_Toc24200"/>
      <w:bookmarkStart w:id="995" w:name="_Toc25303"/>
      <w:r>
        <w:rPr>
          <w:rFonts w:hint="eastAsia" w:ascii="宋体" w:hAnsi="宋体" w:cs="宋体"/>
          <w:color w:val="000000" w:themeColor="text1"/>
          <w:sz w:val="48"/>
          <w:szCs w:val="48"/>
          <w:highlight w:val="none"/>
          <w14:textFill>
            <w14:solidFill>
              <w14:schemeClr w14:val="tx1"/>
            </w14:solidFill>
          </w14:textFill>
        </w:rPr>
        <w:t>第四章 合同条款及格式</w:t>
      </w:r>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p w14:paraId="5831AFD4">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6945248A">
      <w:pPr>
        <w:pStyle w:val="3"/>
        <w:ind w:firstLine="420"/>
        <w:jc w:val="center"/>
        <w:rPr>
          <w:color w:val="000000" w:themeColor="text1"/>
          <w:highlight w:val="none"/>
          <w14:textFill>
            <w14:solidFill>
              <w14:schemeClr w14:val="tx1"/>
            </w14:solidFill>
          </w14:textFill>
        </w:rPr>
      </w:pPr>
      <w:bookmarkStart w:id="996" w:name="_Toc253"/>
      <w:bookmarkStart w:id="997" w:name="_Toc26058"/>
      <w:bookmarkStart w:id="998" w:name="_Toc28207"/>
      <w:bookmarkStart w:id="999" w:name="_Toc152045610"/>
      <w:bookmarkStart w:id="1000" w:name="_Toc12493"/>
      <w:bookmarkStart w:id="1001" w:name="_Toc17611"/>
      <w:bookmarkStart w:id="1002" w:name="_Toc5275"/>
      <w:bookmarkStart w:id="1003" w:name="_Toc4771"/>
      <w:bookmarkStart w:id="1004" w:name="_Toc166596035"/>
      <w:bookmarkStart w:id="1005" w:name="_Toc2538"/>
      <w:bookmarkStart w:id="1006" w:name="_Toc1497"/>
      <w:bookmarkStart w:id="1007" w:name="_Toc25120"/>
      <w:bookmarkStart w:id="1008" w:name="_Toc118195811"/>
      <w:bookmarkStart w:id="1009" w:name="_Toc1947"/>
      <w:bookmarkStart w:id="1010" w:name="_Toc144974578"/>
      <w:bookmarkStart w:id="1011" w:name="_Toc345"/>
      <w:bookmarkStart w:id="1012" w:name="_Toc27158"/>
      <w:bookmarkStart w:id="1013" w:name="_Toc12461"/>
      <w:bookmarkStart w:id="1014" w:name="_Toc179632628"/>
      <w:bookmarkStart w:id="1015" w:name="_Toc21783"/>
      <w:bookmarkStart w:id="1016" w:name="_Toc11421"/>
      <w:bookmarkStart w:id="1017" w:name="_Toc30404"/>
      <w:bookmarkStart w:id="1018" w:name="_Toc120624194"/>
      <w:bookmarkStart w:id="1019" w:name="_Toc10749"/>
      <w:bookmarkStart w:id="1020" w:name="_Toc152042388"/>
      <w:bookmarkStart w:id="1021" w:name="_Toc18424"/>
      <w:bookmarkStart w:id="1022" w:name="_Toc119585504"/>
      <w:bookmarkStart w:id="1023" w:name="_Toc26962"/>
      <w:bookmarkStart w:id="1024" w:name="_Toc98785282"/>
      <w:r>
        <w:rPr>
          <w:rFonts w:hint="eastAsia" w:ascii="宋体" w:hAnsi="宋体" w:cs="宋体"/>
          <w:color w:val="000000" w:themeColor="text1"/>
          <w:sz w:val="28"/>
          <w:highlight w:val="none"/>
          <w14:textFill>
            <w14:solidFill>
              <w14:schemeClr w14:val="tx1"/>
            </w14:solidFill>
          </w14:textFill>
        </w:rPr>
        <w:t>第一节 通用合同条款</w:t>
      </w:r>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p>
    <w:p w14:paraId="1F1D8941">
      <w:pPr>
        <w:spacing w:line="46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“通用合同条款”采用《标准施工招标文件》第四章第一节“通用合同条款”。</w:t>
      </w:r>
    </w:p>
    <w:p w14:paraId="48087772">
      <w:pPr>
        <w:spacing w:line="460" w:lineRule="exact"/>
        <w:ind w:firstLine="560"/>
        <w:jc w:val="center"/>
        <w:rPr>
          <w:rFonts w:ascii="宋体" w:hAnsi="宋体" w:cs="宋体"/>
          <w:color w:val="000000" w:themeColor="text1"/>
          <w:sz w:val="28"/>
          <w:highlight w:val="none"/>
          <w14:textFill>
            <w14:solidFill>
              <w14:schemeClr w14:val="tx1"/>
            </w14:solidFill>
          </w14:textFill>
        </w:rPr>
      </w:pPr>
      <w:bookmarkStart w:id="1025" w:name="_Toc179632784"/>
      <w:bookmarkStart w:id="1026" w:name="_Toc144974736"/>
      <w:bookmarkStart w:id="1027" w:name="_Toc98785283"/>
      <w:bookmarkStart w:id="1028" w:name="_Toc22956"/>
      <w:bookmarkStart w:id="1029" w:name="_Toc20327"/>
      <w:bookmarkStart w:id="1030" w:name="_Toc26483"/>
      <w:bookmarkStart w:id="1031" w:name="_Toc152045766"/>
      <w:bookmarkStart w:id="1032" w:name="_Toc152042545"/>
      <w:bookmarkStart w:id="1033" w:name="_Toc24678"/>
      <w:bookmarkStart w:id="1034" w:name="_Toc119585505"/>
      <w:bookmarkStart w:id="1035" w:name="_Toc6790"/>
      <w:bookmarkStart w:id="1036" w:name="_Toc28217"/>
      <w:bookmarkStart w:id="1037" w:name="_Toc2763"/>
      <w:bookmarkStart w:id="1038" w:name="_Toc1965"/>
      <w:bookmarkStart w:id="1039" w:name="_Toc8334"/>
      <w:bookmarkStart w:id="1040" w:name="_Toc31935"/>
      <w:bookmarkStart w:id="1041" w:name="_Toc120624195"/>
      <w:bookmarkStart w:id="1042" w:name="_Toc3765"/>
      <w:bookmarkStart w:id="1043" w:name="_Toc118195812"/>
      <w:bookmarkStart w:id="1044" w:name="_Toc98785284"/>
      <w:bookmarkStart w:id="1045" w:name="_Toc4883"/>
      <w:bookmarkStart w:id="1046" w:name="_Toc20002"/>
      <w:bookmarkStart w:id="1047" w:name="_Toc21729"/>
      <w:bookmarkStart w:id="1048" w:name="_Toc16138"/>
      <w:bookmarkStart w:id="1049" w:name="_Toc17826"/>
      <w:bookmarkStart w:id="1050" w:name="_Toc2789"/>
    </w:p>
    <w:p w14:paraId="429C0D3D">
      <w:pPr>
        <w:pStyle w:val="4"/>
        <w:spacing w:line="460" w:lineRule="exact"/>
        <w:jc w:val="center"/>
        <w:rPr>
          <w:rFonts w:ascii="宋体" w:hAnsi="宋体" w:cs="宋体"/>
          <w:color w:val="000000" w:themeColor="text1"/>
          <w:sz w:val="28"/>
          <w:highlight w:val="none"/>
          <w14:textFill>
            <w14:solidFill>
              <w14:schemeClr w14:val="tx1"/>
            </w14:solidFill>
          </w14:textFill>
        </w:rPr>
      </w:pPr>
      <w:bookmarkStart w:id="1051" w:name="_Toc2722"/>
      <w:bookmarkStart w:id="1052" w:name="_Toc10609"/>
      <w:bookmarkStart w:id="1053" w:name="_Toc14457"/>
      <w:bookmarkStart w:id="1054" w:name="_Toc11095"/>
      <w:bookmarkStart w:id="1055" w:name="_Toc10793"/>
      <w:bookmarkStart w:id="1056" w:name="_Toc28354"/>
      <w:bookmarkStart w:id="1057" w:name="_Toc166596036"/>
      <w:r>
        <w:rPr>
          <w:rFonts w:hint="eastAsia" w:ascii="宋体" w:hAnsi="宋体" w:cs="宋体"/>
          <w:color w:val="000000" w:themeColor="text1"/>
          <w:sz w:val="28"/>
          <w:highlight w:val="none"/>
          <w14:textFill>
            <w14:solidFill>
              <w14:schemeClr w14:val="tx1"/>
            </w14:solidFill>
          </w14:textFill>
        </w:rPr>
        <w:t>第二节 专用合同条款</w:t>
      </w:r>
      <w:bookmarkEnd w:id="1025"/>
      <w:bookmarkEnd w:id="1026"/>
      <w:bookmarkEnd w:id="1027"/>
      <w:bookmarkEnd w:id="1028"/>
      <w:bookmarkEnd w:id="1029"/>
      <w:bookmarkEnd w:id="1030"/>
      <w:bookmarkEnd w:id="1031"/>
      <w:bookmarkEnd w:id="1032"/>
      <w:bookmarkEnd w:id="1051"/>
      <w:bookmarkEnd w:id="1052"/>
      <w:bookmarkEnd w:id="1053"/>
      <w:bookmarkEnd w:id="1054"/>
      <w:bookmarkEnd w:id="1055"/>
      <w:bookmarkEnd w:id="1056"/>
      <w:bookmarkEnd w:id="1057"/>
    </w:p>
    <w:p w14:paraId="3A74173D">
      <w:pPr>
        <w:pStyle w:val="4"/>
        <w:spacing w:line="460" w:lineRule="exact"/>
        <w:jc w:val="center"/>
        <w:rPr>
          <w:rFonts w:ascii="宋体" w:hAnsi="宋体" w:cs="宋体"/>
          <w:color w:val="000000" w:themeColor="text1"/>
          <w:sz w:val="28"/>
          <w:highlight w:val="none"/>
          <w14:textFill>
            <w14:solidFill>
              <w14:schemeClr w14:val="tx1"/>
            </w14:solidFill>
          </w14:textFill>
        </w:rPr>
      </w:pPr>
      <w:bookmarkStart w:id="1058" w:name="_Toc23060"/>
      <w:bookmarkStart w:id="1059" w:name="_Toc23829"/>
      <w:bookmarkStart w:id="1060" w:name="_Toc10200"/>
      <w:bookmarkStart w:id="1061" w:name="_Toc16792"/>
      <w:bookmarkStart w:id="1062" w:name="_Toc11337"/>
      <w:bookmarkStart w:id="1063" w:name="_Toc166596037"/>
      <w:bookmarkStart w:id="1064" w:name="_Toc23142"/>
      <w:r>
        <w:rPr>
          <w:rFonts w:ascii="宋体" w:hAnsi="宋体" w:cs="宋体"/>
          <w:color w:val="000000" w:themeColor="text1"/>
          <w:sz w:val="28"/>
          <w:highlight w:val="none"/>
          <w14:textFill>
            <w14:solidFill>
              <w14:schemeClr w14:val="tx1"/>
            </w14:solidFill>
          </w14:textFill>
        </w:rPr>
        <w:t>A．公路工程专用合同条款</w:t>
      </w:r>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8"/>
      <w:bookmarkEnd w:id="1059"/>
      <w:bookmarkEnd w:id="1060"/>
      <w:bookmarkEnd w:id="1061"/>
      <w:bookmarkEnd w:id="1062"/>
      <w:bookmarkEnd w:id="1063"/>
      <w:bookmarkEnd w:id="1064"/>
    </w:p>
    <w:p w14:paraId="49D6199F">
      <w:pPr>
        <w:spacing w:line="46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“A. 公路工程专用合同条款”采用《公路工程标准施工招标文件》（2018年版）第四章第二节“A. 公路工程专用合同条款”。</w:t>
      </w:r>
    </w:p>
    <w:p w14:paraId="23FDA244">
      <w:pPr>
        <w:pStyle w:val="4"/>
        <w:widowControl/>
        <w:spacing w:line="460" w:lineRule="exact"/>
        <w:jc w:val="center"/>
        <w:rPr>
          <w:rFonts w:ascii="宋体" w:hAnsi="宋体" w:cs="宋体"/>
          <w:color w:val="000000" w:themeColor="text1"/>
          <w:sz w:val="28"/>
          <w:highlight w:val="none"/>
          <w14:textFill>
            <w14:solidFill>
              <w14:schemeClr w14:val="tx1"/>
            </w14:solidFill>
          </w14:textFill>
        </w:rPr>
      </w:pPr>
      <w:r>
        <w:rPr>
          <w:rFonts w:ascii="宋体" w:hAnsi="宋体" w:cs="宋体"/>
          <w:b w:val="0"/>
          <w:bCs w:val="0"/>
          <w:color w:val="000000" w:themeColor="text1"/>
          <w:sz w:val="28"/>
          <w:highlight w:val="none"/>
          <w14:textFill>
            <w14:solidFill>
              <w14:schemeClr w14:val="tx1"/>
            </w14:solidFill>
          </w14:textFill>
        </w:rPr>
        <w:br w:type="page"/>
      </w:r>
      <w:bookmarkStart w:id="1065" w:name="_Toc21513"/>
      <w:bookmarkStart w:id="1066" w:name="_Toc22849"/>
      <w:bookmarkStart w:id="1067" w:name="_Toc166596038"/>
      <w:bookmarkStart w:id="1068" w:name="_Toc4694"/>
      <w:bookmarkStart w:id="1069" w:name="_Toc14047"/>
      <w:bookmarkStart w:id="1070" w:name="_Toc20405"/>
      <w:bookmarkStart w:id="1071" w:name="_Toc17913"/>
      <w:bookmarkStart w:id="1072" w:name="_Toc13326"/>
      <w:bookmarkStart w:id="1073" w:name="_Toc27514"/>
      <w:bookmarkStart w:id="1074" w:name="_Toc26357"/>
      <w:bookmarkStart w:id="1075" w:name="_Toc98785285"/>
      <w:bookmarkStart w:id="1076" w:name="_Toc6696"/>
      <w:bookmarkStart w:id="1077" w:name="_Toc15865"/>
      <w:bookmarkStart w:id="1078" w:name="_Toc119585506"/>
      <w:bookmarkStart w:id="1079" w:name="_Toc120624196"/>
      <w:bookmarkStart w:id="1080" w:name="_Toc30194"/>
      <w:bookmarkStart w:id="1081" w:name="_Toc1128"/>
      <w:bookmarkStart w:id="1082" w:name="_Toc2985"/>
      <w:bookmarkStart w:id="1083" w:name="_Toc18497"/>
      <w:bookmarkStart w:id="1084" w:name="_Toc118195813"/>
      <w:bookmarkStart w:id="1085" w:name="_Toc5690"/>
      <w:bookmarkStart w:id="1086" w:name="_Toc6192"/>
      <w:bookmarkStart w:id="1087" w:name="_Toc30790"/>
      <w:bookmarkStart w:id="1088" w:name="_Toc21540"/>
      <w:r>
        <w:rPr>
          <w:rFonts w:ascii="宋体" w:hAnsi="宋体" w:cs="宋体"/>
          <w:color w:val="000000" w:themeColor="text1"/>
          <w:sz w:val="28"/>
          <w:highlight w:val="none"/>
          <w14:textFill>
            <w14:solidFill>
              <w14:schemeClr w14:val="tx1"/>
            </w14:solidFill>
          </w14:textFill>
        </w:rPr>
        <w:t>B．项目专用合同条款</w:t>
      </w:r>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p>
    <w:p w14:paraId="5C64F489">
      <w:pPr>
        <w:tabs>
          <w:tab w:val="left" w:pos="279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w:t>
      </w:r>
      <w:r>
        <w:rPr>
          <w:rStyle w:val="38"/>
          <w:rFonts w:ascii="宋体" w:hAnsi="宋体" w:cs="宋体"/>
          <w:color w:val="000000" w:themeColor="text1"/>
          <w:szCs w:val="21"/>
          <w:highlight w:val="none"/>
          <w:vertAlign w:val="superscript"/>
          <w14:textFill>
            <w14:solidFill>
              <w14:schemeClr w14:val="tx1"/>
            </w14:solidFill>
          </w14:textFill>
        </w:rPr>
        <w:footnoteReference w:id="9"/>
      </w:r>
    </w:p>
    <w:p w14:paraId="1542CF49">
      <w:pPr>
        <w:tabs>
          <w:tab w:val="left" w:pos="279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招标人在根据《标准施工招标文件》、《公路工程标准施工招标文件》编制项目施工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不同内容，不得违反法律、行政法规的强制性规定和平等、自愿、公平和诚实信用原则。</w:t>
      </w:r>
    </w:p>
    <w:p w14:paraId="55AAFF5B">
      <w:pPr>
        <w:tabs>
          <w:tab w:val="left" w:pos="279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2.项目专用合同条款的序号应与通用合同条款和公路工程专用合同条款一致。</w:t>
      </w:r>
    </w:p>
    <w:p w14:paraId="6CB8688D">
      <w:pPr>
        <w:tabs>
          <w:tab w:val="left" w:pos="279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3.项目专用合同条款可对下列内容进行补充和细化：</w:t>
      </w:r>
    </w:p>
    <w:p w14:paraId="17392DEC">
      <w:pPr>
        <w:tabs>
          <w:tab w:val="left" w:pos="279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通用合同条款”中明确指出“专用合同条款”可对“通用合同条款”进行补充和细化的内容(在“通用合同条款”中用“应按合同约定”、“应按专用合同条款约定”“除合同另有约定外”、“除专用合同条款另有约定外”、“在专用合同条款中约定”等多种文字形式表达)；</w:t>
      </w:r>
    </w:p>
    <w:p w14:paraId="4A587240">
      <w:pPr>
        <w:tabs>
          <w:tab w:val="left" w:pos="279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公路工程专用合同条款”中明确指出“项目专用合同条款”可对“公路工程专用合同条款”进行补充和细化的内容(在“公路工程专用合同条款”中用“除项目专用合同条款另有约定外”，“项目专用合同条款可能约定的”，“项目专用合同条款约定的其他情形”等多种文字形式表达)；</w:t>
      </w:r>
    </w:p>
    <w:p w14:paraId="3CD28905">
      <w:pPr>
        <w:tabs>
          <w:tab w:val="left" w:pos="279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(3)其他需要补充、细化的内容。</w:t>
      </w:r>
    </w:p>
    <w:p w14:paraId="0D1F9504">
      <w:pPr>
        <w:keepNext/>
        <w:keepLines/>
        <w:spacing w:before="60" w:after="60" w:line="360" w:lineRule="auto"/>
        <w:ind w:firstLine="420" w:firstLineChars="200"/>
        <w:jc w:val="center"/>
        <w:outlineLvl w:val="3"/>
        <w:rPr>
          <w:rFonts w:ascii="宋体" w:hAnsi="宋体" w:cs="宋体"/>
          <w:b/>
          <w:bCs/>
          <w:color w:val="000000" w:themeColor="text1"/>
          <w:sz w:val="28"/>
          <w:szCs w:val="32"/>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bookmarkStart w:id="1089" w:name="_Toc20420"/>
      <w:bookmarkStart w:id="1090" w:name="_Toc17348"/>
      <w:bookmarkStart w:id="1091" w:name="_Toc4049"/>
      <w:bookmarkStart w:id="1092" w:name="_Toc12904"/>
      <w:bookmarkStart w:id="1093" w:name="_Toc11873"/>
      <w:bookmarkStart w:id="1094" w:name="_Toc98785286"/>
      <w:bookmarkStart w:id="1095" w:name="_Toc6084"/>
      <w:bookmarkStart w:id="1096" w:name="_Toc28729"/>
      <w:bookmarkStart w:id="1097" w:name="_Toc12599"/>
      <w:bookmarkStart w:id="1098" w:name="_Toc120624197"/>
      <w:bookmarkStart w:id="1099" w:name="_Toc22720"/>
      <w:bookmarkStart w:id="1100" w:name="_Toc12625"/>
      <w:bookmarkStart w:id="1101" w:name="_Toc820"/>
      <w:bookmarkStart w:id="1102" w:name="_Toc118195814"/>
      <w:bookmarkStart w:id="1103" w:name="_Toc119585507"/>
      <w:bookmarkStart w:id="1104" w:name="_Toc10436"/>
      <w:bookmarkStart w:id="1105" w:name="_Toc13806"/>
      <w:bookmarkStart w:id="1106" w:name="_Toc6460"/>
      <w:bookmarkStart w:id="1107" w:name="_Toc166596039"/>
      <w:bookmarkStart w:id="1108" w:name="_Toc4241"/>
      <w:bookmarkStart w:id="1109" w:name="_Toc3031"/>
      <w:bookmarkStart w:id="1110" w:name="_Toc25472"/>
      <w:bookmarkStart w:id="1111" w:name="_Toc13471"/>
      <w:bookmarkStart w:id="1112" w:name="_Toc22859"/>
      <w:r>
        <w:rPr>
          <w:rFonts w:hint="eastAsia" w:ascii="宋体" w:hAnsi="宋体" w:cs="宋体"/>
          <w:b/>
          <w:bCs/>
          <w:color w:val="000000" w:themeColor="text1"/>
          <w:sz w:val="28"/>
          <w:szCs w:val="32"/>
          <w:highlight w:val="none"/>
          <w14:textFill>
            <w14:solidFill>
              <w14:schemeClr w14:val="tx1"/>
            </w14:solidFill>
          </w14:textFill>
        </w:rPr>
        <w:t>项目专用合同条款</w:t>
      </w:r>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hint="eastAsia" w:ascii="宋体" w:hAnsi="宋体" w:cs="宋体"/>
          <w:b/>
          <w:bCs/>
          <w:color w:val="000000" w:themeColor="text1"/>
          <w:sz w:val="28"/>
          <w:szCs w:val="32"/>
          <w:highlight w:val="none"/>
          <w14:textFill>
            <w14:solidFill>
              <w14:schemeClr w14:val="tx1"/>
            </w14:solidFill>
          </w14:textFill>
        </w:rPr>
        <w:t>（合同协议书）</w:t>
      </w:r>
      <w:bookmarkEnd w:id="1111"/>
      <w:bookmarkEnd w:id="1112"/>
    </w:p>
    <w:p w14:paraId="17C26E76">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本合同协议书由</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(以下简称“甲方”或“发包人”)与</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(以下简称“乙方”或“承包人”)于</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日共同签署。</w:t>
      </w:r>
    </w:p>
    <w:p w14:paraId="00F44324">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甲方通过</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日的中标通知书接受了乙方为</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项目（项目名称）第</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标段所做的投标，双方达成如下条款：</w:t>
      </w:r>
    </w:p>
    <w:p w14:paraId="1844E173">
      <w:pPr>
        <w:spacing w:line="360" w:lineRule="auto"/>
        <w:ind w:firstLine="422" w:firstLineChars="200"/>
        <w:rPr>
          <w:strike/>
          <w:color w:val="000000" w:themeColor="text1"/>
          <w:szCs w:val="21"/>
          <w:highlight w:val="none"/>
          <w:u w:val="single"/>
          <w14:textFill>
            <w14:solidFill>
              <w14:schemeClr w14:val="tx1"/>
            </w14:solidFill>
          </w14:textFill>
        </w:rPr>
      </w:pPr>
      <w:r>
        <w:rPr>
          <w:rFonts w:hint="eastAsia"/>
          <w:b/>
          <w:bCs/>
          <w:color w:val="000000" w:themeColor="text1"/>
          <w:szCs w:val="21"/>
          <w:highlight w:val="none"/>
          <w14:textFill>
            <w14:solidFill>
              <w14:schemeClr w14:val="tx1"/>
            </w14:solidFill>
          </w14:textFill>
        </w:rPr>
        <w:t>一、工程概况：</w:t>
      </w:r>
      <w:bookmarkStart w:id="1113" w:name="OLE_LINK6"/>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w:t>
      </w:r>
      <w:bookmarkEnd w:id="1113"/>
    </w:p>
    <w:p w14:paraId="1BB67765">
      <w:pPr>
        <w:spacing w:line="360" w:lineRule="auto"/>
        <w:ind w:firstLine="422" w:firstLineChars="200"/>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二、乙方承担的任务：</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w:t>
      </w:r>
    </w:p>
    <w:p w14:paraId="026EB1D9">
      <w:pPr>
        <w:spacing w:line="360" w:lineRule="auto"/>
        <w:ind w:firstLine="422" w:firstLineChars="200"/>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三、下列文件应作为本合同的组成部分：</w:t>
      </w:r>
    </w:p>
    <w:p w14:paraId="637D6215">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组成合同的各个文件应该被认为是一个整体，互为补充和解释，如有含义不清或互相矛盾处，以所列顺序在前者为准：</w:t>
      </w:r>
    </w:p>
    <w:p w14:paraId="4157586E">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（1）合同协议书及各种合同附件（含评标期间和合同谈判过程中的澄清文件和补充资料）；</w:t>
      </w:r>
    </w:p>
    <w:p w14:paraId="2A3F96FB">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（2）中标通知书；</w:t>
      </w:r>
    </w:p>
    <w:p w14:paraId="708C4D4F">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（3）投标函；</w:t>
      </w:r>
    </w:p>
    <w:p w14:paraId="1EC62269">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（4）合同条款；</w:t>
      </w:r>
    </w:p>
    <w:p w14:paraId="2F97C184">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（5）工程量清单计量规则（含招标文件补遗书中与此有关的部分）；</w:t>
      </w:r>
    </w:p>
    <w:p w14:paraId="0A946A58">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（6）技术规范（含招标文件补遗书中与此有关的部分）；</w:t>
      </w:r>
    </w:p>
    <w:p w14:paraId="33CD0431">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）图纸（含招标文件补遗书中与此有关的部分）；</w:t>
      </w:r>
    </w:p>
    <w:p w14:paraId="61FFD512">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8</w:t>
      </w:r>
      <w:r>
        <w:rPr>
          <w:rFonts w:hint="eastAsia"/>
          <w:color w:val="000000" w:themeColor="text1"/>
          <w:szCs w:val="21"/>
          <w:highlight w:val="none"/>
          <w14:textFill>
            <w14:solidFill>
              <w14:schemeClr w14:val="tx1"/>
            </w14:solidFill>
          </w14:textFill>
        </w:rPr>
        <w:t>）已标价工程量清单；</w:t>
      </w:r>
    </w:p>
    <w:p w14:paraId="7BC5F97B">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9</w:t>
      </w:r>
      <w:r>
        <w:rPr>
          <w:rFonts w:hint="eastAsia"/>
          <w:color w:val="000000" w:themeColor="text1"/>
          <w:szCs w:val="21"/>
          <w:highlight w:val="none"/>
          <w14:textFill>
            <w14:solidFill>
              <w14:schemeClr w14:val="tx1"/>
            </w14:solidFill>
          </w14:textFill>
        </w:rPr>
        <w:t>）承包人有关人员、设备投入的承诺及投标文件中的施工组织设计；</w:t>
      </w:r>
    </w:p>
    <w:p w14:paraId="719A779A">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10</w:t>
      </w:r>
      <w:r>
        <w:rPr>
          <w:rFonts w:hint="eastAsia"/>
          <w:color w:val="000000" w:themeColor="text1"/>
          <w:szCs w:val="21"/>
          <w:highlight w:val="none"/>
          <w14:textFill>
            <w14:solidFill>
              <w14:schemeClr w14:val="tx1"/>
            </w14:solidFill>
          </w14:textFill>
        </w:rPr>
        <w:t>）其他合同文件。</w:t>
      </w:r>
    </w:p>
    <w:p w14:paraId="312A68BB">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上述文件应认为是互为补充和解释的，但如有含义不清或互相矛盾处，以上面所列顺序在前者为准。</w:t>
      </w:r>
    </w:p>
    <w:p w14:paraId="563FD62E">
      <w:pPr>
        <w:spacing w:line="360" w:lineRule="auto"/>
        <w:ind w:firstLine="422" w:firstLineChars="200"/>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四、发包人的义务</w:t>
      </w:r>
    </w:p>
    <w:p w14:paraId="2966AE17">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1.发包人在履行合同过程中应遵守法律，并保证承包人免于承担因发包人违反法律而引起的任何责任。</w:t>
      </w:r>
      <w:bookmarkStart w:id="1114" w:name="_Toc179632644"/>
      <w:bookmarkStart w:id="1115" w:name="_Toc152042404"/>
      <w:bookmarkStart w:id="1116" w:name="_Toc11427"/>
      <w:bookmarkStart w:id="1117" w:name="_Toc247643362"/>
      <w:bookmarkStart w:id="1118" w:name="_Toc144974594"/>
      <w:bookmarkStart w:id="1119" w:name="_Toc24615"/>
      <w:bookmarkStart w:id="1120" w:name="_Toc28208"/>
      <w:bookmarkStart w:id="1121" w:name="_Toc390212437"/>
      <w:bookmarkStart w:id="1122" w:name="_Toc152045626"/>
    </w:p>
    <w:p w14:paraId="147FB90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bookmarkEnd w:id="1114"/>
      <w:bookmarkEnd w:id="1115"/>
      <w:bookmarkEnd w:id="1116"/>
      <w:bookmarkEnd w:id="1117"/>
      <w:bookmarkEnd w:id="1118"/>
      <w:bookmarkEnd w:id="1119"/>
      <w:bookmarkEnd w:id="1120"/>
      <w:bookmarkEnd w:id="1121"/>
      <w:bookmarkEnd w:id="1122"/>
      <w:r>
        <w:rPr>
          <w:rFonts w:hint="eastAsia"/>
          <w:color w:val="000000" w:themeColor="text1"/>
          <w:szCs w:val="21"/>
          <w:highlight w:val="none"/>
          <w14:textFill>
            <w14:solidFill>
              <w14:schemeClr w14:val="tx1"/>
            </w14:solidFill>
          </w14:textFill>
        </w:rPr>
        <w:t>发包人应委托监理人按约定，</w:t>
      </w:r>
      <w:r>
        <w:rPr>
          <w:rFonts w:hint="eastAsia" w:ascii="宋体" w:hAnsi="宋体"/>
          <w:color w:val="000000" w:themeColor="text1"/>
          <w:highlight w:val="none"/>
          <w14:textFill>
            <w14:solidFill>
              <w14:schemeClr w14:val="tx1"/>
            </w14:solidFill>
          </w14:textFill>
        </w:rPr>
        <w:t>在开工日期7天前向承包人发出开工通知</w:t>
      </w:r>
      <w:r>
        <w:rPr>
          <w:rFonts w:hint="eastAsia"/>
          <w:color w:val="000000" w:themeColor="text1"/>
          <w:szCs w:val="21"/>
          <w:highlight w:val="none"/>
          <w14:textFill>
            <w14:solidFill>
              <w14:schemeClr w14:val="tx1"/>
            </w14:solidFill>
          </w14:textFill>
        </w:rPr>
        <w:t>。</w:t>
      </w:r>
      <w:bookmarkStart w:id="1123" w:name="_Toc144974595"/>
      <w:bookmarkStart w:id="1124" w:name="_Toc179632645"/>
      <w:bookmarkStart w:id="1125" w:name="_Toc22722"/>
      <w:bookmarkStart w:id="1126" w:name="_Toc152045627"/>
      <w:bookmarkStart w:id="1127" w:name="_Toc17521"/>
      <w:bookmarkStart w:id="1128" w:name="_Toc23009"/>
      <w:bookmarkStart w:id="1129" w:name="_Toc152042405"/>
      <w:bookmarkStart w:id="1130" w:name="_Toc390212438"/>
      <w:bookmarkStart w:id="1131" w:name="_Toc247643363"/>
      <w:r>
        <w:rPr>
          <w:rFonts w:hint="eastAsia" w:ascii="宋体" w:hAnsi="宋体"/>
          <w:color w:val="000000" w:themeColor="text1"/>
          <w:highlight w:val="none"/>
          <w14:textFill>
            <w14:solidFill>
              <w14:schemeClr w14:val="tx1"/>
            </w14:solidFill>
          </w14:textFill>
        </w:rPr>
        <w:t>工期自监理人发出的开工通知中载明的开工日期起计算。承包人应在开工日期后尽快施工。</w:t>
      </w:r>
    </w:p>
    <w:p w14:paraId="2BDFBC0D">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bookmarkEnd w:id="1123"/>
      <w:bookmarkEnd w:id="1124"/>
      <w:bookmarkEnd w:id="1125"/>
      <w:bookmarkEnd w:id="1126"/>
      <w:bookmarkEnd w:id="1127"/>
      <w:bookmarkEnd w:id="1128"/>
      <w:bookmarkEnd w:id="1129"/>
      <w:bookmarkEnd w:id="1130"/>
      <w:bookmarkEnd w:id="1131"/>
      <w:r>
        <w:rPr>
          <w:rFonts w:hint="eastAsia"/>
          <w:color w:val="000000" w:themeColor="text1"/>
          <w:szCs w:val="21"/>
          <w:highlight w:val="none"/>
          <w14:textFill>
            <w14:solidFill>
              <w14:schemeClr w14:val="tx1"/>
            </w14:solidFill>
          </w14:textFill>
        </w:rPr>
        <w:t>发包人应按合同条款约定向承包人提供施工场地，以及施工场地内地下管线和地下设施等有关资料，并保证资料的真实、准确、完整。</w:t>
      </w:r>
    </w:p>
    <w:p w14:paraId="37E6047D">
      <w:pPr>
        <w:spacing w:line="360" w:lineRule="auto"/>
        <w:ind w:firstLine="420" w:firstLineChars="200"/>
        <w:rPr>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w:t>
      </w:r>
      <w:r>
        <w:rPr>
          <w:rFonts w:hAnsi="宋体" w:cs="宋体"/>
          <w:color w:val="000000" w:themeColor="text1"/>
          <w:szCs w:val="21"/>
          <w:highlight w:val="none"/>
          <w14:textFill>
            <w14:solidFill>
              <w14:schemeClr w14:val="tx1"/>
            </w14:solidFill>
          </w14:textFill>
        </w:rPr>
        <w:t>.</w:t>
      </w:r>
      <w:r>
        <w:rPr>
          <w:rFonts w:hint="eastAsia" w:hAnsi="宋体" w:cs="宋体"/>
          <w:color w:val="000000" w:themeColor="text1"/>
          <w:szCs w:val="21"/>
          <w:highlight w:val="none"/>
          <w14:textFill>
            <w14:solidFill>
              <w14:schemeClr w14:val="tx1"/>
            </w14:solidFill>
          </w14:textFill>
        </w:rPr>
        <w:t>要求承包人提供履约保证金的，发包人应向承包人提交和履约保证金对等金额的支付担保。发包人应在签署合同协议书后</w:t>
      </w:r>
      <w:r>
        <w:rPr>
          <w:rFonts w:hAnsi="宋体" w:cs="宋体"/>
          <w:color w:val="000000" w:themeColor="text1"/>
          <w:szCs w:val="21"/>
          <w:highlight w:val="none"/>
          <w14:textFill>
            <w14:solidFill>
              <w14:schemeClr w14:val="tx1"/>
            </w14:solidFill>
          </w14:textFill>
        </w:rPr>
        <w:t>28天内，按照金额和条件对等的原则，按招标文件规定的格式或者其他经承包人事先认可的格式向承包人提交一份支付担保。支付担保的有效期同履约保证金。支付担保应在发包人付清</w:t>
      </w:r>
      <w:r>
        <w:rPr>
          <w:rFonts w:hint="eastAsia" w:hAnsi="宋体" w:cs="宋体"/>
          <w:color w:val="000000" w:themeColor="text1"/>
          <w:szCs w:val="21"/>
          <w:highlight w:val="none"/>
          <w14:textFill>
            <w14:solidFill>
              <w14:schemeClr w14:val="tx1"/>
            </w14:solidFill>
          </w14:textFill>
        </w:rPr>
        <w:t>款项</w:t>
      </w:r>
      <w:r>
        <w:rPr>
          <w:rFonts w:hAnsi="宋体" w:cs="宋体"/>
          <w:color w:val="000000" w:themeColor="text1"/>
          <w:szCs w:val="21"/>
          <w:highlight w:val="none"/>
          <w14:textFill>
            <w14:solidFill>
              <w14:schemeClr w14:val="tx1"/>
            </w14:solidFill>
          </w14:textFill>
        </w:rPr>
        <w:t>之后28天内退还给发包人，承包人不承担发包人与支付担保有关的任何利息或其他费用或收益。</w:t>
      </w:r>
    </w:p>
    <w:p w14:paraId="1A2750E7">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w:t>
      </w:r>
      <w:r>
        <w:rPr>
          <w:rFonts w:hint="eastAsia"/>
          <w:color w:val="000000" w:themeColor="text1"/>
          <w:szCs w:val="21"/>
          <w:highlight w:val="none"/>
          <w14:textFill>
            <w14:solidFill>
              <w14:schemeClr w14:val="tx1"/>
            </w14:solidFill>
          </w14:textFill>
        </w:rPr>
        <w:t>.发包人应协助承包人办理法律规定的有关施工证件和批件。</w:t>
      </w:r>
    </w:p>
    <w:p w14:paraId="6087178B">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6</w:t>
      </w:r>
      <w:r>
        <w:rPr>
          <w:rFonts w:hint="eastAsia"/>
          <w:color w:val="000000" w:themeColor="text1"/>
          <w:szCs w:val="21"/>
          <w:highlight w:val="none"/>
          <w14:textFill>
            <w14:solidFill>
              <w14:schemeClr w14:val="tx1"/>
            </w14:solidFill>
          </w14:textFill>
        </w:rPr>
        <w:t>.发包人应根据合同进度计划，组织设计单位向承包人进行设计交底。</w:t>
      </w:r>
    </w:p>
    <w:p w14:paraId="5EE4CF9A">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.发包人应按合同约定向承包人及时支付合同价款</w:t>
      </w:r>
      <w:bookmarkStart w:id="1132" w:name="_Toc152045631"/>
      <w:bookmarkStart w:id="1133" w:name="_Toc8077"/>
      <w:bookmarkStart w:id="1134" w:name="_Toc7026"/>
      <w:bookmarkStart w:id="1135" w:name="_Toc29150"/>
      <w:bookmarkStart w:id="1136" w:name="_Toc247643367"/>
      <w:bookmarkStart w:id="1137" w:name="_Toc144974599"/>
      <w:bookmarkStart w:id="1138" w:name="_Toc152042409"/>
      <w:bookmarkStart w:id="1139" w:name="_Toc390212442"/>
      <w:bookmarkStart w:id="1140" w:name="_Toc179632649"/>
      <w:r>
        <w:rPr>
          <w:rFonts w:hint="eastAsia"/>
          <w:color w:val="000000" w:themeColor="text1"/>
          <w:szCs w:val="21"/>
          <w:highlight w:val="none"/>
          <w14:textFill>
            <w14:solidFill>
              <w14:schemeClr w14:val="tx1"/>
            </w14:solidFill>
          </w14:textFill>
        </w:rPr>
        <w:t>。</w:t>
      </w:r>
    </w:p>
    <w:p w14:paraId="7D9F385A">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8</w:t>
      </w:r>
      <w:r>
        <w:rPr>
          <w:rFonts w:hint="eastAsia"/>
          <w:color w:val="000000" w:themeColor="text1"/>
          <w:szCs w:val="21"/>
          <w:highlight w:val="none"/>
          <w14:textFill>
            <w14:solidFill>
              <w14:schemeClr w14:val="tx1"/>
            </w14:solidFill>
          </w14:textFill>
        </w:rPr>
        <w:t>.</w:t>
      </w:r>
      <w:bookmarkEnd w:id="1132"/>
      <w:bookmarkEnd w:id="1133"/>
      <w:bookmarkEnd w:id="1134"/>
      <w:bookmarkEnd w:id="1135"/>
      <w:bookmarkEnd w:id="1136"/>
      <w:bookmarkEnd w:id="1137"/>
      <w:bookmarkEnd w:id="1138"/>
      <w:bookmarkEnd w:id="1139"/>
      <w:bookmarkEnd w:id="1140"/>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发包人应按合同约定及时组织验收。</w:t>
      </w:r>
    </w:p>
    <w:p w14:paraId="440B2232">
      <w:pPr>
        <w:spacing w:line="360" w:lineRule="auto"/>
        <w:ind w:firstLine="422" w:firstLineChars="200"/>
        <w:rPr>
          <w:rFonts w:hint="default" w:ascii="Times New Roman" w:hAnsi="Times New Roman" w:eastAsia="宋体" w:cs="Times New Roman"/>
          <w:b/>
          <w:bCs/>
          <w:color w:val="000000" w:themeColor="text1"/>
          <w:szCs w:val="21"/>
          <w:highlight w:val="none"/>
          <w:lang w:val="en-US"/>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五、监理人的职责和权力</w:t>
      </w:r>
    </w:p>
    <w:p w14:paraId="5EEFB986">
      <w:pPr>
        <w:spacing w:line="360" w:lineRule="auto"/>
        <w:ind w:firstLine="420" w:firstLineChars="200"/>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对</w:t>
      </w:r>
      <w:r>
        <w:rPr>
          <w:rFonts w:hint="eastAsia" w:ascii="Times New Roman" w:hAnsi="Times New Roman" w:eastAsia="宋体" w:cs="Times New Roman"/>
          <w:color w:val="000000" w:themeColor="text1"/>
          <w:szCs w:val="21"/>
          <w:highlight w:val="none"/>
          <w:lang w:val="zh-CN"/>
          <w14:textFill>
            <w14:solidFill>
              <w14:schemeClr w14:val="tx1"/>
            </w14:solidFill>
          </w14:textFill>
        </w:rPr>
        <w:t>施工全过程及缺陷责任期</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进行监理</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监理内容含</w:t>
      </w:r>
      <w:r>
        <w:rPr>
          <w:rFonts w:hint="eastAsia" w:ascii="Times New Roman" w:hAnsi="Times New Roman" w:eastAsia="宋体" w:cs="Times New Roman"/>
          <w:color w:val="000000" w:themeColor="text1"/>
          <w:szCs w:val="21"/>
          <w:highlight w:val="none"/>
          <w14:textFill>
            <w14:solidFill>
              <w14:schemeClr w14:val="tx1"/>
            </w14:solidFill>
          </w14:textFill>
        </w:rPr>
        <w:t>工程施工质量监理、进度监理、费用监理、安全监理、环境保护监理、合同、信息和其他事项管理及有关组织协调等。</w:t>
      </w:r>
    </w:p>
    <w:p w14:paraId="2B15E0BB">
      <w:pPr>
        <w:spacing w:line="360" w:lineRule="auto"/>
        <w:ind w:firstLine="422" w:firstLineChars="200"/>
        <w:rPr>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六</w:t>
      </w:r>
      <w:r>
        <w:rPr>
          <w:rFonts w:hint="eastAsia"/>
          <w:b/>
          <w:bCs/>
          <w:color w:val="000000" w:themeColor="text1"/>
          <w:szCs w:val="21"/>
          <w:highlight w:val="none"/>
          <w14:textFill>
            <w14:solidFill>
              <w14:schemeClr w14:val="tx1"/>
            </w14:solidFill>
          </w14:textFill>
        </w:rPr>
        <w:t>、承包人的义务</w:t>
      </w:r>
    </w:p>
    <w:p w14:paraId="03521801">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1.承包人在履行合同过程中应遵守法律，并保证发包人免于承担因承包人违反法律而引起的任何责任。</w:t>
      </w:r>
    </w:p>
    <w:p w14:paraId="5BA3AC03">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安全生产费用应为招标人公布的工程量清单预算的</w:t>
      </w:r>
      <w:r>
        <w:rPr>
          <w:rFonts w:hint="eastAsia" w:ascii="宋体" w:hAnsi="宋体"/>
          <w:b/>
          <w:bCs/>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安全生产费用应用于施工安全防护用具及设施的采购和更新、安全施工措施的落实、安全生产条件的改善，不得挪作他用。承包人还应执行《浙江省交通建设工程质量和安全生产管理条例》的相关规定和要求。如承包人在此基础上增加安全生产费用以满足项目施工需要，则承包人应在本项目工程量清单其他相关子目的单价或总额价中予以考虑，发包人不再另行支付。因采取合同未约定的特殊防护措施增加的费用，由监理人报发包人商定或确定。安全生产费的使用和支付按省交通运输厅关于印发《浙江省交通建设工程安全生产费用管理办法》通知（浙交〔2021〕12号）的相关要求以及相关最新规定办理。承包人并应按有关法律规定纳税，应缴纳的税金包括在合同价格内。</w:t>
      </w:r>
    </w:p>
    <w:p w14:paraId="375CB02D">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承包人应按合同约定以及监理人的指示，实施、完成全部工程，并修补工程中的任何缺陷。除合同条款另有约定外，承包人应提供为完成合同工作所需的劳务、材料、施工设备、工程设备和其他物品，并按合同约定负责临时设施的设计、建造、运行、维护、管理和拆除。</w:t>
      </w:r>
    </w:p>
    <w:p w14:paraId="51796D23">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4.承包人应按合同约定的工作内容和施工进度要求，编制施工组织设计和施工措施计划，并对所有施工作业和施工方法的完备性和安全可靠性负责。</w:t>
      </w:r>
    </w:p>
    <w:p w14:paraId="2EA9BB7F">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临时占地由承包人向相关部门申请，办理相关手续，</w:t>
      </w:r>
      <w:r>
        <w:rPr>
          <w:rFonts w:hint="eastAsia"/>
          <w:color w:val="000000" w:themeColor="text1"/>
          <w:szCs w:val="21"/>
          <w:highlight w:val="none"/>
          <w14:textFill>
            <w14:solidFill>
              <w14:schemeClr w14:val="tx1"/>
            </w14:solidFill>
          </w14:textFill>
        </w:rPr>
        <w:t>并负责施工场地及其周边环境与生态的保护工作</w:t>
      </w:r>
      <w:r>
        <w:rPr>
          <w:rFonts w:hint="eastAsia" w:ascii="宋体" w:hAnsi="宋体"/>
          <w:color w:val="000000" w:themeColor="text1"/>
          <w:szCs w:val="21"/>
          <w:highlight w:val="none"/>
          <w14:textFill>
            <w14:solidFill>
              <w14:schemeClr w14:val="tx1"/>
            </w14:solidFill>
          </w14:textFill>
        </w:rPr>
        <w:t>。承包人按有关规定直接支付相关费用，相关费用包含投标报价中不再另行支付</w:t>
      </w:r>
      <w:r>
        <w:rPr>
          <w:rFonts w:hint="eastAsia"/>
          <w:color w:val="000000" w:themeColor="text1"/>
          <w:szCs w:val="21"/>
          <w:highlight w:val="none"/>
          <w14:textFill>
            <w14:solidFill>
              <w14:schemeClr w14:val="tx1"/>
            </w14:solidFill>
          </w14:textFill>
        </w:rPr>
        <w:t>。</w:t>
      </w:r>
    </w:p>
    <w:p w14:paraId="6FDD6701">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B3E1225">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7.承包人应严格遵守国家有关解决拖欠工程款和民工工资的法律、法规，及时支付工程中的材料、设备货款及民工工资等费用。</w:t>
      </w:r>
    </w:p>
    <w:p w14:paraId="3000380F">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8.项目审计（含跟踪审计）、稽查和检查等的配合</w:t>
      </w:r>
    </w:p>
    <w:p w14:paraId="6BDB5DA9">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a.与本工程项目相关的审计（含跟踪审计）和稽查，承包人应高度重视并委派专人积极予以配合；</w:t>
      </w:r>
    </w:p>
    <w:p w14:paraId="22832D63">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b.有关单位对本项目的各种检查等活动，承包人有义务予以积极配合开展各项工作；</w:t>
      </w:r>
    </w:p>
    <w:p w14:paraId="06FD2815">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c.本工程项目有关的各类统计报表、汇报材料包括完工验收和项目后评价报告、财务相关报表等，承包人有义务配合发包人做好编制工作并提供相应的资料；</w:t>
      </w:r>
    </w:p>
    <w:p w14:paraId="4BE6BCEC">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d.承包人应按发包人、监理人和有关文件要求，建立相应的计量、支付和变更台帐，同时承包人应配合发包人、监理人建立相应的台帐。</w:t>
      </w:r>
    </w:p>
    <w:p w14:paraId="2DF79CB9">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9.地方道路的维护和管理</w:t>
      </w:r>
    </w:p>
    <w:p w14:paraId="03124F62">
      <w:pPr>
        <w:widowControl/>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承包人在使用现有地方道路过程中，采取一切措施确保车辆正常通行，做到施工、通车两不误，方便车辆通行，同时道路维护管理考虑限制超载情况。承包人应针对通车路段的施工特点，提出通车路段的施工维护及通行计划方案，报监理人及相关部门批准，并认真组织实施。</w:t>
      </w:r>
    </w:p>
    <w:p w14:paraId="540B09F7">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未经发包人事先批准，承包人不得在任何报纸、商业或技术文献上刊登或披露任何与本合同或与本工程有关的详细资料。承包人不应在现场或施工设施上展示或允许展示任何贸易和商业性广告。在工地现场张贴布告，应事先得到监理人的批准，当监理人指示撤除时，应立即执行。</w:t>
      </w:r>
    </w:p>
    <w:p w14:paraId="08D2CAD2">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11.承包人对项目图纸具有保密义务。</w:t>
      </w:r>
    </w:p>
    <w:p w14:paraId="13F2DCA6">
      <w:pPr>
        <w:pStyle w:val="7"/>
        <w:tabs>
          <w:tab w:val="left" w:pos="2790"/>
        </w:tabs>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12.</w:t>
      </w:r>
      <w:bookmarkStart w:id="1141" w:name="OLE_LINK13"/>
      <w:r>
        <w:rPr>
          <w:rFonts w:hint="eastAsia" w:ascii="宋体" w:hAnsi="宋体"/>
          <w:b/>
          <w:bCs/>
          <w:color w:val="000000" w:themeColor="text1"/>
          <w:szCs w:val="21"/>
          <w:highlight w:val="none"/>
          <w14:textFill>
            <w14:solidFill>
              <w14:schemeClr w14:val="tx1"/>
            </w14:solidFill>
          </w14:textFill>
        </w:rPr>
        <w:t>承包人进场后，应按设计图纸要求的冠径、胸径、地径等规格采购苗木，并提供苗木的供应基地。苗木基地须报监理人现场考察确认，承包人应会同监理人、发包人对在现场选定的苗木做好标记。承包人运抵现场的苗木须报监理人验收合格后方可进场种植，不合格的作退场处理</w:t>
      </w:r>
      <w:bookmarkEnd w:id="1141"/>
      <w:r>
        <w:rPr>
          <w:rFonts w:hint="eastAsia" w:ascii="宋体" w:hAnsi="宋体"/>
          <w:b/>
          <w:bCs/>
          <w:color w:val="000000" w:themeColor="text1"/>
          <w:szCs w:val="21"/>
          <w:highlight w:val="none"/>
          <w14:textFill>
            <w14:solidFill>
              <w14:schemeClr w14:val="tx1"/>
            </w14:solidFill>
          </w14:textFill>
        </w:rPr>
        <w:t>。</w:t>
      </w:r>
    </w:p>
    <w:p w14:paraId="578EF846">
      <w:pPr>
        <w:pStyle w:val="7"/>
        <w:tabs>
          <w:tab w:val="left" w:pos="2790"/>
        </w:tabs>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13.</w:t>
      </w:r>
      <w:r>
        <w:rPr>
          <w:rFonts w:ascii="宋体" w:hAnsi="宋体"/>
          <w:b/>
          <w:bCs/>
          <w:color w:val="000000" w:themeColor="text1"/>
          <w:szCs w:val="21"/>
          <w:highlight w:val="none"/>
          <w14:textFill>
            <w14:solidFill>
              <w14:schemeClr w14:val="tx1"/>
            </w14:solidFill>
          </w14:textFill>
        </w:rPr>
        <w:t>绿化</w:t>
      </w:r>
      <w:r>
        <w:rPr>
          <w:rFonts w:hint="eastAsia" w:ascii="宋体" w:hAnsi="宋体"/>
          <w:b/>
          <w:bCs/>
          <w:color w:val="000000" w:themeColor="text1"/>
          <w:szCs w:val="21"/>
          <w:highlight w:val="none"/>
          <w14:textFill>
            <w14:solidFill>
              <w14:schemeClr w14:val="tx1"/>
            </w14:solidFill>
          </w14:textFill>
        </w:rPr>
        <w:t>苗木</w:t>
      </w:r>
      <w:r>
        <w:rPr>
          <w:rFonts w:ascii="宋体" w:hAnsi="宋体"/>
          <w:b/>
          <w:bCs/>
          <w:color w:val="000000" w:themeColor="text1"/>
          <w:szCs w:val="21"/>
          <w:highlight w:val="none"/>
          <w14:textFill>
            <w14:solidFill>
              <w14:schemeClr w14:val="tx1"/>
            </w14:solidFill>
          </w14:textFill>
        </w:rPr>
        <w:t>在</w:t>
      </w:r>
      <w:r>
        <w:rPr>
          <w:rFonts w:hint="eastAsia" w:ascii="宋体" w:hAnsi="宋体"/>
          <w:b/>
          <w:bCs/>
          <w:color w:val="000000" w:themeColor="text1"/>
          <w:szCs w:val="21"/>
          <w:highlight w:val="none"/>
          <w14:textFill>
            <w14:solidFill>
              <w14:schemeClr w14:val="tx1"/>
            </w14:solidFill>
          </w14:textFill>
        </w:rPr>
        <w:t>施工期、</w:t>
      </w:r>
      <w:r>
        <w:rPr>
          <w:rFonts w:ascii="宋体" w:hAnsi="宋体"/>
          <w:b/>
          <w:bCs/>
          <w:color w:val="000000" w:themeColor="text1"/>
          <w:szCs w:val="21"/>
          <w:highlight w:val="none"/>
          <w14:textFill>
            <w14:solidFill>
              <w14:schemeClr w14:val="tx1"/>
            </w14:solidFill>
          </w14:textFill>
        </w:rPr>
        <w:t>缺陷责任期</w:t>
      </w:r>
      <w:r>
        <w:rPr>
          <w:rFonts w:hint="eastAsia" w:ascii="宋体" w:hAnsi="宋体" w:eastAsia="宋体"/>
          <w:b/>
          <w:bCs/>
          <w:color w:val="000000" w:themeColor="text1"/>
          <w:szCs w:val="21"/>
          <w:highlight w:val="none"/>
          <w14:textFill>
            <w14:solidFill>
              <w14:schemeClr w14:val="tx1"/>
            </w14:solidFill>
          </w14:textFill>
        </w:rPr>
        <w:t>（保修期）</w:t>
      </w:r>
      <w:r>
        <w:rPr>
          <w:rFonts w:ascii="宋体" w:hAnsi="宋体"/>
          <w:b/>
          <w:bCs/>
          <w:color w:val="000000" w:themeColor="text1"/>
          <w:szCs w:val="21"/>
          <w:highlight w:val="none"/>
          <w14:textFill>
            <w14:solidFill>
              <w14:schemeClr w14:val="tx1"/>
            </w14:solidFill>
          </w14:textFill>
        </w:rPr>
        <w:t>内养护</w:t>
      </w:r>
      <w:r>
        <w:rPr>
          <w:rFonts w:hint="eastAsia" w:ascii="宋体" w:hAnsi="宋体"/>
          <w:b/>
          <w:bCs/>
          <w:color w:val="000000" w:themeColor="text1"/>
          <w:szCs w:val="21"/>
          <w:highlight w:val="none"/>
          <w14:textFill>
            <w14:solidFill>
              <w14:schemeClr w14:val="tx1"/>
            </w14:solidFill>
          </w14:textFill>
        </w:rPr>
        <w:t>所需的水、电费用</w:t>
      </w:r>
      <w:r>
        <w:rPr>
          <w:rFonts w:ascii="宋体" w:hAnsi="宋体"/>
          <w:b/>
          <w:bCs/>
          <w:color w:val="000000" w:themeColor="text1"/>
          <w:szCs w:val="21"/>
          <w:highlight w:val="none"/>
          <w14:textFill>
            <w14:solidFill>
              <w14:schemeClr w14:val="tx1"/>
            </w14:solidFill>
          </w14:textFill>
        </w:rPr>
        <w:t>均由承包人在</w:t>
      </w:r>
      <w:r>
        <w:rPr>
          <w:rFonts w:hint="eastAsia" w:ascii="宋体" w:hAnsi="宋体"/>
          <w:b/>
          <w:bCs/>
          <w:color w:val="000000" w:themeColor="text1"/>
          <w:szCs w:val="21"/>
          <w:highlight w:val="none"/>
          <w14:textFill>
            <w14:solidFill>
              <w14:schemeClr w14:val="tx1"/>
            </w14:solidFill>
          </w14:textFill>
        </w:rPr>
        <w:t>投标</w:t>
      </w:r>
      <w:r>
        <w:rPr>
          <w:rFonts w:ascii="宋体" w:hAnsi="宋体"/>
          <w:b/>
          <w:bCs/>
          <w:color w:val="000000" w:themeColor="text1"/>
          <w:szCs w:val="21"/>
          <w:highlight w:val="none"/>
          <w14:textFill>
            <w14:solidFill>
              <w14:schemeClr w14:val="tx1"/>
            </w14:solidFill>
          </w14:textFill>
        </w:rPr>
        <w:t>报价中综合考虑，发包人不另行计量与支付。</w:t>
      </w:r>
    </w:p>
    <w:p w14:paraId="29AF4F19">
      <w:pPr>
        <w:pStyle w:val="7"/>
        <w:tabs>
          <w:tab w:val="left" w:pos="2790"/>
        </w:tabs>
        <w:spacing w:line="360" w:lineRule="auto"/>
        <w:ind w:firstLine="422" w:firstLineChars="200"/>
        <w:rPr>
          <w:rFonts w:hint="eastAsia"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14.承包人</w:t>
      </w:r>
      <w:r>
        <w:rPr>
          <w:rFonts w:ascii="宋体" w:hAnsi="宋体"/>
          <w:b/>
          <w:bCs/>
          <w:color w:val="000000" w:themeColor="text1"/>
          <w:szCs w:val="21"/>
          <w:highlight w:val="none"/>
          <w14:textFill>
            <w14:solidFill>
              <w14:schemeClr w14:val="tx1"/>
            </w14:solidFill>
          </w14:textFill>
        </w:rPr>
        <w:t>对于</w:t>
      </w:r>
      <w:r>
        <w:rPr>
          <w:rFonts w:hint="eastAsia" w:ascii="宋体" w:hAnsi="宋体"/>
          <w:b/>
          <w:bCs/>
          <w:color w:val="000000" w:themeColor="text1"/>
          <w:szCs w:val="21"/>
          <w:highlight w:val="none"/>
          <w14:textFill>
            <w14:solidFill>
              <w14:schemeClr w14:val="tx1"/>
            </w14:solidFill>
          </w14:textFill>
        </w:rPr>
        <w:t>土方的开挖、回填、车辆运输以及绿化养护方案需报监理人及发包人同意后方可实施,</w:t>
      </w:r>
      <w:r>
        <w:rPr>
          <w:rFonts w:hint="eastAsia" w:ascii="宋体" w:hAnsi="宋体"/>
          <w:b/>
          <w:bCs/>
          <w:color w:val="000000" w:themeColor="text1"/>
          <w:szCs w:val="21"/>
          <w:highlight w:val="none"/>
          <w:lang w:val="en-US" w:eastAsia="zh-CN"/>
          <w14:textFill>
            <w14:solidFill>
              <w14:schemeClr w14:val="tx1"/>
            </w14:solidFill>
          </w14:textFill>
        </w:rPr>
        <w:t>若</w:t>
      </w:r>
      <w:r>
        <w:rPr>
          <w:rFonts w:hint="eastAsia" w:ascii="宋体" w:hAnsi="宋体"/>
          <w:b/>
          <w:bCs/>
          <w:color w:val="000000" w:themeColor="text1"/>
          <w:szCs w:val="21"/>
          <w:highlight w:val="none"/>
          <w14:textFill>
            <w14:solidFill>
              <w14:schemeClr w14:val="tx1"/>
            </w14:solidFill>
          </w14:textFill>
        </w:rPr>
        <w:t>绿化养护方案中承包人投入的相关人员、设备</w:t>
      </w:r>
      <w:r>
        <w:rPr>
          <w:rFonts w:hint="eastAsia" w:ascii="宋体" w:hAnsi="宋体"/>
          <w:b/>
          <w:bCs/>
          <w:color w:val="000000" w:themeColor="text1"/>
          <w:szCs w:val="21"/>
          <w:highlight w:val="none"/>
          <w:lang w:val="en-US" w:eastAsia="zh-CN"/>
          <w14:textFill>
            <w14:solidFill>
              <w14:schemeClr w14:val="tx1"/>
            </w14:solidFill>
          </w14:textFill>
        </w:rPr>
        <w:t>不满足要求的，</w:t>
      </w:r>
      <w:r>
        <w:rPr>
          <w:rFonts w:hint="eastAsia" w:ascii="宋体" w:hAnsi="宋体"/>
          <w:b/>
          <w:bCs/>
          <w:color w:val="000000" w:themeColor="text1"/>
          <w:szCs w:val="21"/>
          <w:highlight w:val="none"/>
          <w14:textFill>
            <w14:solidFill>
              <w14:schemeClr w14:val="tx1"/>
            </w14:solidFill>
          </w14:textFill>
        </w:rPr>
        <w:t>发包人有权</w:t>
      </w:r>
      <w:r>
        <w:rPr>
          <w:rFonts w:hint="eastAsia" w:ascii="宋体" w:hAnsi="宋体"/>
          <w:b/>
          <w:bCs/>
          <w:color w:val="000000" w:themeColor="text1"/>
          <w:szCs w:val="21"/>
          <w:highlight w:val="none"/>
          <w:lang w:val="en-US" w:eastAsia="zh-CN"/>
          <w14:textFill>
            <w14:solidFill>
              <w14:schemeClr w14:val="tx1"/>
            </w14:solidFill>
          </w14:textFill>
        </w:rPr>
        <w:t>更换。</w:t>
      </w:r>
    </w:p>
    <w:p w14:paraId="4CBC8CD4">
      <w:pPr>
        <w:pStyle w:val="7"/>
        <w:tabs>
          <w:tab w:val="left" w:pos="2790"/>
        </w:tabs>
        <w:spacing w:line="360" w:lineRule="auto"/>
        <w:ind w:firstLine="420" w:firstLineChars="200"/>
        <w:rPr>
          <w:rFonts w:hint="eastAsia" w:ascii="宋体" w:hAnsi="宋体" w:eastAsia="Times New Roman" w:cs="Times New Roman"/>
          <w:b/>
          <w:bCs/>
          <w:color w:val="000000" w:themeColor="text1"/>
          <w:szCs w:val="21"/>
          <w:highlight w:val="none"/>
          <w14:textFill>
            <w14:solidFill>
              <w14:schemeClr w14:val="tx1"/>
            </w14:solidFill>
          </w14:textFill>
        </w:rPr>
      </w:pPr>
      <w:r>
        <w:rPr>
          <w:rFonts w:hint="eastAsia" w:ascii="宋体" w:hAnsi="宋体" w:eastAsia="Times New Roman" w:cs="Times New Roman"/>
          <w:b/>
          <w:bCs/>
          <w:color w:val="000000" w:themeColor="text1"/>
          <w:szCs w:val="21"/>
          <w:highlight w:val="none"/>
          <w:lang w:val="en-US" w:eastAsia="zh-CN"/>
          <w14:textFill>
            <w14:solidFill>
              <w14:schemeClr w14:val="tx1"/>
            </w14:solidFill>
          </w14:textFill>
        </w:rPr>
        <w:t>15.</w:t>
      </w:r>
      <w:r>
        <w:rPr>
          <w:rFonts w:hint="eastAsia" w:ascii="宋体" w:hAnsi="宋体" w:eastAsia="Times New Roman" w:cs="Times New Roman"/>
          <w:b/>
          <w:bCs/>
          <w:color w:val="000000" w:themeColor="text1"/>
          <w:szCs w:val="21"/>
          <w:highlight w:val="none"/>
          <w14:textFill>
            <w14:solidFill>
              <w14:schemeClr w14:val="tx1"/>
            </w14:solidFill>
          </w14:textFill>
        </w:rPr>
        <w:t>承包人在施工前应该根据本项目的实际情况、因地制宜编制完备的施工方案和文明、环保施工保证措施，充分考虑并严格执行国家、地方政府、发包人等相关文件制定的关于配合实施“五水共治”的相关规定及后续可能出台的规定、要求，还应遵守“关于印发《公路交通建设项目环境保护管理指南》的通知（浙交〔2019〕44 号）”，施工前按照相关部门的规定要求，制定完善可行的围挡措施、环保监控、洒水防尘、车辆冲洗、道路清扫、防震、防噪措施，同时减少对施工周边地区的干扰。如因承包人采取措施不力，造成的一切损失或由于上述原因造成工期的拖延或施工费用的增加，均由承包人自行承担。</w:t>
      </w:r>
    </w:p>
    <w:p w14:paraId="67606385">
      <w:pPr>
        <w:pStyle w:val="7"/>
        <w:tabs>
          <w:tab w:val="left" w:pos="2790"/>
        </w:tabs>
        <w:spacing w:line="360" w:lineRule="auto"/>
        <w:ind w:firstLine="422" w:firstLineChars="200"/>
        <w:rPr>
          <w:rFonts w:hint="default" w:ascii="宋体" w:hAnsi="宋体" w:eastAsia="宋体" w:cs="Times New Roman"/>
          <w:b/>
          <w:bCs/>
          <w:color w:val="000000" w:themeColor="text1"/>
          <w:szCs w:val="21"/>
          <w:highlight w:val="none"/>
          <w:lang w:val="en-US" w:eastAsia="zh-CN"/>
          <w14:textFill>
            <w14:solidFill>
              <w14:schemeClr w14:val="tx1"/>
            </w14:solidFill>
          </w14:textFill>
        </w:rPr>
      </w:pPr>
      <w:r>
        <w:rPr>
          <w:rFonts w:hint="eastAsia" w:ascii="宋体" w:hAnsi="宋体" w:cs="Times New Roman"/>
          <w:b/>
          <w:bCs/>
          <w:color w:val="000000" w:themeColor="text1"/>
          <w:szCs w:val="21"/>
          <w:highlight w:val="none"/>
          <w:lang w:val="en-US" w:eastAsia="zh-CN"/>
          <w14:textFill>
            <w14:solidFill>
              <w14:schemeClr w14:val="tx1"/>
            </w14:solidFill>
          </w14:textFill>
        </w:rPr>
        <w:t>16.</w:t>
      </w:r>
      <w:r>
        <w:rPr>
          <w:rFonts w:hint="eastAsia" w:ascii="宋体" w:hAnsi="宋体" w:eastAsia="Times New Roman" w:cs="Times New Roman"/>
          <w:b/>
          <w:bCs/>
          <w:color w:val="000000" w:themeColor="text1"/>
          <w:szCs w:val="21"/>
          <w:highlight w:val="none"/>
          <w14:textFill>
            <w14:solidFill>
              <w14:schemeClr w14:val="tx1"/>
            </w14:solidFill>
          </w14:textFill>
        </w:rPr>
        <w:t>承包人</w:t>
      </w:r>
      <w:r>
        <w:rPr>
          <w:rFonts w:hint="eastAsia" w:ascii="宋体" w:hAnsi="宋体" w:cs="Times New Roman"/>
          <w:b/>
          <w:bCs/>
          <w:color w:val="000000" w:themeColor="text1"/>
          <w:szCs w:val="21"/>
          <w:highlight w:val="none"/>
          <w:lang w:val="en-US" w:eastAsia="zh-CN"/>
          <w14:textFill>
            <w14:solidFill>
              <w14:schemeClr w14:val="tx1"/>
            </w14:solidFill>
          </w14:textFill>
        </w:rPr>
        <w:t>应对复绿工程范围内现状保留苗木修剪（修剪为2次），修剪完成经监理人、发包人验收合格，按实际完成工程量进行计量。</w:t>
      </w:r>
    </w:p>
    <w:p w14:paraId="2D990EE8">
      <w:pPr>
        <w:tabs>
          <w:tab w:val="left" w:pos="2790"/>
        </w:tabs>
        <w:spacing w:line="360" w:lineRule="auto"/>
        <w:ind w:firstLine="422" w:firstLineChars="200"/>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七</w:t>
      </w:r>
      <w:r>
        <w:rPr>
          <w:rFonts w:hint="eastAsia" w:ascii="宋体" w:hAnsi="宋体" w:cs="宋体"/>
          <w:b/>
          <w:bCs/>
          <w:color w:val="000000" w:themeColor="text1"/>
          <w:szCs w:val="21"/>
          <w:highlight w:val="none"/>
          <w14:textFill>
            <w14:solidFill>
              <w14:schemeClr w14:val="tx1"/>
            </w14:solidFill>
          </w14:textFill>
        </w:rPr>
        <w:t>、本项目分包：</w:t>
      </w:r>
      <w:r>
        <w:rPr>
          <w:rFonts w:hint="eastAsia" w:ascii="宋体" w:hAnsi="宋体" w:cs="宋体"/>
          <w:color w:val="000000" w:themeColor="text1"/>
          <w:szCs w:val="21"/>
          <w:highlight w:val="none"/>
          <w14:textFill>
            <w14:solidFill>
              <w14:schemeClr w14:val="tx1"/>
            </w14:solidFill>
          </w14:textFill>
        </w:rPr>
        <w:t>施工分包可以按单位工程、分部工程或者分项工程的方式实施。</w:t>
      </w:r>
      <w:r>
        <w:rPr>
          <w:rFonts w:hint="eastAsia" w:ascii="宋体" w:hAnsi="宋体" w:cs="宋体"/>
          <w:color w:val="000000" w:themeColor="text1"/>
          <w:szCs w:val="21"/>
          <w:highlight w:val="none"/>
          <w:lang w:bidi="ar"/>
          <w14:textFill>
            <w14:solidFill>
              <w14:schemeClr w14:val="tx1"/>
            </w14:solidFill>
          </w14:textFill>
        </w:rPr>
        <w:t>在工程施工过程中，承包人进行施工分包必须符合相关管理规定，并</w:t>
      </w:r>
      <w:r>
        <w:rPr>
          <w:rFonts w:hint="eastAsia" w:ascii="宋体" w:hAnsi="宋体"/>
          <w:color w:val="000000" w:themeColor="text1"/>
          <w:szCs w:val="21"/>
          <w:highlight w:val="none"/>
          <w14:textFill>
            <w14:solidFill>
              <w14:schemeClr w14:val="tx1"/>
            </w14:solidFill>
          </w14:textFill>
        </w:rPr>
        <w:t>经发包人同意。</w:t>
      </w:r>
    </w:p>
    <w:p w14:paraId="4FCBB7EF">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不允许分包的工程内容为：“浙江省公路工程施工分包负面清单（2024年版）” 中的主体和关键性工作。</w:t>
      </w:r>
    </w:p>
    <w:p w14:paraId="5485A0DD">
      <w:pPr>
        <w:tabs>
          <w:tab w:val="left" w:pos="279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劳务合作：劳务合作应提供营业执照、劳动安全生产许可证、税务登记证书，并具有相应专业作业能力。</w:t>
      </w:r>
    </w:p>
    <w:p w14:paraId="04D13B75">
      <w:pPr>
        <w:tabs>
          <w:tab w:val="left" w:pos="279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分包其他规定：</w:t>
      </w:r>
    </w:p>
    <w:p w14:paraId="5BD3E7BA">
      <w:pPr>
        <w:tabs>
          <w:tab w:val="left" w:pos="2790"/>
        </w:tabs>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的各项分包工作均应遵守交通运输部《公路工程施工分包管理办法》（交公路规〔2024〕2号）、交通运输部办公厅关于印发《公路工程施工分包负面清单（2024年版）》的通知（交办公路〔2024〕6号）、省交通运输厅关于印发《浙江省公路水运工程施工分包和劳务合作管理实施细则》的通知（浙交〔2024〕104号）（以上相关文件内容如有更新，以最新内容为准）等有关规定。</w:t>
      </w:r>
    </w:p>
    <w:p w14:paraId="4056FDD7">
      <w:pPr>
        <w:spacing w:line="360" w:lineRule="auto"/>
        <w:ind w:firstLine="422" w:firstLineChars="200"/>
        <w:rPr>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八</w:t>
      </w:r>
      <w:r>
        <w:rPr>
          <w:rFonts w:hint="eastAsia"/>
          <w:b/>
          <w:bCs/>
          <w:color w:val="000000" w:themeColor="text1"/>
          <w:szCs w:val="21"/>
          <w:highlight w:val="none"/>
          <w14:textFill>
            <w14:solidFill>
              <w14:schemeClr w14:val="tx1"/>
            </w14:solidFill>
          </w14:textFill>
        </w:rPr>
        <w:t>、履约保证金、质量保证金、保险</w:t>
      </w:r>
    </w:p>
    <w:p w14:paraId="21C16F54">
      <w:pPr>
        <w:pStyle w:val="7"/>
        <w:spacing w:line="360" w:lineRule="auto"/>
        <w:ind w:firstLine="420" w:firstLineChars="200"/>
        <w:rPr>
          <w:color w:val="000000" w:themeColor="text1"/>
          <w:highlight w:val="none"/>
          <w14:textFill>
            <w14:solidFill>
              <w14:schemeClr w14:val="tx1"/>
            </w14:solidFill>
          </w14:textFill>
        </w:rPr>
      </w:pPr>
      <w:bookmarkStart w:id="1142" w:name="_Hlk83067979"/>
      <w:r>
        <w:rPr>
          <w:rFonts w:hint="eastAsia"/>
          <w:color w:val="000000" w:themeColor="text1"/>
          <w:szCs w:val="21"/>
          <w:highlight w:val="none"/>
          <w14:textFill>
            <w14:solidFill>
              <w14:schemeClr w14:val="tx1"/>
            </w14:solidFill>
          </w14:textFill>
        </w:rPr>
        <w:t>1.履约保证金:</w:t>
      </w:r>
      <w:r>
        <w:rPr>
          <w:rFonts w:hint="eastAsia"/>
          <w:color w:val="000000" w:themeColor="text1"/>
          <w:highlight w:val="none"/>
          <w14:textFill>
            <w14:solidFill>
              <w14:schemeClr w14:val="tx1"/>
            </w14:solidFill>
          </w14:textFill>
        </w:rPr>
        <w:t xml:space="preserve"> 金额为</w:t>
      </w:r>
      <w:r>
        <w:rPr>
          <w:rFonts w:ascii="宋体" w:hAnsi="宋体" w:cs="宋体"/>
          <w:color w:val="000000" w:themeColor="text1"/>
          <w:szCs w:val="21"/>
          <w:highlight w:val="none"/>
          <w14:textFill>
            <w14:solidFill>
              <w14:schemeClr w14:val="tx1"/>
            </w14:solidFill>
          </w14:textFill>
        </w:rPr>
        <w:t>合同价</w:t>
      </w:r>
      <w:r>
        <w:rPr>
          <w:rFonts w:hint="eastAsia" w:ascii="宋体" w:hAnsi="宋体" w:cs="宋体"/>
          <w:color w:val="000000" w:themeColor="text1"/>
          <w:szCs w:val="21"/>
          <w:highlight w:val="none"/>
          <w14:textFill>
            <w14:solidFill>
              <w14:schemeClr w14:val="tx1"/>
            </w14:solidFill>
          </w14:textFill>
        </w:rPr>
        <w:t>的</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％；保证金形式：现金（电汇或银行汇票形式）或银行保函或保险公司保证保险保单或融资担保公司保函。</w:t>
      </w:r>
    </w:p>
    <w:p w14:paraId="7913BD96">
      <w:pPr>
        <w:pStyle w:val="7"/>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若采用银行保函，出具履约担保的银行级别：项目所在地或投标人企业所在地国有或股份制商业银行县（区、市）级及以上银行。</w:t>
      </w:r>
    </w:p>
    <w:p w14:paraId="721EDD88">
      <w:pPr>
        <w:pStyle w:val="7"/>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若采用保险公司保函，出具保证保险保单的保险公司应具备相应的偿付能力，并经发包人同意。</w:t>
      </w:r>
    </w:p>
    <w:p w14:paraId="78BA06D8">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若采用融资担保公司保函，出具融资担保公司保函的融资担保公司应具备相应的偿付能力，并经发包人同意。</w:t>
      </w:r>
      <w:bookmarkEnd w:id="1142"/>
    </w:p>
    <w:p w14:paraId="1090DE27">
      <w:pPr>
        <w:spacing w:line="360" w:lineRule="auto"/>
        <w:ind w:firstLine="420" w:firstLineChars="200"/>
        <w:rPr>
          <w:rFonts w:ascii="宋体" w:hAnsi="宋体" w:cs="宋体"/>
          <w:b/>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2.质量保证金：金额为</w:t>
      </w:r>
      <w:r>
        <w:rPr>
          <w:rFonts w:ascii="宋体" w:hAnsi="宋体" w:cs="宋体"/>
          <w:color w:val="000000" w:themeColor="text1"/>
          <w:szCs w:val="21"/>
          <w:highlight w:val="none"/>
          <w14:textFill>
            <w14:solidFill>
              <w14:schemeClr w14:val="tx1"/>
            </w14:solidFill>
          </w14:textFill>
        </w:rPr>
        <w:t>合同价</w:t>
      </w:r>
      <w:r>
        <w:rPr>
          <w:rFonts w:hint="eastAsia" w:ascii="宋体" w:hAnsi="宋体" w:cs="宋体"/>
          <w:color w:val="000000" w:themeColor="text1"/>
          <w:szCs w:val="21"/>
          <w:highlight w:val="none"/>
          <w14:textFill>
            <w14:solidFill>
              <w14:schemeClr w14:val="tx1"/>
            </w14:solidFill>
          </w14:textFill>
        </w:rPr>
        <w:t>的</w:t>
      </w:r>
      <w:r>
        <w:rPr>
          <w:rFonts w:hint="eastAsia"/>
          <w:color w:val="000000" w:themeColor="text1"/>
          <w:highlight w:val="none"/>
          <w14:textFill>
            <w14:solidFill>
              <w14:schemeClr w14:val="tx1"/>
            </w14:solidFill>
          </w14:textFill>
        </w:rPr>
        <w:t>1.5%</w:t>
      </w:r>
      <w:r>
        <w:rPr>
          <w:rFonts w:ascii="宋体" w:hAnsi="宋体" w:cs="宋体"/>
          <w:color w:val="000000" w:themeColor="text1"/>
          <w:szCs w:val="21"/>
          <w:highlight w:val="none"/>
          <w14:textFill>
            <w14:solidFill>
              <w14:schemeClr w14:val="tx1"/>
            </w14:solidFill>
          </w14:textFill>
        </w:rPr>
        <w:t>，允许采用现金、支票或工程保函（包括银行保函、保险机构保证保险保单和融资担保公司保函）形式</w:t>
      </w:r>
      <w:r>
        <w:rPr>
          <w:rFonts w:hint="eastAsia" w:ascii="宋体" w:hAnsi="宋体" w:cs="宋体"/>
          <w:color w:val="000000" w:themeColor="text1"/>
          <w:szCs w:val="21"/>
          <w:highlight w:val="none"/>
          <w14:textFill>
            <w14:solidFill>
              <w14:schemeClr w14:val="tx1"/>
            </w14:solidFill>
          </w14:textFill>
        </w:rPr>
        <w:t>，不计息。</w:t>
      </w:r>
      <w:r>
        <w:rPr>
          <w:rFonts w:hint="eastAsia"/>
          <w:color w:val="000000" w:themeColor="text1"/>
          <w:szCs w:val="24"/>
          <w:highlight w:val="none"/>
          <w14:textFill>
            <w14:solidFill>
              <w14:schemeClr w14:val="tx1"/>
            </w14:solidFill>
          </w14:textFill>
        </w:rPr>
        <w:t>承包人拒绝按照本合同约定缴纳质量保证金的,发包人有权从交工付款证书中扣留相应金额作为质量保证金,或者直接将履约保证金金额用于保证承包人在缺陷责任期内履行缺陷修复义务。</w:t>
      </w:r>
      <w:r>
        <w:rPr>
          <w:rFonts w:hint="eastAsia" w:ascii="宋体" w:hAnsi="宋体" w:cs="宋体"/>
          <w:b/>
          <w:color w:val="000000" w:themeColor="text1"/>
          <w:szCs w:val="21"/>
          <w:highlight w:val="none"/>
          <w14:textFill>
            <w14:solidFill>
              <w14:schemeClr w14:val="tx1"/>
            </w14:solidFill>
          </w14:textFill>
        </w:rPr>
        <w:t>质量保证金应在</w:t>
      </w:r>
      <w:r>
        <w:rPr>
          <w:rFonts w:hint="eastAsia" w:ascii="宋体" w:hAnsi="宋体" w:cs="宋体"/>
          <w:b/>
          <w:color w:val="000000" w:themeColor="text1"/>
          <w:szCs w:val="21"/>
          <w:highlight w:val="none"/>
          <w:lang w:val="en-US" w:eastAsia="zh-CN"/>
          <w14:textFill>
            <w14:solidFill>
              <w14:schemeClr w14:val="tx1"/>
            </w14:solidFill>
          </w14:textFill>
        </w:rPr>
        <w:t>缺陷责任期</w:t>
      </w:r>
      <w:r>
        <w:rPr>
          <w:rFonts w:hint="eastAsia" w:ascii="宋体" w:hAnsi="宋体" w:cs="宋体"/>
          <w:b/>
          <w:color w:val="000000" w:themeColor="text1"/>
          <w:szCs w:val="21"/>
          <w:highlight w:val="none"/>
          <w14:textFill>
            <w14:solidFill>
              <w14:schemeClr w14:val="tx1"/>
            </w14:solidFill>
          </w14:textFill>
        </w:rPr>
        <w:t>满后退还质量保证金，未完成</w:t>
      </w:r>
      <w:r>
        <w:rPr>
          <w:rFonts w:hint="eastAsia" w:ascii="宋体" w:hAnsi="宋体" w:cs="宋体"/>
          <w:b/>
          <w:color w:val="000000" w:themeColor="text1"/>
          <w:szCs w:val="21"/>
          <w:highlight w:val="none"/>
          <w:lang w:val="en-US" w:eastAsia="zh-CN"/>
          <w14:textFill>
            <w14:solidFill>
              <w14:schemeClr w14:val="tx1"/>
            </w14:solidFill>
          </w14:textFill>
        </w:rPr>
        <w:t>缺陷责任期</w:t>
      </w:r>
      <w:r>
        <w:rPr>
          <w:rFonts w:hint="eastAsia" w:ascii="宋体" w:hAnsi="宋体" w:cs="宋体"/>
          <w:b/>
          <w:color w:val="000000" w:themeColor="text1"/>
          <w:szCs w:val="21"/>
          <w:highlight w:val="none"/>
          <w14:textFill>
            <w14:solidFill>
              <w14:schemeClr w14:val="tx1"/>
            </w14:solidFill>
          </w14:textFill>
        </w:rPr>
        <w:t>责任的，有权扣留质量保证金。</w:t>
      </w:r>
    </w:p>
    <w:p w14:paraId="005182F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3.本</w:t>
      </w:r>
      <w:r>
        <w:rPr>
          <w:color w:val="000000" w:themeColor="text1"/>
          <w:szCs w:val="21"/>
          <w:highlight w:val="none"/>
          <w14:textFill>
            <w14:solidFill>
              <w14:schemeClr w14:val="tx1"/>
            </w14:solidFill>
          </w14:textFill>
        </w:rPr>
        <w:t>工程</w:t>
      </w:r>
      <w:r>
        <w:rPr>
          <w:rFonts w:hint="eastAsia"/>
          <w:color w:val="000000" w:themeColor="text1"/>
          <w:szCs w:val="21"/>
          <w:highlight w:val="none"/>
          <w14:textFill>
            <w14:solidFill>
              <w14:schemeClr w14:val="tx1"/>
            </w14:solidFill>
          </w14:textFill>
        </w:rPr>
        <w:t>建筑工程</w:t>
      </w:r>
      <w:r>
        <w:rPr>
          <w:color w:val="000000" w:themeColor="text1"/>
          <w:szCs w:val="21"/>
          <w:highlight w:val="none"/>
          <w14:textFill>
            <w14:solidFill>
              <w14:schemeClr w14:val="tx1"/>
            </w14:solidFill>
          </w14:textFill>
        </w:rPr>
        <w:t>一切险的保险费率为</w:t>
      </w:r>
      <w:r>
        <w:rPr>
          <w:rFonts w:hint="eastAsia"/>
          <w:color w:val="000000" w:themeColor="text1"/>
          <w:szCs w:val="21"/>
          <w:highlight w:val="none"/>
          <w14:textFill>
            <w14:solidFill>
              <w14:schemeClr w14:val="tx1"/>
            </w14:solidFill>
          </w14:textFill>
        </w:rPr>
        <w:t xml:space="preserve"> 3.42 </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，计费金额为按</w:t>
      </w:r>
      <w:r>
        <w:rPr>
          <w:rFonts w:hint="eastAsia" w:ascii="宋体" w:hAnsi="宋体" w:cs="宋体"/>
          <w:color w:val="000000" w:themeColor="text1"/>
          <w:szCs w:val="21"/>
          <w:highlight w:val="none"/>
          <w14:textFill>
            <w14:solidFill>
              <w14:schemeClr w14:val="tx1"/>
            </w14:solidFill>
          </w14:textFill>
        </w:rPr>
        <w:t>工程量清单各章的合计金额</w:t>
      </w:r>
      <w:r>
        <w:rPr>
          <w:rFonts w:hint="eastAsia" w:ascii="宋体" w:hAnsi="宋体"/>
          <w:color w:val="000000" w:themeColor="text1"/>
          <w:szCs w:val="21"/>
          <w:highlight w:val="none"/>
          <w14:textFill>
            <w14:solidFill>
              <w14:schemeClr w14:val="tx1"/>
            </w14:solidFill>
          </w14:textFill>
        </w:rPr>
        <w:t>（不含安全生产费、建筑工程一切险、安全生产责任保险）</w:t>
      </w:r>
      <w:r>
        <w:rPr>
          <w:rFonts w:hint="eastAsia" w:ascii="宋体" w:hAnsi="宋体" w:cs="宋体"/>
          <w:color w:val="000000" w:themeColor="text1"/>
          <w:szCs w:val="21"/>
          <w:highlight w:val="none"/>
          <w14:textFill>
            <w14:solidFill>
              <w14:schemeClr w14:val="tx1"/>
            </w14:solidFill>
          </w14:textFill>
        </w:rPr>
        <w:t>。</w:t>
      </w:r>
      <w:bookmarkStart w:id="1143" w:name="_Toc5210"/>
      <w:bookmarkStart w:id="1144" w:name="_Toc19695"/>
      <w:bookmarkStart w:id="1145" w:name="_Toc9517"/>
      <w:bookmarkStart w:id="1146" w:name="_Toc20806"/>
      <w:bookmarkStart w:id="1147" w:name="_Toc32170"/>
      <w:bookmarkStart w:id="1148" w:name="_Toc119585509"/>
      <w:bookmarkStart w:id="1149" w:name="_Toc14244"/>
      <w:bookmarkStart w:id="1150" w:name="_Toc120624199"/>
      <w:bookmarkStart w:id="1151" w:name="_Toc2072"/>
      <w:bookmarkStart w:id="1152" w:name="_Toc118195816"/>
      <w:bookmarkStart w:id="1153" w:name="_Toc13802"/>
      <w:bookmarkStart w:id="1154" w:name="_Toc12891"/>
      <w:bookmarkStart w:id="1155" w:name="_Toc22011"/>
      <w:r>
        <w:rPr>
          <w:rFonts w:hint="eastAsia" w:ascii="宋体" w:hAnsi="宋体" w:cs="宋体"/>
          <w:color w:val="000000" w:themeColor="text1"/>
          <w:szCs w:val="21"/>
          <w:highlight w:val="none"/>
          <w14:textFill>
            <w14:solidFill>
              <w14:schemeClr w14:val="tx1"/>
            </w14:solidFill>
          </w14:textFill>
        </w:rPr>
        <w:t>安全生产责任保险的保险费率：</w:t>
      </w:r>
      <w:r>
        <w:rPr>
          <w:rFonts w:ascii="宋体" w:hAnsi="宋体" w:cs="宋体"/>
          <w:color w:val="000000" w:themeColor="text1"/>
          <w:szCs w:val="21"/>
          <w:highlight w:val="none"/>
          <w14:textFill>
            <w14:solidFill>
              <w14:schemeClr w14:val="tx1"/>
            </w14:solidFill>
          </w14:textFill>
        </w:rPr>
        <w:t>2‰</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计费金额为</w:t>
      </w:r>
      <w:r>
        <w:rPr>
          <w:rFonts w:hint="eastAsia" w:ascii="宋体" w:hAnsi="宋体" w:cs="宋体"/>
          <w:color w:val="000000" w:themeColor="text1"/>
          <w:szCs w:val="21"/>
          <w:highlight w:val="none"/>
          <w14:textFill>
            <w14:solidFill>
              <w14:schemeClr w14:val="tx1"/>
            </w14:solidFill>
          </w14:textFill>
        </w:rPr>
        <w:t>工程量清单各章的合计金额</w:t>
      </w:r>
      <w:r>
        <w:rPr>
          <w:rFonts w:hint="eastAsia" w:ascii="宋体" w:hAnsi="宋体"/>
          <w:color w:val="000000" w:themeColor="text1"/>
          <w:szCs w:val="21"/>
          <w:highlight w:val="none"/>
          <w14:textFill>
            <w14:solidFill>
              <w14:schemeClr w14:val="tx1"/>
            </w14:solidFill>
          </w14:textFill>
        </w:rPr>
        <w:t>（不含安全生产费、建筑工程一切险、安全生产责任保险）</w:t>
      </w:r>
      <w:r>
        <w:rPr>
          <w:rFonts w:hint="eastAsia" w:ascii="宋体" w:hAnsi="宋体" w:cs="宋体"/>
          <w:color w:val="000000" w:themeColor="text1"/>
          <w:szCs w:val="21"/>
          <w:highlight w:val="none"/>
          <w14:textFill>
            <w14:solidFill>
              <w14:schemeClr w14:val="tx1"/>
            </w14:solidFill>
          </w14:textFill>
        </w:rPr>
        <w:t>。</w:t>
      </w:r>
    </w:p>
    <w:p w14:paraId="0E11836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承包人应以发包人和承包人的共同名义投保建筑工程一切险。实际保险费率按发包</w:t>
      </w:r>
      <w:r>
        <w:rPr>
          <w:rFonts w:ascii="宋体" w:hAnsi="宋体"/>
          <w:color w:val="000000" w:themeColor="text1"/>
          <w:szCs w:val="21"/>
          <w:highlight w:val="none"/>
          <w14:textFill>
            <w14:solidFill>
              <w14:schemeClr w14:val="tx1"/>
            </w14:solidFill>
          </w14:textFill>
        </w:rPr>
        <w:t>人按有关规定</w:t>
      </w:r>
      <w:r>
        <w:rPr>
          <w:rFonts w:hint="eastAsia" w:ascii="宋体" w:hAnsi="宋体"/>
          <w:color w:val="000000" w:themeColor="text1"/>
          <w:szCs w:val="21"/>
          <w:highlight w:val="none"/>
          <w14:textFill>
            <w14:solidFill>
              <w14:schemeClr w14:val="tx1"/>
            </w14:solidFill>
          </w14:textFill>
        </w:rPr>
        <w:t>确定的保险公司约定的保险费率办理。发包人在接到保险单后，将按照实际保险单的费用直接向承包人支付。保险金不足以赔偿损失的部分由承包人自行承担。</w:t>
      </w:r>
    </w:p>
    <w:p w14:paraId="13C9FDB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承包人应以发包人和承包人的共同名义投保建筑工程一切险，第三着责任险已包含在安全生产责任险中，不在单独计量。</w:t>
      </w:r>
    </w:p>
    <w:p w14:paraId="2E78EA3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根据《中华人民共和国安全生产法》(2021 修订版)、浙政办发《浙江省人民政府办公厅转发省安监局等部门关于在高危行业全面推进安全生产责任保险的通知》(2017)146号文件《关于进一步推进我省安全生产责任保险规范化工作的通知》浙应急法[2020]9 号文件要求，承包人在整个项目实施期间对本标段工程投保安全生产责任制保险。安全生产责任险已包含在安全生产费中。</w:t>
      </w:r>
      <w:bookmarkStart w:id="1156" w:name="_Toc9918"/>
      <w:bookmarkStart w:id="1157" w:name="_Toc3936"/>
    </w:p>
    <w:p w14:paraId="038EB1A1">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九</w:t>
      </w:r>
      <w:r>
        <w:rPr>
          <w:rFonts w:hint="eastAsia" w:ascii="宋体" w:hAnsi="宋体"/>
          <w:b/>
          <w:bCs/>
          <w:color w:val="000000" w:themeColor="text1"/>
          <w:szCs w:val="21"/>
          <w:highlight w:val="none"/>
          <w14:textFill>
            <w14:solidFill>
              <w14:schemeClr w14:val="tx1"/>
            </w14:solidFill>
          </w14:textFill>
        </w:rPr>
        <w:t>、保活期及缺陷责任期（保修期）</w:t>
      </w:r>
    </w:p>
    <w:bookmarkEnd w:id="1156"/>
    <w:bookmarkEnd w:id="1157"/>
    <w:p w14:paraId="737742F8">
      <w:pPr>
        <w:spacing w:line="360" w:lineRule="auto"/>
        <w:ind w:firstLine="422" w:firstLineChars="200"/>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保活期及缺陷责任期（保修期）</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完成种植后按规定进行交工验收，交工验收合格（交工证书颁发之日）起进入保活期（12个月），保活期满进入缺陷责任期（保修期）12个月，缺陷责任期（保修期）满后组织移交。</w:t>
      </w:r>
    </w:p>
    <w:p w14:paraId="5040B537">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保活期及缺陷责任期（保修期）内承包人必须按经审查通过后的绿化养护方案进行养护，并应满足以下要求：</w:t>
      </w:r>
    </w:p>
    <w:p w14:paraId="6DA18F42">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保活期及缺陷责任期（保修期）内承包人必须做好浇水、排涝、松土、苗木支撑、施肥、修剪、灭虫、除草、补植、清除杂物等养护工作，未按要求做好养护工作的，发包人有权指定他人维修养护,费用按实际发生的在承包人剩余工程款中支付。</w:t>
      </w:r>
    </w:p>
    <w:p w14:paraId="1E080067">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（2）保活期及缺陷责任期（保修期）满后，承包人将所种绿化移交发包人，成活率必须是100%，如达不到要求将</w:t>
      </w:r>
      <w:r>
        <w:rPr>
          <w:rFonts w:hint="eastAsia" w:ascii="宋体" w:hAnsi="宋体"/>
          <w:b/>
          <w:bCs/>
          <w:color w:val="000000" w:themeColor="text1"/>
          <w:szCs w:val="21"/>
          <w:highlight w:val="none"/>
          <w:lang w:val="en-US" w:eastAsia="zh-CN"/>
          <w14:textFill>
            <w14:solidFill>
              <w14:schemeClr w14:val="tx1"/>
            </w14:solidFill>
          </w14:textFill>
        </w:rPr>
        <w:t>双倍</w:t>
      </w:r>
      <w:r>
        <w:rPr>
          <w:rFonts w:hint="eastAsia" w:ascii="宋体" w:hAnsi="宋体"/>
          <w:b/>
          <w:bCs/>
          <w:color w:val="000000" w:themeColor="text1"/>
          <w:szCs w:val="21"/>
          <w:highlight w:val="none"/>
          <w14:textFill>
            <w14:solidFill>
              <w14:schemeClr w14:val="tx1"/>
            </w14:solidFill>
          </w14:textFill>
        </w:rPr>
        <w:t xml:space="preserve">扣减未成活部分苗木的工程款。 </w:t>
      </w:r>
    </w:p>
    <w:p w14:paraId="77AF7EC5">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（3）保活期及缺陷责任期（保修期）内，发现的枯死苗木要及时补种，所补种苗木规定不得小于原来苗木规格，如发包人通知承包人限期进行补种，而承包人逾期补种的，则按第</w:t>
      </w:r>
      <w:r>
        <w:rPr>
          <w:rFonts w:hint="eastAsia" w:ascii="宋体" w:hAnsi="宋体"/>
          <w:b/>
          <w:bCs/>
          <w:color w:val="000000" w:themeColor="text1"/>
          <w:szCs w:val="21"/>
          <w:highlight w:val="none"/>
          <w:lang w:val="en-US" w:eastAsia="zh-CN"/>
          <w14:textFill>
            <w14:solidFill>
              <w14:schemeClr w14:val="tx1"/>
            </w14:solidFill>
          </w14:textFill>
        </w:rPr>
        <w:t>15条</w:t>
      </w:r>
      <w:r>
        <w:rPr>
          <w:rFonts w:hint="eastAsia" w:ascii="宋体" w:hAnsi="宋体"/>
          <w:b/>
          <w:bCs/>
          <w:color w:val="000000" w:themeColor="text1"/>
          <w:szCs w:val="21"/>
          <w:highlight w:val="none"/>
          <w14:textFill>
            <w14:solidFill>
              <w14:schemeClr w14:val="tx1"/>
            </w14:solidFill>
          </w14:textFill>
        </w:rPr>
        <w:t>承包人违约处理。 如承包人拒不补种，发包方有权请其他施工单位补种，费用由承包方支付。</w:t>
      </w:r>
    </w:p>
    <w:p w14:paraId="1CF1F39A">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（4）保活期及缺陷责任期（保修期）内必须做好抗台、抗雪、抗旱等灾害性天气的预防及抗击，台风、降雪前做好树</w:t>
      </w:r>
      <w:bookmarkStart w:id="1158" w:name="OLE_LINK8"/>
      <w:r>
        <w:rPr>
          <w:rFonts w:hint="eastAsia" w:ascii="宋体" w:hAnsi="宋体"/>
          <w:b/>
          <w:bCs/>
          <w:color w:val="000000" w:themeColor="text1"/>
          <w:szCs w:val="21"/>
          <w:highlight w:val="none"/>
          <w14:textFill>
            <w14:solidFill>
              <w14:schemeClr w14:val="tx1"/>
            </w14:solidFill>
          </w14:textFill>
        </w:rPr>
        <w:t>木的支撑、修剪工作，台风、降雪后做好树木的扶正、修剪、树枝清理外运等工作，若因此而造成人</w:t>
      </w:r>
      <w:bookmarkEnd w:id="1158"/>
      <w:r>
        <w:rPr>
          <w:rFonts w:hint="eastAsia" w:ascii="宋体" w:hAnsi="宋体"/>
          <w:b/>
          <w:bCs/>
          <w:color w:val="000000" w:themeColor="text1"/>
          <w:szCs w:val="21"/>
          <w:highlight w:val="none"/>
          <w14:textFill>
            <w14:solidFill>
              <w14:schemeClr w14:val="tx1"/>
            </w14:solidFill>
          </w14:textFill>
        </w:rPr>
        <w:t>身伤亡或交通事故的，一切责任均由承包方负责。</w:t>
      </w:r>
    </w:p>
    <w:p w14:paraId="650B5940">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5）保活期及缺陷责任期（保修期）内，承包人在进行缺陷整治修复施工时，应严格落实各项安全生产管控措施，尤其是项目通车后，开展上路绿化补植等施工时，除根据交警、路政及运营单位的要求做好相应涉路施工审批及安全防护外，应安排专职安全管理人员现场旁站监管。</w:t>
      </w:r>
    </w:p>
    <w:p w14:paraId="1C5A826C">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（6）支撑等附属应定期维护，否则发包人有权请其他施工单位进行维护，费用由承包人支付，在质量保证金中扣除。</w:t>
      </w:r>
    </w:p>
    <w:p w14:paraId="6ACCF6D2">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十</w:t>
      </w:r>
      <w:r>
        <w:rPr>
          <w:rFonts w:hint="eastAsia"/>
          <w:color w:val="000000" w:themeColor="text1"/>
          <w:szCs w:val="21"/>
          <w:highlight w:val="none"/>
          <w14:textFill>
            <w14:solidFill>
              <w14:schemeClr w14:val="tx1"/>
            </w14:solidFill>
          </w14:textFill>
        </w:rPr>
        <w:t>、根据工程量清单所列的预计数量和单价或总额价计算的签约合同价：人民币</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大写</w:t>
      </w:r>
      <w:r>
        <w:rPr>
          <w:color w:val="000000" w:themeColor="text1"/>
          <w:szCs w:val="21"/>
          <w:highlight w:val="none"/>
          <w14:textFill>
            <w14:solidFill>
              <w14:schemeClr w14:val="tx1"/>
            </w14:solidFill>
          </w14:textFill>
        </w:rPr>
        <w:t>)__________________</w:t>
      </w:r>
      <w:r>
        <w:rPr>
          <w:rFonts w:hint="eastAsia"/>
          <w:color w:val="000000" w:themeColor="text1"/>
          <w:szCs w:val="21"/>
          <w:highlight w:val="none"/>
          <w14:textFill>
            <w14:solidFill>
              <w14:schemeClr w14:val="tx1"/>
            </w14:solidFill>
          </w14:textFill>
        </w:rPr>
        <w:t>元</w:t>
      </w:r>
      <w:r>
        <w:rPr>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____________)</w:t>
      </w:r>
      <w:r>
        <w:rPr>
          <w:rFonts w:hint="eastAsia"/>
          <w:color w:val="000000" w:themeColor="text1"/>
          <w:szCs w:val="21"/>
          <w:highlight w:val="none"/>
          <w14:textFill>
            <w14:solidFill>
              <w14:schemeClr w14:val="tx1"/>
            </w14:solidFill>
          </w14:textFill>
        </w:rPr>
        <w:t>。</w:t>
      </w:r>
    </w:p>
    <w:p w14:paraId="38428477">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费用支付如下：</w:t>
      </w:r>
    </w:p>
    <w:p w14:paraId="2B26432E">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本合同的计价模式为：固定单价，按实计量。</w:t>
      </w:r>
    </w:p>
    <w:p w14:paraId="35295454">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本项目费用支付时间如下：</w:t>
      </w:r>
    </w:p>
    <w:p w14:paraId="2AC2FC4C">
      <w:pPr>
        <w:tabs>
          <w:tab w:val="left" w:pos="0"/>
        </w:tabs>
        <w:spacing w:line="360" w:lineRule="auto"/>
        <w:ind w:firstLine="422" w:firstLineChars="200"/>
        <w:rPr>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在中间支付阶段，按发包人</w:t>
      </w:r>
      <w:r>
        <w:rPr>
          <w:rFonts w:hint="eastAsia" w:ascii="宋体" w:hAnsi="宋体"/>
          <w:b/>
          <w:bCs/>
          <w:color w:val="000000" w:themeColor="text1"/>
          <w:szCs w:val="21"/>
          <w:highlight w:val="none"/>
          <w14:textFill>
            <w14:solidFill>
              <w14:schemeClr w14:val="tx1"/>
            </w14:solidFill>
          </w14:textFill>
        </w:rPr>
        <w:t>核准工程量的60</w:t>
      </w:r>
      <w:r>
        <w:rPr>
          <w:rFonts w:ascii="宋体" w:hAnsi="宋体"/>
          <w:b/>
          <w:bCs/>
          <w:color w:val="000000" w:themeColor="text1"/>
          <w:szCs w:val="21"/>
          <w:highlight w:val="none"/>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支付工程进度款</w:t>
      </w:r>
      <w:r>
        <w:rPr>
          <w:rFonts w:ascii="宋体" w:hAnsi="宋体"/>
          <w:b/>
          <w:bCs/>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交工验收合格后（施工档案资料完成）付至核定产值的85%，结算送审资料齐全后付至核定产值的90%，并一次性退还履约保证金（不计息）；结算审核完成后支付至结算审定价的98.5%（如果质量保证金采用工程保函形式，支付至结算审核价的100%；项目余款1.5%（不计息）在缺陷责任期满后付清。承包人应提供相应金额的符合税法要求的工程发票。</w:t>
      </w:r>
    </w:p>
    <w:p w14:paraId="43595600">
      <w:pPr>
        <w:tabs>
          <w:tab w:val="left" w:pos="2790"/>
        </w:tabs>
        <w:spacing w:line="360" w:lineRule="auto"/>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十</w:t>
      </w:r>
      <w:r>
        <w:rPr>
          <w:rFonts w:hint="eastAsia" w:ascii="宋体"/>
          <w:color w:val="000000" w:themeColor="text1"/>
          <w:szCs w:val="21"/>
          <w:highlight w:val="none"/>
          <w:lang w:val="en-US" w:eastAsia="zh-CN"/>
          <w14:textFill>
            <w14:solidFill>
              <w14:schemeClr w14:val="tx1"/>
            </w14:solidFill>
          </w14:textFill>
        </w:rPr>
        <w:t>一</w:t>
      </w:r>
      <w:r>
        <w:rPr>
          <w:rFonts w:hint="eastAsia" w:ascii="宋体"/>
          <w:color w:val="000000" w:themeColor="text1"/>
          <w:szCs w:val="21"/>
          <w:highlight w:val="none"/>
          <w14:textFill>
            <w14:solidFill>
              <w14:schemeClr w14:val="tx1"/>
            </w14:solidFill>
          </w14:textFill>
        </w:rPr>
        <w:t>、交工验收由发包人主持，由发包人、监理人、质监、设计、施工等有关部门代表组成交工验收小组，对本项目的工程质量进行评定，并写出交工验收报告报交通主管部门备案。承包人应按发包人的要求提交工验收资料，完成交工验收准备工作。</w:t>
      </w:r>
    </w:p>
    <w:p w14:paraId="27C1DA09">
      <w:pPr>
        <w:tabs>
          <w:tab w:val="left" w:pos="2790"/>
        </w:tabs>
        <w:spacing w:line="360" w:lineRule="auto"/>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交工验收按交通运输部2004年第3号令《公路工程竣(交)工验收办法》、交通运输部交公路发（2010）65号《公路工程竣(交)工验收办法实施细则》和浙江省交通运输厅浙交〔2019〕184号《浙江省公路工程竣（交）工验收办法》（ZJSP17-2019-0014）、国家安全监管总局（2015）36号《建设项目安全设施“三同时”监督管理办法》、中华人民共和国国务院令第682号《建设项目环境保护管理条例》及发包人的相关规定执行。承包人应按发包人的要求提交资料，完成交工验收准备工作。</w:t>
      </w:r>
    </w:p>
    <w:p w14:paraId="3C3FB021">
      <w:pPr>
        <w:tabs>
          <w:tab w:val="left" w:pos="2790"/>
        </w:tabs>
        <w:spacing w:line="360" w:lineRule="auto"/>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组织办理交工验收和签发交工验收证书的费用由承包人承担。</w:t>
      </w:r>
    </w:p>
    <w:p w14:paraId="5185407E">
      <w:pPr>
        <w:tabs>
          <w:tab w:val="left" w:pos="2790"/>
        </w:tabs>
        <w:spacing w:line="360" w:lineRule="auto"/>
        <w:ind w:firstLine="420" w:firstLineChars="200"/>
        <w:rPr>
          <w:color w:val="000000" w:themeColor="text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竣（交）工时如出现交工检测和竣工鉴定质量不符合要求</w:t>
      </w:r>
      <w:r>
        <w:rPr>
          <w:rFonts w:ascii="宋体"/>
          <w:color w:val="000000" w:themeColor="text1"/>
          <w:szCs w:val="21"/>
          <w:highlight w:val="none"/>
          <w14:textFill>
            <w14:solidFill>
              <w14:schemeClr w14:val="tx1"/>
            </w14:solidFill>
          </w14:textFill>
        </w:rPr>
        <w:t>的情形，承包人按合同条款</w:t>
      </w:r>
      <w:r>
        <w:rPr>
          <w:rFonts w:hint="eastAsia" w:ascii="宋体"/>
          <w:color w:val="000000" w:themeColor="text1"/>
          <w:szCs w:val="21"/>
          <w:highlight w:val="none"/>
          <w:lang w:val="en-US" w:eastAsia="zh-CN"/>
          <w14:textFill>
            <w14:solidFill>
              <w14:schemeClr w14:val="tx1"/>
            </w14:solidFill>
          </w14:textFill>
        </w:rPr>
        <w:t>约定</w:t>
      </w:r>
      <w:r>
        <w:rPr>
          <w:rFonts w:ascii="宋体"/>
          <w:color w:val="000000" w:themeColor="text1"/>
          <w:szCs w:val="21"/>
          <w:highlight w:val="none"/>
          <w14:textFill>
            <w14:solidFill>
              <w14:schemeClr w14:val="tx1"/>
            </w14:solidFill>
          </w14:textFill>
        </w:rPr>
        <w:t>进行返工重作或进行补救，并承担由此产生的费用。影响工程整体交工验收（含中间交工验收）的，</w:t>
      </w:r>
      <w:r>
        <w:rPr>
          <w:rFonts w:ascii="宋体"/>
          <w:b/>
          <w:color w:val="000000" w:themeColor="text1"/>
          <w:szCs w:val="21"/>
          <w:highlight w:val="none"/>
          <w14:textFill>
            <w14:solidFill>
              <w14:schemeClr w14:val="tx1"/>
            </w14:solidFill>
          </w14:textFill>
        </w:rPr>
        <w:t>按承包人延误工期进行违约处理</w:t>
      </w:r>
      <w:r>
        <w:rPr>
          <w:rFonts w:hint="eastAsia" w:ascii="宋体"/>
          <w:b/>
          <w:color w:val="000000" w:themeColor="text1"/>
          <w:szCs w:val="21"/>
          <w:highlight w:val="none"/>
          <w14:textFill>
            <w14:solidFill>
              <w14:schemeClr w14:val="tx1"/>
            </w14:solidFill>
          </w14:textFill>
        </w:rPr>
        <w:t>。</w:t>
      </w:r>
    </w:p>
    <w:p w14:paraId="544C0568">
      <w:pPr>
        <w:pStyle w:val="7"/>
        <w:tabs>
          <w:tab w:val="left" w:pos="2790"/>
        </w:tabs>
        <w:spacing w:line="360" w:lineRule="auto"/>
        <w:ind w:firstLine="420" w:firstLineChars="200"/>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十</w:t>
      </w:r>
      <w:r>
        <w:rPr>
          <w:rFonts w:hint="eastAsia"/>
          <w:color w:val="000000" w:themeColor="text1"/>
          <w:szCs w:val="21"/>
          <w:highlight w:val="none"/>
          <w:lang w:val="en-US" w:eastAsia="zh-CN"/>
          <w14:textFill>
            <w14:solidFill>
              <w14:schemeClr w14:val="tx1"/>
            </w14:solidFill>
          </w14:textFill>
        </w:rPr>
        <w:t>二</w:t>
      </w:r>
      <w:r>
        <w:rPr>
          <w:rFonts w:hint="eastAsia"/>
          <w:color w:val="000000" w:themeColor="text1"/>
          <w:szCs w:val="21"/>
          <w:highlight w:val="none"/>
          <w14:textFill>
            <w14:solidFill>
              <w14:schemeClr w14:val="tx1"/>
            </w14:solidFill>
          </w14:textFill>
        </w:rPr>
        <w:t>、工程安全目标：</w:t>
      </w:r>
      <w:r>
        <w:rPr>
          <w:rFonts w:hint="eastAsia" w:ascii="宋体" w:hAnsi="宋体" w:cs="宋体"/>
          <w:color w:val="000000" w:themeColor="text1"/>
          <w:szCs w:val="21"/>
          <w:highlight w:val="none"/>
          <w:u w:val="single"/>
          <w14:textFill>
            <w14:solidFill>
              <w14:schemeClr w14:val="tx1"/>
            </w14:solidFill>
          </w14:textFill>
        </w:rPr>
        <w:t>不发生较大及以上生产安全责任事故，人员零死亡</w:t>
      </w:r>
      <w:r>
        <w:rPr>
          <w:rFonts w:hint="eastAsia"/>
          <w:color w:val="000000" w:themeColor="text1"/>
          <w:szCs w:val="21"/>
          <w:highlight w:val="none"/>
          <w:u w:val="single"/>
          <w14:textFill>
            <w14:solidFill>
              <w14:schemeClr w14:val="tx1"/>
            </w14:solidFill>
          </w14:textFill>
        </w:rPr>
        <w:t>。</w:t>
      </w:r>
    </w:p>
    <w:p w14:paraId="13CD0F09">
      <w:pPr>
        <w:tabs>
          <w:tab w:val="left" w:pos="2790"/>
        </w:tabs>
        <w:spacing w:line="360" w:lineRule="auto"/>
        <w:ind w:firstLine="422" w:firstLineChars="200"/>
        <w:rPr>
          <w:rFonts w:hAnsi="宋体" w:cs="宋体"/>
          <w:b/>
          <w:bCs/>
          <w:color w:val="000000" w:themeColor="text1"/>
          <w:szCs w:val="21"/>
          <w:highlight w:val="none"/>
          <w14:textFill>
            <w14:solidFill>
              <w14:schemeClr w14:val="tx1"/>
            </w14:solidFill>
          </w14:textFill>
        </w:rPr>
      </w:pPr>
      <w:bookmarkStart w:id="1159" w:name="_Toc28504"/>
      <w:bookmarkStart w:id="1160" w:name="_Toc28604"/>
      <w:bookmarkStart w:id="1161" w:name="_Toc10478"/>
      <w:bookmarkStart w:id="1162" w:name="_Toc403992001"/>
      <w:bookmarkStart w:id="1163" w:name="_Toc1719"/>
      <w:bookmarkStart w:id="1164" w:name="_Toc120624244"/>
      <w:bookmarkStart w:id="1165" w:name="_Toc17942"/>
      <w:bookmarkStart w:id="1166" w:name="_Toc98785325"/>
      <w:bookmarkStart w:id="1167" w:name="_Toc7513"/>
      <w:bookmarkStart w:id="1168" w:name="_Toc2653"/>
      <w:bookmarkStart w:id="1169" w:name="_Toc6160"/>
      <w:bookmarkStart w:id="1170" w:name="_Toc12793"/>
      <w:bookmarkStart w:id="1171" w:name="_Toc11035"/>
      <w:bookmarkStart w:id="1172" w:name="_Toc322539187"/>
      <w:bookmarkStart w:id="1173" w:name="_Toc324338198"/>
      <w:bookmarkStart w:id="1174" w:name="_Toc6513"/>
      <w:bookmarkStart w:id="1175" w:name="_Toc20470"/>
      <w:bookmarkStart w:id="1176" w:name="_Toc1099"/>
      <w:bookmarkStart w:id="1177" w:name="_Toc118195860"/>
      <w:bookmarkStart w:id="1178" w:name="_Toc397692066"/>
      <w:bookmarkStart w:id="1179" w:name="_Toc18255"/>
      <w:bookmarkStart w:id="1180" w:name="_Toc3296"/>
      <w:r>
        <w:rPr>
          <w:rFonts w:hint="eastAsia" w:hAnsi="宋体" w:cs="宋体"/>
          <w:b/>
          <w:bCs/>
          <w:color w:val="000000" w:themeColor="text1"/>
          <w:szCs w:val="21"/>
          <w:highlight w:val="none"/>
          <w14:textFill>
            <w14:solidFill>
              <w14:schemeClr w14:val="tx1"/>
            </w14:solidFill>
          </w14:textFill>
        </w:rPr>
        <w:t>十</w:t>
      </w:r>
      <w:r>
        <w:rPr>
          <w:rFonts w:hint="eastAsia" w:hAnsi="宋体" w:cs="宋体"/>
          <w:b/>
          <w:bCs/>
          <w:color w:val="000000" w:themeColor="text1"/>
          <w:szCs w:val="21"/>
          <w:highlight w:val="none"/>
          <w:lang w:val="en-US" w:eastAsia="zh-CN"/>
          <w14:textFill>
            <w14:solidFill>
              <w14:schemeClr w14:val="tx1"/>
            </w14:solidFill>
          </w14:textFill>
        </w:rPr>
        <w:t>三</w:t>
      </w:r>
      <w:r>
        <w:rPr>
          <w:rFonts w:hint="eastAsia" w:hAnsi="宋体" w:cs="宋体"/>
          <w:b/>
          <w:bCs/>
          <w:color w:val="000000" w:themeColor="text1"/>
          <w:szCs w:val="21"/>
          <w:highlight w:val="none"/>
          <w14:textFill>
            <w14:solidFill>
              <w14:schemeClr w14:val="tx1"/>
            </w14:solidFill>
          </w14:textFill>
        </w:rPr>
        <w:t>、变更程序</w:t>
      </w:r>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p>
    <w:p w14:paraId="4956EDED">
      <w:pPr>
        <w:pStyle w:val="7"/>
        <w:tabs>
          <w:tab w:val="left" w:pos="2790"/>
        </w:tabs>
        <w:spacing w:line="440" w:lineRule="exact"/>
        <w:ind w:firstLine="420" w:firstLineChars="200"/>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lang w:eastAsia="zh-CN"/>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应</w:t>
      </w:r>
      <w:r>
        <w:rPr>
          <w:rFonts w:hint="eastAsia" w:ascii="宋体" w:hAnsi="宋体" w:eastAsia="宋体" w:cs="宋体"/>
          <w:color w:val="000000" w:themeColor="text1"/>
          <w:szCs w:val="21"/>
          <w:highlight w:val="none"/>
          <w:lang w:val="en-US" w:eastAsia="zh-CN"/>
          <w14:textFill>
            <w14:solidFill>
              <w14:schemeClr w14:val="tx1"/>
            </w14:solidFill>
          </w14:textFill>
        </w:rPr>
        <w:t>参考</w:t>
      </w:r>
      <w:r>
        <w:rPr>
          <w:rFonts w:ascii="宋体" w:hAnsi="宋体" w:cs="宋体"/>
          <w:color w:val="000000" w:themeColor="text1"/>
          <w:szCs w:val="21"/>
          <w:highlight w:val="none"/>
          <w14:textFill>
            <w14:solidFill>
              <w14:schemeClr w14:val="tx1"/>
            </w14:solidFill>
          </w14:textFill>
        </w:rPr>
        <w:t>交通运输部</w:t>
      </w:r>
      <w:r>
        <w:rPr>
          <w:rFonts w:hint="eastAsia" w:ascii="宋体" w:hAnsi="宋体" w:cs="宋体"/>
          <w:color w:val="000000" w:themeColor="text1"/>
          <w:szCs w:val="21"/>
          <w:highlight w:val="none"/>
          <w14:textFill>
            <w14:solidFill>
              <w14:schemeClr w14:val="tx1"/>
            </w14:solidFill>
          </w14:textFill>
        </w:rPr>
        <w:t>《公路工程设计变更管理办法》（交通运输部令2005年第5号）、浙江省交通运输厅《关于进一步加强我省高速公路工程重大较大设计变更管理的通知》（浙交〔2009〕151 号）、《高速公路工程设计变更管理办法》和《设计变更管理办法（试行）》</w:t>
      </w:r>
      <w:r>
        <w:rPr>
          <w:rFonts w:hint="eastAsia" w:ascii="宋体" w:hAnsi="宋体" w:cs="宋体"/>
          <w:color w:val="000000" w:themeColor="text1"/>
          <w:szCs w:val="21"/>
          <w:highlight w:val="none"/>
          <w:lang w:eastAsia="zh-CN"/>
          <w14:textFill>
            <w14:solidFill>
              <w14:schemeClr w14:val="tx1"/>
            </w14:solidFill>
          </w14:textFill>
        </w:rPr>
        <w:t>。</w:t>
      </w:r>
    </w:p>
    <w:p w14:paraId="3C57A288">
      <w:pPr>
        <w:pStyle w:val="7"/>
        <w:tabs>
          <w:tab w:val="left" w:pos="2790"/>
        </w:tabs>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（2）执行</w:t>
      </w:r>
      <w:r>
        <w:rPr>
          <w:rFonts w:hint="eastAsia" w:ascii="宋体" w:hAnsi="宋体" w:cs="宋体"/>
          <w:color w:val="000000" w:themeColor="text1"/>
          <w:szCs w:val="21"/>
          <w:highlight w:val="none"/>
          <w14:textFill>
            <w14:solidFill>
              <w14:schemeClr w14:val="tx1"/>
            </w14:solidFill>
          </w14:textFill>
        </w:rPr>
        <w:t>发包人和发包人的上级管理单位根据本项目建设管理需要制定的项目管理办法等相关规定和要求。</w:t>
      </w:r>
      <w:r>
        <w:rPr>
          <w:rFonts w:ascii="宋体" w:hAnsi="宋体" w:cs="宋体"/>
          <w:color w:val="000000" w:themeColor="text1"/>
          <w:szCs w:val="21"/>
          <w:highlight w:val="none"/>
          <w14:textFill>
            <w14:solidFill>
              <w14:schemeClr w14:val="tx1"/>
            </w14:solidFill>
          </w14:textFill>
        </w:rPr>
        <w:t>发出的变更指示必须经发包人同意。</w:t>
      </w:r>
      <w:bookmarkStart w:id="1181" w:name="_Toc3385"/>
      <w:bookmarkStart w:id="1182" w:name="_Toc118195861"/>
      <w:bookmarkStart w:id="1183" w:name="_Toc31833"/>
      <w:bookmarkStart w:id="1184" w:name="_Toc22424"/>
      <w:bookmarkStart w:id="1185" w:name="_Toc15554"/>
      <w:bookmarkStart w:id="1186" w:name="_Toc12759"/>
      <w:bookmarkStart w:id="1187" w:name="_Toc7906"/>
      <w:bookmarkStart w:id="1188" w:name="_Toc13628"/>
      <w:bookmarkStart w:id="1189" w:name="_Toc1429"/>
      <w:bookmarkStart w:id="1190" w:name="_Toc19425"/>
      <w:bookmarkStart w:id="1191" w:name="_Toc120624245"/>
      <w:bookmarkStart w:id="1192" w:name="_Toc31883"/>
      <w:bookmarkStart w:id="1193" w:name="_Toc21102"/>
      <w:bookmarkStart w:id="1194" w:name="_Toc14984"/>
      <w:bookmarkStart w:id="1195" w:name="_Toc15231"/>
      <w:bookmarkStart w:id="1196" w:name="_Toc14951"/>
      <w:bookmarkStart w:id="1197" w:name="_Toc98785326"/>
    </w:p>
    <w:p w14:paraId="30AE02BB">
      <w:pPr>
        <w:tabs>
          <w:tab w:val="left" w:pos="2790"/>
        </w:tabs>
        <w:spacing w:line="360" w:lineRule="auto"/>
        <w:ind w:firstLine="422" w:firstLineChars="200"/>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十</w:t>
      </w:r>
      <w:r>
        <w:rPr>
          <w:rFonts w:hint="eastAsia" w:hAnsi="宋体" w:cs="宋体"/>
          <w:b/>
          <w:bCs/>
          <w:color w:val="000000" w:themeColor="text1"/>
          <w:szCs w:val="21"/>
          <w:highlight w:val="none"/>
          <w:lang w:val="en-US" w:eastAsia="zh-CN"/>
          <w14:textFill>
            <w14:solidFill>
              <w14:schemeClr w14:val="tx1"/>
            </w14:solidFill>
          </w14:textFill>
        </w:rPr>
        <w:t>四</w:t>
      </w:r>
      <w:r>
        <w:rPr>
          <w:rFonts w:hint="eastAsia" w:hAnsi="宋体" w:cs="宋体"/>
          <w:b/>
          <w:bCs/>
          <w:color w:val="000000" w:themeColor="text1"/>
          <w:szCs w:val="21"/>
          <w:highlight w:val="none"/>
          <w14:textFill>
            <w14:solidFill>
              <w14:schemeClr w14:val="tx1"/>
            </w14:solidFill>
          </w14:textFill>
        </w:rPr>
        <w:t>、变更的估价原则</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14:paraId="3F423569">
      <w:pPr>
        <w:pStyle w:val="7"/>
        <w:tabs>
          <w:tab w:val="left" w:pos="2790"/>
        </w:tabs>
        <w:spacing w:line="360" w:lineRule="auto"/>
        <w:ind w:firstLine="630" w:firstLineChars="300"/>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已标价工程量清单中无适用或类似子目的单价，按以下原则进行组价，经监理人审核、发包人批准后计取：</w:t>
      </w:r>
    </w:p>
    <w:p w14:paraId="56E507F0">
      <w:pPr>
        <w:pStyle w:val="7"/>
        <w:tabs>
          <w:tab w:val="left" w:pos="2790"/>
        </w:tabs>
        <w:spacing w:line="360" w:lineRule="auto"/>
        <w:ind w:firstLine="630" w:firstLineChars="300"/>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(1)</w:t>
      </w:r>
      <w:r>
        <w:rPr>
          <w:rFonts w:hint="eastAsia" w:ascii="宋体" w:hAnsi="宋体" w:eastAsia="宋体" w:cs="Times New Roman"/>
          <w:color w:val="000000" w:themeColor="text1"/>
          <w:szCs w:val="21"/>
          <w:highlight w:val="none"/>
          <w14:textFill>
            <w14:solidFill>
              <w14:schemeClr w14:val="tx1"/>
            </w14:solidFill>
          </w14:textFill>
        </w:rPr>
        <w:t>按交通运输部《公路工程建设项目概算预算编制办法》（JTG3830—2018）、《公路工程预算定额》（JTG/T3832-2018）、《公路工程机械台班费用定额》（JTG/T3833-2018）、浙江省交通运输厅《转发交通运输部2018年第86号公告的通知》、《财政部税务总局海关总署关于深化增值税改革有关政策的公告》等有关文件及浙江省补充定额进行组价；取费时施工场地建设费和安全生产费不得计取。</w:t>
      </w:r>
    </w:p>
    <w:p w14:paraId="0F1D7FC1">
      <w:pPr>
        <w:pStyle w:val="7"/>
        <w:tabs>
          <w:tab w:val="left" w:pos="2790"/>
        </w:tabs>
        <w:spacing w:line="360" w:lineRule="auto"/>
        <w:ind w:firstLine="630" w:firstLineChars="300"/>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(2)</w:t>
      </w:r>
      <w:r>
        <w:rPr>
          <w:rFonts w:hint="eastAsia" w:ascii="宋体" w:hAnsi="宋体" w:eastAsia="宋体" w:cs="Times New Roman"/>
          <w:color w:val="000000" w:themeColor="text1"/>
          <w:szCs w:val="21"/>
          <w:highlight w:val="none"/>
          <w14:textFill>
            <w14:solidFill>
              <w14:schemeClr w14:val="tx1"/>
            </w14:solidFill>
          </w14:textFill>
        </w:rPr>
        <w:t>组价时,材料按投标截止期前1个月(合同范围外新增的建设内容以变更发生当月为准)浙江省交通工程管理中心或当地行业主管部门发布的最新《质监与造价》上的信息价计入(绍兴市信息价平均值);《质监与造价》中也无信息价的，优先参照投标截止期前1个月绍兴市住房和城乡建设局网站公布的最新《绍兴市建材信息价》上的除税信息价，《绍兴市建材信息价》也没有的材料采用《公路工程预算定额》(JTG/T3832-2018)上的定额价,《质监与造价》《绍兴市建材信息价》和《公路工程预算定额》(JTG/T3832-2018)上都没有或市场价超出定额价10%的，按实际发生时市场行情由施工单位询价(3家及以上，询价单中应注明除税价)并上报、监理单位及跟踪审计单位进行审核，建设单位审批后暂列入。施工单位通过询价审批的新增单价子目，实际计量时需附采购发票，发票金额单价应大于等于询价单价，若发票金额小于询价单价，则差价(除税差价*(1+9%)*工程量)在当期计量中予以扣除。同一新增单价涉及不同标段的，材料价格按所有询价单的最低价进行组价。</w:t>
      </w:r>
    </w:p>
    <w:p w14:paraId="7F76385F">
      <w:pPr>
        <w:pStyle w:val="7"/>
        <w:tabs>
          <w:tab w:val="left" w:pos="2790"/>
        </w:tabs>
        <w:spacing w:line="360" w:lineRule="auto"/>
        <w:ind w:firstLine="630" w:firstLineChars="300"/>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(3)</w:t>
      </w:r>
      <w:r>
        <w:rPr>
          <w:rFonts w:hint="eastAsia" w:ascii="宋体" w:hAnsi="宋体" w:eastAsia="宋体" w:cs="Times New Roman"/>
          <w:color w:val="000000" w:themeColor="text1"/>
          <w:szCs w:val="21"/>
          <w:highlight w:val="none"/>
          <w14:textFill>
            <w14:solidFill>
              <w14:schemeClr w14:val="tx1"/>
            </w14:solidFill>
          </w14:textFill>
        </w:rPr>
        <w:t>无法套用上述定额和取费标准的，借用水运、市政、水利、铁路、建筑定额消耗，参照公路组价办法进行组价。上述定额有区域性的，优先适用浙江定额与取费标准。若仍难以确定变更单价，可按照实际的施工工艺经测算后合理确定工料机消耗量进行组价。</w:t>
      </w:r>
    </w:p>
    <w:p w14:paraId="5DA3CACC">
      <w:pPr>
        <w:pStyle w:val="7"/>
        <w:tabs>
          <w:tab w:val="left" w:pos="2790"/>
        </w:tabs>
        <w:spacing w:line="360" w:lineRule="auto"/>
        <w:ind w:firstLine="630" w:firstLineChars="300"/>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(4)</w:t>
      </w:r>
      <w:r>
        <w:rPr>
          <w:rFonts w:hint="eastAsia" w:ascii="宋体" w:hAnsi="宋体" w:eastAsia="宋体" w:cs="Times New Roman"/>
          <w:color w:val="000000" w:themeColor="text1"/>
          <w:szCs w:val="21"/>
          <w:highlight w:val="none"/>
          <w14:textFill>
            <w14:solidFill>
              <w14:schemeClr w14:val="tx1"/>
            </w14:solidFill>
          </w14:textFill>
        </w:rPr>
        <w:t>根据上述原则组价的综合单价，乘以承包人的投标价与招标时公布的工程量清单预算价的比例，作为该子目的单价。</w:t>
      </w:r>
    </w:p>
    <w:p w14:paraId="29E8C230">
      <w:pPr>
        <w:pStyle w:val="7"/>
        <w:tabs>
          <w:tab w:val="left" w:pos="2790"/>
        </w:tabs>
        <w:spacing w:line="360" w:lineRule="auto"/>
        <w:ind w:firstLine="630" w:firstLineChars="300"/>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(5)</w:t>
      </w:r>
      <w:r>
        <w:rPr>
          <w:rFonts w:hint="eastAsia" w:ascii="宋体" w:hAnsi="宋体" w:eastAsia="宋体" w:cs="Times New Roman"/>
          <w:color w:val="000000" w:themeColor="text1"/>
          <w:szCs w:val="21"/>
          <w:highlight w:val="none"/>
          <w14:textFill>
            <w14:solidFill>
              <w14:schemeClr w14:val="tx1"/>
            </w14:solidFill>
          </w14:textFill>
        </w:rPr>
        <w:t>无法套用任何现行定额的，由承包人报监理人、跟踪审计单位审核，经发包人审批同意后计取。</w:t>
      </w:r>
    </w:p>
    <w:p w14:paraId="644A104E">
      <w:pPr>
        <w:spacing w:line="360" w:lineRule="auto"/>
        <w:ind w:firstLine="422" w:firstLineChars="200"/>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十</w:t>
      </w:r>
      <w:r>
        <w:rPr>
          <w:rFonts w:hint="eastAsia"/>
          <w:b/>
          <w:bCs/>
          <w:color w:val="000000" w:themeColor="text1"/>
          <w:szCs w:val="21"/>
          <w:highlight w:val="none"/>
          <w:lang w:val="en-US" w:eastAsia="zh-CN"/>
          <w14:textFill>
            <w14:solidFill>
              <w14:schemeClr w14:val="tx1"/>
            </w14:solidFill>
          </w14:textFill>
        </w:rPr>
        <w:t>五</w:t>
      </w:r>
      <w:r>
        <w:rPr>
          <w:rFonts w:hint="eastAsia"/>
          <w:b/>
          <w:bCs/>
          <w:color w:val="000000" w:themeColor="text1"/>
          <w:szCs w:val="21"/>
          <w:highlight w:val="none"/>
          <w14:textFill>
            <w14:solidFill>
              <w14:schemeClr w14:val="tx1"/>
            </w14:solidFill>
          </w14:textFill>
        </w:rPr>
        <w:t>、发包人违约</w:t>
      </w:r>
    </w:p>
    <w:p w14:paraId="5C6B482E">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1．发包人未能按合同约定支付预付款或合同价款，或拖延、拒绝批准付款申请和支付凭证，导致付款延误的</w:t>
      </w:r>
      <w:r>
        <w:rPr>
          <w:rFonts w:hint="eastAsia" w:ascii="宋体" w:hAnsi="宋体"/>
          <w:color w:val="000000" w:themeColor="text1"/>
          <w:szCs w:val="21"/>
          <w:highlight w:val="none"/>
          <w14:textFill>
            <w14:solidFill>
              <w14:schemeClr w14:val="tx1"/>
            </w14:solidFill>
          </w14:textFill>
        </w:rPr>
        <w:t>。</w:t>
      </w:r>
    </w:p>
    <w:p w14:paraId="1E3B9837">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2.由于发包人下列原因造成停工的：</w:t>
      </w:r>
    </w:p>
    <w:p w14:paraId="0C871DA0">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a.对于关键性节点工程，发包人提供的施工图纸延误或施工图存在差错影响施工，工程变更通知未及时下达导致承包人停工的；</w:t>
      </w:r>
    </w:p>
    <w:p w14:paraId="5B0F7B99">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b</w:t>
      </w:r>
      <w:r>
        <w:rPr>
          <w:rFonts w:hint="eastAsia"/>
          <w:color w:val="000000" w:themeColor="text1"/>
          <w:szCs w:val="21"/>
          <w:highlight w:val="none"/>
          <w14:textFill>
            <w14:solidFill>
              <w14:schemeClr w14:val="tx1"/>
            </w14:solidFill>
          </w14:textFill>
        </w:rPr>
        <w:t>.发包人无法继续履行或明确表示不履行或实质上已停止履行合同的；</w:t>
      </w:r>
    </w:p>
    <w:p w14:paraId="411DAA17">
      <w:pPr>
        <w:spacing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3.因发包人原因导致</w:t>
      </w:r>
      <w:r>
        <w:rPr>
          <w:rFonts w:hint="eastAsia" w:ascii="宋体" w:hAnsi="宋体"/>
          <w:b/>
          <w:bCs/>
          <w:color w:val="000000" w:themeColor="text1"/>
          <w:szCs w:val="21"/>
          <w:highlight w:val="none"/>
          <w14:textFill>
            <w14:solidFill>
              <w14:schemeClr w14:val="tx1"/>
            </w14:solidFill>
          </w14:textFill>
        </w:rPr>
        <w:t>缺陷责任期满后无法移交的。</w:t>
      </w:r>
    </w:p>
    <w:p w14:paraId="12AAE20B">
      <w:pPr>
        <w:spacing w:line="360" w:lineRule="auto"/>
        <w:ind w:firstLine="422" w:firstLineChars="200"/>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十</w:t>
      </w:r>
      <w:r>
        <w:rPr>
          <w:rFonts w:hint="eastAsia"/>
          <w:b/>
          <w:bCs/>
          <w:color w:val="000000" w:themeColor="text1"/>
          <w:szCs w:val="21"/>
          <w:highlight w:val="none"/>
          <w:lang w:val="en-US" w:eastAsia="zh-CN"/>
          <w14:textFill>
            <w14:solidFill>
              <w14:schemeClr w14:val="tx1"/>
            </w14:solidFill>
          </w14:textFill>
        </w:rPr>
        <w:t>六</w:t>
      </w:r>
      <w:r>
        <w:rPr>
          <w:rFonts w:hint="eastAsia"/>
          <w:b/>
          <w:bCs/>
          <w:color w:val="000000" w:themeColor="text1"/>
          <w:szCs w:val="21"/>
          <w:highlight w:val="none"/>
          <w14:textFill>
            <w14:solidFill>
              <w14:schemeClr w14:val="tx1"/>
            </w14:solidFill>
          </w14:textFill>
        </w:rPr>
        <w:t>、承包人违约</w:t>
      </w:r>
    </w:p>
    <w:p w14:paraId="02F885D7">
      <w:pPr>
        <w:tabs>
          <w:tab w:val="left" w:pos="2790"/>
        </w:tabs>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（一）承包人违约的情形</w:t>
      </w:r>
    </w:p>
    <w:p w14:paraId="1F1826B6">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(1)承包人私自将合同的全部或部分权利转让给其他人，或私自将合同的全部或部分义务转移给其他人；</w:t>
      </w:r>
    </w:p>
    <w:p w14:paraId="6AAB327B">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(2)未经监理人批准，承包人私自将已按合同约定进入施工场地的施工设备、临时设施、材料或工程设备撤离施工场地；</w:t>
      </w:r>
    </w:p>
    <w:p w14:paraId="7EAC7296">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(3)承包人使用了不合格材料或工程设备，工程质量达不到标准要求，又拒绝清除不合格工程；</w:t>
      </w:r>
    </w:p>
    <w:p w14:paraId="574A7EA6">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(4)承包人未能按合同进度计划及时完成合同约定的工作，已造成或预期造成工期延误；</w:t>
      </w:r>
    </w:p>
    <w:p w14:paraId="4D1F7CE9">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(5)承包人无法继续履行或明确表示不履行或实质上已停止履行合同；</w:t>
      </w:r>
    </w:p>
    <w:p w14:paraId="40AD0761">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(6)项目已具备开工条件，因承包人原因，承包人未能按期开工；</w:t>
      </w:r>
    </w:p>
    <w:p w14:paraId="64B66E4F">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(7)承包人未按承诺或未按监理人的要求及时配备合同约定的关键施工设备；</w:t>
      </w:r>
    </w:p>
    <w:p w14:paraId="5B36B9C2">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(8)经监理人和发包人检查，发现承包人有</w:t>
      </w:r>
      <w:r>
        <w:rPr>
          <w:rFonts w:hint="eastAsia" w:ascii="宋体" w:hAnsi="宋体" w:cs="宋体"/>
          <w:color w:val="000000" w:themeColor="text1"/>
          <w:szCs w:val="21"/>
          <w:highlight w:val="none"/>
          <w14:textFill>
            <w14:solidFill>
              <w14:schemeClr w14:val="tx1"/>
            </w14:solidFill>
          </w14:textFill>
        </w:rPr>
        <w:t>本项目规定的</w:t>
      </w:r>
      <w:r>
        <w:rPr>
          <w:rFonts w:ascii="宋体" w:hAnsi="宋体" w:cs="宋体"/>
          <w:color w:val="000000" w:themeColor="text1"/>
          <w:szCs w:val="21"/>
          <w:highlight w:val="none"/>
          <w14:textFill>
            <w14:solidFill>
              <w14:schemeClr w14:val="tx1"/>
            </w14:solidFill>
          </w14:textFill>
        </w:rPr>
        <w:t>安全问题或有违反安全管理规章制度的情形；</w:t>
      </w:r>
    </w:p>
    <w:p w14:paraId="12A34525">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(9)工程质量未达到标段验收的质量评定要求的；</w:t>
      </w:r>
    </w:p>
    <w:p w14:paraId="1FD7D6C0">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(10)将发包人支付给承包人的各项价款转移或用于其他工程；</w:t>
      </w:r>
    </w:p>
    <w:p w14:paraId="7F4DB86A">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(11)未按承诺或未按监理人的要求及时配备称职的主要管理人员、技术骨干，或未按规定替换，或擅离职守的；</w:t>
      </w:r>
      <w:r>
        <w:rPr>
          <w:rFonts w:hint="eastAsia" w:ascii="宋体" w:hAnsi="宋体" w:cs="宋体"/>
          <w:color w:val="000000" w:themeColor="text1"/>
          <w:szCs w:val="21"/>
          <w:highlight w:val="none"/>
          <w14:textFill>
            <w14:solidFill>
              <w14:schemeClr w14:val="tx1"/>
            </w14:solidFill>
          </w14:textFill>
        </w:rPr>
        <w:t>未及时配备称职的主要管理人员或主要管理人员报备时提供虚假资料的；</w:t>
      </w:r>
    </w:p>
    <w:p w14:paraId="54C9883C">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(12)</w:t>
      </w:r>
      <w:r>
        <w:rPr>
          <w:rFonts w:hint="eastAsia" w:ascii="宋体" w:hAnsi="宋体" w:cs="宋体"/>
          <w:color w:val="000000" w:themeColor="text1"/>
          <w:szCs w:val="21"/>
          <w:highlight w:val="none"/>
          <w14:textFill>
            <w14:solidFill>
              <w14:schemeClr w14:val="tx1"/>
            </w14:solidFill>
          </w14:textFill>
        </w:rPr>
        <w:t>发包人</w:t>
      </w:r>
      <w:r>
        <w:rPr>
          <w:rFonts w:ascii="宋体" w:hAnsi="宋体" w:cs="宋体"/>
          <w:color w:val="000000" w:themeColor="text1"/>
          <w:szCs w:val="21"/>
          <w:highlight w:val="none"/>
          <w14:textFill>
            <w14:solidFill>
              <w14:schemeClr w14:val="tx1"/>
            </w14:solidFill>
          </w14:textFill>
        </w:rPr>
        <w:t>在合同实施期间发现承包人在投标时提供了虚假资料的。</w:t>
      </w:r>
    </w:p>
    <w:p w14:paraId="33D84CE6">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(13)安全目标未达到招标文件规定要求的；</w:t>
      </w:r>
    </w:p>
    <w:p w14:paraId="7372D89A">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(14)承包人未按</w:t>
      </w:r>
      <w:r>
        <w:rPr>
          <w:rFonts w:hint="eastAsia" w:ascii="宋体" w:hAnsi="宋体" w:cs="宋体"/>
          <w:color w:val="000000" w:themeColor="text1"/>
          <w:szCs w:val="21"/>
          <w:highlight w:val="none"/>
          <w14:textFill>
            <w14:solidFill>
              <w14:schemeClr w14:val="tx1"/>
            </w14:solidFill>
          </w14:textFill>
        </w:rPr>
        <w:t>发包人的</w:t>
      </w:r>
      <w:r>
        <w:rPr>
          <w:rFonts w:ascii="宋体" w:hAnsi="宋体" w:cs="宋体"/>
          <w:color w:val="000000" w:themeColor="text1"/>
          <w:szCs w:val="21"/>
          <w:highlight w:val="none"/>
          <w14:textFill>
            <w14:solidFill>
              <w14:schemeClr w14:val="tx1"/>
            </w14:solidFill>
          </w14:textFill>
        </w:rPr>
        <w:t>规定期限</w:t>
      </w:r>
      <w:r>
        <w:rPr>
          <w:rFonts w:hint="eastAsia" w:ascii="宋体" w:hAnsi="宋体" w:cs="宋体"/>
          <w:color w:val="000000" w:themeColor="text1"/>
          <w:szCs w:val="21"/>
          <w:highlight w:val="none"/>
          <w14:textFill>
            <w14:solidFill>
              <w14:schemeClr w14:val="tx1"/>
            </w14:solidFill>
          </w14:textFill>
        </w:rPr>
        <w:t>提交验收</w:t>
      </w:r>
      <w:r>
        <w:rPr>
          <w:rFonts w:ascii="宋体" w:hAnsi="宋体" w:cs="宋体"/>
          <w:color w:val="000000" w:themeColor="text1"/>
          <w:szCs w:val="21"/>
          <w:highlight w:val="none"/>
          <w14:textFill>
            <w14:solidFill>
              <w14:schemeClr w14:val="tx1"/>
            </w14:solidFill>
          </w14:textFill>
        </w:rPr>
        <w:t>资料。</w:t>
      </w:r>
    </w:p>
    <w:p w14:paraId="2A781700">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(15)</w:t>
      </w:r>
      <w:r>
        <w:rPr>
          <w:rFonts w:ascii="宋体" w:hAnsi="宋体"/>
          <w:color w:val="000000" w:themeColor="text1"/>
          <w:highlight w:val="none"/>
          <w14:textFill>
            <w14:solidFill>
              <w14:schemeClr w14:val="tx1"/>
            </w14:solidFill>
          </w14:textFill>
        </w:rPr>
        <w:t>未按监理人或发包人发出的指示及时进行整改或逾期整改或产生恶劣影响的;</w:t>
      </w:r>
    </w:p>
    <w:p w14:paraId="51372DD7">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(16)</w:t>
      </w:r>
      <w:r>
        <w:rPr>
          <w:rFonts w:hint="eastAsia" w:ascii="宋体" w:hAnsi="宋体" w:cs="宋体"/>
          <w:color w:val="000000" w:themeColor="text1"/>
          <w:szCs w:val="21"/>
          <w:highlight w:val="none"/>
          <w14:textFill>
            <w14:solidFill>
              <w14:schemeClr w14:val="tx1"/>
            </w14:solidFill>
          </w14:textFill>
        </w:rPr>
        <w:t>在合同实施期间发现承包人未按招标文件、合同协议书的要求和规定时间及监理人、发包人和行业主管部门的要求及时报送有关资料的；</w:t>
      </w:r>
    </w:p>
    <w:p w14:paraId="3DB7996F">
      <w:pPr>
        <w:tabs>
          <w:tab w:val="left" w:pos="2790"/>
        </w:tabs>
        <w:spacing w:line="360" w:lineRule="auto"/>
        <w:ind w:firstLine="420" w:firstLineChars="200"/>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7</w:t>
      </w:r>
      <w:r>
        <w:rPr>
          <w:rFonts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承包人在缺陷责任期内，未能对工程接收证书所列的缺陷清单的内容或缺陷责任期内发生的缺陷进行修复，而又拒绝按监理人指示再进行修补。</w:t>
      </w:r>
    </w:p>
    <w:p w14:paraId="39196BD6">
      <w:pPr>
        <w:tabs>
          <w:tab w:val="left" w:pos="2790"/>
        </w:tabs>
        <w:spacing w:line="360" w:lineRule="auto"/>
        <w:ind w:firstLine="420" w:firstLineChars="20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（18）对于土方的开挖、回填、车辆运输以及绿化养护方案未报监理人及发包人同意的或监理人或业主对绿化养护方案中投入的人员、设备不达标的。</w:t>
      </w:r>
    </w:p>
    <w:p w14:paraId="202C521B">
      <w:pPr>
        <w:pStyle w:val="7"/>
        <w:tabs>
          <w:tab w:val="left" w:pos="2790"/>
        </w:tabs>
        <w:spacing w:line="360" w:lineRule="auto"/>
        <w:ind w:firstLine="422" w:firstLineChars="200"/>
        <w:rPr>
          <w:rFonts w:hint="default"/>
          <w:color w:val="000000" w:themeColor="text1"/>
          <w:szCs w:val="21"/>
          <w:highlight w:val="none"/>
          <w:lang w:val="en-US"/>
          <w14:textFill>
            <w14:solidFill>
              <w14:schemeClr w14:val="tx1"/>
            </w14:solidFill>
          </w14:textFill>
        </w:rPr>
      </w:pPr>
      <w:bookmarkStart w:id="1198" w:name="_Toc118195888"/>
      <w:bookmarkStart w:id="1199" w:name="_Toc8292"/>
      <w:bookmarkStart w:id="1200" w:name="_Toc4651"/>
      <w:bookmarkStart w:id="1201" w:name="_Toc23401"/>
      <w:bookmarkStart w:id="1202" w:name="_Toc20555"/>
      <w:bookmarkStart w:id="1203" w:name="_Toc8089"/>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19</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在</w:t>
      </w:r>
      <w:r>
        <w:rPr>
          <w:rFonts w:hint="eastAsia" w:ascii="宋体" w:hAnsi="宋体" w:cs="宋体"/>
          <w:color w:val="000000" w:themeColor="text1"/>
          <w:szCs w:val="21"/>
          <w:highlight w:val="none"/>
          <w:lang w:eastAsia="zh-CN"/>
          <w14:textFill>
            <w14:solidFill>
              <w14:schemeClr w14:val="tx1"/>
            </w14:solidFill>
          </w14:textFill>
        </w:rPr>
        <w:t>保活期（缺陷责任期）内，所补种苗木规定小于原来苗木规格，</w:t>
      </w:r>
      <w:r>
        <w:rPr>
          <w:rFonts w:hint="eastAsia" w:ascii="宋体" w:hAnsi="宋体" w:cs="宋体"/>
          <w:color w:val="000000" w:themeColor="text1"/>
          <w:szCs w:val="21"/>
          <w:highlight w:val="none"/>
          <w:lang w:val="en-US" w:eastAsia="zh-CN"/>
          <w14:textFill>
            <w14:solidFill>
              <w14:schemeClr w14:val="tx1"/>
            </w14:solidFill>
          </w14:textFill>
        </w:rPr>
        <w:t>或</w:t>
      </w:r>
      <w:r>
        <w:rPr>
          <w:rFonts w:hint="eastAsia" w:ascii="宋体" w:hAnsi="宋体" w:cs="宋体"/>
          <w:color w:val="000000" w:themeColor="text1"/>
          <w:szCs w:val="21"/>
          <w:highlight w:val="none"/>
          <w:lang w:eastAsia="zh-CN"/>
          <w14:textFill>
            <w14:solidFill>
              <w14:schemeClr w14:val="tx1"/>
            </w14:solidFill>
          </w14:textFill>
        </w:rPr>
        <w:t>承包人</w:t>
      </w:r>
      <w:r>
        <w:rPr>
          <w:rFonts w:hint="eastAsia" w:ascii="宋体" w:hAnsi="宋体" w:cs="宋体"/>
          <w:color w:val="000000" w:themeColor="text1"/>
          <w:szCs w:val="21"/>
          <w:highlight w:val="none"/>
          <w:lang w:val="en-US" w:eastAsia="zh-CN"/>
          <w14:textFill>
            <w14:solidFill>
              <w14:schemeClr w14:val="tx1"/>
            </w14:solidFill>
          </w14:textFill>
        </w:rPr>
        <w:t>未按发包人要求及时</w:t>
      </w:r>
      <w:r>
        <w:rPr>
          <w:rFonts w:hint="eastAsia" w:ascii="宋体" w:hAnsi="宋体" w:cs="宋体"/>
          <w:color w:val="000000" w:themeColor="text1"/>
          <w:szCs w:val="21"/>
          <w:highlight w:val="none"/>
          <w:lang w:eastAsia="zh-CN"/>
          <w14:textFill>
            <w14:solidFill>
              <w14:schemeClr w14:val="tx1"/>
            </w14:solidFill>
          </w14:textFill>
        </w:rPr>
        <w:t>补种的</w:t>
      </w:r>
      <w:r>
        <w:rPr>
          <w:rFonts w:hint="eastAsia" w:ascii="宋体" w:hAnsi="宋体" w:cs="宋体"/>
          <w:color w:val="000000" w:themeColor="text1"/>
          <w:szCs w:val="21"/>
          <w:highlight w:val="none"/>
          <w:lang w:val="en-US" w:eastAsia="zh-CN"/>
          <w14:textFill>
            <w14:solidFill>
              <w14:schemeClr w14:val="tx1"/>
            </w14:solidFill>
          </w14:textFill>
        </w:rPr>
        <w:t>。</w:t>
      </w:r>
    </w:p>
    <w:p w14:paraId="0D066D00">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（二）对承包人违约的处理</w:t>
      </w:r>
      <w:bookmarkEnd w:id="1198"/>
      <w:bookmarkEnd w:id="1199"/>
      <w:bookmarkEnd w:id="1200"/>
      <w:bookmarkEnd w:id="1201"/>
      <w:bookmarkEnd w:id="1202"/>
      <w:bookmarkEnd w:id="1203"/>
    </w:p>
    <w:p w14:paraId="7104E8BE">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当承包人发生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条第（一）款</w:t>
      </w:r>
      <w:r>
        <w:rPr>
          <w:rFonts w:ascii="宋体" w:hAnsi="宋体" w:cs="宋体"/>
          <w:color w:val="000000" w:themeColor="text1"/>
          <w:szCs w:val="21"/>
          <w:highlight w:val="none"/>
          <w14:textFill>
            <w14:solidFill>
              <w14:schemeClr w14:val="tx1"/>
            </w14:solidFill>
          </w14:textFill>
        </w:rPr>
        <w:t>约定的违约情形时，发包人有权向承包人课以违约金，具体约定如下：</w:t>
      </w:r>
    </w:p>
    <w:p w14:paraId="7C55ABE8">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a.承包人发生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第（一）款(1)目中的情形，除责令立即纠正外，并课以1％签约合同价的违约金。即使缴纳了违约金，承包人仍应按合同规定继续实施和完成本合同工程；</w:t>
      </w:r>
    </w:p>
    <w:p w14:paraId="5404E138">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b.承包人发生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 xml:space="preserve">第（一）款(2)目中的情形，在发包人向承包人发出书面通知的14天内未见纠正后，发包人将向承包人课以不超过材料和工程设备价值两倍的违约金； </w:t>
      </w:r>
    </w:p>
    <w:p w14:paraId="3EC268D4">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c.承包人发生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(3)目情形，在发包人向承包人发出书面通知的14天内未见纠正后，发包人将按每一情形酌情向承包人课以不超过0.5％签约合同价的违约金。即使缴纳了违约金，承包人仍应按合同规定继续实施和完成本合同工程；</w:t>
      </w:r>
    </w:p>
    <w:p w14:paraId="4172CF0A">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d.承包人发生第</w:t>
      </w:r>
      <w:r>
        <w:rPr>
          <w:rFonts w:hint="eastAsia" w:ascii="宋体" w:hAnsi="宋体" w:cs="宋体"/>
          <w:color w:val="000000" w:themeColor="text1"/>
          <w:highlight w:val="none"/>
          <w14:textFill>
            <w14:solidFill>
              <w14:schemeClr w14:val="tx1"/>
            </w14:solidFill>
          </w14:textFill>
        </w:rPr>
        <w:t>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第（一）款(4)目情形，</w:t>
      </w:r>
      <w:r>
        <w:rPr>
          <w:rFonts w:hint="eastAsia" w:ascii="宋体" w:hAnsi="宋体" w:cs="宋体"/>
          <w:color w:val="000000" w:themeColor="text1"/>
          <w:szCs w:val="21"/>
          <w:highlight w:val="none"/>
          <w14:textFill>
            <w14:solidFill>
              <w14:schemeClr w14:val="tx1"/>
            </w14:solidFill>
          </w14:textFill>
        </w:rPr>
        <w:t>课以</w:t>
      </w:r>
      <w:r>
        <w:rPr>
          <w:rFonts w:ascii="宋体" w:hAnsi="宋体" w:cs="宋体"/>
          <w:color w:val="000000" w:themeColor="text1"/>
          <w:highlight w:val="none"/>
          <w:u w:val="single"/>
          <w14:textFill>
            <w14:solidFill>
              <w14:schemeClr w14:val="tx1"/>
            </w14:solidFill>
          </w14:textFill>
        </w:rPr>
        <w:t xml:space="preserve">5000 </w:t>
      </w:r>
      <w:r>
        <w:rPr>
          <w:rFonts w:hint="eastAsia" w:ascii="宋体" w:hAnsi="宋体" w:cs="宋体"/>
          <w:color w:val="000000" w:themeColor="text1"/>
          <w:szCs w:val="21"/>
          <w:highlight w:val="none"/>
          <w14:textFill>
            <w14:solidFill>
              <w14:schemeClr w14:val="tx1"/>
            </w14:solidFill>
          </w14:textFill>
        </w:rPr>
        <w:t>元／天的逾期交工违约金，逾期交工违约金限额：</w:t>
      </w:r>
      <w:r>
        <w:rPr>
          <w:rFonts w:ascii="宋体" w:hAnsi="宋体" w:cs="宋体"/>
          <w:color w:val="000000" w:themeColor="text1"/>
          <w:highlight w:val="none"/>
          <w:u w:val="single"/>
          <w14:textFill>
            <w14:solidFill>
              <w14:schemeClr w14:val="tx1"/>
            </w14:solidFill>
          </w14:textFill>
        </w:rPr>
        <w:t xml:space="preserve">10 </w:t>
      </w:r>
      <w:r>
        <w:rPr>
          <w:rFonts w:ascii="宋体" w:hAnsi="宋体" w:cs="宋体"/>
          <w:color w:val="000000" w:themeColor="text1"/>
          <w:szCs w:val="21"/>
          <w:highlight w:val="none"/>
          <w14:textFill>
            <w14:solidFill>
              <w14:schemeClr w14:val="tx1"/>
            </w14:solidFill>
          </w14:textFill>
        </w:rPr>
        <w:t>%签约合同价；</w:t>
      </w:r>
    </w:p>
    <w:p w14:paraId="0F4B58C3">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e</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承包人发生第十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条第（一）款</w:t>
      </w:r>
      <w:r>
        <w:rPr>
          <w:rFonts w:ascii="宋体" w:hAnsi="宋体" w:cs="宋体"/>
          <w:color w:val="000000" w:themeColor="text1"/>
          <w:highlight w:val="none"/>
          <w14:textFill>
            <w14:solidFill>
              <w14:schemeClr w14:val="tx1"/>
            </w14:solidFill>
          </w14:textFill>
        </w:rPr>
        <w:t>（5）目约定的违约情形时，发包人可通知承包人立即解除合同，并按有关法律处理。</w:t>
      </w:r>
    </w:p>
    <w:p w14:paraId="00885876">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第（一）款(6)目情形，发包人有权按逾期交工违约金金额的二分之一乘以未按期开工天数处以违约金；</w:t>
      </w:r>
    </w:p>
    <w:p w14:paraId="4D8BF04B">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g</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第（一）款(7)目情形，在发包人向承包人发出书面通知的14天内未见纠正后，发包人将向承包人课以不超过0.5%签约合同价的违约金；</w:t>
      </w:r>
    </w:p>
    <w:p w14:paraId="066B4D56">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h</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第（一）款(8)目情形，发包人将责令整改；情节严重的，将停工整顿，并酌情扣除安全生产费；</w:t>
      </w:r>
    </w:p>
    <w:p w14:paraId="482DC9C9">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i</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第（一）款(9)目情形，则课以不超过1%签约合同价的违约金；</w:t>
      </w:r>
    </w:p>
    <w:p w14:paraId="2A4D5FF4">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j</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第（一）款(10)目情形，则课以与转移（挪用）资金等额的违约金；</w:t>
      </w:r>
    </w:p>
    <w:p w14:paraId="5718C7A3">
      <w:pPr>
        <w:tabs>
          <w:tab w:val="left" w:pos="2790"/>
        </w:tabs>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k</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(11)目情形，项目负责人未经发包人同意擅自离开工地，每天课以违约金3000元／人，若每月在工地天数不足20天（特殊情形经监理人批准报发包人同意例外）者，每不足一天额外课以违约金1000元／人；承包人未经发包人书面同意更换项目负责人课以</w:t>
      </w:r>
      <w:r>
        <w:rPr>
          <w:rFonts w:hint="eastAsia" w:ascii="宋体" w:hAnsi="宋体" w:cs="宋体"/>
          <w:color w:val="000000" w:themeColor="text1"/>
          <w:szCs w:val="21"/>
          <w:highlight w:val="none"/>
          <w:u w:val="single"/>
          <w14:textFill>
            <w14:solidFill>
              <w14:schemeClr w14:val="tx1"/>
            </w14:solidFill>
          </w14:textFill>
        </w:rPr>
        <w:t>8</w:t>
      </w:r>
      <w:r>
        <w:rPr>
          <w:rFonts w:hint="eastAsia" w:ascii="宋体" w:hAnsi="宋体" w:cs="宋体"/>
          <w:color w:val="000000" w:themeColor="text1"/>
          <w:szCs w:val="21"/>
          <w:highlight w:val="none"/>
          <w:u w:val="single"/>
          <w:lang w:val="en-US" w:eastAsia="zh-CN"/>
          <w14:textFill>
            <w14:solidFill>
              <w14:schemeClr w14:val="tx1"/>
            </w14:solidFill>
          </w14:textFill>
        </w:rPr>
        <w:t>0000</w:t>
      </w:r>
      <w:r>
        <w:rPr>
          <w:rFonts w:ascii="宋体" w:hAnsi="宋体" w:cs="宋体"/>
          <w:color w:val="000000" w:themeColor="text1"/>
          <w:szCs w:val="21"/>
          <w:highlight w:val="none"/>
          <w14:textFill>
            <w14:solidFill>
              <w14:schemeClr w14:val="tx1"/>
            </w14:solidFill>
          </w14:textFill>
        </w:rPr>
        <w:t>元/人次的违约金；承包人经发包人书面同意更换项目</w:t>
      </w:r>
      <w:r>
        <w:rPr>
          <w:rFonts w:hint="eastAsia" w:ascii="宋体" w:hAnsi="宋体" w:cs="宋体"/>
          <w:color w:val="000000" w:themeColor="text1"/>
          <w:szCs w:val="21"/>
          <w:highlight w:val="none"/>
          <w14:textFill>
            <w14:solidFill>
              <w14:schemeClr w14:val="tx1"/>
            </w14:solidFill>
          </w14:textFill>
        </w:rPr>
        <w:t>负责人</w:t>
      </w:r>
      <w:r>
        <w:rPr>
          <w:rFonts w:ascii="宋体" w:hAnsi="宋体" w:cs="宋体"/>
          <w:color w:val="000000" w:themeColor="text1"/>
          <w:szCs w:val="21"/>
          <w:highlight w:val="none"/>
          <w14:textFill>
            <w14:solidFill>
              <w14:schemeClr w14:val="tx1"/>
            </w14:solidFill>
          </w14:textFill>
        </w:rPr>
        <w:t>课以</w:t>
      </w:r>
      <w:r>
        <w:rPr>
          <w:rFonts w:hint="eastAsia" w:ascii="宋体" w:hAnsi="宋体" w:cs="宋体"/>
          <w:color w:val="000000" w:themeColor="text1"/>
          <w:szCs w:val="21"/>
          <w:highlight w:val="none"/>
          <w:u w:val="single"/>
          <w14:textFill>
            <w14:solidFill>
              <w14:schemeClr w14:val="tx1"/>
            </w14:solidFill>
          </w14:textFill>
        </w:rPr>
        <w:t>50000</w:t>
      </w:r>
      <w:r>
        <w:rPr>
          <w:rFonts w:ascii="宋体" w:hAnsi="宋体" w:cs="宋体"/>
          <w:color w:val="000000" w:themeColor="text1"/>
          <w:szCs w:val="21"/>
          <w:highlight w:val="none"/>
          <w14:textFill>
            <w14:solidFill>
              <w14:schemeClr w14:val="tx1"/>
            </w14:solidFill>
          </w14:textFill>
        </w:rPr>
        <w:t>元/人次的违约金。</w:t>
      </w:r>
    </w:p>
    <w:p w14:paraId="417BC650">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l</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第（一）款(12)目情形，在合同实施期间发现承包人在投标时提供了虚假材料的，课以不超过5%签约合同价的违约金；</w:t>
      </w:r>
    </w:p>
    <w:p w14:paraId="64A2CC35">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m</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第（一）款(13)目情形，则课以不超过1%签约合同价的违约金。</w:t>
      </w:r>
    </w:p>
    <w:p w14:paraId="0596CF30">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n</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第（一）款(14)目情形，课以不超过0.5％签约合同价的违约金；</w:t>
      </w:r>
    </w:p>
    <w:p w14:paraId="3DCBD755">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o</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第（一）款(15)目情形，</w:t>
      </w:r>
      <w:r>
        <w:rPr>
          <w:rFonts w:hint="eastAsia" w:ascii="宋体" w:hAnsi="宋体" w:cs="宋体"/>
          <w:color w:val="000000" w:themeColor="text1"/>
          <w:szCs w:val="21"/>
          <w:highlight w:val="none"/>
          <w14:textFill>
            <w14:solidFill>
              <w14:schemeClr w14:val="tx1"/>
            </w14:solidFill>
          </w14:textFill>
        </w:rPr>
        <w:t>发包人将视不合格材料使用范围、造成的不合格工程影响，课以1</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w:t>
      </w:r>
      <w:r>
        <w:rPr>
          <w:rFonts w:ascii="宋体" w:hAnsi="宋体" w:cs="宋体"/>
          <w:color w:val="000000" w:themeColor="text1"/>
          <w:szCs w:val="21"/>
          <w:highlight w:val="none"/>
          <w14:textFill>
            <w14:solidFill>
              <w14:schemeClr w14:val="tx1"/>
            </w14:solidFill>
          </w14:textFill>
        </w:rPr>
        <w:t>万元/次的违约金；</w:t>
      </w:r>
    </w:p>
    <w:p w14:paraId="7542DE19">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p</w:t>
      </w:r>
      <w:r>
        <w:rPr>
          <w:rFonts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第（一）款(16)目情形逾期报送的，将视情形酌情课以1</w:t>
      </w:r>
      <w:r>
        <w:rPr>
          <w:rFonts w:hint="eastAsia" w:ascii="宋体" w:hAnsi="宋体" w:cs="宋体"/>
          <w:color w:val="000000" w:themeColor="text1"/>
          <w:szCs w:val="21"/>
          <w:highlight w:val="none"/>
          <w14:textFill>
            <w14:solidFill>
              <w14:schemeClr w14:val="tx1"/>
            </w14:solidFill>
          </w14:textFill>
        </w:rPr>
        <w:t>000</w:t>
      </w:r>
      <w:r>
        <w:rPr>
          <w:rFonts w:ascii="宋体" w:hAnsi="宋体" w:cs="宋体"/>
          <w:color w:val="000000" w:themeColor="text1"/>
          <w:szCs w:val="21"/>
          <w:highlight w:val="none"/>
          <w14:textFill>
            <w14:solidFill>
              <w14:schemeClr w14:val="tx1"/>
            </w14:solidFill>
          </w14:textFill>
        </w:rPr>
        <w:t>元/天的违约金；</w:t>
      </w:r>
    </w:p>
    <w:p w14:paraId="43F493F2">
      <w:pPr>
        <w:tabs>
          <w:tab w:val="left" w:pos="2790"/>
        </w:tabs>
        <w:spacing w:line="360" w:lineRule="auto"/>
        <w:ind w:firstLine="420" w:firstLineChars="200"/>
        <w:rPr>
          <w:rFonts w:hint="eastAsia" w:ascii="宋体" w:hAnsi="宋体"/>
          <w:color w:val="000000" w:themeColor="text1"/>
          <w:highlight w:val="none"/>
          <w14:textFill>
            <w14:solidFill>
              <w14:schemeClr w14:val="tx1"/>
            </w14:solidFill>
          </w14:textFill>
        </w:rPr>
      </w:pPr>
      <w:bookmarkStart w:id="1204" w:name="OLE_LINK12"/>
      <w:r>
        <w:rPr>
          <w:rFonts w:hint="eastAsia" w:ascii="宋体" w:hAnsi="宋体" w:cs="宋体"/>
          <w:color w:val="000000" w:themeColor="text1"/>
          <w:szCs w:val="21"/>
          <w:highlight w:val="none"/>
          <w14:textFill>
            <w14:solidFill>
              <w14:schemeClr w14:val="tx1"/>
            </w14:solidFill>
          </w14:textFill>
        </w:rPr>
        <w:t>q</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w:t>
      </w:r>
      <w:r>
        <w:rPr>
          <w:rFonts w:hint="eastAsia" w:ascii="宋体" w:hAnsi="宋体" w:cs="宋体"/>
          <w:color w:val="000000" w:themeColor="text1"/>
          <w:szCs w:val="21"/>
          <w:highlight w:val="none"/>
          <w14:textFill>
            <w14:solidFill>
              <w14:schemeClr w14:val="tx1"/>
            </w14:solidFill>
          </w14:textFill>
        </w:rPr>
        <w:t>7</w:t>
      </w:r>
      <w:r>
        <w:rPr>
          <w:rFonts w:ascii="宋体" w:hAnsi="宋体" w:cs="宋体"/>
          <w:color w:val="000000" w:themeColor="text1"/>
          <w:szCs w:val="21"/>
          <w:highlight w:val="none"/>
          <w14:textFill>
            <w14:solidFill>
              <w14:schemeClr w14:val="tx1"/>
            </w14:solidFill>
          </w14:textFill>
        </w:rPr>
        <w:t>)目</w:t>
      </w:r>
      <w:r>
        <w:rPr>
          <w:rFonts w:hint="eastAsia" w:ascii="宋体" w:hAnsi="宋体" w:cs="宋体"/>
          <w:color w:val="000000" w:themeColor="text1"/>
          <w:szCs w:val="21"/>
          <w:highlight w:val="none"/>
          <w14:textFill>
            <w14:solidFill>
              <w14:schemeClr w14:val="tx1"/>
            </w14:solidFill>
          </w14:textFill>
        </w:rPr>
        <w:t>情形，</w:t>
      </w:r>
      <w:bookmarkEnd w:id="1204"/>
      <w:r>
        <w:rPr>
          <w:rFonts w:hint="eastAsia" w:ascii="宋体" w:hAnsi="宋体"/>
          <w:color w:val="000000" w:themeColor="text1"/>
          <w:highlight w:val="none"/>
          <w14:textFill>
            <w14:solidFill>
              <w14:schemeClr w14:val="tx1"/>
            </w14:solidFill>
          </w14:textFill>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1AD81741">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r</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w:t>
      </w:r>
      <w:r>
        <w:rPr>
          <w:rFonts w:hint="eastAsia" w:ascii="宋体" w:hAnsi="宋体" w:cs="宋体"/>
          <w:color w:val="000000" w:themeColor="text1"/>
          <w:szCs w:val="21"/>
          <w:highlight w:val="none"/>
          <w14:textFill>
            <w14:solidFill>
              <w14:schemeClr w14:val="tx1"/>
            </w14:solidFill>
          </w14:textFill>
        </w:rPr>
        <w:t>8</w:t>
      </w:r>
      <w:r>
        <w:rPr>
          <w:rFonts w:ascii="宋体" w:hAnsi="宋体" w:cs="宋体"/>
          <w:color w:val="000000" w:themeColor="text1"/>
          <w:szCs w:val="21"/>
          <w:highlight w:val="none"/>
          <w14:textFill>
            <w14:solidFill>
              <w14:schemeClr w14:val="tx1"/>
            </w14:solidFill>
          </w14:textFill>
        </w:rPr>
        <w:t>)目</w:t>
      </w:r>
      <w:r>
        <w:rPr>
          <w:rFonts w:hint="eastAsia" w:ascii="宋体" w:hAnsi="宋体" w:cs="宋体"/>
          <w:color w:val="000000" w:themeColor="text1"/>
          <w:szCs w:val="21"/>
          <w:highlight w:val="none"/>
          <w14:textFill>
            <w14:solidFill>
              <w14:schemeClr w14:val="tx1"/>
            </w14:solidFill>
          </w14:textFill>
        </w:rPr>
        <w:t>情形，发包人将按每一情形每次酌情向承包人课以不超过5万元的违约金。</w:t>
      </w:r>
    </w:p>
    <w:p w14:paraId="2F8DE962">
      <w:pPr>
        <w:pageBreakBefore w:val="0"/>
        <w:kinsoku/>
        <w:wordWrap/>
        <w:overflowPunct/>
        <w:topLinePunct w:val="0"/>
        <w:autoSpaceDE/>
        <w:autoSpaceDN/>
        <w:bidi w:val="0"/>
        <w:adjustRightInd/>
        <w:snapToGrid/>
        <w:spacing w:line="440" w:lineRule="exact"/>
        <w:ind w:left="0" w:leftChars="0" w:firstLine="420" w:firstLineChars="200"/>
        <w:textAlignment w:val="auto"/>
        <w:outlineLvl w:val="9"/>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t</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承包人发生</w:t>
      </w:r>
      <w:r>
        <w:rPr>
          <w:rFonts w:hint="eastAsia" w:ascii="宋体" w:hAnsi="宋体" w:cs="宋体"/>
          <w:color w:val="000000" w:themeColor="text1"/>
          <w:highlight w:val="none"/>
          <w14:textFill>
            <w14:solidFill>
              <w14:schemeClr w14:val="tx1"/>
            </w14:solidFill>
          </w14:textFill>
        </w:rPr>
        <w:t>第十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条</w:t>
      </w:r>
      <w:r>
        <w:rPr>
          <w:rFonts w:ascii="宋体" w:hAnsi="宋体" w:cs="宋体"/>
          <w:color w:val="000000" w:themeColor="text1"/>
          <w:szCs w:val="21"/>
          <w:highlight w:val="none"/>
          <w14:textFill>
            <w14:solidFill>
              <w14:schemeClr w14:val="tx1"/>
            </w14:solidFill>
          </w14:textFill>
        </w:rPr>
        <w:t>第（一）款(1</w:t>
      </w:r>
      <w:r>
        <w:rPr>
          <w:rFonts w:hint="eastAsia" w:ascii="宋体" w:hAnsi="宋体" w:cs="宋体"/>
          <w:color w:val="000000" w:themeColor="text1"/>
          <w:szCs w:val="21"/>
          <w:highlight w:val="none"/>
          <w:lang w:val="en-US" w:eastAsia="zh-CN"/>
          <w14:textFill>
            <w14:solidFill>
              <w14:schemeClr w14:val="tx1"/>
            </w14:solidFill>
          </w14:textFill>
        </w:rPr>
        <w:t>9</w:t>
      </w:r>
      <w:r>
        <w:rPr>
          <w:rFonts w:ascii="宋体" w:hAnsi="宋体" w:cs="宋体"/>
          <w:color w:val="000000" w:themeColor="text1"/>
          <w:szCs w:val="21"/>
          <w:highlight w:val="none"/>
          <w14:textFill>
            <w14:solidFill>
              <w14:schemeClr w14:val="tx1"/>
            </w14:solidFill>
          </w14:textFill>
        </w:rPr>
        <w:t>)目</w:t>
      </w:r>
      <w:r>
        <w:rPr>
          <w:rFonts w:hint="eastAsia" w:ascii="宋体" w:hAnsi="宋体" w:cs="宋体"/>
          <w:color w:val="000000" w:themeColor="text1"/>
          <w:szCs w:val="21"/>
          <w:highlight w:val="none"/>
          <w14:textFill>
            <w14:solidFill>
              <w14:schemeClr w14:val="tx1"/>
            </w14:solidFill>
          </w14:textFill>
        </w:rPr>
        <w:t>情形，</w:t>
      </w:r>
      <w:r>
        <w:rPr>
          <w:rFonts w:hint="eastAsia" w:ascii="宋体" w:hAnsi="宋体" w:cs="宋体"/>
          <w:color w:val="000000" w:themeColor="text1"/>
          <w:szCs w:val="21"/>
          <w:highlight w:val="none"/>
          <w:lang w:val="en-US" w:eastAsia="zh-CN"/>
          <w14:textFill>
            <w14:solidFill>
              <w14:schemeClr w14:val="tx1"/>
            </w14:solidFill>
          </w14:textFill>
        </w:rPr>
        <w:t>经发包人通知承包人限期进行补种后，承包人逾期补种的（虽未逾期补种但补种的不符合要求的苗木），课以不超过0.5%签约合同价的违约金。即使缴纳了违约金，承包人仍应按合同规定补种符合要求的苗木，如承包人拒不补种，发包方有权请其他施工单位补种，费用由承包方支付。</w:t>
      </w:r>
    </w:p>
    <w:p w14:paraId="4CE9FE7A">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十</w:t>
      </w:r>
      <w:r>
        <w:rPr>
          <w:rFonts w:hint="eastAsia"/>
          <w:color w:val="000000" w:themeColor="text1"/>
          <w:szCs w:val="21"/>
          <w:highlight w:val="none"/>
          <w:lang w:val="en-US" w:eastAsia="zh-CN"/>
          <w14:textFill>
            <w14:solidFill>
              <w14:schemeClr w14:val="tx1"/>
            </w14:solidFill>
          </w14:textFill>
        </w:rPr>
        <w:t>七</w:t>
      </w:r>
      <w:r>
        <w:rPr>
          <w:rFonts w:hint="eastAsia"/>
          <w:color w:val="000000" w:themeColor="text1"/>
          <w:szCs w:val="21"/>
          <w:highlight w:val="none"/>
          <w14:textFill>
            <w14:solidFill>
              <w14:schemeClr w14:val="tx1"/>
            </w14:solidFill>
          </w14:textFill>
        </w:rPr>
        <w:t>、承包人项目经理：</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。承包人项目技术负责人：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w:t>
      </w:r>
    </w:p>
    <w:p w14:paraId="2470CF23">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十</w:t>
      </w:r>
      <w:r>
        <w:rPr>
          <w:rFonts w:hint="eastAsia"/>
          <w:color w:val="000000" w:themeColor="text1"/>
          <w:szCs w:val="21"/>
          <w:highlight w:val="none"/>
          <w:lang w:val="en-US" w:eastAsia="zh-CN"/>
          <w14:textFill>
            <w14:solidFill>
              <w14:schemeClr w14:val="tx1"/>
            </w14:solidFill>
          </w14:textFill>
        </w:rPr>
        <w:t>八</w:t>
      </w:r>
      <w:r>
        <w:rPr>
          <w:rFonts w:hint="eastAsia"/>
          <w:color w:val="000000" w:themeColor="text1"/>
          <w:szCs w:val="21"/>
          <w:highlight w:val="none"/>
          <w14:textFill>
            <w14:solidFill>
              <w14:schemeClr w14:val="tx1"/>
            </w14:solidFill>
          </w14:textFill>
        </w:rPr>
        <w:t>、发包人和承包人双方的责任和义务及违约条款遵照合同条款的规定。</w:t>
      </w:r>
    </w:p>
    <w:p w14:paraId="30EC880C">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十</w:t>
      </w:r>
      <w:r>
        <w:rPr>
          <w:rFonts w:hint="eastAsia"/>
          <w:color w:val="000000" w:themeColor="text1"/>
          <w:szCs w:val="21"/>
          <w:highlight w:val="none"/>
          <w:lang w:val="en-US" w:eastAsia="zh-CN"/>
          <w14:textFill>
            <w14:solidFill>
              <w14:schemeClr w14:val="tx1"/>
            </w14:solidFill>
          </w14:textFill>
        </w:rPr>
        <w:t>九</w:t>
      </w:r>
      <w:r>
        <w:rPr>
          <w:rFonts w:hint="eastAsia"/>
          <w:color w:val="000000" w:themeColor="text1"/>
          <w:szCs w:val="21"/>
          <w:highlight w:val="none"/>
          <w14:textFill>
            <w14:solidFill>
              <w14:schemeClr w14:val="tx1"/>
            </w14:solidFill>
          </w14:textFill>
        </w:rPr>
        <w:t>、本合同协议书在承包人接到</w:t>
      </w:r>
      <w:r>
        <w:rPr>
          <w:color w:val="000000" w:themeColor="text1"/>
          <w:szCs w:val="21"/>
          <w:highlight w:val="none"/>
          <w14:textFill>
            <w14:solidFill>
              <w14:schemeClr w14:val="tx1"/>
            </w14:solidFill>
          </w14:textFill>
        </w:rPr>
        <w:t>中标</w:t>
      </w:r>
      <w:r>
        <w:rPr>
          <w:rFonts w:hint="eastAsia"/>
          <w:color w:val="000000" w:themeColor="text1"/>
          <w:szCs w:val="21"/>
          <w:highlight w:val="none"/>
          <w14:textFill>
            <w14:solidFill>
              <w14:schemeClr w14:val="tx1"/>
            </w14:solidFill>
          </w14:textFill>
        </w:rPr>
        <w:t>通</w:t>
      </w:r>
      <w:r>
        <w:rPr>
          <w:color w:val="000000" w:themeColor="text1"/>
          <w:szCs w:val="21"/>
          <w:highlight w:val="none"/>
          <w14:textFill>
            <w14:solidFill>
              <w14:schemeClr w14:val="tx1"/>
            </w14:solidFill>
          </w14:textFill>
        </w:rPr>
        <w:t>知书</w:t>
      </w:r>
      <w:r>
        <w:rPr>
          <w:rFonts w:hint="eastAsia"/>
          <w:color w:val="000000" w:themeColor="text1"/>
          <w:szCs w:val="21"/>
          <w:highlight w:val="none"/>
          <w14:textFill>
            <w14:solidFill>
              <w14:schemeClr w14:val="tx1"/>
            </w14:solidFill>
          </w14:textFill>
        </w:rPr>
        <w:t>后，由双方法定代表人或其委托代理人签署并加盖单位章后生效。</w:t>
      </w:r>
    </w:p>
    <w:p w14:paraId="13EEDE30">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二十</w:t>
      </w:r>
      <w:r>
        <w:rPr>
          <w:rFonts w:hint="eastAsia"/>
          <w:color w:val="000000" w:themeColor="text1"/>
          <w:szCs w:val="21"/>
          <w:highlight w:val="none"/>
          <w14:textFill>
            <w14:solidFill>
              <w14:schemeClr w14:val="tx1"/>
            </w14:solidFill>
          </w14:textFill>
        </w:rPr>
        <w:t>、本合同协议书正本</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份、副本</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份，合同双方各执正本</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份</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14:textFill>
            <w14:solidFill>
              <w14:schemeClr w14:val="tx1"/>
            </w14:solidFill>
          </w14:textFill>
        </w:rPr>
        <w:t>副本</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份，当正本与副本的内容不一致时，以正本为准。</w:t>
      </w:r>
    </w:p>
    <w:p w14:paraId="0E8FFE52">
      <w:pPr>
        <w:pStyle w:val="7"/>
        <w:tabs>
          <w:tab w:val="left" w:pos="2790"/>
        </w:tabs>
        <w:spacing w:line="360" w:lineRule="auto"/>
        <w:ind w:firstLine="420" w:firstLineChars="20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二十</w:t>
      </w:r>
      <w:r>
        <w:rPr>
          <w:rFonts w:hint="eastAsia"/>
          <w:color w:val="000000" w:themeColor="text1"/>
          <w:szCs w:val="21"/>
          <w:highlight w:val="none"/>
          <w:lang w:val="en-US" w:eastAsia="zh-CN"/>
          <w14:textFill>
            <w14:solidFill>
              <w14:schemeClr w14:val="tx1"/>
            </w14:solidFill>
          </w14:textFill>
        </w:rPr>
        <w:t>一</w:t>
      </w:r>
      <w:r>
        <w:rPr>
          <w:rFonts w:hint="eastAsia"/>
          <w:color w:val="000000" w:themeColor="text1"/>
          <w:szCs w:val="21"/>
          <w:highlight w:val="none"/>
          <w14:textFill>
            <w14:solidFill>
              <w14:schemeClr w14:val="tx1"/>
            </w14:solidFill>
          </w14:textFill>
        </w:rPr>
        <w:t>、合同未尽事宜，双方参照《标准施工招标文件》、</w:t>
      </w:r>
      <w:r>
        <w:rPr>
          <w:rFonts w:hint="eastAsia" w:ascii="宋体" w:hAnsi="宋体" w:cs="宋体"/>
          <w:color w:val="000000" w:themeColor="text1"/>
          <w:szCs w:val="21"/>
          <w:highlight w:val="none"/>
          <w14:textFill>
            <w14:solidFill>
              <w14:schemeClr w14:val="tx1"/>
            </w14:solidFill>
          </w14:textFill>
        </w:rPr>
        <w:t>“通用合同条款”、“</w:t>
      </w:r>
      <w:r>
        <w:rPr>
          <w:rFonts w:ascii="宋体" w:hAnsi="宋体" w:cs="宋体"/>
          <w:color w:val="000000" w:themeColor="text1"/>
          <w:szCs w:val="21"/>
          <w:highlight w:val="none"/>
          <w14:textFill>
            <w14:solidFill>
              <w14:schemeClr w14:val="tx1"/>
            </w14:solidFill>
          </w14:textFill>
        </w:rPr>
        <w:t>A.公路工程专用合同条款”</w:t>
      </w:r>
      <w:r>
        <w:rPr>
          <w:rFonts w:hint="eastAsia"/>
          <w:color w:val="000000" w:themeColor="text1"/>
          <w:szCs w:val="21"/>
          <w:highlight w:val="none"/>
          <w14:textFill>
            <w14:solidFill>
              <w14:schemeClr w14:val="tx1"/>
            </w14:solidFill>
          </w14:textFill>
        </w:rPr>
        <w:t>，另行签订补充协议。补充协议是合同的组成部分。</w:t>
      </w:r>
    </w:p>
    <w:p w14:paraId="6E2707B7">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br w:type="page"/>
      </w:r>
    </w:p>
    <w:p w14:paraId="26948D7C">
      <w:pPr>
        <w:pStyle w:val="7"/>
        <w:tabs>
          <w:tab w:val="left" w:pos="2790"/>
        </w:tabs>
        <w:spacing w:line="360" w:lineRule="auto"/>
        <w:ind w:firstLine="420" w:firstLineChars="200"/>
        <w:rPr>
          <w:rFonts w:hint="eastAsia"/>
          <w:color w:val="000000" w:themeColor="text1"/>
          <w:szCs w:val="21"/>
          <w:highlight w:val="none"/>
          <w14:textFill>
            <w14:solidFill>
              <w14:schemeClr w14:val="tx1"/>
            </w14:solidFill>
          </w14:textFill>
        </w:rPr>
      </w:pPr>
    </w:p>
    <w:p w14:paraId="4670CE86">
      <w:pPr>
        <w:adjustRightInd w:val="0"/>
        <w:snapToGrid w:val="0"/>
        <w:spacing w:line="400" w:lineRule="exact"/>
        <w:rPr>
          <w:color w:val="000000" w:themeColor="text1"/>
          <w:szCs w:val="21"/>
          <w:highlight w:val="none"/>
          <w14:textFill>
            <w14:solidFill>
              <w14:schemeClr w14:val="tx1"/>
            </w14:solidFill>
          </w14:textFill>
        </w:rPr>
      </w:pPr>
    </w:p>
    <w:p w14:paraId="068E27A0">
      <w:pPr>
        <w:adjustRightInd w:val="0"/>
        <w:snapToGrid w:val="0"/>
        <w:spacing w:line="400" w:lineRule="exact"/>
        <w:jc w:val="left"/>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发包人：</w:t>
      </w:r>
      <w:r>
        <w:rPr>
          <w:rFonts w:hint="eastAsia" w:hAnsi="宋体"/>
          <w:color w:val="000000" w:themeColor="text1"/>
          <w:szCs w:val="21"/>
          <w:highlight w:val="none"/>
          <w:u w:val="single"/>
          <w14:textFill>
            <w14:solidFill>
              <w14:schemeClr w14:val="tx1"/>
            </w14:solidFill>
          </w14:textFill>
        </w:rPr>
        <w:t xml:space="preserve"> </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（盖章）  承包人：</w:t>
      </w:r>
      <w:r>
        <w:rPr>
          <w:rFonts w:hint="eastAsia" w:hAnsi="宋体"/>
          <w:color w:val="000000" w:themeColor="text1"/>
          <w:szCs w:val="21"/>
          <w:highlight w:val="none"/>
          <w:u w:val="single"/>
          <w14:textFill>
            <w14:solidFill>
              <w14:schemeClr w14:val="tx1"/>
            </w14:solidFill>
          </w14:textFill>
        </w:rPr>
        <w:t xml:space="preserve"> </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（盖章）</w:t>
      </w:r>
    </w:p>
    <w:p w14:paraId="2BCF0986">
      <w:pPr>
        <w:adjustRightInd w:val="0"/>
        <w:snapToGrid w:val="0"/>
        <w:spacing w:line="400" w:lineRule="exact"/>
        <w:jc w:val="left"/>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法定代表人                                   法定代表人</w:t>
      </w:r>
    </w:p>
    <w:p w14:paraId="0A90500C">
      <w:pPr>
        <w:adjustRightInd w:val="0"/>
        <w:snapToGrid w:val="0"/>
        <w:spacing w:line="400" w:lineRule="exact"/>
        <w:jc w:val="left"/>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        或                                         或</w:t>
      </w:r>
    </w:p>
    <w:p w14:paraId="5368F8A3">
      <w:pPr>
        <w:adjustRightInd w:val="0"/>
        <w:snapToGrid w:val="0"/>
        <w:spacing w:line="400" w:lineRule="exact"/>
        <w:ind w:right="105"/>
        <w:jc w:val="left"/>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其委托代理人</w:t>
      </w:r>
      <w:r>
        <w:rPr>
          <w:rFonts w:hint="eastAsia" w:hAnsi="宋体"/>
          <w:color w:val="000000" w:themeColor="text1"/>
          <w:szCs w:val="21"/>
          <w:highlight w:val="none"/>
          <w:u w:val="single"/>
          <w14:textFill>
            <w14:solidFill>
              <w14:schemeClr w14:val="tx1"/>
            </w14:solidFill>
          </w14:textFill>
        </w:rPr>
        <w:t xml:space="preserve">            </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u w:val="single"/>
          <w14:textFill>
            <w14:solidFill>
              <w14:schemeClr w14:val="tx1"/>
            </w14:solidFill>
          </w14:textFill>
        </w:rPr>
        <w:t xml:space="preserve"> </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u w:val="single"/>
          <w14:textFill>
            <w14:solidFill>
              <w14:schemeClr w14:val="tx1"/>
            </w14:solidFill>
          </w14:textFill>
        </w:rPr>
        <w:t>（签字）</w:t>
      </w:r>
      <w:r>
        <w:rPr>
          <w:rFonts w:hint="eastAsia" w:hAnsi="宋体"/>
          <w:color w:val="000000" w:themeColor="text1"/>
          <w:szCs w:val="21"/>
          <w:highlight w:val="none"/>
          <w14:textFill>
            <w14:solidFill>
              <w14:schemeClr w14:val="tx1"/>
            </w14:solidFill>
          </w14:textFill>
        </w:rPr>
        <w:t xml:space="preserve"> </w:t>
      </w:r>
      <w:r>
        <w:rPr>
          <w:rFonts w:hAnsi="宋体"/>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    其委托代理人</w:t>
      </w:r>
      <w:r>
        <w:rPr>
          <w:rFonts w:hint="eastAsia" w:hAnsi="宋体"/>
          <w:color w:val="000000" w:themeColor="text1"/>
          <w:szCs w:val="21"/>
          <w:highlight w:val="none"/>
          <w:u w:val="single"/>
          <w14:textFill>
            <w14:solidFill>
              <w14:schemeClr w14:val="tx1"/>
            </w14:solidFill>
          </w14:textFill>
        </w:rPr>
        <w:t xml:space="preserve">       </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u w:val="single"/>
          <w14:textFill>
            <w14:solidFill>
              <w14:schemeClr w14:val="tx1"/>
            </w14:solidFill>
          </w14:textFill>
        </w:rPr>
        <w:t xml:space="preserve">       （签字）</w:t>
      </w:r>
    </w:p>
    <w:p w14:paraId="17C3F1E1">
      <w:pPr>
        <w:adjustRightInd w:val="0"/>
        <w:snapToGrid w:val="0"/>
        <w:spacing w:line="400" w:lineRule="exact"/>
        <w:jc w:val="left"/>
        <w:rPr>
          <w:rFonts w:hAnsi="宋体"/>
          <w:color w:val="000000" w:themeColor="text1"/>
          <w:szCs w:val="21"/>
          <w:highlight w:val="none"/>
          <w14:textFill>
            <w14:solidFill>
              <w14:schemeClr w14:val="tx1"/>
            </w14:solidFill>
          </w14:textFill>
        </w:rPr>
      </w:pPr>
    </w:p>
    <w:p w14:paraId="6220CA14">
      <w:pPr>
        <w:adjustRightInd w:val="0"/>
        <w:snapToGrid w:val="0"/>
        <w:spacing w:line="400" w:lineRule="exact"/>
        <w:jc w:val="left"/>
        <w:rPr>
          <w:rFonts w:hAnsi="宋体"/>
          <w:color w:val="000000" w:themeColor="text1"/>
          <w:szCs w:val="21"/>
          <w:highlight w:val="none"/>
          <w14:textFill>
            <w14:solidFill>
              <w14:schemeClr w14:val="tx1"/>
            </w14:solidFill>
          </w14:textFill>
        </w:rPr>
        <w:sectPr>
          <w:headerReference r:id="rId7" w:type="default"/>
          <w:footerReference r:id="rId8" w:type="default"/>
          <w:footnotePr>
            <w:numFmt w:val="decimalEnclosedCircleChinese"/>
            <w:numRestart w:val="eachPage"/>
          </w:footnotePr>
          <w:pgSz w:w="11906" w:h="16838"/>
          <w:pgMar w:top="1417" w:right="1417" w:bottom="1417" w:left="1417" w:header="851" w:footer="992" w:gutter="0"/>
          <w:pgNumType w:fmt="decimal"/>
          <w:cols w:space="720" w:num="1"/>
          <w:docGrid w:type="lines" w:linePitch="317" w:charSpace="0"/>
        </w:sectPr>
      </w:pPr>
      <w:r>
        <w:rPr>
          <w:rFonts w:hint="eastAsia" w:hAnsi="宋体"/>
          <w:color w:val="000000" w:themeColor="text1"/>
          <w:szCs w:val="21"/>
          <w:highlight w:val="none"/>
          <w14:textFill>
            <w14:solidFill>
              <w14:schemeClr w14:val="tx1"/>
            </w14:solidFill>
          </w14:textFill>
        </w:rPr>
        <w:t>日期：</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年</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月</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日                   日期：</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年</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月</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日</w:t>
      </w:r>
    </w:p>
    <w:p w14:paraId="03040011">
      <w:pPr>
        <w:tabs>
          <w:tab w:val="left" w:pos="2790"/>
        </w:tabs>
        <w:spacing w:line="360" w:lineRule="auto"/>
        <w:outlineLvl w:val="2"/>
        <w:rPr>
          <w:rFonts w:hAnsi="宋体"/>
          <w:b/>
          <w:bCs/>
          <w:color w:val="000000" w:themeColor="text1"/>
          <w:sz w:val="24"/>
          <w:szCs w:val="21"/>
          <w:highlight w:val="none"/>
          <w14:textFill>
            <w14:solidFill>
              <w14:schemeClr w14:val="tx1"/>
            </w14:solidFill>
          </w14:textFill>
        </w:rPr>
      </w:pPr>
      <w:bookmarkStart w:id="1205" w:name="_Toc140587207"/>
      <w:bookmarkStart w:id="1206" w:name="_Toc20690"/>
      <w:bookmarkStart w:id="1207" w:name="_Toc14606"/>
      <w:r>
        <w:rPr>
          <w:rFonts w:hint="eastAsia" w:hAnsi="宋体"/>
          <w:b/>
          <w:bCs/>
          <w:color w:val="000000" w:themeColor="text1"/>
          <w:sz w:val="24"/>
          <w:szCs w:val="21"/>
          <w:highlight w:val="none"/>
          <w14:textFill>
            <w14:solidFill>
              <w14:schemeClr w14:val="tx1"/>
            </w14:solidFill>
          </w14:textFill>
        </w:rPr>
        <w:t>附件一</w:t>
      </w:r>
      <w:r>
        <w:rPr>
          <w:rFonts w:hAnsi="宋体"/>
          <w:b/>
          <w:bCs/>
          <w:color w:val="000000" w:themeColor="text1"/>
          <w:sz w:val="24"/>
          <w:szCs w:val="21"/>
          <w:highlight w:val="none"/>
          <w14:textFill>
            <w14:solidFill>
              <w14:schemeClr w14:val="tx1"/>
            </w14:solidFill>
          </w14:textFill>
        </w:rPr>
        <w:t xml:space="preserve"> </w:t>
      </w:r>
      <w:r>
        <w:rPr>
          <w:rFonts w:hint="eastAsia" w:hAnsi="宋体"/>
          <w:b/>
          <w:bCs/>
          <w:color w:val="000000" w:themeColor="text1"/>
          <w:sz w:val="24"/>
          <w:szCs w:val="21"/>
          <w:highlight w:val="none"/>
          <w14:textFill>
            <w14:solidFill>
              <w14:schemeClr w14:val="tx1"/>
            </w14:solidFill>
          </w14:textFill>
        </w:rPr>
        <w:t>廉政合同</w:t>
      </w:r>
      <w:bookmarkEnd w:id="1205"/>
      <w:bookmarkEnd w:id="1206"/>
      <w:bookmarkEnd w:id="1207"/>
    </w:p>
    <w:p w14:paraId="474582E0">
      <w:pPr>
        <w:tabs>
          <w:tab w:val="left" w:pos="2790"/>
        </w:tabs>
        <w:spacing w:line="420" w:lineRule="exact"/>
        <w:jc w:val="center"/>
        <w:rPr>
          <w:rFonts w:hAnsi="宋体"/>
          <w:b/>
          <w:bCs/>
          <w:color w:val="000000" w:themeColor="text1"/>
          <w:sz w:val="24"/>
          <w:szCs w:val="21"/>
          <w:highlight w:val="none"/>
          <w14:textFill>
            <w14:solidFill>
              <w14:schemeClr w14:val="tx1"/>
            </w14:solidFill>
          </w14:textFill>
        </w:rPr>
      </w:pPr>
      <w:r>
        <w:rPr>
          <w:rFonts w:hint="eastAsia" w:hAnsi="宋体"/>
          <w:b/>
          <w:bCs/>
          <w:color w:val="000000" w:themeColor="text1"/>
          <w:sz w:val="24"/>
          <w:szCs w:val="21"/>
          <w:highlight w:val="none"/>
          <w14:textFill>
            <w14:solidFill>
              <w14:schemeClr w14:val="tx1"/>
            </w14:solidFill>
          </w14:textFill>
        </w:rPr>
        <w:t>廉政合同</w:t>
      </w:r>
    </w:p>
    <w:p w14:paraId="33ACE0B1">
      <w:pPr>
        <w:pStyle w:val="11"/>
        <w:rPr>
          <w:color w:val="000000" w:themeColor="text1"/>
          <w:highlight w:val="none"/>
          <w14:textFill>
            <w14:solidFill>
              <w14:schemeClr w14:val="tx1"/>
            </w14:solidFill>
          </w14:textFill>
        </w:rPr>
      </w:pPr>
    </w:p>
    <w:p w14:paraId="19AB82EC">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做好工程建设中的党风廉政建设，保证工程建设高效优质，保证建设资金的安全和有效使用以及投资效益，</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(项目名称)的项目法人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(项目法人名称，以下简称“发包人”)与该项目</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标段的施工单位</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(施工单位名称，以下简称“承包人”)，特订立如下合同。</w:t>
      </w:r>
    </w:p>
    <w:p w14:paraId="0B1562DF">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1.发包人和承包人双方的权利和义务</w:t>
      </w:r>
    </w:p>
    <w:p w14:paraId="0FFB5F3F">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(1)严格遵守党的政策规定和国家有关法律法规及交通运输部、浙江省交通运输厅的有关规定。</w:t>
      </w:r>
    </w:p>
    <w:p w14:paraId="06A323C9">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(2)严格执行</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(项目名称)</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标段施工合同文件，自觉按合同办事。</w:t>
      </w:r>
    </w:p>
    <w:p w14:paraId="6C49BCB3">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(3)双方的业务活动坚持公开、公正、诚信、透明的原则(法律认定的商业秘密和合同文件另有规定除外)，不得损害国家和集体利益，不得违反工程建设管理规章制度。</w:t>
      </w:r>
    </w:p>
    <w:p w14:paraId="331BA572">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(4)建立健全廉政制度，开展廉政教育，设立廉政告示牌，公布举报电话，监督并认真查处违法违纪行为。</w:t>
      </w:r>
    </w:p>
    <w:p w14:paraId="308EB3A2">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(5)发现对方在业务活动中有违反廉政规定的行为，有及时提醒对方纠正的权利和义务。</w:t>
      </w:r>
    </w:p>
    <w:p w14:paraId="2D6070EC">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(6)发现对方严重违反本合同义务条款的行为，有向其上级有关部门举报、建议给予处理并要求告知处理结果的权利。</w:t>
      </w:r>
    </w:p>
    <w:p w14:paraId="7C512888">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2.发包人的义务</w:t>
      </w:r>
    </w:p>
    <w:p w14:paraId="7CF1CA38">
      <w:pPr>
        <w:tabs>
          <w:tab w:val="left" w:pos="2790"/>
        </w:tabs>
        <w:spacing w:line="440" w:lineRule="exact"/>
        <w:ind w:firstLine="420" w:firstLineChars="200"/>
        <w:rPr>
          <w:rFonts w:ascii="宋体" w:hAnsi="Calibri"/>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w:t>
      </w:r>
      <w:r>
        <w:rPr>
          <w:rFonts w:hint="eastAsia" w:ascii="宋体" w:hAnsi="Calibri"/>
          <w:color w:val="000000" w:themeColor="text1"/>
          <w:szCs w:val="21"/>
          <w:highlight w:val="none"/>
          <w14:textFill>
            <w14:solidFill>
              <w14:schemeClr w14:val="tx1"/>
            </w14:solidFill>
          </w14:textFill>
        </w:rPr>
        <w:t xml:space="preserve"> 发包人及其工作人员不得索要或接受承包人的礼金、有价证券和物品，不得让承包人报销任何应由发包人或发包人工作人员个人支付的费用等。</w:t>
      </w:r>
    </w:p>
    <w:p w14:paraId="7E41DF33">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(2)发包人工作人员不得参加承包人安排的宴请和娱乐活动；不得接受承包人提供的通讯工具、交通工具和高档办公用品等。</w:t>
      </w:r>
    </w:p>
    <w:p w14:paraId="53F0D0D8">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(3)发包人及其工作人员不得要求或者接受承包人为其住房装修、婚丧嫁娶活动、配偶子女的工作安排以及出国出境、旅游等提供方便等。</w:t>
      </w:r>
    </w:p>
    <w:p w14:paraId="3700EAF2">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(4)发包人工作人员及其配偶、子女不得从事与发包人工程有关的材料设备供应、工程分包、劳务等经济活动等。</w:t>
      </w:r>
    </w:p>
    <w:p w14:paraId="1F9AC54D">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(5)发包人及其工作人员不得以任何理由向承包人推荐分包单位或推销材料，不得要求承包人购买合同规定外的材料和设备。</w:t>
      </w:r>
    </w:p>
    <w:p w14:paraId="11E859EC">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(6)发包人工作人员要秉公办事，不准营私舞弊，不准利用职权从事各种个人有偿中介活动和安排个人施工队伍。</w:t>
      </w:r>
    </w:p>
    <w:p w14:paraId="3268D208">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3.承包人的义务</w:t>
      </w:r>
    </w:p>
    <w:p w14:paraId="6D74C946">
      <w:pPr>
        <w:tabs>
          <w:tab w:val="left" w:pos="2790"/>
        </w:tabs>
        <w:spacing w:line="440" w:lineRule="exact"/>
        <w:ind w:firstLine="420" w:firstLineChars="200"/>
        <w:rPr>
          <w:rFonts w:ascii="宋体" w:hAnsi="Calibri"/>
          <w:color w:val="000000" w:themeColor="text1"/>
          <w:szCs w:val="21"/>
          <w:highlight w:val="none"/>
          <w14:textFill>
            <w14:solidFill>
              <w14:schemeClr w14:val="tx1"/>
            </w14:solidFill>
          </w14:textFill>
        </w:rPr>
      </w:pPr>
      <w:r>
        <w:rPr>
          <w:rFonts w:hint="eastAsia" w:ascii="宋体" w:hAnsi="Calibri"/>
          <w:color w:val="000000" w:themeColor="text1"/>
          <w:szCs w:val="21"/>
          <w:highlight w:val="none"/>
          <w14:textFill>
            <w14:solidFill>
              <w14:schemeClr w14:val="tx1"/>
            </w14:solidFill>
          </w14:textFill>
        </w:rPr>
        <w:t>(1)承包人不得以任何理由向发包人及其工作人员行贿或馈赠礼金、有价证券、礼品。</w:t>
      </w:r>
    </w:p>
    <w:p w14:paraId="1576EA8A">
      <w:pPr>
        <w:tabs>
          <w:tab w:val="left" w:pos="2790"/>
        </w:tabs>
        <w:spacing w:line="440" w:lineRule="exact"/>
        <w:ind w:firstLine="210" w:firstLineChars="1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(2)承包人不得以任何名义为发包人及其工作人员报销应由发包人单位或个人支付的任何费用。</w:t>
      </w:r>
    </w:p>
    <w:p w14:paraId="3AADEFCC">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(3)承包人不得以任何理由安排发包人工作人员参加宴请及娱乐活动。</w:t>
      </w:r>
    </w:p>
    <w:p w14:paraId="006EF7D7">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(4)承包人不得为发包人单位和个人购置或提供通讯工具、交通工具和办公用品等。</w:t>
      </w:r>
    </w:p>
    <w:p w14:paraId="541B7B3E">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4.违约责任</w:t>
      </w:r>
    </w:p>
    <w:p w14:paraId="261C5E34">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(1)发包人及其工作人员违反本合同第1、2条，按管理权限，依据有关规定给予党纪、政纪或组织处理；涉嫌犯罪的，移交司法机关追究刑事责任；给承包人单位造成经济损失的，应予以赔偿。</w:t>
      </w:r>
    </w:p>
    <w:p w14:paraId="208CC403">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p>
    <w:p w14:paraId="3E06B35B">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4FD485C9">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6.本合同有效期为发包人和承包人签署之日起至该工程项目竣</w:t>
      </w:r>
      <w:r>
        <w:rPr>
          <w:rFonts w:hint="eastAsia" w:ascii="宋体"/>
          <w:color w:val="000000" w:themeColor="text1"/>
          <w:szCs w:val="21"/>
          <w:highlight w:val="none"/>
          <w:lang w:eastAsia="zh-CN"/>
          <w14:textFill>
            <w14:solidFill>
              <w14:schemeClr w14:val="tx1"/>
            </w14:solidFill>
          </w14:textFill>
        </w:rPr>
        <w:t>（</w:t>
      </w:r>
      <w:r>
        <w:rPr>
          <w:rFonts w:hint="eastAsia" w:ascii="宋体"/>
          <w:color w:val="000000" w:themeColor="text1"/>
          <w:szCs w:val="21"/>
          <w:highlight w:val="none"/>
          <w:lang w:val="en-US" w:eastAsia="zh-CN"/>
          <w14:textFill>
            <w14:solidFill>
              <w14:schemeClr w14:val="tx1"/>
            </w14:solidFill>
          </w14:textFill>
        </w:rPr>
        <w:t>交</w:t>
      </w:r>
      <w:r>
        <w:rPr>
          <w:rFonts w:hint="eastAsia" w:ascii="宋体"/>
          <w:color w:val="000000" w:themeColor="text1"/>
          <w:szCs w:val="21"/>
          <w:highlight w:val="none"/>
          <w:lang w:eastAsia="zh-CN"/>
          <w14:textFill>
            <w14:solidFill>
              <w14:schemeClr w14:val="tx1"/>
            </w14:solidFill>
          </w14:textFill>
        </w:rPr>
        <w:t>）</w:t>
      </w:r>
      <w:r>
        <w:rPr>
          <w:rFonts w:hint="eastAsia" w:ascii="宋体"/>
          <w:color w:val="000000" w:themeColor="text1"/>
          <w:szCs w:val="21"/>
          <w:highlight w:val="none"/>
          <w14:textFill>
            <w14:solidFill>
              <w14:schemeClr w14:val="tx1"/>
            </w14:solidFill>
          </w14:textFill>
        </w:rPr>
        <w:t>工验收后止。</w:t>
      </w:r>
    </w:p>
    <w:p w14:paraId="046897C8">
      <w:pPr>
        <w:tabs>
          <w:tab w:val="left" w:pos="2790"/>
        </w:tabs>
        <w:spacing w:line="440" w:lineRule="exact"/>
        <w:ind w:firstLine="420" w:firstLineChars="200"/>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7.本合同作为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(项目名称)</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标段施工合同的附件，与工程施工合同具有同等的法律效力，经合同双方签署后立即生效。</w:t>
      </w:r>
    </w:p>
    <w:p w14:paraId="097D76F8">
      <w:pPr>
        <w:pStyle w:val="11"/>
        <w:rPr>
          <w:color w:val="000000" w:themeColor="text1"/>
          <w:highlight w:val="none"/>
          <w14:textFill>
            <w14:solidFill>
              <w14:schemeClr w14:val="tx1"/>
            </w14:solidFill>
          </w14:textFill>
        </w:rPr>
      </w:pPr>
    </w:p>
    <w:p w14:paraId="1A0639AC">
      <w:pPr>
        <w:tabs>
          <w:tab w:val="left" w:pos="2790"/>
        </w:tabs>
        <w:spacing w:line="440" w:lineRule="exact"/>
        <w:ind w:firstLine="420" w:firstLineChars="200"/>
        <w:rPr>
          <w:rFonts w:ascii="宋体" w:hAnsi="Calibri"/>
          <w:color w:val="000000" w:themeColor="text1"/>
          <w:szCs w:val="21"/>
          <w:highlight w:val="none"/>
          <w14:textFill>
            <w14:solidFill>
              <w14:schemeClr w14:val="tx1"/>
            </w14:solidFill>
          </w14:textFill>
        </w:rPr>
      </w:pPr>
    </w:p>
    <w:p w14:paraId="51FDB279">
      <w:pPr>
        <w:tabs>
          <w:tab w:val="left" w:pos="2790"/>
        </w:tabs>
        <w:spacing w:line="440" w:lineRule="exact"/>
        <w:rPr>
          <w:rFonts w:ascii="宋体" w:hAnsi="Calibri"/>
          <w:color w:val="000000" w:themeColor="text1"/>
          <w:szCs w:val="21"/>
          <w:highlight w:val="none"/>
          <w14:textFill>
            <w14:solidFill>
              <w14:schemeClr w14:val="tx1"/>
            </w14:solidFill>
          </w14:textFill>
        </w:rPr>
      </w:pPr>
      <w:r>
        <w:rPr>
          <w:rFonts w:hint="eastAsia" w:ascii="宋体" w:hAnsi="Calibri"/>
          <w:color w:val="000000" w:themeColor="text1"/>
          <w:szCs w:val="21"/>
          <w:highlight w:val="none"/>
          <w14:textFill>
            <w14:solidFill>
              <w14:schemeClr w14:val="tx1"/>
            </w14:solidFill>
          </w14:textFill>
        </w:rPr>
        <w:t>发包人：</w:t>
      </w:r>
      <w:r>
        <w:rPr>
          <w:rFonts w:hint="eastAsia" w:ascii="Calibri" w:hAnsi="Calibri"/>
          <w:color w:val="000000" w:themeColor="text1"/>
          <w:szCs w:val="21"/>
          <w:highlight w:val="none"/>
          <w:u w:val="single"/>
          <w14:textFill>
            <w14:solidFill>
              <w14:schemeClr w14:val="tx1"/>
            </w14:solidFill>
          </w14:textFill>
        </w:rPr>
        <w:t xml:space="preserve">                           </w:t>
      </w:r>
      <w:r>
        <w:rPr>
          <w:rFonts w:hint="eastAsia" w:ascii="Calibri" w:hAnsi="Calibri"/>
          <w:color w:val="000000" w:themeColor="text1"/>
          <w:szCs w:val="21"/>
          <w:highlight w:val="none"/>
          <w14:textFill>
            <w14:solidFill>
              <w14:schemeClr w14:val="tx1"/>
            </w14:solidFill>
          </w14:textFill>
        </w:rPr>
        <w:t xml:space="preserve">       </w:t>
      </w:r>
      <w:r>
        <w:rPr>
          <w:rFonts w:hint="eastAsia" w:ascii="宋体" w:hAnsi="Calibri"/>
          <w:color w:val="000000" w:themeColor="text1"/>
          <w:szCs w:val="21"/>
          <w:highlight w:val="none"/>
          <w14:textFill>
            <w14:solidFill>
              <w14:schemeClr w14:val="tx1"/>
            </w14:solidFill>
          </w14:textFill>
        </w:rPr>
        <w:t>承包人：</w:t>
      </w:r>
      <w:r>
        <w:rPr>
          <w:rFonts w:hint="eastAsia" w:ascii="Calibri" w:hAnsi="Calibri"/>
          <w:color w:val="000000" w:themeColor="text1"/>
          <w:szCs w:val="21"/>
          <w:highlight w:val="none"/>
          <w:u w:val="single"/>
          <w14:textFill>
            <w14:solidFill>
              <w14:schemeClr w14:val="tx1"/>
            </w14:solidFill>
          </w14:textFill>
        </w:rPr>
        <w:t xml:space="preserve">                           </w:t>
      </w:r>
      <w:r>
        <w:rPr>
          <w:rFonts w:hint="eastAsia" w:ascii="宋体" w:hAnsi="Calibri"/>
          <w:color w:val="000000" w:themeColor="text1"/>
          <w:szCs w:val="21"/>
          <w:highlight w:val="none"/>
          <w14:textFill>
            <w14:solidFill>
              <w14:schemeClr w14:val="tx1"/>
            </w14:solidFill>
          </w14:textFill>
        </w:rPr>
        <w:t xml:space="preserve"> </w:t>
      </w:r>
    </w:p>
    <w:p w14:paraId="7CC0399A">
      <w:pPr>
        <w:tabs>
          <w:tab w:val="left" w:pos="2790"/>
        </w:tabs>
        <w:spacing w:line="440" w:lineRule="exact"/>
        <w:ind w:firstLine="840" w:firstLineChars="400"/>
        <w:rPr>
          <w:rFonts w:ascii="宋体" w:hAnsi="Calibri"/>
          <w:color w:val="000000" w:themeColor="text1"/>
          <w:szCs w:val="21"/>
          <w:highlight w:val="none"/>
          <w14:textFill>
            <w14:solidFill>
              <w14:schemeClr w14:val="tx1"/>
            </w14:solidFill>
          </w14:textFill>
        </w:rPr>
      </w:pPr>
      <w:r>
        <w:rPr>
          <w:rFonts w:hint="eastAsia" w:ascii="宋体" w:hAnsi="Calibri"/>
          <w:color w:val="000000" w:themeColor="text1"/>
          <w:szCs w:val="21"/>
          <w:highlight w:val="none"/>
          <w14:textFill>
            <w14:solidFill>
              <w14:schemeClr w14:val="tx1"/>
            </w14:solidFill>
          </w14:textFill>
        </w:rPr>
        <w:t xml:space="preserve">(盖单位章)                                                (盖单位章)      </w:t>
      </w:r>
    </w:p>
    <w:p w14:paraId="56A95203">
      <w:pPr>
        <w:tabs>
          <w:tab w:val="left" w:pos="2790"/>
        </w:tabs>
        <w:spacing w:line="440" w:lineRule="exact"/>
        <w:rPr>
          <w:rFonts w:ascii="宋体" w:hAnsi="Calibri"/>
          <w:color w:val="000000" w:themeColor="text1"/>
          <w:szCs w:val="21"/>
          <w:highlight w:val="none"/>
          <w14:textFill>
            <w14:solidFill>
              <w14:schemeClr w14:val="tx1"/>
            </w14:solidFill>
          </w14:textFill>
        </w:rPr>
      </w:pPr>
      <w:r>
        <w:rPr>
          <w:rFonts w:hint="eastAsia" w:ascii="宋体" w:hAnsi="Calibri"/>
          <w:color w:val="000000" w:themeColor="text1"/>
          <w:szCs w:val="21"/>
          <w:highlight w:val="none"/>
          <w14:textFill>
            <w14:solidFill>
              <w14:schemeClr w14:val="tx1"/>
            </w14:solidFill>
          </w14:textFill>
        </w:rPr>
        <w:t>法定代表人或其委托代理人：</w:t>
      </w:r>
      <w:r>
        <w:rPr>
          <w:rFonts w:hint="eastAsia" w:ascii="宋体" w:hAnsi="Calibri"/>
          <w:color w:val="000000" w:themeColor="text1"/>
          <w:szCs w:val="21"/>
          <w:highlight w:val="none"/>
          <w:u w:val="single"/>
          <w14:textFill>
            <w14:solidFill>
              <w14:schemeClr w14:val="tx1"/>
            </w14:solidFill>
          </w14:textFill>
        </w:rPr>
        <w:t xml:space="preserve">    </w:t>
      </w:r>
      <w:r>
        <w:rPr>
          <w:rFonts w:hint="eastAsia" w:ascii="宋体" w:hAnsi="Calibri"/>
          <w:color w:val="000000" w:themeColor="text1"/>
          <w:szCs w:val="21"/>
          <w:highlight w:val="none"/>
          <w14:textFill>
            <w14:solidFill>
              <w14:schemeClr w14:val="tx1"/>
            </w14:solidFill>
          </w14:textFill>
        </w:rPr>
        <w:t xml:space="preserve"> (签字)            法定代表人或其委托代理人：</w:t>
      </w:r>
      <w:r>
        <w:rPr>
          <w:rFonts w:hint="eastAsia" w:ascii="宋体" w:hAnsi="Calibri"/>
          <w:color w:val="000000" w:themeColor="text1"/>
          <w:szCs w:val="21"/>
          <w:highlight w:val="none"/>
          <w:u w:val="single"/>
          <w14:textFill>
            <w14:solidFill>
              <w14:schemeClr w14:val="tx1"/>
            </w14:solidFill>
          </w14:textFill>
        </w:rPr>
        <w:t xml:space="preserve">    </w:t>
      </w:r>
      <w:r>
        <w:rPr>
          <w:rFonts w:hint="eastAsia" w:ascii="宋体" w:hAnsi="Calibri"/>
          <w:color w:val="000000" w:themeColor="text1"/>
          <w:szCs w:val="21"/>
          <w:highlight w:val="none"/>
          <w14:textFill>
            <w14:solidFill>
              <w14:schemeClr w14:val="tx1"/>
            </w14:solidFill>
          </w14:textFill>
        </w:rPr>
        <w:t xml:space="preserve"> (签字)</w:t>
      </w:r>
    </w:p>
    <w:p w14:paraId="72D42BC4">
      <w:pPr>
        <w:tabs>
          <w:tab w:val="left" w:pos="2790"/>
        </w:tabs>
        <w:spacing w:line="440" w:lineRule="exact"/>
        <w:rPr>
          <w:rFonts w:ascii="宋体" w:hAnsi="Calibri"/>
          <w:color w:val="000000" w:themeColor="text1"/>
          <w:szCs w:val="21"/>
          <w:highlight w:val="none"/>
          <w14:textFill>
            <w14:solidFill>
              <w14:schemeClr w14:val="tx1"/>
            </w14:solidFill>
          </w14:textFill>
        </w:rPr>
      </w:pPr>
      <w:r>
        <w:rPr>
          <w:rFonts w:hint="eastAsia" w:ascii="Calibri" w:hAnsi="Calibri"/>
          <w:color w:val="000000" w:themeColor="text1"/>
          <w:szCs w:val="21"/>
          <w:highlight w:val="none"/>
          <w:u w:val="single"/>
          <w14:textFill>
            <w14:solidFill>
              <w14:schemeClr w14:val="tx1"/>
            </w14:solidFill>
          </w14:textFill>
        </w:rPr>
        <w:t xml:space="preserve">      </w:t>
      </w:r>
      <w:r>
        <w:rPr>
          <w:rFonts w:ascii="Calibri" w:hAnsi="Calibri"/>
          <w:color w:val="000000" w:themeColor="text1"/>
          <w:szCs w:val="21"/>
          <w:highlight w:val="none"/>
          <w14:textFill>
            <w14:solidFill>
              <w14:schemeClr w14:val="tx1"/>
            </w14:solidFill>
          </w14:textFill>
        </w:rPr>
        <w:t>年</w:t>
      </w:r>
      <w:r>
        <w:rPr>
          <w:rFonts w:hint="eastAsia" w:ascii="Calibri" w:hAnsi="Calibri"/>
          <w:color w:val="000000" w:themeColor="text1"/>
          <w:szCs w:val="21"/>
          <w:highlight w:val="none"/>
          <w:u w:val="single"/>
          <w14:textFill>
            <w14:solidFill>
              <w14:schemeClr w14:val="tx1"/>
            </w14:solidFill>
          </w14:textFill>
        </w:rPr>
        <w:t xml:space="preserve">        </w:t>
      </w:r>
      <w:r>
        <w:rPr>
          <w:rFonts w:ascii="Calibri" w:hAnsi="Calibri"/>
          <w:color w:val="000000" w:themeColor="text1"/>
          <w:szCs w:val="21"/>
          <w:highlight w:val="none"/>
          <w14:textFill>
            <w14:solidFill>
              <w14:schemeClr w14:val="tx1"/>
            </w14:solidFill>
          </w14:textFill>
        </w:rPr>
        <w:t>月</w:t>
      </w:r>
      <w:r>
        <w:rPr>
          <w:rFonts w:hint="eastAsia" w:ascii="Calibri" w:hAnsi="Calibri"/>
          <w:color w:val="000000" w:themeColor="text1"/>
          <w:szCs w:val="21"/>
          <w:highlight w:val="none"/>
          <w:u w:val="single"/>
          <w14:textFill>
            <w14:solidFill>
              <w14:schemeClr w14:val="tx1"/>
            </w14:solidFill>
          </w14:textFill>
        </w:rPr>
        <w:t xml:space="preserve">        </w:t>
      </w:r>
      <w:r>
        <w:rPr>
          <w:rFonts w:ascii="Calibri" w:hAnsi="Calibri"/>
          <w:color w:val="000000" w:themeColor="text1"/>
          <w:szCs w:val="21"/>
          <w:highlight w:val="none"/>
          <w14:textFill>
            <w14:solidFill>
              <w14:schemeClr w14:val="tx1"/>
            </w14:solidFill>
          </w14:textFill>
        </w:rPr>
        <w:t>日</w:t>
      </w:r>
      <w:r>
        <w:rPr>
          <w:rFonts w:hint="eastAsia" w:ascii="Calibri" w:hAnsi="Calibri"/>
          <w:color w:val="000000" w:themeColor="text1"/>
          <w:szCs w:val="21"/>
          <w:highlight w:val="none"/>
          <w14:textFill>
            <w14:solidFill>
              <w14:schemeClr w14:val="tx1"/>
            </w14:solidFill>
          </w14:textFill>
        </w:rPr>
        <w:t xml:space="preserve">                  </w:t>
      </w:r>
      <w:r>
        <w:rPr>
          <w:rFonts w:hint="eastAsia" w:ascii="Calibri" w:hAnsi="Calibri"/>
          <w:color w:val="000000" w:themeColor="text1"/>
          <w:szCs w:val="21"/>
          <w:highlight w:val="none"/>
          <w:u w:val="single"/>
          <w14:textFill>
            <w14:solidFill>
              <w14:schemeClr w14:val="tx1"/>
            </w14:solidFill>
          </w14:textFill>
        </w:rPr>
        <w:t xml:space="preserve">      </w:t>
      </w:r>
      <w:r>
        <w:rPr>
          <w:rFonts w:ascii="Calibri" w:hAnsi="Calibri"/>
          <w:color w:val="000000" w:themeColor="text1"/>
          <w:szCs w:val="21"/>
          <w:highlight w:val="none"/>
          <w14:textFill>
            <w14:solidFill>
              <w14:schemeClr w14:val="tx1"/>
            </w14:solidFill>
          </w14:textFill>
        </w:rPr>
        <w:t>年</w:t>
      </w:r>
      <w:r>
        <w:rPr>
          <w:rFonts w:hint="eastAsia" w:ascii="Calibri" w:hAnsi="Calibri"/>
          <w:color w:val="000000" w:themeColor="text1"/>
          <w:szCs w:val="21"/>
          <w:highlight w:val="none"/>
          <w:u w:val="single"/>
          <w14:textFill>
            <w14:solidFill>
              <w14:schemeClr w14:val="tx1"/>
            </w14:solidFill>
          </w14:textFill>
        </w:rPr>
        <w:t xml:space="preserve">        </w:t>
      </w:r>
      <w:r>
        <w:rPr>
          <w:rFonts w:ascii="Calibri" w:hAnsi="Calibri"/>
          <w:color w:val="000000" w:themeColor="text1"/>
          <w:szCs w:val="21"/>
          <w:highlight w:val="none"/>
          <w14:textFill>
            <w14:solidFill>
              <w14:schemeClr w14:val="tx1"/>
            </w14:solidFill>
          </w14:textFill>
        </w:rPr>
        <w:t>月</w:t>
      </w:r>
      <w:r>
        <w:rPr>
          <w:rFonts w:hint="eastAsia" w:ascii="Calibri" w:hAnsi="Calibri"/>
          <w:color w:val="000000" w:themeColor="text1"/>
          <w:szCs w:val="21"/>
          <w:highlight w:val="none"/>
          <w:u w:val="single"/>
          <w14:textFill>
            <w14:solidFill>
              <w14:schemeClr w14:val="tx1"/>
            </w14:solidFill>
          </w14:textFill>
        </w:rPr>
        <w:t xml:space="preserve">        </w:t>
      </w:r>
      <w:r>
        <w:rPr>
          <w:rFonts w:ascii="Calibri" w:hAnsi="Calibri"/>
          <w:color w:val="000000" w:themeColor="text1"/>
          <w:szCs w:val="21"/>
          <w:highlight w:val="none"/>
          <w14:textFill>
            <w14:solidFill>
              <w14:schemeClr w14:val="tx1"/>
            </w14:solidFill>
          </w14:textFill>
        </w:rPr>
        <w:t>日</w:t>
      </w:r>
    </w:p>
    <w:p w14:paraId="4F80093D">
      <w:pPr>
        <w:tabs>
          <w:tab w:val="left" w:pos="2790"/>
        </w:tabs>
        <w:spacing w:line="360" w:lineRule="auto"/>
        <w:outlineLvl w:val="2"/>
        <w:rPr>
          <w:rFonts w:ascii="黑体" w:eastAsia="黑体"/>
          <w:color w:val="000000" w:themeColor="text1"/>
          <w:sz w:val="28"/>
          <w:szCs w:val="28"/>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br w:type="page"/>
      </w:r>
      <w:bookmarkStart w:id="1208" w:name="_Toc12382"/>
      <w:bookmarkStart w:id="1209" w:name="_Toc18408"/>
      <w:bookmarkStart w:id="1210" w:name="_Toc140587208"/>
      <w:r>
        <w:rPr>
          <w:rFonts w:hint="eastAsia" w:hAnsi="宋体"/>
          <w:b/>
          <w:bCs/>
          <w:color w:val="000000" w:themeColor="text1"/>
          <w:sz w:val="24"/>
          <w:szCs w:val="21"/>
          <w:highlight w:val="none"/>
          <w14:textFill>
            <w14:solidFill>
              <w14:schemeClr w14:val="tx1"/>
            </w14:solidFill>
          </w14:textFill>
        </w:rPr>
        <w:t xml:space="preserve">附件二 </w:t>
      </w:r>
      <w:r>
        <w:rPr>
          <w:rFonts w:hAnsi="宋体"/>
          <w:b/>
          <w:bCs/>
          <w:color w:val="000000" w:themeColor="text1"/>
          <w:sz w:val="24"/>
          <w:szCs w:val="21"/>
          <w:highlight w:val="none"/>
          <w14:textFill>
            <w14:solidFill>
              <w14:schemeClr w14:val="tx1"/>
            </w14:solidFill>
          </w14:textFill>
        </w:rPr>
        <w:t xml:space="preserve"> </w:t>
      </w:r>
      <w:r>
        <w:rPr>
          <w:rFonts w:hint="eastAsia" w:hAnsi="宋体"/>
          <w:b/>
          <w:bCs/>
          <w:color w:val="000000" w:themeColor="text1"/>
          <w:sz w:val="24"/>
          <w:szCs w:val="21"/>
          <w:highlight w:val="none"/>
          <w14:textFill>
            <w14:solidFill>
              <w14:schemeClr w14:val="tx1"/>
            </w14:solidFill>
          </w14:textFill>
        </w:rPr>
        <w:t>安全生产合同</w:t>
      </w:r>
      <w:bookmarkEnd w:id="1208"/>
      <w:bookmarkEnd w:id="1209"/>
      <w:bookmarkEnd w:id="1210"/>
    </w:p>
    <w:p w14:paraId="35878A14">
      <w:pPr>
        <w:tabs>
          <w:tab w:val="left" w:pos="2790"/>
        </w:tabs>
        <w:spacing w:line="240" w:lineRule="exact"/>
        <w:jc w:val="center"/>
        <w:rPr>
          <w:rFonts w:hAnsi="宋体"/>
          <w:b/>
          <w:bCs/>
          <w:color w:val="000000" w:themeColor="text1"/>
          <w:sz w:val="24"/>
          <w:szCs w:val="21"/>
          <w:highlight w:val="none"/>
          <w14:textFill>
            <w14:solidFill>
              <w14:schemeClr w14:val="tx1"/>
            </w14:solidFill>
          </w14:textFill>
        </w:rPr>
      </w:pPr>
    </w:p>
    <w:p w14:paraId="27B3E09A">
      <w:pPr>
        <w:tabs>
          <w:tab w:val="left" w:pos="2790"/>
        </w:tabs>
        <w:spacing w:line="240" w:lineRule="exact"/>
        <w:jc w:val="center"/>
        <w:rPr>
          <w:rFonts w:ascii="黑体" w:hAnsi="Calibri" w:eastAsia="黑体"/>
          <w:color w:val="000000" w:themeColor="text1"/>
          <w:sz w:val="28"/>
          <w:szCs w:val="28"/>
          <w:highlight w:val="none"/>
          <w14:textFill>
            <w14:solidFill>
              <w14:schemeClr w14:val="tx1"/>
            </w14:solidFill>
          </w14:textFill>
        </w:rPr>
      </w:pPr>
      <w:r>
        <w:rPr>
          <w:rFonts w:hint="eastAsia" w:hAnsi="宋体"/>
          <w:b/>
          <w:bCs/>
          <w:color w:val="000000" w:themeColor="text1"/>
          <w:sz w:val="24"/>
          <w:szCs w:val="21"/>
          <w:highlight w:val="none"/>
          <w14:textFill>
            <w14:solidFill>
              <w14:schemeClr w14:val="tx1"/>
            </w14:solidFill>
          </w14:textFill>
        </w:rPr>
        <w:t>安全生产合同</w:t>
      </w:r>
    </w:p>
    <w:p w14:paraId="33E209B7">
      <w:pPr>
        <w:tabs>
          <w:tab w:val="left" w:pos="2790"/>
        </w:tabs>
        <w:spacing w:line="420" w:lineRule="exact"/>
        <w:ind w:firstLine="420" w:firstLineChars="200"/>
        <w:rPr>
          <w:rFonts w:ascii="宋体"/>
          <w:color w:val="000000" w:themeColor="text1"/>
          <w:szCs w:val="21"/>
          <w:highlight w:val="none"/>
          <w14:textFill>
            <w14:solidFill>
              <w14:schemeClr w14:val="tx1"/>
            </w14:solidFill>
          </w14:textFill>
        </w:rPr>
      </w:pPr>
      <w:bookmarkStart w:id="1211" w:name="_Toc19092101"/>
      <w:bookmarkStart w:id="1212" w:name="_Toc43887523"/>
      <w:r>
        <w:rPr>
          <w:rFonts w:hint="eastAsia" w:ascii="宋体"/>
          <w:color w:val="000000" w:themeColor="text1"/>
          <w:szCs w:val="21"/>
          <w:highlight w:val="none"/>
          <w14:textFill>
            <w14:solidFill>
              <w14:schemeClr w14:val="tx1"/>
            </w14:solidFill>
          </w14:textFill>
        </w:rPr>
        <w:t>为在</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(项目名称)</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标段施工合同的实施过程中创造安全、高效的施工环境，切实搞好本项目的安全管理工作，本项目发包人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(发包人名称，以下简称“发包人”)与承包人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(承包人名称，以下简称“承包人”)特此签订安全生产合同：</w:t>
      </w:r>
    </w:p>
    <w:p w14:paraId="2DA243A1">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 发包人职责</w:t>
      </w:r>
    </w:p>
    <w:p w14:paraId="314DB50B">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(1)严格遵守国家有关安全生产的法律法规，认真执行工程承包合同中的有关安全要求。</w:t>
      </w:r>
    </w:p>
    <w:p w14:paraId="1A8440F2">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(2)按照“安全第一、预防为主、综合治理”、坚持“管行业必须管安全、管业务必须管安全、管生产经营必须管安全”的原则进行安全生产管理，做到生产与安全工作同时计划、布置、检查、总结和评比。</w:t>
      </w:r>
    </w:p>
    <w:p w14:paraId="673D3C4D">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(3)重要的安全设施必须坚持与主体工程“三同时”的原则，即：同时设计、审批，同时施工，同时验收，投入使用。</w:t>
      </w:r>
    </w:p>
    <w:p w14:paraId="67C7140C">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(4)定期召开安全生产调度会，及时传达中央及地方有关安全生产的精神。</w:t>
      </w:r>
    </w:p>
    <w:p w14:paraId="6E0219D2">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(5)组织对承包人施工现场进行安全生产检查，监督承包人及时处理发现的各种安全隐患。</w:t>
      </w:r>
    </w:p>
    <w:p w14:paraId="487A73CE">
      <w:pPr>
        <w:tabs>
          <w:tab w:val="left" w:pos="2790"/>
        </w:tabs>
        <w:spacing w:line="44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 承包人职责</w:t>
      </w:r>
    </w:p>
    <w:p w14:paraId="790B82D4">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严格遵守《中华人民共和国安全生产法》、《建设工程安全生产管理条例》等国家有关安全生产的法律法规、《公路水运工程安全生产监督管理办法》、《公路工程施工安全技术规范》、《公路筑养路机械操作规程》和</w:t>
      </w:r>
      <w:r>
        <w:rPr>
          <w:rFonts w:hint="eastAsia" w:ascii="宋体" w:hAnsi="宋体"/>
          <w:color w:val="000000" w:themeColor="text1"/>
          <w:szCs w:val="21"/>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baidu.com/link?url=U-6q-CxUVnSBtqDb025-5QUGsQQZivFjz1UxxXx_qlBABuO-FmVS0Za6fH_2lMs1dcUwuolXq0ihbhdB_2IIHQW5CVSyeIba8O8jwnprcmkbhEo4zQ4rVRDty3u5Z6XhPPBrrkiyIUuVQcvsipPFBBIP5zyFObvrg56y2wqRPesAT2Nnp_kR3gDnnfsB0kMkHM0yHb65FrZGF-hsHjVTbm6d3MfM_h2p1xXDfClfX5aDrahu-hHWNX4SbVcyNo4EmY1HQTnr8IQRAsvFkdG8Vk-96vHl4oLClJAmNQ-DffbjtIS-TTcoPCsI4Eyh4o_1&amp;wd=&amp;eqid=d4e8a526004fdb58000000045d2fd135" \t "_blank" </w:instrText>
      </w:r>
      <w:r>
        <w:rPr>
          <w:color w:val="000000" w:themeColor="text1"/>
          <w:highlight w:val="none"/>
          <w14:textFill>
            <w14:solidFill>
              <w14:schemeClr w14:val="tx1"/>
            </w14:solidFill>
          </w14:textFill>
        </w:rPr>
        <w:fldChar w:fldCharType="separate"/>
      </w:r>
      <w:r>
        <w:rPr>
          <w:rFonts w:ascii="宋体" w:hAnsi="宋体"/>
          <w:color w:val="000000" w:themeColor="text1"/>
          <w:szCs w:val="21"/>
          <w:highlight w:val="none"/>
          <w14:textFill>
            <w14:solidFill>
              <w14:schemeClr w14:val="tx1"/>
            </w14:solidFill>
          </w14:textFill>
        </w:rPr>
        <w:t>浙江省交通建设工程质量和安全生产管理条例</w:t>
      </w:r>
      <w:r>
        <w:rPr>
          <w:rFonts w:ascii="宋体" w:hAnsi="宋体"/>
          <w:color w:val="000000" w:themeColor="text1"/>
          <w:szCs w:val="21"/>
          <w:highlight w:val="none"/>
          <w14:textFill>
            <w14:solidFill>
              <w14:schemeClr w14:val="tx1"/>
            </w14:solidFill>
          </w14:textFill>
        </w:rPr>
        <w:fldChar w:fldCharType="end"/>
      </w:r>
      <w:r>
        <w:rPr>
          <w:rFonts w:hint="eastAsia" w:ascii="宋体" w:hAnsi="宋体"/>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《关于进一步加强全省交通建设工程安全生产管理工作的若干规定》、《浙江省交通建设工程安全生产费用管理办法》</w:t>
      </w:r>
      <w:r>
        <w:rPr>
          <w:rFonts w:hint="eastAsia" w:ascii="宋体"/>
          <w:color w:val="000000" w:themeColor="text1"/>
          <w:szCs w:val="21"/>
          <w:highlight w:val="none"/>
          <w14:textFill>
            <w14:solidFill>
              <w14:schemeClr w14:val="tx1"/>
            </w14:solidFill>
          </w14:textFill>
        </w:rPr>
        <w:t>等有关安全生产的规定。认真执行工程承包合同中的有关安全要求。</w:t>
      </w:r>
    </w:p>
    <w:p w14:paraId="71C05D38">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坚持“安全第一、预防为主、综合治理”和“管行业必须管安全、管业务必须管安全、管生产经营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35D82624">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37DB4106">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(4)承包人在任何时候都应采取各种合理的预防措施，防止其员工发生任何违法、违禁、暴力或妨碍治安的行为。</w:t>
      </w:r>
    </w:p>
    <w:p w14:paraId="3E1E83D5">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536B2680">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4893FC52">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15A9AD76">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1EC1C6CE">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(9)施工中采用新技术、新工艺、新设备、新材料时，必须制定相应的安全技术措施，施工现场必须具有相关的安全标志牌。</w:t>
      </w:r>
    </w:p>
    <w:p w14:paraId="1BE46128">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(10)</w:t>
      </w:r>
      <w:r>
        <w:rPr>
          <w:rFonts w:hint="eastAsia" w:ascii="宋体"/>
          <w:color w:val="000000" w:themeColor="text1"/>
          <w:spacing w:val="-4"/>
          <w:szCs w:val="21"/>
          <w:highlight w:val="none"/>
          <w14:textFill>
            <w14:solidFill>
              <w14:schemeClr w14:val="tx1"/>
            </w14:solidFill>
          </w14:textFill>
        </w:rPr>
        <w:t>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color w:val="000000" w:themeColor="text1"/>
          <w:szCs w:val="21"/>
          <w:highlight w:val="none"/>
          <w14:textFill>
            <w14:solidFill>
              <w14:schemeClr w14:val="tx1"/>
            </w14:solidFill>
          </w14:textFill>
        </w:rPr>
        <w:t>。</w:t>
      </w:r>
    </w:p>
    <w:p w14:paraId="44DC32C9">
      <w:pPr>
        <w:tabs>
          <w:tab w:val="left" w:pos="2790"/>
        </w:tabs>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w:t>
      </w:r>
      <w:bookmarkStart w:id="1213" w:name="_Hlk91685360"/>
      <w:r>
        <w:rPr>
          <w:rFonts w:hint="eastAsia" w:ascii="宋体" w:hAnsi="宋体"/>
          <w:color w:val="000000" w:themeColor="text1"/>
          <w:szCs w:val="21"/>
          <w:highlight w:val="none"/>
          <w14:textFill>
            <w14:solidFill>
              <w14:schemeClr w14:val="tx1"/>
            </w14:solidFill>
          </w14:textFill>
        </w:rPr>
        <w:t xml:space="preserve"> 安全生产费用按照</w:t>
      </w:r>
      <w:r>
        <w:rPr>
          <w:rFonts w:hint="eastAsia" w:ascii="宋体" w:hAnsi="宋体"/>
          <w:b/>
          <w:color w:val="000000" w:themeColor="text1"/>
          <w:szCs w:val="21"/>
          <w:highlight w:val="none"/>
          <w14:textFill>
            <w14:solidFill>
              <w14:schemeClr w14:val="tx1"/>
            </w14:solidFill>
          </w14:textFill>
        </w:rPr>
        <w:t>浙交〔2021〕12号省交通运输厅关于印发《浙江省交通建设工程安全生产费用管理办法》、浙交[2020]104号《关于进一步加强全省交通建设工程安全生产管理工作的若干规定》、《省交通运输厅关于加强公路水运工程疫情防控和安全生产费用保障的指导意见》（浙交[2022]116号）</w:t>
      </w:r>
      <w:r>
        <w:rPr>
          <w:rFonts w:hint="eastAsia" w:ascii="宋体" w:hAnsi="宋体"/>
          <w:color w:val="000000" w:themeColor="text1"/>
          <w:szCs w:val="21"/>
          <w:highlight w:val="none"/>
          <w14:textFill>
            <w14:solidFill>
              <w14:schemeClr w14:val="tx1"/>
            </w14:solidFill>
          </w14:textFill>
        </w:rPr>
        <w:t>的相关要求以及相关最新规定使用和管理。</w:t>
      </w:r>
      <w:bookmarkEnd w:id="1213"/>
    </w:p>
    <w:p w14:paraId="7FFE545B">
      <w:pPr>
        <w:tabs>
          <w:tab w:val="left" w:pos="2790"/>
        </w:tabs>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(12)承包人</w:t>
      </w:r>
      <w:r>
        <w:rPr>
          <w:rFonts w:ascii="宋体" w:hAnsi="宋体"/>
          <w:color w:val="000000" w:themeColor="text1"/>
          <w:szCs w:val="21"/>
          <w:highlight w:val="none"/>
          <w14:textFill>
            <w14:solidFill>
              <w14:schemeClr w14:val="tx1"/>
            </w14:solidFill>
          </w14:textFill>
        </w:rPr>
        <w:t>在施工期间应当服从发包人</w:t>
      </w:r>
      <w:r>
        <w:rPr>
          <w:rFonts w:hint="eastAsia" w:ascii="宋体" w:hAnsi="宋体"/>
          <w:color w:val="000000" w:themeColor="text1"/>
          <w:szCs w:val="21"/>
          <w:highlight w:val="none"/>
          <w14:textFill>
            <w14:solidFill>
              <w14:schemeClr w14:val="tx1"/>
            </w14:solidFill>
          </w14:textFill>
        </w:rPr>
        <w:t>及</w:t>
      </w:r>
      <w:r>
        <w:rPr>
          <w:rFonts w:ascii="宋体" w:hAnsi="宋体"/>
          <w:color w:val="000000" w:themeColor="text1"/>
          <w:szCs w:val="21"/>
          <w:highlight w:val="none"/>
          <w14:textFill>
            <w14:solidFill>
              <w14:schemeClr w14:val="tx1"/>
            </w14:solidFill>
          </w14:textFill>
        </w:rPr>
        <w:t>交通</w:t>
      </w:r>
      <w:r>
        <w:rPr>
          <w:rFonts w:hint="eastAsia" w:ascii="宋体" w:hAnsi="宋体"/>
          <w:color w:val="000000" w:themeColor="text1"/>
          <w:szCs w:val="21"/>
          <w:highlight w:val="none"/>
          <w14:textFill>
            <w14:solidFill>
              <w14:schemeClr w14:val="tx1"/>
            </w14:solidFill>
          </w14:textFill>
        </w:rPr>
        <w:t>等行业</w:t>
      </w:r>
      <w:r>
        <w:rPr>
          <w:rFonts w:ascii="宋体" w:hAnsi="宋体"/>
          <w:color w:val="000000" w:themeColor="text1"/>
          <w:szCs w:val="21"/>
          <w:highlight w:val="none"/>
          <w14:textFill>
            <w14:solidFill>
              <w14:schemeClr w14:val="tx1"/>
            </w14:solidFill>
          </w14:textFill>
        </w:rPr>
        <w:t>主管部门的监督、检查、指令，并积极做好相关配合工作。</w:t>
      </w:r>
    </w:p>
    <w:p w14:paraId="0C7DF034">
      <w:pPr>
        <w:tabs>
          <w:tab w:val="left" w:pos="2790"/>
        </w:tabs>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)承包人</w:t>
      </w:r>
      <w:r>
        <w:rPr>
          <w:rFonts w:ascii="宋体" w:hAnsi="宋体"/>
          <w:color w:val="000000" w:themeColor="text1"/>
          <w:szCs w:val="21"/>
          <w:highlight w:val="none"/>
          <w14:textFill>
            <w14:solidFill>
              <w14:schemeClr w14:val="tx1"/>
            </w14:solidFill>
          </w14:textFill>
        </w:rPr>
        <w:t>在施工期间应当</w:t>
      </w:r>
      <w:r>
        <w:rPr>
          <w:rFonts w:hint="eastAsia" w:ascii="宋体" w:hAnsi="宋体"/>
          <w:color w:val="000000" w:themeColor="text1"/>
          <w:szCs w:val="21"/>
          <w:highlight w:val="none"/>
          <w14:textFill>
            <w14:solidFill>
              <w14:schemeClr w14:val="tx1"/>
            </w14:solidFill>
          </w14:textFill>
        </w:rPr>
        <w:t>切实</w:t>
      </w:r>
      <w:r>
        <w:rPr>
          <w:rFonts w:ascii="宋体" w:hAnsi="宋体"/>
          <w:color w:val="000000" w:themeColor="text1"/>
          <w:szCs w:val="21"/>
          <w:highlight w:val="none"/>
          <w14:textFill>
            <w14:solidFill>
              <w14:schemeClr w14:val="tx1"/>
            </w14:solidFill>
          </w14:textFill>
        </w:rPr>
        <w:t>做好现状道路</w:t>
      </w:r>
      <w:r>
        <w:rPr>
          <w:rFonts w:hint="eastAsia" w:ascii="宋体" w:hAnsi="宋体"/>
          <w:color w:val="000000" w:themeColor="text1"/>
          <w:szCs w:val="21"/>
          <w:highlight w:val="none"/>
          <w14:textFill>
            <w14:solidFill>
              <w14:schemeClr w14:val="tx1"/>
            </w14:solidFill>
          </w14:textFill>
        </w:rPr>
        <w:t>的交通组织维护及</w:t>
      </w:r>
      <w:r>
        <w:rPr>
          <w:rFonts w:ascii="宋体" w:hAnsi="宋体"/>
          <w:color w:val="000000" w:themeColor="text1"/>
          <w:szCs w:val="21"/>
          <w:highlight w:val="none"/>
          <w14:textFill>
            <w14:solidFill>
              <w14:schemeClr w14:val="tx1"/>
            </w14:solidFill>
          </w14:textFill>
        </w:rPr>
        <w:t>保畅通</w:t>
      </w:r>
      <w:r>
        <w:rPr>
          <w:rFonts w:hint="eastAsia" w:ascii="宋体" w:hAnsi="宋体"/>
          <w:color w:val="000000" w:themeColor="text1"/>
          <w:szCs w:val="21"/>
          <w:highlight w:val="none"/>
          <w14:textFill>
            <w14:solidFill>
              <w14:schemeClr w14:val="tx1"/>
            </w14:solidFill>
          </w14:textFill>
        </w:rPr>
        <w:t>工作，保证车辆安全通行，</w:t>
      </w:r>
      <w:r>
        <w:rPr>
          <w:rFonts w:ascii="宋体" w:hAnsi="宋体"/>
          <w:color w:val="000000" w:themeColor="text1"/>
          <w:szCs w:val="21"/>
          <w:highlight w:val="none"/>
          <w14:textFill>
            <w14:solidFill>
              <w14:schemeClr w14:val="tx1"/>
            </w14:solidFill>
          </w14:textFill>
        </w:rPr>
        <w:t>服从发包人</w:t>
      </w:r>
      <w:r>
        <w:rPr>
          <w:rFonts w:hint="eastAsia" w:ascii="宋体" w:hAnsi="宋体"/>
          <w:color w:val="000000" w:themeColor="text1"/>
          <w:szCs w:val="21"/>
          <w:highlight w:val="none"/>
          <w14:textFill>
            <w14:solidFill>
              <w14:schemeClr w14:val="tx1"/>
            </w14:solidFill>
          </w14:textFill>
        </w:rPr>
        <w:t>及其他</w:t>
      </w:r>
      <w:r>
        <w:rPr>
          <w:rFonts w:ascii="宋体" w:hAnsi="宋体"/>
          <w:color w:val="000000" w:themeColor="text1"/>
          <w:szCs w:val="21"/>
          <w:highlight w:val="none"/>
          <w14:textFill>
            <w14:solidFill>
              <w14:schemeClr w14:val="tx1"/>
            </w14:solidFill>
          </w14:textFill>
        </w:rPr>
        <w:t>部门的</w:t>
      </w:r>
      <w:r>
        <w:rPr>
          <w:rFonts w:hint="eastAsia" w:ascii="宋体" w:hAnsi="宋体"/>
          <w:color w:val="000000" w:themeColor="text1"/>
          <w:szCs w:val="21"/>
          <w:highlight w:val="none"/>
          <w14:textFill>
            <w14:solidFill>
              <w14:schemeClr w14:val="tx1"/>
            </w14:solidFill>
          </w14:textFill>
        </w:rPr>
        <w:t>调配</w:t>
      </w:r>
      <w:r>
        <w:rPr>
          <w:rFonts w:ascii="宋体" w:hAnsi="宋体"/>
          <w:color w:val="000000" w:themeColor="text1"/>
          <w:szCs w:val="21"/>
          <w:highlight w:val="none"/>
          <w14:textFill>
            <w14:solidFill>
              <w14:schemeClr w14:val="tx1"/>
            </w14:solidFill>
          </w14:textFill>
        </w:rPr>
        <w:t>、检查、指令，并积极做好相关配合工作。</w:t>
      </w:r>
    </w:p>
    <w:p w14:paraId="03F42023">
      <w:pPr>
        <w:tabs>
          <w:tab w:val="left" w:pos="2790"/>
        </w:tabs>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)承包人</w:t>
      </w:r>
      <w:r>
        <w:rPr>
          <w:rFonts w:ascii="宋体" w:hAnsi="宋体"/>
          <w:color w:val="000000" w:themeColor="text1"/>
          <w:szCs w:val="21"/>
          <w:highlight w:val="none"/>
          <w14:textFill>
            <w14:solidFill>
              <w14:schemeClr w14:val="tx1"/>
            </w14:solidFill>
          </w14:textFill>
        </w:rPr>
        <w:t>在施工期间应当按照</w:t>
      </w:r>
      <w:r>
        <w:rPr>
          <w:rFonts w:hint="eastAsia" w:ascii="宋体" w:hAnsi="宋体"/>
          <w:color w:val="000000" w:themeColor="text1"/>
          <w:szCs w:val="21"/>
          <w:highlight w:val="none"/>
          <w14:textFill>
            <w14:solidFill>
              <w14:schemeClr w14:val="tx1"/>
            </w14:solidFill>
          </w14:textFill>
        </w:rPr>
        <w:t>“党</w:t>
      </w:r>
      <w:r>
        <w:rPr>
          <w:rFonts w:ascii="宋体" w:hAnsi="宋体"/>
          <w:color w:val="000000" w:themeColor="text1"/>
          <w:szCs w:val="21"/>
          <w:highlight w:val="none"/>
          <w14:textFill>
            <w14:solidFill>
              <w14:schemeClr w14:val="tx1"/>
            </w14:solidFill>
          </w14:textFill>
        </w:rPr>
        <w:t>政同责、一岗双</w:t>
      </w:r>
      <w:r>
        <w:rPr>
          <w:rFonts w:hint="eastAsia" w:ascii="宋体" w:hAnsi="宋体"/>
          <w:color w:val="000000" w:themeColor="text1"/>
          <w:szCs w:val="21"/>
          <w:highlight w:val="none"/>
          <w14:textFill>
            <w14:solidFill>
              <w14:schemeClr w14:val="tx1"/>
            </w14:solidFill>
          </w14:textFill>
        </w:rPr>
        <w:t>责</w:t>
      </w:r>
      <w:r>
        <w:rPr>
          <w:rFonts w:ascii="宋体" w:hAnsi="宋体"/>
          <w:color w:val="000000" w:themeColor="text1"/>
          <w:szCs w:val="21"/>
          <w:highlight w:val="none"/>
          <w14:textFill>
            <w14:solidFill>
              <w14:schemeClr w14:val="tx1"/>
            </w14:solidFill>
          </w14:textFill>
        </w:rPr>
        <w:t>、齐抓共管</w:t>
      </w:r>
      <w:r>
        <w:rPr>
          <w:rFonts w:hint="eastAsia" w:ascii="宋体" w:hAnsi="宋体"/>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的安全生产管理原则，结合本项目的实际情况，做好安全生产的各项工作，落实安全生产的各项要求。</w:t>
      </w:r>
    </w:p>
    <w:p w14:paraId="22B4171F">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3.违约责任</w:t>
      </w:r>
    </w:p>
    <w:p w14:paraId="6A5B633D">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如因发包人或承包人违约造成安全事故，将依法追究责任。</w:t>
      </w:r>
    </w:p>
    <w:p w14:paraId="3595C1D4">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4.本合同由双方法定代表人或其授权的代理人签署并加盖单位章后生效，全部工程竣</w:t>
      </w:r>
      <w:r>
        <w:rPr>
          <w:rFonts w:hint="eastAsia" w:ascii="宋体"/>
          <w:color w:val="000000" w:themeColor="text1"/>
          <w:szCs w:val="21"/>
          <w:highlight w:val="none"/>
          <w:lang w:eastAsia="zh-CN"/>
          <w14:textFill>
            <w14:solidFill>
              <w14:schemeClr w14:val="tx1"/>
            </w14:solidFill>
          </w14:textFill>
        </w:rPr>
        <w:t>（</w:t>
      </w:r>
      <w:r>
        <w:rPr>
          <w:rFonts w:hint="eastAsia" w:ascii="宋体"/>
          <w:color w:val="000000" w:themeColor="text1"/>
          <w:szCs w:val="21"/>
          <w:highlight w:val="none"/>
          <w:lang w:val="en-US" w:eastAsia="zh-CN"/>
          <w14:textFill>
            <w14:solidFill>
              <w14:schemeClr w14:val="tx1"/>
            </w14:solidFill>
          </w14:textFill>
        </w:rPr>
        <w:t>交</w:t>
      </w:r>
      <w:r>
        <w:rPr>
          <w:rFonts w:hint="eastAsia" w:ascii="宋体"/>
          <w:color w:val="000000" w:themeColor="text1"/>
          <w:szCs w:val="21"/>
          <w:highlight w:val="none"/>
          <w:lang w:eastAsia="zh-CN"/>
          <w14:textFill>
            <w14:solidFill>
              <w14:schemeClr w14:val="tx1"/>
            </w14:solidFill>
          </w14:textFill>
        </w:rPr>
        <w:t>）</w:t>
      </w:r>
      <w:r>
        <w:rPr>
          <w:rFonts w:hint="eastAsia" w:ascii="宋体"/>
          <w:color w:val="000000" w:themeColor="text1"/>
          <w:szCs w:val="21"/>
          <w:highlight w:val="none"/>
          <w14:textFill>
            <w14:solidFill>
              <w14:schemeClr w14:val="tx1"/>
            </w14:solidFill>
          </w14:textFill>
        </w:rPr>
        <w:t>工验收后失效。</w:t>
      </w:r>
    </w:p>
    <w:p w14:paraId="481D5B4F">
      <w:pPr>
        <w:tabs>
          <w:tab w:val="left" w:pos="2790"/>
        </w:tabs>
        <w:spacing w:line="400" w:lineRule="exact"/>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5.本合同正本二份、副本</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份，合同双方各执正本一份</w:t>
      </w:r>
      <w:r>
        <w:rPr>
          <w:rFonts w:hint="eastAsia" w:ascii="宋体"/>
          <w:color w:val="000000" w:themeColor="text1"/>
          <w:szCs w:val="21"/>
          <w:highlight w:val="none"/>
          <w:lang w:eastAsia="zh-CN"/>
          <w14:textFill>
            <w14:solidFill>
              <w14:schemeClr w14:val="tx1"/>
            </w14:solidFill>
          </w14:textFill>
        </w:rPr>
        <w:t>、</w:t>
      </w:r>
      <w:r>
        <w:rPr>
          <w:rFonts w:hint="eastAsia" w:ascii="宋体"/>
          <w:color w:val="000000" w:themeColor="text1"/>
          <w:szCs w:val="21"/>
          <w:highlight w:val="none"/>
          <w14:textFill>
            <w14:solidFill>
              <w14:schemeClr w14:val="tx1"/>
            </w14:solidFill>
          </w14:textFill>
        </w:rPr>
        <w:t>副本</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份，当正本与副本的内容不一致时，以正本为准。</w:t>
      </w:r>
    </w:p>
    <w:p w14:paraId="7E689CA4">
      <w:pP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br w:type="page"/>
      </w:r>
    </w:p>
    <w:p w14:paraId="1E644A76">
      <w:pPr>
        <w:pStyle w:val="11"/>
        <w:rPr>
          <w:color w:val="000000" w:themeColor="text1"/>
          <w:highlight w:val="none"/>
          <w14:textFill>
            <w14:solidFill>
              <w14:schemeClr w14:val="tx1"/>
            </w14:solidFill>
          </w14:textFill>
        </w:rPr>
      </w:pPr>
    </w:p>
    <w:p w14:paraId="4056FB96">
      <w:pPr>
        <w:tabs>
          <w:tab w:val="left" w:pos="2790"/>
        </w:tabs>
        <w:spacing w:line="44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发包人：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(盖单位章)     承包人：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(盖单位章)</w:t>
      </w:r>
    </w:p>
    <w:p w14:paraId="19AEA769">
      <w:pPr>
        <w:tabs>
          <w:tab w:val="left" w:pos="2790"/>
        </w:tabs>
        <w:spacing w:line="44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法定代表人或其委托代理人：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(签字)     法定代表人或其委托代理人：</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(签字)</w:t>
      </w:r>
    </w:p>
    <w:p w14:paraId="6C624B22">
      <w:pPr>
        <w:tabs>
          <w:tab w:val="left" w:pos="2790"/>
        </w:tabs>
        <w:spacing w:line="440" w:lineRule="exact"/>
        <w:ind w:firstLine="1890" w:firstLineChars="9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年</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月</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日                       </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年</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月</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日</w:t>
      </w:r>
    </w:p>
    <w:p w14:paraId="48AD4275">
      <w:pPr>
        <w:rPr>
          <w:rFonts w:hAnsi="宋体"/>
          <w:b/>
          <w:bCs/>
          <w:color w:val="000000" w:themeColor="text1"/>
          <w:sz w:val="24"/>
          <w:szCs w:val="21"/>
          <w:highlight w:val="none"/>
          <w14:textFill>
            <w14:solidFill>
              <w14:schemeClr w14:val="tx1"/>
            </w14:solidFill>
          </w14:textFill>
        </w:rPr>
      </w:pPr>
      <w:bookmarkStart w:id="1214" w:name="_Toc140587209"/>
      <w:bookmarkStart w:id="1215" w:name="_Toc19416"/>
      <w:r>
        <w:rPr>
          <w:rFonts w:hint="eastAsia" w:hAnsi="宋体"/>
          <w:b/>
          <w:bCs/>
          <w:color w:val="000000" w:themeColor="text1"/>
          <w:sz w:val="24"/>
          <w:szCs w:val="21"/>
          <w:highlight w:val="none"/>
          <w14:textFill>
            <w14:solidFill>
              <w14:schemeClr w14:val="tx1"/>
            </w14:solidFill>
          </w14:textFill>
        </w:rPr>
        <w:br w:type="page"/>
      </w:r>
    </w:p>
    <w:p w14:paraId="79A603E8">
      <w:pPr>
        <w:rPr>
          <w:rFonts w:hAnsi="宋体"/>
          <w:b/>
          <w:bCs/>
          <w:color w:val="000000" w:themeColor="text1"/>
          <w:sz w:val="24"/>
          <w:szCs w:val="21"/>
          <w:highlight w:val="none"/>
          <w14:textFill>
            <w14:solidFill>
              <w14:schemeClr w14:val="tx1"/>
            </w14:solidFill>
          </w14:textFill>
        </w:rPr>
      </w:pPr>
    </w:p>
    <w:p w14:paraId="1AF8DCD8">
      <w:pPr>
        <w:tabs>
          <w:tab w:val="left" w:pos="2790"/>
        </w:tabs>
        <w:spacing w:line="360" w:lineRule="auto"/>
        <w:jc w:val="center"/>
        <w:outlineLvl w:val="2"/>
        <w:rPr>
          <w:rFonts w:hAnsi="宋体"/>
          <w:b/>
          <w:bCs/>
          <w:color w:val="000000" w:themeColor="text1"/>
          <w:sz w:val="24"/>
          <w:szCs w:val="21"/>
          <w:highlight w:val="none"/>
          <w14:textFill>
            <w14:solidFill>
              <w14:schemeClr w14:val="tx1"/>
            </w14:solidFill>
          </w14:textFill>
        </w:rPr>
      </w:pPr>
      <w:bookmarkStart w:id="1216" w:name="_Toc911"/>
      <w:r>
        <w:rPr>
          <w:rFonts w:hint="eastAsia" w:hAnsi="宋体"/>
          <w:b/>
          <w:bCs/>
          <w:color w:val="000000" w:themeColor="text1"/>
          <w:sz w:val="24"/>
          <w:szCs w:val="21"/>
          <w:highlight w:val="none"/>
          <w14:textFill>
            <w14:solidFill>
              <w14:schemeClr w14:val="tx1"/>
            </w14:solidFill>
          </w14:textFill>
        </w:rPr>
        <w:t xml:space="preserve">附件三 </w:t>
      </w:r>
      <w:r>
        <w:rPr>
          <w:rFonts w:hAnsi="宋体"/>
          <w:b/>
          <w:bCs/>
          <w:color w:val="000000" w:themeColor="text1"/>
          <w:sz w:val="24"/>
          <w:szCs w:val="21"/>
          <w:highlight w:val="none"/>
          <w14:textFill>
            <w14:solidFill>
              <w14:schemeClr w14:val="tx1"/>
            </w14:solidFill>
          </w14:textFill>
        </w:rPr>
        <w:t xml:space="preserve"> </w:t>
      </w:r>
      <w:r>
        <w:rPr>
          <w:rFonts w:hint="eastAsia" w:hAnsi="宋体"/>
          <w:b/>
          <w:bCs/>
          <w:color w:val="000000" w:themeColor="text1"/>
          <w:sz w:val="24"/>
          <w:szCs w:val="21"/>
          <w:highlight w:val="none"/>
          <w14:textFill>
            <w14:solidFill>
              <w14:schemeClr w14:val="tx1"/>
            </w14:solidFill>
          </w14:textFill>
        </w:rPr>
        <w:t>其他主要管理人员和技术人员最低要求</w:t>
      </w:r>
      <w:bookmarkEnd w:id="1211"/>
      <w:bookmarkEnd w:id="1212"/>
      <w:bookmarkEnd w:id="1214"/>
      <w:bookmarkEnd w:id="1215"/>
      <w:bookmarkEnd w:id="1216"/>
    </w:p>
    <w:p w14:paraId="45346480">
      <w:pPr>
        <w:pStyle w:val="11"/>
        <w:rPr>
          <w:color w:val="000000" w:themeColor="text1"/>
          <w:highlight w:val="none"/>
          <w14:textFill>
            <w14:solidFill>
              <w14:schemeClr w14:val="tx1"/>
            </w14:solidFill>
          </w14:textFill>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80"/>
        <w:gridCol w:w="1725"/>
        <w:gridCol w:w="870"/>
        <w:gridCol w:w="5097"/>
      </w:tblGrid>
      <w:tr w14:paraId="000A9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1280" w:type="dxa"/>
            <w:tcBorders>
              <w:right w:val="single" w:color="auto" w:sz="4" w:space="0"/>
            </w:tcBorders>
            <w:vAlign w:val="center"/>
          </w:tcPr>
          <w:p w14:paraId="652D8250">
            <w:pPr>
              <w:spacing w:line="400" w:lineRule="exact"/>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标段</w:t>
            </w:r>
          </w:p>
        </w:tc>
        <w:tc>
          <w:tcPr>
            <w:tcW w:w="1725" w:type="dxa"/>
            <w:tcBorders>
              <w:left w:val="single" w:color="auto" w:sz="4" w:space="0"/>
            </w:tcBorders>
            <w:vAlign w:val="center"/>
          </w:tcPr>
          <w:p w14:paraId="526EEA7C">
            <w:pPr>
              <w:spacing w:line="400" w:lineRule="exact"/>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人员</w:t>
            </w:r>
          </w:p>
        </w:tc>
        <w:tc>
          <w:tcPr>
            <w:tcW w:w="870" w:type="dxa"/>
            <w:vAlign w:val="center"/>
          </w:tcPr>
          <w:p w14:paraId="778CEB1E">
            <w:pPr>
              <w:spacing w:line="400" w:lineRule="exact"/>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数量</w:t>
            </w:r>
          </w:p>
        </w:tc>
        <w:tc>
          <w:tcPr>
            <w:tcW w:w="5097" w:type="dxa"/>
            <w:vAlign w:val="center"/>
          </w:tcPr>
          <w:p w14:paraId="1A719E5D">
            <w:pPr>
              <w:spacing w:line="400" w:lineRule="exact"/>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资格要求</w:t>
            </w:r>
          </w:p>
        </w:tc>
      </w:tr>
      <w:tr w14:paraId="411544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18" w:hRule="exact"/>
          <w:jc w:val="center"/>
        </w:trPr>
        <w:tc>
          <w:tcPr>
            <w:tcW w:w="1280" w:type="dxa"/>
            <w:tcBorders>
              <w:right w:val="single" w:color="auto" w:sz="4" w:space="0"/>
            </w:tcBorders>
            <w:vAlign w:val="center"/>
          </w:tcPr>
          <w:p w14:paraId="14321064">
            <w:pPr>
              <w:spacing w:line="400" w:lineRule="exact"/>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施工</w:t>
            </w:r>
          </w:p>
        </w:tc>
        <w:tc>
          <w:tcPr>
            <w:tcW w:w="1725" w:type="dxa"/>
            <w:tcBorders>
              <w:left w:val="single" w:color="auto" w:sz="4" w:space="0"/>
            </w:tcBorders>
            <w:vAlign w:val="center"/>
          </w:tcPr>
          <w:p w14:paraId="2236FC44">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施工</w:t>
            </w:r>
            <w:r>
              <w:rPr>
                <w:color w:val="000000" w:themeColor="text1"/>
                <w:szCs w:val="21"/>
                <w:highlight w:val="none"/>
                <w14:textFill>
                  <w14:solidFill>
                    <w14:schemeClr w14:val="tx1"/>
                  </w14:solidFill>
                </w14:textFill>
              </w:rPr>
              <w:t>负责人</w:t>
            </w:r>
          </w:p>
        </w:tc>
        <w:tc>
          <w:tcPr>
            <w:tcW w:w="870" w:type="dxa"/>
            <w:vAlign w:val="center"/>
          </w:tcPr>
          <w:p w14:paraId="1839FFF8">
            <w:pPr>
              <w:pStyle w:val="16"/>
              <w:pBdr>
                <w:bottom w:val="none" w:color="auto" w:sz="0" w:space="0"/>
              </w:pBdr>
              <w:tabs>
                <w:tab w:val="clear" w:pos="4153"/>
                <w:tab w:val="clear" w:pos="8306"/>
              </w:tabs>
              <w:snapToGrid/>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w:t>
            </w:r>
          </w:p>
        </w:tc>
        <w:tc>
          <w:tcPr>
            <w:tcW w:w="5097" w:type="dxa"/>
            <w:vAlign w:val="center"/>
          </w:tcPr>
          <w:p w14:paraId="7E3EEFE6">
            <w:pPr>
              <w:pStyle w:val="7"/>
              <w:rPr>
                <w:color w:val="000000" w:themeColor="text1"/>
                <w:szCs w:val="21"/>
                <w:highlight w:val="none"/>
                <w14:textFill>
                  <w14:solidFill>
                    <w14:schemeClr w14:val="tx1"/>
                  </w14:solidFill>
                </w14:textFill>
              </w:rPr>
            </w:pPr>
            <w:bookmarkStart w:id="1217" w:name="_Toc140587210"/>
            <w:r>
              <w:rPr>
                <w:rFonts w:hint="eastAsia"/>
                <w:color w:val="000000" w:themeColor="text1"/>
                <w:szCs w:val="21"/>
                <w:highlight w:val="none"/>
                <w14:textFill>
                  <w14:solidFill>
                    <w14:schemeClr w14:val="tx1"/>
                  </w14:solidFill>
                </w14:textFill>
              </w:rPr>
              <w:t>工程师及以上技术职称，具有5年以上</w:t>
            </w:r>
            <w:r>
              <w:rPr>
                <w:rFonts w:hint="eastAsia" w:eastAsia="宋体"/>
                <w:color w:val="000000" w:themeColor="text1"/>
                <w:szCs w:val="21"/>
                <w:highlight w:val="none"/>
                <w:lang w:val="en-US" w:eastAsia="zh-CN"/>
                <w14:textFill>
                  <w14:solidFill>
                    <w14:schemeClr w14:val="tx1"/>
                  </w14:solidFill>
                </w14:textFill>
              </w:rPr>
              <w:t>绿化</w:t>
            </w:r>
            <w:r>
              <w:rPr>
                <w:rFonts w:hint="eastAsia"/>
                <w:color w:val="000000" w:themeColor="text1"/>
                <w:szCs w:val="21"/>
                <w:highlight w:val="none"/>
                <w14:textFill>
                  <w14:solidFill>
                    <w14:schemeClr w14:val="tx1"/>
                  </w14:solidFill>
                </w14:textFill>
              </w:rPr>
              <w:t>工程施工工作经验。</w:t>
            </w:r>
            <w:bookmarkEnd w:id="1217"/>
          </w:p>
        </w:tc>
      </w:tr>
    </w:tbl>
    <w:p w14:paraId="59B74B01">
      <w:pPr>
        <w:pStyle w:val="7"/>
        <w:spacing w:line="360" w:lineRule="auto"/>
        <w:ind w:firstLine="420" w:firstLineChars="200"/>
        <w:rPr>
          <w:rFonts w:ascii="宋体" w:eastAsia="宋体"/>
          <w:color w:val="000000" w:themeColor="text1"/>
          <w:highlight w:val="none"/>
          <w14:textFill>
            <w14:solidFill>
              <w14:schemeClr w14:val="tx1"/>
            </w14:solidFill>
          </w14:textFill>
        </w:rPr>
      </w:pPr>
    </w:p>
    <w:p w14:paraId="457B0989">
      <w:pPr>
        <w:pStyle w:val="7"/>
        <w:spacing w:line="360" w:lineRule="auto"/>
        <w:ind w:firstLine="420" w:firstLineChars="200"/>
        <w:rPr>
          <w:rFonts w:ascii="宋体"/>
          <w:color w:val="000000" w:themeColor="text1"/>
          <w:highlight w:val="none"/>
          <w14:textFill>
            <w14:solidFill>
              <w14:schemeClr w14:val="tx1"/>
            </w14:solidFill>
          </w14:textFill>
        </w:rPr>
      </w:pPr>
      <w:r>
        <w:rPr>
          <w:rFonts w:hint="eastAsia" w:ascii="宋体" w:eastAsia="宋体"/>
          <w:color w:val="000000" w:themeColor="text1"/>
          <w:highlight w:val="none"/>
          <w14:textFill>
            <w14:solidFill>
              <w14:schemeClr w14:val="tx1"/>
            </w14:solidFill>
          </w14:textFill>
        </w:rPr>
        <w:t>注：招标人将在发出中标通知书之前要求中标人按照本表的最低要求填报派驻本标段的其他主要管理人员和技术人员，在经招标人审批后作为派驻本标段的项目管理机构主要人员。</w:t>
      </w:r>
      <w:r>
        <w:rPr>
          <w:rFonts w:ascii="宋体"/>
          <w:color w:val="000000" w:themeColor="text1"/>
          <w:highlight w:val="none"/>
          <w14:textFill>
            <w14:solidFill>
              <w14:schemeClr w14:val="tx1"/>
            </w14:solidFill>
          </w14:textFill>
        </w:rPr>
        <w:br w:type="page"/>
      </w:r>
    </w:p>
    <w:p w14:paraId="46A34959">
      <w:pPr>
        <w:tabs>
          <w:tab w:val="left" w:pos="2790"/>
        </w:tabs>
        <w:spacing w:line="360" w:lineRule="auto"/>
        <w:outlineLvl w:val="2"/>
        <w:rPr>
          <w:rFonts w:hAnsi="宋体"/>
          <w:b/>
          <w:bCs/>
          <w:color w:val="000000" w:themeColor="text1"/>
          <w:sz w:val="24"/>
          <w:szCs w:val="21"/>
          <w:highlight w:val="none"/>
          <w14:textFill>
            <w14:solidFill>
              <w14:schemeClr w14:val="tx1"/>
            </w14:solidFill>
          </w14:textFill>
        </w:rPr>
      </w:pPr>
      <w:bookmarkStart w:id="1218" w:name="_Toc10187"/>
      <w:bookmarkStart w:id="1219" w:name="_Toc43887524"/>
      <w:bookmarkStart w:id="1220" w:name="_Toc19092105"/>
      <w:bookmarkStart w:id="1221" w:name="_Toc28662"/>
      <w:bookmarkStart w:id="1222" w:name="_Toc140587211"/>
      <w:r>
        <w:rPr>
          <w:rFonts w:hint="eastAsia" w:hAnsi="宋体"/>
          <w:b/>
          <w:bCs/>
          <w:color w:val="000000" w:themeColor="text1"/>
          <w:sz w:val="24"/>
          <w:szCs w:val="21"/>
          <w:highlight w:val="none"/>
          <w14:textFill>
            <w14:solidFill>
              <w14:schemeClr w14:val="tx1"/>
            </w14:solidFill>
          </w14:textFill>
        </w:rPr>
        <w:t>附件四  主要机械设备和试验检测设备最低要求</w:t>
      </w:r>
      <w:bookmarkEnd w:id="1218"/>
      <w:bookmarkEnd w:id="1219"/>
      <w:bookmarkEnd w:id="1220"/>
      <w:bookmarkEnd w:id="1221"/>
      <w:bookmarkEnd w:id="1222"/>
    </w:p>
    <w:p w14:paraId="5B48B560">
      <w:pPr>
        <w:pStyle w:val="7"/>
        <w:jc w:val="center"/>
        <w:rPr>
          <w:rFonts w:hAnsi="宋体"/>
          <w:b/>
          <w:bCs/>
          <w:color w:val="000000" w:themeColor="text1"/>
          <w:sz w:val="24"/>
          <w:szCs w:val="21"/>
          <w:highlight w:val="none"/>
          <w14:textFill>
            <w14:solidFill>
              <w14:schemeClr w14:val="tx1"/>
            </w14:solidFill>
          </w14:textFill>
        </w:rPr>
      </w:pPr>
    </w:p>
    <w:p w14:paraId="0E869208">
      <w:pPr>
        <w:pStyle w:val="7"/>
        <w:jc w:val="center"/>
        <w:rPr>
          <w:rFonts w:hint="eastAsia" w:hAnsi="宋体"/>
          <w:b/>
          <w:bCs/>
          <w:color w:val="000000" w:themeColor="text1"/>
          <w:sz w:val="24"/>
          <w:szCs w:val="21"/>
          <w:highlight w:val="none"/>
          <w14:textFill>
            <w14:solidFill>
              <w14:schemeClr w14:val="tx1"/>
            </w14:solidFill>
          </w14:textFill>
        </w:rPr>
      </w:pPr>
      <w:r>
        <w:rPr>
          <w:rFonts w:hint="eastAsia" w:hAnsi="宋体"/>
          <w:b/>
          <w:bCs/>
          <w:color w:val="000000" w:themeColor="text1"/>
          <w:sz w:val="24"/>
          <w:szCs w:val="21"/>
          <w:highlight w:val="none"/>
          <w14:textFill>
            <w14:solidFill>
              <w14:schemeClr w14:val="tx1"/>
            </w14:solidFill>
          </w14:textFill>
        </w:rPr>
        <w:t>主要机械设备和试验检测设备最低要求</w:t>
      </w:r>
    </w:p>
    <w:p w14:paraId="3A3D60F8">
      <w:pPr>
        <w:pStyle w:val="34"/>
        <w:rPr>
          <w:color w:val="000000" w:themeColor="text1"/>
          <w:highlight w:val="none"/>
          <w14:textFill>
            <w14:solidFill>
              <w14:schemeClr w14:val="tx1"/>
            </w14:solidFill>
          </w14:textFill>
        </w:rPr>
      </w:pPr>
    </w:p>
    <w:tbl>
      <w:tblPr>
        <w:tblStyle w:val="28"/>
        <w:tblW w:w="9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6"/>
        <w:gridCol w:w="2575"/>
        <w:gridCol w:w="1001"/>
        <w:gridCol w:w="1717"/>
        <w:gridCol w:w="1860"/>
      </w:tblGrid>
      <w:tr w14:paraId="338E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256" w:type="dxa"/>
            <w:vAlign w:val="center"/>
          </w:tcPr>
          <w:p w14:paraId="33775F09">
            <w:pPr>
              <w:pStyle w:val="7"/>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设备名称</w:t>
            </w:r>
          </w:p>
        </w:tc>
        <w:tc>
          <w:tcPr>
            <w:tcW w:w="2575" w:type="dxa"/>
            <w:vAlign w:val="center"/>
          </w:tcPr>
          <w:p w14:paraId="26A98675">
            <w:pPr>
              <w:pStyle w:val="7"/>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规格、功能及容量</w:t>
            </w:r>
          </w:p>
        </w:tc>
        <w:tc>
          <w:tcPr>
            <w:tcW w:w="1001" w:type="dxa"/>
            <w:vAlign w:val="center"/>
          </w:tcPr>
          <w:p w14:paraId="0F6A6AE0">
            <w:pPr>
              <w:pStyle w:val="7"/>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w:t>
            </w:r>
          </w:p>
        </w:tc>
        <w:tc>
          <w:tcPr>
            <w:tcW w:w="1717" w:type="dxa"/>
            <w:vAlign w:val="center"/>
          </w:tcPr>
          <w:p w14:paraId="47F57F7A">
            <w:pPr>
              <w:pStyle w:val="7"/>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最低数量要求</w:t>
            </w:r>
          </w:p>
        </w:tc>
        <w:tc>
          <w:tcPr>
            <w:tcW w:w="1860" w:type="dxa"/>
            <w:vAlign w:val="center"/>
          </w:tcPr>
          <w:p w14:paraId="64FE8268">
            <w:pPr>
              <w:pStyle w:val="7"/>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tc>
      </w:tr>
      <w:tr w14:paraId="07A2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256" w:type="dxa"/>
            <w:vAlign w:val="center"/>
          </w:tcPr>
          <w:p w14:paraId="08C10DBC">
            <w:pPr>
              <w:pStyle w:val="7"/>
              <w:spacing w:line="320" w:lineRule="exact"/>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洒水车</w:t>
            </w:r>
          </w:p>
        </w:tc>
        <w:tc>
          <w:tcPr>
            <w:tcW w:w="2575" w:type="dxa"/>
            <w:vAlign w:val="center"/>
          </w:tcPr>
          <w:p w14:paraId="2CF71B21">
            <w:pPr>
              <w:pStyle w:val="7"/>
              <w:spacing w:line="320" w:lineRule="exact"/>
              <w:jc w:val="center"/>
              <w:rPr>
                <w:rFonts w:ascii="宋体" w:hAnsi="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满足施工要求</w:t>
            </w:r>
          </w:p>
        </w:tc>
        <w:tc>
          <w:tcPr>
            <w:tcW w:w="1001" w:type="dxa"/>
            <w:vAlign w:val="center"/>
          </w:tcPr>
          <w:p w14:paraId="17EB2083">
            <w:pPr>
              <w:pStyle w:val="7"/>
              <w:spacing w:line="320" w:lineRule="exact"/>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辆</w:t>
            </w:r>
          </w:p>
        </w:tc>
        <w:tc>
          <w:tcPr>
            <w:tcW w:w="1717" w:type="dxa"/>
            <w:vAlign w:val="center"/>
          </w:tcPr>
          <w:p w14:paraId="5D7328E0">
            <w:pPr>
              <w:pStyle w:val="7"/>
              <w:spacing w:line="320" w:lineRule="exact"/>
              <w:jc w:val="center"/>
              <w:rPr>
                <w:rFonts w:ascii="宋体" w:hAnsi="宋体"/>
                <w:color w:val="000000" w:themeColor="text1"/>
                <w:szCs w:val="21"/>
                <w:highlight w:val="none"/>
                <w14:textFill>
                  <w14:solidFill>
                    <w14:schemeClr w14:val="tx1"/>
                  </w14:solidFill>
                </w14:textFill>
              </w:rPr>
            </w:pPr>
            <w:r>
              <w:rPr>
                <w:rFonts w:hint="eastAsia" w:ascii="宋体" w:hAnsi="Calibri" w:cs="宋体"/>
                <w:color w:val="000000" w:themeColor="text1"/>
                <w:szCs w:val="21"/>
                <w:highlight w:val="none"/>
                <w14:textFill>
                  <w14:solidFill>
                    <w14:schemeClr w14:val="tx1"/>
                  </w14:solidFill>
                </w14:textFill>
              </w:rPr>
              <w:t>1</w:t>
            </w:r>
          </w:p>
        </w:tc>
        <w:tc>
          <w:tcPr>
            <w:tcW w:w="1860" w:type="dxa"/>
            <w:vAlign w:val="center"/>
          </w:tcPr>
          <w:p w14:paraId="74C13A10">
            <w:pPr>
              <w:pStyle w:val="7"/>
              <w:spacing w:line="320" w:lineRule="exact"/>
              <w:jc w:val="center"/>
              <w:rPr>
                <w:rFonts w:ascii="宋体" w:hAnsi="宋体"/>
                <w:color w:val="000000" w:themeColor="text1"/>
                <w:szCs w:val="21"/>
                <w:highlight w:val="none"/>
                <w14:textFill>
                  <w14:solidFill>
                    <w14:schemeClr w14:val="tx1"/>
                  </w14:solidFill>
                </w14:textFill>
              </w:rPr>
            </w:pPr>
          </w:p>
        </w:tc>
      </w:tr>
      <w:tr w14:paraId="37515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256" w:type="dxa"/>
            <w:vAlign w:val="center"/>
          </w:tcPr>
          <w:p w14:paraId="11773979">
            <w:pPr>
              <w:pStyle w:val="7"/>
              <w:spacing w:line="320" w:lineRule="exact"/>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绿篱机</w:t>
            </w:r>
          </w:p>
        </w:tc>
        <w:tc>
          <w:tcPr>
            <w:tcW w:w="2575" w:type="dxa"/>
            <w:vAlign w:val="center"/>
          </w:tcPr>
          <w:p w14:paraId="5C3100CA">
            <w:pPr>
              <w:pStyle w:val="7"/>
              <w:spacing w:line="320" w:lineRule="exact"/>
              <w:jc w:val="center"/>
              <w:rPr>
                <w:rFonts w:ascii="宋体" w:hAnsi="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满足施工要求</w:t>
            </w:r>
          </w:p>
        </w:tc>
        <w:tc>
          <w:tcPr>
            <w:tcW w:w="1001" w:type="dxa"/>
            <w:vAlign w:val="center"/>
          </w:tcPr>
          <w:p w14:paraId="259221DA">
            <w:pPr>
              <w:pStyle w:val="7"/>
              <w:spacing w:line="320" w:lineRule="exact"/>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台</w:t>
            </w:r>
          </w:p>
        </w:tc>
        <w:tc>
          <w:tcPr>
            <w:tcW w:w="1717" w:type="dxa"/>
            <w:vAlign w:val="center"/>
          </w:tcPr>
          <w:p w14:paraId="50CEAFC3">
            <w:pPr>
              <w:pStyle w:val="7"/>
              <w:spacing w:line="320" w:lineRule="exact"/>
              <w:jc w:val="center"/>
              <w:rPr>
                <w:rFonts w:ascii="宋体" w:hAnsi="宋体"/>
                <w:color w:val="000000" w:themeColor="text1"/>
                <w:szCs w:val="21"/>
                <w:highlight w:val="none"/>
                <w14:textFill>
                  <w14:solidFill>
                    <w14:schemeClr w14:val="tx1"/>
                  </w14:solidFill>
                </w14:textFill>
              </w:rPr>
            </w:pPr>
            <w:r>
              <w:rPr>
                <w:rFonts w:hint="eastAsia" w:ascii="宋体" w:hAnsi="Calibri" w:cs="宋体"/>
                <w:color w:val="000000" w:themeColor="text1"/>
                <w:szCs w:val="21"/>
                <w:highlight w:val="none"/>
                <w14:textFill>
                  <w14:solidFill>
                    <w14:schemeClr w14:val="tx1"/>
                  </w14:solidFill>
                </w14:textFill>
              </w:rPr>
              <w:t>1</w:t>
            </w:r>
          </w:p>
        </w:tc>
        <w:tc>
          <w:tcPr>
            <w:tcW w:w="1860" w:type="dxa"/>
            <w:vAlign w:val="center"/>
          </w:tcPr>
          <w:p w14:paraId="290937A0">
            <w:pPr>
              <w:pStyle w:val="7"/>
              <w:spacing w:line="320" w:lineRule="exact"/>
              <w:jc w:val="center"/>
              <w:rPr>
                <w:rFonts w:ascii="宋体" w:hAnsi="宋体"/>
                <w:color w:val="000000" w:themeColor="text1"/>
                <w:szCs w:val="21"/>
                <w:highlight w:val="none"/>
                <w14:textFill>
                  <w14:solidFill>
                    <w14:schemeClr w14:val="tx1"/>
                  </w14:solidFill>
                </w14:textFill>
              </w:rPr>
            </w:pPr>
          </w:p>
        </w:tc>
      </w:tr>
      <w:tr w14:paraId="7ED9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256" w:type="dxa"/>
            <w:vAlign w:val="center"/>
          </w:tcPr>
          <w:p w14:paraId="0BBA4361">
            <w:pPr>
              <w:pStyle w:val="7"/>
              <w:tabs>
                <w:tab w:val="left" w:pos="2790"/>
              </w:tabs>
              <w:spacing w:line="320" w:lineRule="exact"/>
              <w:jc w:val="center"/>
              <w:rPr>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草坪机</w:t>
            </w:r>
          </w:p>
        </w:tc>
        <w:tc>
          <w:tcPr>
            <w:tcW w:w="2575" w:type="dxa"/>
            <w:vAlign w:val="center"/>
          </w:tcPr>
          <w:p w14:paraId="422F02DD">
            <w:pPr>
              <w:pStyle w:val="7"/>
              <w:spacing w:line="320" w:lineRule="exact"/>
              <w:jc w:val="center"/>
              <w:rPr>
                <w:rFonts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满足施工要求</w:t>
            </w:r>
          </w:p>
        </w:tc>
        <w:tc>
          <w:tcPr>
            <w:tcW w:w="1001" w:type="dxa"/>
            <w:vAlign w:val="center"/>
          </w:tcPr>
          <w:p w14:paraId="6D1524E0">
            <w:pPr>
              <w:pStyle w:val="7"/>
              <w:tabs>
                <w:tab w:val="left" w:pos="2790"/>
              </w:tabs>
              <w:spacing w:line="320" w:lineRule="exact"/>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台</w:t>
            </w:r>
          </w:p>
        </w:tc>
        <w:tc>
          <w:tcPr>
            <w:tcW w:w="1717" w:type="dxa"/>
            <w:vAlign w:val="center"/>
          </w:tcPr>
          <w:p w14:paraId="0A881990">
            <w:pPr>
              <w:pStyle w:val="7"/>
              <w:tabs>
                <w:tab w:val="left" w:pos="2790"/>
              </w:tabs>
              <w:spacing w:line="320" w:lineRule="exact"/>
              <w:jc w:val="center"/>
              <w:rPr>
                <w:rFonts w:ascii="宋体" w:hAnsi="Calibri" w:cs="宋体"/>
                <w:color w:val="000000" w:themeColor="text1"/>
                <w:szCs w:val="21"/>
                <w:highlight w:val="none"/>
                <w14:textFill>
                  <w14:solidFill>
                    <w14:schemeClr w14:val="tx1"/>
                  </w14:solidFill>
                </w14:textFill>
              </w:rPr>
            </w:pPr>
            <w:r>
              <w:rPr>
                <w:rFonts w:hint="eastAsia" w:ascii="宋体" w:hAnsi="Calibri" w:cs="宋体"/>
                <w:color w:val="000000" w:themeColor="text1"/>
                <w:szCs w:val="21"/>
                <w:highlight w:val="none"/>
                <w14:textFill>
                  <w14:solidFill>
                    <w14:schemeClr w14:val="tx1"/>
                  </w14:solidFill>
                </w14:textFill>
              </w:rPr>
              <w:t>1</w:t>
            </w:r>
          </w:p>
        </w:tc>
        <w:tc>
          <w:tcPr>
            <w:tcW w:w="1860" w:type="dxa"/>
            <w:vAlign w:val="center"/>
          </w:tcPr>
          <w:p w14:paraId="0C88B9BA">
            <w:pPr>
              <w:pStyle w:val="7"/>
              <w:tabs>
                <w:tab w:val="left" w:pos="2790"/>
              </w:tabs>
              <w:spacing w:line="320" w:lineRule="exact"/>
              <w:jc w:val="center"/>
              <w:rPr>
                <w:color w:val="000000" w:themeColor="text1"/>
                <w:highlight w:val="none"/>
                <w14:textFill>
                  <w14:solidFill>
                    <w14:schemeClr w14:val="tx1"/>
                  </w14:solidFill>
                </w14:textFill>
              </w:rPr>
            </w:pPr>
          </w:p>
        </w:tc>
      </w:tr>
    </w:tbl>
    <w:p w14:paraId="6B9853A5">
      <w:pPr>
        <w:pStyle w:val="7"/>
        <w:ind w:firstLine="420" w:firstLineChars="200"/>
        <w:jc w:val="right"/>
        <w:rPr>
          <w:color w:val="000000" w:themeColor="text1"/>
          <w:szCs w:val="24"/>
          <w:highlight w:val="none"/>
          <w14:textFill>
            <w14:solidFill>
              <w14:schemeClr w14:val="tx1"/>
            </w14:solidFill>
          </w14:textFill>
        </w:rPr>
      </w:pPr>
    </w:p>
    <w:p w14:paraId="400EABB3">
      <w:pPr>
        <w:spacing w:line="380" w:lineRule="exact"/>
        <w:ind w:firstLine="420" w:firstLineChars="200"/>
        <w:rPr>
          <w:rFonts w:ascii="宋体"/>
          <w:color w:val="000000" w:themeColor="text1"/>
          <w:spacing w:val="-4"/>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注</w:t>
      </w:r>
      <w:r>
        <w:rPr>
          <w:rFonts w:ascii="宋体"/>
          <w:color w:val="000000" w:themeColor="text1"/>
          <w:highlight w:val="none"/>
          <w14:textFill>
            <w14:solidFill>
              <w14:schemeClr w14:val="tx1"/>
            </w14:solidFill>
          </w14:textFill>
        </w:rPr>
        <w:t>：</w:t>
      </w:r>
      <w:r>
        <w:rPr>
          <w:rFonts w:hint="eastAsia" w:ascii="宋体"/>
          <w:color w:val="000000" w:themeColor="text1"/>
          <w:spacing w:val="-4"/>
          <w:highlight w:val="none"/>
          <w14:textFill>
            <w14:solidFill>
              <w14:schemeClr w14:val="tx1"/>
            </w14:solidFill>
          </w14:textFill>
        </w:rPr>
        <w:t xml:space="preserve"> </w:t>
      </w:r>
    </w:p>
    <w:p w14:paraId="528AD854">
      <w:pPr>
        <w:spacing w:line="380" w:lineRule="exact"/>
        <w:ind w:firstLine="404" w:firstLineChars="200"/>
        <w:rPr>
          <w:rFonts w:ascii="宋体"/>
          <w:color w:val="000000" w:themeColor="text1"/>
          <w:spacing w:val="-4"/>
          <w:highlight w:val="none"/>
          <w14:textFill>
            <w14:solidFill>
              <w14:schemeClr w14:val="tx1"/>
            </w14:solidFill>
          </w14:textFill>
        </w:rPr>
      </w:pPr>
      <w:r>
        <w:rPr>
          <w:rFonts w:ascii="宋体"/>
          <w:color w:val="000000" w:themeColor="text1"/>
          <w:spacing w:val="-4"/>
          <w:highlight w:val="none"/>
          <w14:textFill>
            <w14:solidFill>
              <w14:schemeClr w14:val="tx1"/>
            </w14:solidFill>
          </w14:textFill>
        </w:rPr>
        <w:t xml:space="preserve"> 1. </w:t>
      </w:r>
      <w:r>
        <w:rPr>
          <w:rFonts w:hint="eastAsia" w:ascii="宋体"/>
          <w:color w:val="000000" w:themeColor="text1"/>
          <w:spacing w:val="-4"/>
          <w:highlight w:val="none"/>
          <w14:textFill>
            <w14:solidFill>
              <w14:schemeClr w14:val="tx1"/>
            </w14:solidFill>
          </w14:textFill>
        </w:rPr>
        <w:t>招标人将在发出中标通知书之前要求中标人按照本表的最低要求填报为本标段配备的主要设备，在经招标人审批后作为投入本标段的主要设备且不允许更换，常规设备以及其他设备在满足工程建设要求的前提下由承包人自行考虑。</w:t>
      </w:r>
    </w:p>
    <w:p w14:paraId="606DE93F">
      <w:pPr>
        <w:widowControl/>
        <w:spacing w:line="380" w:lineRule="exact"/>
        <w:ind w:firstLine="404" w:firstLineChars="200"/>
        <w:jc w:val="left"/>
        <w:rPr>
          <w:rFonts w:ascii="宋体"/>
          <w:color w:val="000000" w:themeColor="text1"/>
          <w:spacing w:val="-4"/>
          <w:highlight w:val="none"/>
          <w14:textFill>
            <w14:solidFill>
              <w14:schemeClr w14:val="tx1"/>
            </w14:solidFill>
          </w14:textFill>
        </w:rPr>
      </w:pPr>
      <w:r>
        <w:rPr>
          <w:rFonts w:ascii="宋体"/>
          <w:color w:val="000000" w:themeColor="text1"/>
          <w:spacing w:val="-4"/>
          <w:highlight w:val="none"/>
          <w14:textFill>
            <w14:solidFill>
              <w14:schemeClr w14:val="tx1"/>
            </w14:solidFill>
          </w14:textFill>
        </w:rPr>
        <w:t xml:space="preserve">2. </w:t>
      </w:r>
      <w:r>
        <w:rPr>
          <w:rFonts w:hint="eastAsia" w:ascii="宋体"/>
          <w:color w:val="000000" w:themeColor="text1"/>
          <w:spacing w:val="-4"/>
          <w:highlight w:val="none"/>
          <w14:textFill>
            <w14:solidFill>
              <w14:schemeClr w14:val="tx1"/>
            </w14:solidFill>
          </w14:textFill>
        </w:rPr>
        <w:t>承包人应当根据批复的实施性施工组织设计，按照施工方案的要求调整施工设备的投入，以满足实际施工要求，并报经监理人、发包人审批。</w:t>
      </w:r>
    </w:p>
    <w:p w14:paraId="39204186">
      <w:pPr>
        <w:widowControl/>
        <w:spacing w:line="380" w:lineRule="exact"/>
        <w:ind w:firstLine="404" w:firstLineChars="200"/>
        <w:jc w:val="left"/>
        <w:rPr>
          <w:rFonts w:ascii="宋体"/>
          <w:color w:val="000000" w:themeColor="text1"/>
          <w:spacing w:val="-4"/>
          <w:highlight w:val="none"/>
          <w14:textFill>
            <w14:solidFill>
              <w14:schemeClr w14:val="tx1"/>
            </w14:solidFill>
          </w14:textFill>
        </w:rPr>
      </w:pPr>
      <w:r>
        <w:rPr>
          <w:rFonts w:ascii="宋体"/>
          <w:color w:val="000000" w:themeColor="text1"/>
          <w:spacing w:val="-4"/>
          <w:highlight w:val="none"/>
          <w14:textFill>
            <w14:solidFill>
              <w14:schemeClr w14:val="tx1"/>
            </w14:solidFill>
          </w14:textFill>
        </w:rPr>
        <w:t>3.</w:t>
      </w:r>
      <w:r>
        <w:rPr>
          <w:rFonts w:hint="eastAsia" w:ascii="宋体"/>
          <w:color w:val="000000" w:themeColor="text1"/>
          <w:spacing w:val="-4"/>
          <w:highlight w:val="none"/>
          <w14:textFill>
            <w14:solidFill>
              <w14:schemeClr w14:val="tx1"/>
            </w14:solidFill>
          </w14:textFill>
        </w:rPr>
        <w:t>招标人按工期的要求调整施工设备的投入，以满足实际施工要求，并报经监理人、发包人审批。</w:t>
      </w:r>
    </w:p>
    <w:p w14:paraId="7D0120ED">
      <w:pPr>
        <w:widowControl/>
        <w:spacing w:line="380" w:lineRule="exact"/>
        <w:ind w:firstLine="404" w:firstLineChars="200"/>
        <w:jc w:val="left"/>
        <w:rPr>
          <w:rFonts w:ascii="宋体"/>
          <w:color w:val="000000" w:themeColor="text1"/>
          <w:spacing w:val="-4"/>
          <w:highlight w:val="none"/>
          <w14:textFill>
            <w14:solidFill>
              <w14:schemeClr w14:val="tx1"/>
            </w14:solidFill>
          </w14:textFill>
        </w:rPr>
      </w:pPr>
    </w:p>
    <w:p w14:paraId="181D4E79">
      <w:pPr>
        <w:widowControl/>
        <w:jc w:val="left"/>
        <w:rPr>
          <w:rFonts w:ascii="宋体"/>
          <w:color w:val="000000" w:themeColor="text1"/>
          <w:spacing w:val="-4"/>
          <w:highlight w:val="none"/>
          <w14:textFill>
            <w14:solidFill>
              <w14:schemeClr w14:val="tx1"/>
            </w14:solidFill>
          </w14:textFill>
        </w:rPr>
      </w:pPr>
      <w:r>
        <w:rPr>
          <w:rFonts w:ascii="宋体"/>
          <w:color w:val="000000" w:themeColor="text1"/>
          <w:spacing w:val="-4"/>
          <w:highlight w:val="none"/>
          <w14:textFill>
            <w14:solidFill>
              <w14:schemeClr w14:val="tx1"/>
            </w14:solidFill>
          </w14:textFill>
        </w:rPr>
        <w:br w:type="page"/>
      </w:r>
    </w:p>
    <w:p w14:paraId="0275A765">
      <w:pPr>
        <w:tabs>
          <w:tab w:val="left" w:pos="2790"/>
        </w:tabs>
        <w:spacing w:line="360" w:lineRule="auto"/>
        <w:outlineLvl w:val="2"/>
        <w:rPr>
          <w:rFonts w:hAnsi="宋体"/>
          <w:b/>
          <w:bCs/>
          <w:color w:val="000000" w:themeColor="text1"/>
          <w:sz w:val="24"/>
          <w:szCs w:val="21"/>
          <w:highlight w:val="none"/>
          <w14:textFill>
            <w14:solidFill>
              <w14:schemeClr w14:val="tx1"/>
            </w14:solidFill>
          </w14:textFill>
        </w:rPr>
      </w:pPr>
      <w:bookmarkStart w:id="1223" w:name="_Toc17950"/>
      <w:bookmarkStart w:id="1224" w:name="_Toc5020"/>
      <w:r>
        <w:rPr>
          <w:rFonts w:hint="eastAsia" w:hAnsi="宋体"/>
          <w:b/>
          <w:bCs/>
          <w:color w:val="000000" w:themeColor="text1"/>
          <w:sz w:val="24"/>
          <w:szCs w:val="21"/>
          <w:highlight w:val="none"/>
          <w14:textFill>
            <w14:solidFill>
              <w14:schemeClr w14:val="tx1"/>
            </w14:solidFill>
          </w14:textFill>
        </w:rPr>
        <w:t>附件五</w:t>
      </w:r>
      <w:r>
        <w:rPr>
          <w:rFonts w:hAnsi="宋体"/>
          <w:b/>
          <w:bCs/>
          <w:color w:val="000000" w:themeColor="text1"/>
          <w:sz w:val="24"/>
          <w:szCs w:val="21"/>
          <w:highlight w:val="none"/>
          <w14:textFill>
            <w14:solidFill>
              <w14:schemeClr w14:val="tx1"/>
            </w14:solidFill>
          </w14:textFill>
        </w:rPr>
        <w:t xml:space="preserve">  </w:t>
      </w:r>
      <w:r>
        <w:rPr>
          <w:rFonts w:hint="eastAsia" w:hAnsi="宋体"/>
          <w:b/>
          <w:bCs/>
          <w:color w:val="000000" w:themeColor="text1"/>
          <w:sz w:val="24"/>
          <w:szCs w:val="21"/>
          <w:highlight w:val="none"/>
          <w14:textFill>
            <w14:solidFill>
              <w14:schemeClr w14:val="tx1"/>
            </w14:solidFill>
          </w14:textFill>
        </w:rPr>
        <w:t>项目经理委任书</w:t>
      </w:r>
      <w:bookmarkEnd w:id="1223"/>
      <w:bookmarkEnd w:id="1224"/>
    </w:p>
    <w:p w14:paraId="6DBF5900">
      <w:pPr>
        <w:tabs>
          <w:tab w:val="left" w:pos="2790"/>
        </w:tabs>
        <w:spacing w:line="360" w:lineRule="auto"/>
        <w:rPr>
          <w:rFonts w:ascii="宋体" w:hAnsi="宋体" w:cs="宋体"/>
          <w:color w:val="000000" w:themeColor="text1"/>
          <w:sz w:val="24"/>
          <w:highlight w:val="none"/>
          <w14:textFill>
            <w14:solidFill>
              <w14:schemeClr w14:val="tx1"/>
            </w14:solidFill>
          </w14:textFill>
        </w:rPr>
      </w:pPr>
    </w:p>
    <w:p w14:paraId="78A2D9D4">
      <w:pPr>
        <w:tabs>
          <w:tab w:val="left" w:pos="2790"/>
        </w:tabs>
        <w:spacing w:line="360" w:lineRule="auto"/>
        <w:jc w:val="center"/>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u w:val="single"/>
          <w14:textFill>
            <w14:solidFill>
              <w14:schemeClr w14:val="tx1"/>
            </w14:solidFill>
          </w14:textFill>
        </w:rPr>
        <w:t>(承包人全称)</w:t>
      </w:r>
    </w:p>
    <w:p w14:paraId="41CAAF66">
      <w:pPr>
        <w:tabs>
          <w:tab w:val="left" w:pos="2790"/>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u w:val="single"/>
          <w14:textFill>
            <w14:solidFill>
              <w14:schemeClr w14:val="tx1"/>
            </w14:solidFill>
          </w14:textFill>
        </w:rPr>
        <w:t>(合同工程名称)</w:t>
      </w:r>
      <w:r>
        <w:rPr>
          <w:rFonts w:hint="eastAsia" w:ascii="宋体" w:hAnsi="宋体" w:cs="宋体"/>
          <w:color w:val="000000" w:themeColor="text1"/>
          <w:sz w:val="28"/>
          <w:szCs w:val="28"/>
          <w:highlight w:val="none"/>
          <w14:textFill>
            <w14:solidFill>
              <w14:schemeClr w14:val="tx1"/>
            </w14:solidFill>
          </w14:textFill>
        </w:rPr>
        <w:t>项目经理委任书</w:t>
      </w:r>
    </w:p>
    <w:p w14:paraId="69ECBDC0">
      <w:pPr>
        <w:tabs>
          <w:tab w:val="left" w:pos="2790"/>
        </w:tabs>
        <w:spacing w:line="360" w:lineRule="auto"/>
        <w:rPr>
          <w:rFonts w:ascii="宋体" w:hAnsi="宋体" w:cs="宋体"/>
          <w:color w:val="000000" w:themeColor="text1"/>
          <w:szCs w:val="21"/>
          <w:highlight w:val="none"/>
          <w14:textFill>
            <w14:solidFill>
              <w14:schemeClr w14:val="tx1"/>
            </w14:solidFill>
          </w14:textFill>
        </w:rPr>
      </w:pPr>
    </w:p>
    <w:p w14:paraId="5F3B7BEE">
      <w:pPr>
        <w:tabs>
          <w:tab w:val="left" w:pos="2790"/>
        </w:tabs>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w:t>
      </w:r>
      <w:r>
        <w:rPr>
          <w:rFonts w:ascii="宋体" w:hAnsi="宋体" w:cs="宋体"/>
          <w:color w:val="000000" w:themeColor="text1"/>
          <w:szCs w:val="21"/>
          <w:highlight w:val="none"/>
          <w:u w:val="single"/>
          <w14:textFill>
            <w14:solidFill>
              <w14:schemeClr w14:val="tx1"/>
            </w14:solidFill>
          </w14:textFill>
        </w:rPr>
        <w:t>(发包人全称)</w:t>
      </w:r>
    </w:p>
    <w:p w14:paraId="67DAAE57">
      <w:pPr>
        <w:tabs>
          <w:tab w:val="left" w:pos="2790"/>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t>(承包人全称)</w:t>
      </w:r>
      <w:r>
        <w:rPr>
          <w:rFonts w:hint="eastAsia" w:ascii="宋体" w:hAnsi="宋体" w:cs="宋体"/>
          <w:color w:val="000000" w:themeColor="text1"/>
          <w:szCs w:val="21"/>
          <w:highlight w:val="none"/>
          <w14:textFill>
            <w14:solidFill>
              <w14:schemeClr w14:val="tx1"/>
            </w14:solidFill>
          </w14:textFill>
        </w:rPr>
        <w:t>法定代表人</w:t>
      </w:r>
      <w:r>
        <w:rPr>
          <w:rFonts w:ascii="宋体" w:hAnsi="宋体" w:cs="宋体"/>
          <w:color w:val="000000" w:themeColor="text1"/>
          <w:szCs w:val="21"/>
          <w:highlight w:val="none"/>
          <w:u w:val="single"/>
          <w14:textFill>
            <w14:solidFill>
              <w14:schemeClr w14:val="tx1"/>
            </w14:solidFill>
          </w14:textFill>
        </w:rPr>
        <w:t>(职务、姓名)</w:t>
      </w:r>
      <w:r>
        <w:rPr>
          <w:rFonts w:hint="eastAsia" w:ascii="宋体" w:hAnsi="宋体" w:cs="宋体"/>
          <w:color w:val="000000" w:themeColor="text1"/>
          <w:szCs w:val="21"/>
          <w:highlight w:val="none"/>
          <w14:textFill>
            <w14:solidFill>
              <w14:schemeClr w14:val="tx1"/>
            </w14:solidFill>
          </w14:textFill>
        </w:rPr>
        <w:t>代表本单位委任</w:t>
      </w:r>
      <w:r>
        <w:rPr>
          <w:rFonts w:ascii="宋体" w:hAnsi="宋体" w:cs="宋体"/>
          <w:color w:val="000000" w:themeColor="text1"/>
          <w:szCs w:val="21"/>
          <w:highlight w:val="none"/>
          <w:u w:val="single"/>
          <w14:textFill>
            <w14:solidFill>
              <w14:schemeClr w14:val="tx1"/>
            </w14:solidFill>
          </w14:textFill>
        </w:rPr>
        <w:t>(职务、姓名)</w:t>
      </w:r>
      <w:r>
        <w:rPr>
          <w:rFonts w:hint="eastAsia" w:ascii="宋体" w:hAnsi="宋体" w:cs="宋体"/>
          <w:color w:val="000000" w:themeColor="text1"/>
          <w:szCs w:val="21"/>
          <w:highlight w:val="none"/>
          <w14:textFill>
            <w14:solidFill>
              <w14:schemeClr w14:val="tx1"/>
            </w14:solidFill>
          </w14:textFill>
        </w:rPr>
        <w:t>为</w:t>
      </w:r>
      <w:r>
        <w:rPr>
          <w:rFonts w:ascii="宋体" w:hAnsi="宋体" w:cs="宋体"/>
          <w:color w:val="000000" w:themeColor="text1"/>
          <w:szCs w:val="21"/>
          <w:highlight w:val="none"/>
          <w:u w:val="single"/>
          <w14:textFill>
            <w14:solidFill>
              <w14:schemeClr w14:val="tx1"/>
            </w14:solidFill>
          </w14:textFill>
        </w:rPr>
        <w:t>(合同工程名称)</w:t>
      </w:r>
      <w:r>
        <w:rPr>
          <w:rFonts w:hint="eastAsia" w:ascii="宋体" w:hAnsi="宋体" w:cs="宋体"/>
          <w:color w:val="000000" w:themeColor="text1"/>
          <w:szCs w:val="21"/>
          <w:highlight w:val="none"/>
          <w14:textFill>
            <w14:solidFill>
              <w14:schemeClr w14:val="tx1"/>
            </w14:solidFill>
          </w14:textFill>
        </w:rPr>
        <w:t>的项目经理。凡本合同执行中的有关技术、工程进度、现场管理、质量检验、结算与支付等方面工作，由</w:t>
      </w:r>
      <w:r>
        <w:rPr>
          <w:rFonts w:ascii="宋体" w:hAnsi="宋体" w:cs="宋体"/>
          <w:color w:val="000000" w:themeColor="text1"/>
          <w:szCs w:val="21"/>
          <w:highlight w:val="none"/>
          <w:u w:val="single"/>
          <w14:textFill>
            <w14:solidFill>
              <w14:schemeClr w14:val="tx1"/>
            </w14:solidFill>
          </w14:textFill>
        </w:rPr>
        <w:t>(姓名)</w:t>
      </w:r>
      <w:r>
        <w:rPr>
          <w:rFonts w:hint="eastAsia" w:ascii="宋体" w:hAnsi="宋体" w:cs="宋体"/>
          <w:color w:val="000000" w:themeColor="text1"/>
          <w:szCs w:val="21"/>
          <w:highlight w:val="none"/>
          <w14:textFill>
            <w14:solidFill>
              <w14:schemeClr w14:val="tx1"/>
            </w14:solidFill>
          </w14:textFill>
        </w:rPr>
        <w:t>代表本单位全面负责。</w:t>
      </w:r>
    </w:p>
    <w:p w14:paraId="3D817F85">
      <w:pPr>
        <w:tabs>
          <w:tab w:val="left" w:pos="2790"/>
        </w:tabs>
        <w:spacing w:line="360" w:lineRule="auto"/>
        <w:rPr>
          <w:rFonts w:ascii="宋体" w:hAnsi="宋体" w:cs="宋体"/>
          <w:color w:val="000000" w:themeColor="text1"/>
          <w:szCs w:val="21"/>
          <w:highlight w:val="none"/>
          <w14:textFill>
            <w14:solidFill>
              <w14:schemeClr w14:val="tx1"/>
            </w14:solidFill>
          </w14:textFill>
        </w:rPr>
      </w:pPr>
    </w:p>
    <w:p w14:paraId="40DE881C">
      <w:pPr>
        <w:tabs>
          <w:tab w:val="left" w:pos="2790"/>
        </w:tabs>
        <w:spacing w:line="360" w:lineRule="auto"/>
        <w:rPr>
          <w:rFonts w:ascii="宋体" w:hAnsi="宋体" w:cs="宋体"/>
          <w:color w:val="000000" w:themeColor="text1"/>
          <w:szCs w:val="21"/>
          <w:highlight w:val="none"/>
          <w14:textFill>
            <w14:solidFill>
              <w14:schemeClr w14:val="tx1"/>
            </w14:solidFill>
          </w14:textFill>
        </w:rPr>
      </w:pPr>
    </w:p>
    <w:p w14:paraId="2AB02CF5">
      <w:pPr>
        <w:tabs>
          <w:tab w:val="left" w:pos="2790"/>
        </w:tabs>
        <w:spacing w:line="360" w:lineRule="auto"/>
        <w:ind w:firstLine="3570" w:firstLineChars="17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承</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包</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(盖单位章)</w:t>
      </w:r>
    </w:p>
    <w:p w14:paraId="3F07D29A">
      <w:pPr>
        <w:tabs>
          <w:tab w:val="left" w:pos="2790"/>
        </w:tabs>
        <w:spacing w:line="360" w:lineRule="auto"/>
        <w:ind w:firstLine="3570" w:firstLineChars="17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w:t>
      </w:r>
      <w:r>
        <w:rPr>
          <w:rFonts w:hint="eastAsia"/>
          <w:color w:val="000000" w:themeColor="text1"/>
          <w:szCs w:val="21"/>
          <w:highlight w:val="none"/>
          <w:u w:val="single"/>
          <w14:textFill>
            <w14:solidFill>
              <w14:schemeClr w14:val="tx1"/>
            </w14:solidFill>
          </w14:textFill>
        </w:rPr>
        <w:t xml:space="preserve">      (职务)       </w:t>
      </w:r>
    </w:p>
    <w:p w14:paraId="19CC5B67">
      <w:pPr>
        <w:tabs>
          <w:tab w:val="left" w:pos="2790"/>
        </w:tabs>
        <w:spacing w:line="360" w:lineRule="auto"/>
        <w:ind w:firstLine="4830" w:firstLineChars="2300"/>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 xml:space="preserve">      (姓名)       </w:t>
      </w:r>
    </w:p>
    <w:p w14:paraId="50B56A0E">
      <w:pPr>
        <w:tabs>
          <w:tab w:val="left" w:pos="2790"/>
        </w:tabs>
        <w:spacing w:line="360" w:lineRule="auto"/>
        <w:ind w:firstLine="4830" w:firstLineChars="2300"/>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 xml:space="preserve">      (签字)       </w:t>
      </w:r>
    </w:p>
    <w:p w14:paraId="29A8AFCB">
      <w:pPr>
        <w:tabs>
          <w:tab w:val="left" w:pos="2790"/>
        </w:tabs>
        <w:spacing w:line="360" w:lineRule="auto"/>
        <w:ind w:firstLine="4867" w:firstLineChars="2318"/>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14:paraId="57844E01">
      <w:pPr>
        <w:tabs>
          <w:tab w:val="left" w:pos="2790"/>
        </w:tabs>
        <w:spacing w:line="360" w:lineRule="auto"/>
        <w:rPr>
          <w:rFonts w:ascii="宋体" w:hAnsi="宋体" w:cs="宋体"/>
          <w:color w:val="000000" w:themeColor="text1"/>
          <w:szCs w:val="21"/>
          <w:highlight w:val="none"/>
          <w14:textFill>
            <w14:solidFill>
              <w14:schemeClr w14:val="tx1"/>
            </w14:solidFill>
          </w14:textFill>
        </w:rPr>
      </w:pPr>
    </w:p>
    <w:p w14:paraId="67C6CA56">
      <w:pPr>
        <w:tabs>
          <w:tab w:val="left" w:pos="2790"/>
        </w:tabs>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抄送：</w:t>
      </w:r>
      <w:r>
        <w:rPr>
          <w:rFonts w:ascii="宋体" w:hAnsi="宋体" w:cs="宋体"/>
          <w:color w:val="000000" w:themeColor="text1"/>
          <w:szCs w:val="21"/>
          <w:highlight w:val="none"/>
          <w:u w:val="single"/>
          <w14:textFill>
            <w14:solidFill>
              <w14:schemeClr w14:val="tx1"/>
            </w14:solidFill>
          </w14:textFill>
        </w:rPr>
        <w:t>(监理人)</w:t>
      </w:r>
    </w:p>
    <w:p w14:paraId="441E11FC">
      <w:pPr>
        <w:tabs>
          <w:tab w:val="left" w:pos="2790"/>
        </w:tabs>
        <w:spacing w:line="360" w:lineRule="auto"/>
        <w:rPr>
          <w:rFonts w:ascii="宋体" w:hAnsi="宋体" w:cs="宋体"/>
          <w:color w:val="000000" w:themeColor="text1"/>
          <w:szCs w:val="21"/>
          <w:highlight w:val="none"/>
          <w14:textFill>
            <w14:solidFill>
              <w14:schemeClr w14:val="tx1"/>
            </w14:solidFill>
          </w14:textFill>
        </w:rPr>
      </w:pPr>
    </w:p>
    <w:p w14:paraId="543E17A3">
      <w:pPr>
        <w:tabs>
          <w:tab w:val="left" w:pos="2790"/>
        </w:tabs>
        <w:spacing w:line="360" w:lineRule="auto"/>
        <w:outlineLvl w:val="2"/>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br w:type="page"/>
      </w:r>
      <w:bookmarkStart w:id="1225" w:name="_Toc23750"/>
      <w:bookmarkStart w:id="1226" w:name="_Toc17306"/>
      <w:r>
        <w:rPr>
          <w:rFonts w:hint="eastAsia" w:hAnsi="宋体"/>
          <w:b/>
          <w:bCs/>
          <w:color w:val="000000" w:themeColor="text1"/>
          <w:sz w:val="24"/>
          <w:szCs w:val="21"/>
          <w:highlight w:val="none"/>
          <w14:textFill>
            <w14:solidFill>
              <w14:schemeClr w14:val="tx1"/>
            </w14:solidFill>
          </w14:textFill>
        </w:rPr>
        <w:t>附件六</w:t>
      </w:r>
      <w:r>
        <w:rPr>
          <w:rFonts w:hAnsi="宋体"/>
          <w:b/>
          <w:bCs/>
          <w:color w:val="000000" w:themeColor="text1"/>
          <w:sz w:val="24"/>
          <w:szCs w:val="21"/>
          <w:highlight w:val="none"/>
          <w14:textFill>
            <w14:solidFill>
              <w14:schemeClr w14:val="tx1"/>
            </w14:solidFill>
          </w14:textFill>
        </w:rPr>
        <w:t xml:space="preserve">  </w:t>
      </w:r>
      <w:r>
        <w:rPr>
          <w:rFonts w:hint="eastAsia" w:hAnsi="宋体"/>
          <w:b/>
          <w:bCs/>
          <w:color w:val="000000" w:themeColor="text1"/>
          <w:sz w:val="24"/>
          <w:szCs w:val="21"/>
          <w:highlight w:val="none"/>
          <w14:textFill>
            <w14:solidFill>
              <w14:schemeClr w14:val="tx1"/>
            </w14:solidFill>
          </w14:textFill>
        </w:rPr>
        <w:t>履约保证金格式</w:t>
      </w:r>
      <w:bookmarkEnd w:id="1225"/>
      <w:bookmarkEnd w:id="1226"/>
    </w:p>
    <w:p w14:paraId="2B4E9B79">
      <w:pPr>
        <w:pStyle w:val="7"/>
        <w:tabs>
          <w:tab w:val="left" w:pos="2790"/>
        </w:tabs>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如采用银行保函，格式如下：</w:t>
      </w:r>
    </w:p>
    <w:p w14:paraId="0CF7E92F">
      <w:pPr>
        <w:pStyle w:val="7"/>
        <w:tabs>
          <w:tab w:val="left" w:pos="2790"/>
        </w:tabs>
        <w:spacing w:line="360" w:lineRule="auto"/>
        <w:jc w:val="center"/>
        <w:rPr>
          <w:rFonts w:eastAsia="黑体"/>
          <w:color w:val="000000" w:themeColor="text1"/>
          <w:sz w:val="28"/>
          <w:szCs w:val="28"/>
          <w:highlight w:val="none"/>
          <w14:textFill>
            <w14:solidFill>
              <w14:schemeClr w14:val="tx1"/>
            </w14:solidFill>
          </w14:textFill>
        </w:rPr>
      </w:pPr>
      <w:r>
        <w:rPr>
          <w:rFonts w:hint="eastAsia" w:eastAsia="黑体"/>
          <w:color w:val="000000" w:themeColor="text1"/>
          <w:sz w:val="28"/>
          <w:szCs w:val="28"/>
          <w:highlight w:val="none"/>
          <w14:textFill>
            <w14:solidFill>
              <w14:schemeClr w14:val="tx1"/>
            </w14:solidFill>
          </w14:textFill>
        </w:rPr>
        <w:t>履约保证金</w:t>
      </w:r>
    </w:p>
    <w:p w14:paraId="7063C234">
      <w:pPr>
        <w:pStyle w:val="7"/>
        <w:tabs>
          <w:tab w:val="left" w:pos="2790"/>
        </w:tabs>
        <w:spacing w:line="360" w:lineRule="auto"/>
        <w:rPr>
          <w:color w:val="000000" w:themeColor="text1"/>
          <w:szCs w:val="21"/>
          <w:highlight w:val="none"/>
          <w14:textFill>
            <w14:solidFill>
              <w14:schemeClr w14:val="tx1"/>
            </w14:solidFill>
          </w14:textFill>
        </w:rPr>
      </w:pPr>
    </w:p>
    <w:p w14:paraId="7403C248">
      <w:pPr>
        <w:pStyle w:val="7"/>
        <w:tabs>
          <w:tab w:val="left" w:pos="2790"/>
        </w:tabs>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发包人名称</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w:t>
      </w:r>
    </w:p>
    <w:p w14:paraId="75A41FA2">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鉴于</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发包人名称，以下简称</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发包人</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接受</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承包人名称</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以下称</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承包人</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于</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日参加</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项目名称</w:t>
      </w:r>
      <w:r>
        <w:rPr>
          <w:color w:val="000000" w:themeColor="text1"/>
          <w:szCs w:val="21"/>
          <w:highlight w:val="none"/>
          <w14:textFill>
            <w14:solidFill>
              <w14:schemeClr w14:val="tx1"/>
            </w14:solidFill>
          </w14:textFill>
        </w:rPr>
        <w:t>)</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标段施工的投标。我方愿意无条件地、不可撤销地就承包人履行与你方订立的合同，向你方提供担保。</w:t>
      </w:r>
    </w:p>
    <w:p w14:paraId="1BF2E092">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担保金额人民币</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大写</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元</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w:t>
      </w:r>
    </w:p>
    <w:p w14:paraId="61B0490A">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担保有效期自发包人与承包人签订的合同生效之日起至发包人签发交工验收证书且承包人按照合同约定缴纳质量保证金之日止。</w:t>
      </w:r>
      <w:r>
        <w:rPr>
          <w:color w:val="000000" w:themeColor="text1"/>
          <w:szCs w:val="21"/>
          <w:highlight w:val="none"/>
          <w:vertAlign w:val="superscript"/>
          <w14:textFill>
            <w14:solidFill>
              <w14:schemeClr w14:val="tx1"/>
            </w14:solidFill>
          </w14:textFill>
        </w:rPr>
        <w:footnoteReference w:id="10"/>
      </w:r>
    </w:p>
    <w:p w14:paraId="1C55AC90">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w:t>
      </w:r>
      <w:r>
        <w:rPr>
          <w:rFonts w:hint="eastAsia"/>
          <w:color w:val="000000" w:themeColor="text1"/>
          <w:szCs w:val="21"/>
          <w:highlight w:val="none"/>
          <w14:textFill>
            <w14:solidFill>
              <w14:schemeClr w14:val="tx1"/>
            </w14:solidFill>
          </w14:textFill>
        </w:rPr>
        <w:t>在本担保有效期内，因承包人违反合同约定的义务给你方造成经济损失时，我方在收到你方以书面形式提出的在担保金额内的赔偿要求后，在</w:t>
      </w: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天内无条件支付，无须你方出具证明或陈述理由。</w:t>
      </w:r>
    </w:p>
    <w:p w14:paraId="10B3B10F">
      <w:pPr>
        <w:pStyle w:val="7"/>
        <w:tabs>
          <w:tab w:val="left" w:pos="2790"/>
        </w:tabs>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w:t>
      </w:r>
      <w:r>
        <w:rPr>
          <w:rFonts w:hint="eastAsia"/>
          <w:color w:val="000000" w:themeColor="text1"/>
          <w:szCs w:val="21"/>
          <w:highlight w:val="none"/>
          <w14:textFill>
            <w14:solidFill>
              <w14:schemeClr w14:val="tx1"/>
            </w14:solidFill>
          </w14:textFill>
        </w:rPr>
        <w:t>发包人和承包人按合同条款第</w:t>
      </w:r>
      <w:r>
        <w:rPr>
          <w:color w:val="000000" w:themeColor="text1"/>
          <w:szCs w:val="21"/>
          <w:highlight w:val="none"/>
          <w14:textFill>
            <w14:solidFill>
              <w14:schemeClr w14:val="tx1"/>
            </w14:solidFill>
          </w14:textFill>
        </w:rPr>
        <w:t>15</w:t>
      </w:r>
      <w:r>
        <w:rPr>
          <w:rFonts w:hint="eastAsia"/>
          <w:color w:val="000000" w:themeColor="text1"/>
          <w:szCs w:val="21"/>
          <w:highlight w:val="none"/>
          <w14:textFill>
            <w14:solidFill>
              <w14:schemeClr w14:val="tx1"/>
            </w14:solidFill>
          </w14:textFill>
        </w:rPr>
        <w:t>条变更合同时，无论我方是否收到该变更，我方承担本担保规定的义务不变。</w:t>
      </w:r>
    </w:p>
    <w:p w14:paraId="4B65141E">
      <w:pPr>
        <w:pStyle w:val="7"/>
        <w:tabs>
          <w:tab w:val="left" w:pos="2790"/>
        </w:tabs>
        <w:spacing w:line="360" w:lineRule="auto"/>
        <w:rPr>
          <w:color w:val="000000" w:themeColor="text1"/>
          <w:szCs w:val="21"/>
          <w:highlight w:val="none"/>
          <w14:textFill>
            <w14:solidFill>
              <w14:schemeClr w14:val="tx1"/>
            </w14:solidFill>
          </w14:textFill>
        </w:rPr>
      </w:pPr>
    </w:p>
    <w:p w14:paraId="1D9CA1A0">
      <w:pPr>
        <w:tabs>
          <w:tab w:val="left" w:pos="2790"/>
        </w:tabs>
        <w:spacing w:line="360" w:lineRule="auto"/>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担</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保</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(盖单位章)</w:t>
      </w:r>
    </w:p>
    <w:p w14:paraId="577D3B26">
      <w:pPr>
        <w:tabs>
          <w:tab w:val="left" w:pos="2790"/>
        </w:tabs>
        <w:spacing w:line="360" w:lineRule="auto"/>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法定代表人或其委托代理人：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w:t>
      </w:r>
    </w:p>
    <w:p w14:paraId="34061065">
      <w:pPr>
        <w:tabs>
          <w:tab w:val="left" w:pos="2790"/>
        </w:tabs>
        <w:spacing w:line="360" w:lineRule="auto"/>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地</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址：</w:t>
      </w:r>
      <w:r>
        <w:rPr>
          <w:color w:val="000000" w:themeColor="text1"/>
          <w:szCs w:val="21"/>
          <w:highlight w:val="none"/>
          <w:u w:val="single"/>
          <w14:textFill>
            <w14:solidFill>
              <w14:schemeClr w14:val="tx1"/>
            </w14:solidFill>
          </w14:textFill>
        </w:rPr>
        <w:t xml:space="preserve">                               </w:t>
      </w:r>
    </w:p>
    <w:p w14:paraId="7D4B92DD">
      <w:pPr>
        <w:tabs>
          <w:tab w:val="left" w:pos="2790"/>
        </w:tabs>
        <w:spacing w:line="360" w:lineRule="auto"/>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邮政编码：</w:t>
      </w:r>
      <w:r>
        <w:rPr>
          <w:color w:val="000000" w:themeColor="text1"/>
          <w:szCs w:val="21"/>
          <w:highlight w:val="none"/>
          <w:u w:val="single"/>
          <w14:textFill>
            <w14:solidFill>
              <w14:schemeClr w14:val="tx1"/>
            </w14:solidFill>
          </w14:textFill>
        </w:rPr>
        <w:t xml:space="preserve">                               </w:t>
      </w:r>
    </w:p>
    <w:p w14:paraId="34711999">
      <w:pPr>
        <w:tabs>
          <w:tab w:val="left" w:pos="2790"/>
        </w:tabs>
        <w:spacing w:line="360" w:lineRule="auto"/>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电</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话：</w:t>
      </w:r>
      <w:r>
        <w:rPr>
          <w:color w:val="000000" w:themeColor="text1"/>
          <w:szCs w:val="21"/>
          <w:highlight w:val="none"/>
          <w:u w:val="single"/>
          <w14:textFill>
            <w14:solidFill>
              <w14:schemeClr w14:val="tx1"/>
            </w14:solidFill>
          </w14:textFill>
        </w:rPr>
        <w:t xml:space="preserve">                               </w:t>
      </w:r>
    </w:p>
    <w:p w14:paraId="6FB1C96B">
      <w:pPr>
        <w:tabs>
          <w:tab w:val="left" w:pos="2790"/>
        </w:tabs>
        <w:spacing w:line="360" w:lineRule="auto"/>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传</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真：</w:t>
      </w:r>
      <w:r>
        <w:rPr>
          <w:color w:val="000000" w:themeColor="text1"/>
          <w:szCs w:val="21"/>
          <w:highlight w:val="none"/>
          <w:u w:val="single"/>
          <w14:textFill>
            <w14:solidFill>
              <w14:schemeClr w14:val="tx1"/>
            </w14:solidFill>
          </w14:textFill>
        </w:rPr>
        <w:t xml:space="preserve">                               </w:t>
      </w:r>
    </w:p>
    <w:p w14:paraId="62F63794">
      <w:pPr>
        <w:tabs>
          <w:tab w:val="left" w:pos="2790"/>
        </w:tabs>
        <w:spacing w:line="360" w:lineRule="auto"/>
        <w:ind w:firstLine="5985" w:firstLineChars="2850"/>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14:paraId="661D55ED">
      <w:pPr>
        <w:tabs>
          <w:tab w:val="left" w:pos="2790"/>
        </w:tabs>
        <w:spacing w:line="360" w:lineRule="auto"/>
        <w:ind w:firstLine="4200" w:firstLineChars="1750"/>
        <w:rPr>
          <w:rFonts w:hAnsi="宋体"/>
          <w:b/>
          <w:bCs/>
          <w:color w:val="000000" w:themeColor="text1"/>
          <w:sz w:val="24"/>
          <w:szCs w:val="2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br w:type="page"/>
      </w:r>
      <w:bookmarkStart w:id="1227" w:name="_Toc29434"/>
      <w:bookmarkStart w:id="1228" w:name="_Toc9916"/>
      <w:bookmarkStart w:id="1229" w:name="_Toc875"/>
      <w:bookmarkStart w:id="1230" w:name="_Toc24310"/>
      <w:bookmarkStart w:id="1231" w:name="_Toc98785353"/>
      <w:bookmarkStart w:id="1232" w:name="_Toc120624281"/>
      <w:bookmarkStart w:id="1233" w:name="_Toc30069"/>
      <w:bookmarkStart w:id="1234" w:name="_Toc19621"/>
      <w:bookmarkStart w:id="1235" w:name="_Toc119585542"/>
      <w:bookmarkStart w:id="1236" w:name="_Toc24825"/>
      <w:bookmarkStart w:id="1237" w:name="_Toc30831"/>
      <w:bookmarkStart w:id="1238" w:name="_Toc21020"/>
      <w:bookmarkStart w:id="1239" w:name="_Toc15580"/>
      <w:bookmarkStart w:id="1240" w:name="_Toc8435"/>
      <w:bookmarkStart w:id="1241" w:name="_Toc3675"/>
      <w:bookmarkStart w:id="1242" w:name="_Toc16990"/>
      <w:bookmarkStart w:id="1243" w:name="_Toc3102"/>
      <w:bookmarkStart w:id="1244" w:name="_Toc118195901"/>
    </w:p>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p w14:paraId="2D1C0B6A">
      <w:pPr>
        <w:tabs>
          <w:tab w:val="left" w:pos="2790"/>
        </w:tabs>
        <w:spacing w:line="360" w:lineRule="auto"/>
        <w:outlineLvl w:val="2"/>
        <w:rPr>
          <w:rFonts w:ascii="宋体" w:hAnsi="宋体" w:cs="宋体"/>
          <w:color w:val="000000" w:themeColor="text1"/>
          <w:sz w:val="28"/>
          <w:szCs w:val="28"/>
          <w:highlight w:val="none"/>
          <w14:textFill>
            <w14:solidFill>
              <w14:schemeClr w14:val="tx1"/>
            </w14:solidFill>
          </w14:textFill>
        </w:rPr>
      </w:pPr>
      <w:bookmarkStart w:id="1245" w:name="_Toc9597"/>
      <w:bookmarkStart w:id="1246" w:name="_Toc19418"/>
      <w:r>
        <w:rPr>
          <w:rFonts w:hint="eastAsia" w:hAnsi="宋体"/>
          <w:b/>
          <w:bCs/>
          <w:color w:val="000000" w:themeColor="text1"/>
          <w:sz w:val="24"/>
          <w:szCs w:val="21"/>
          <w:highlight w:val="none"/>
          <w14:textFill>
            <w14:solidFill>
              <w14:schemeClr w14:val="tx1"/>
            </w14:solidFill>
          </w14:textFill>
        </w:rPr>
        <w:t>附件七</w:t>
      </w:r>
      <w:r>
        <w:rPr>
          <w:rFonts w:hAnsi="宋体"/>
          <w:b/>
          <w:bCs/>
          <w:color w:val="000000" w:themeColor="text1"/>
          <w:sz w:val="24"/>
          <w:szCs w:val="21"/>
          <w:highlight w:val="none"/>
          <w14:textFill>
            <w14:solidFill>
              <w14:schemeClr w14:val="tx1"/>
            </w14:solidFill>
          </w14:textFill>
        </w:rPr>
        <w:t xml:space="preserve">  </w:t>
      </w:r>
      <w:r>
        <w:rPr>
          <w:rFonts w:hint="eastAsia" w:hAnsi="宋体"/>
          <w:b/>
          <w:bCs/>
          <w:color w:val="000000" w:themeColor="text1"/>
          <w:sz w:val="24"/>
          <w:szCs w:val="21"/>
          <w:highlight w:val="none"/>
          <w14:textFill>
            <w14:solidFill>
              <w14:schemeClr w14:val="tx1"/>
            </w14:solidFill>
          </w14:textFill>
        </w:rPr>
        <w:t>工程质量责任合同</w:t>
      </w:r>
      <w:bookmarkEnd w:id="1245"/>
      <w:bookmarkEnd w:id="1246"/>
    </w:p>
    <w:p w14:paraId="58D2824F">
      <w:pPr>
        <w:tabs>
          <w:tab w:val="left" w:pos="2790"/>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工程质量责任合同</w:t>
      </w:r>
    </w:p>
    <w:p w14:paraId="22264EE2">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根据国务院《建设工程质量管理条例》，为保证在设计使用年限内建设工程质量， </w:t>
      </w:r>
      <w:r>
        <w:rPr>
          <w:rFonts w:hint="eastAsia"/>
          <w:color w:val="000000" w:themeColor="text1"/>
          <w:highlight w:val="none"/>
          <w:u w:val="single"/>
          <w14:textFill>
            <w14:solidFill>
              <w14:schemeClr w14:val="tx1"/>
            </w14:solidFill>
          </w14:textFill>
        </w:rPr>
        <w:t xml:space="preserve"> （项目名称）  </w:t>
      </w:r>
      <w:r>
        <w:rPr>
          <w:rFonts w:hint="eastAsia"/>
          <w:color w:val="000000" w:themeColor="text1"/>
          <w:highlight w:val="none"/>
          <w14:textFill>
            <w14:solidFill>
              <w14:schemeClr w14:val="tx1"/>
            </w14:solidFill>
          </w14:textFill>
        </w:rPr>
        <w:t>的发包人</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（以下称发包人）与承包人</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（以下称承包人），特订立如下质量责任合同。</w:t>
      </w:r>
    </w:p>
    <w:p w14:paraId="23DD7E78">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第一条</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本建设工程项目的质量目标为</w:t>
      </w:r>
      <w:r>
        <w:rPr>
          <w:rFonts w:hint="eastAsia"/>
          <w:color w:val="000000" w:themeColor="text1"/>
          <w:szCs w:val="21"/>
          <w:highlight w:val="none"/>
          <w14:textFill>
            <w14:solidFill>
              <w14:schemeClr w14:val="tx1"/>
            </w14:solidFill>
          </w14:textFill>
        </w:rPr>
        <w:t>标段工程竣</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交</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14:textFill>
            <w14:solidFill>
              <w14:schemeClr w14:val="tx1"/>
            </w14:solidFill>
          </w14:textFill>
        </w:rPr>
        <w:t>工验收的质量评定：</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，承包人对本建设工程的施工质量在设计使用年限内依法终身负责。施工质量责任人</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4504B9F3">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第二条</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双方的权利与义务</w:t>
      </w:r>
    </w:p>
    <w:p w14:paraId="37924172">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（一）严格遵守国家有关法律法规及交通运输部</w:t>
      </w:r>
      <w:r>
        <w:rPr>
          <w:rFonts w:hint="eastAsia"/>
          <w:color w:val="000000" w:themeColor="text1"/>
          <w:szCs w:val="21"/>
          <w:highlight w:val="none"/>
          <w14:textFill>
            <w14:solidFill>
              <w14:schemeClr w14:val="tx1"/>
            </w14:solidFill>
          </w14:textFill>
        </w:rPr>
        <w:t>、浙江省交通运输厅</w:t>
      </w:r>
      <w:r>
        <w:rPr>
          <w:rFonts w:hint="eastAsia"/>
          <w:color w:val="000000" w:themeColor="text1"/>
          <w:highlight w:val="none"/>
          <w14:textFill>
            <w14:solidFill>
              <w14:schemeClr w14:val="tx1"/>
            </w14:solidFill>
          </w14:textFill>
        </w:rPr>
        <w:t>的有关规定。</w:t>
      </w:r>
    </w:p>
    <w:p w14:paraId="06DA6EF3">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（二）严格执行</w:t>
      </w:r>
      <w:r>
        <w:rPr>
          <w:rFonts w:hint="eastAsia"/>
          <w:color w:val="000000" w:themeColor="text1"/>
          <w:highlight w:val="none"/>
          <w:u w:val="single"/>
          <w14:textFill>
            <w14:solidFill>
              <w14:schemeClr w14:val="tx1"/>
            </w14:solidFill>
          </w14:textFill>
        </w:rPr>
        <w:t xml:space="preserve">  （项目名称）  </w:t>
      </w:r>
      <w:r>
        <w:rPr>
          <w:rFonts w:hint="eastAsia"/>
          <w:color w:val="000000" w:themeColor="text1"/>
          <w:highlight w:val="none"/>
          <w14:textFill>
            <w14:solidFill>
              <w14:schemeClr w14:val="tx1"/>
            </w14:solidFill>
          </w14:textFill>
        </w:rPr>
        <w:t>第</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标段施工合同文件，自觉按合同办事。</w:t>
      </w:r>
    </w:p>
    <w:p w14:paraId="561F1180">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（三）双方的施工业务活动必须坚持科学、公正、诚信、平等的原则，不得损害国家、集体的利益，不得违反工程建设管理规章制度。</w:t>
      </w:r>
    </w:p>
    <w:p w14:paraId="2D3719FA">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（四）发现对方在施工业务活动中，有违反有关规定的行为，有及时提醒对方纠正的权利和义务。</w:t>
      </w:r>
    </w:p>
    <w:p w14:paraId="671BC1D8">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（五）发现对方严重违反施工合同文件的行为，有向其上级有关部门举报，建议给予处理并要求告知处理结果的权利。</w:t>
      </w:r>
    </w:p>
    <w:p w14:paraId="77FAB826">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第三条</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发包人的义务</w:t>
      </w:r>
    </w:p>
    <w:p w14:paraId="16916E9C">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（一）发包人向承包人及时提供有关资料（包括技术规范、工程量清单、施工图等。）</w:t>
      </w:r>
    </w:p>
    <w:p w14:paraId="7674A43A">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（二）发包人向承包人及时提供建设用地，及时解决对工程占地范围以内尚未拆迁的建筑物及其他障碍物。</w:t>
      </w:r>
    </w:p>
    <w:p w14:paraId="7D7EB700">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（三）发包人应向承包人提供主要原材料和产品质量的检验标准和检测频率，重点明确主要受力构件产品平行抽检和见证检验的要求。</w:t>
      </w:r>
    </w:p>
    <w:p w14:paraId="0C175A8A">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（四）发包人不得指使承包人不按法律、法规、工程建设强制性标准和施工规范进行工程的施工活动。</w:t>
      </w:r>
    </w:p>
    <w:p w14:paraId="05E40F4A">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（五）发包人须按施工合同的约定支付工程款，除施工合同的约定外，发包人不得以任何借口克扣工程款或拖延工程款的支付。</w:t>
      </w:r>
    </w:p>
    <w:p w14:paraId="02AEF8CF">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（六）发包人不得明示或暗示向承包人推荐单位或个人承包或分包本工程项目的施工任务。</w:t>
      </w:r>
    </w:p>
    <w:p w14:paraId="149EBF45">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（七）发包人不得以任何理由索取回扣或其它好处。</w:t>
      </w:r>
    </w:p>
    <w:p w14:paraId="066B7FDF">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第四条</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承包人的义务</w:t>
      </w:r>
    </w:p>
    <w:p w14:paraId="73E29AA4">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（一）承包人应具备与本工程项目相应等级的施工资质证书。</w:t>
      </w:r>
    </w:p>
    <w:p w14:paraId="67AE4E34">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（二）承包人不得允许其它单位或个人以承包人的名义承揽本工程项目的施工任务，不得转包或违法分包所承揽的本工程的项目施工任务。</w:t>
      </w:r>
    </w:p>
    <w:p w14:paraId="0BA90752">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（三）承包人必须严格履行施工合同，按投标承诺的施工技术人员及时到位。施工技术人员原则上不得擅自调换，如有特殊原因确需调换的，须经发包人书面同意方能换人。</w:t>
      </w:r>
    </w:p>
    <w:p w14:paraId="36DAB44F">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（四）承包人应配备专职的质量管理人员。</w:t>
      </w:r>
    </w:p>
    <w:p w14:paraId="08361621">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（五）承包人必须建立工地临时试验室，按要求配合相应的试验检测人员和设备，并取得工地临时试验室资质证书。按有关规定做好各类试验，试验资料应真实、完整，统一归档。</w:t>
      </w:r>
    </w:p>
    <w:p w14:paraId="1579274C">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（六）承包人必须按照工程设计图纸和施工技术规范施工，不得擅自修改工程设计，不得偷工减料。</w:t>
      </w:r>
    </w:p>
    <w:p w14:paraId="21669A9E">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（七）承包人在施工过程中发现设计文件和图纸有差错的，应当及时提出意见和建议。</w:t>
      </w:r>
    </w:p>
    <w:p w14:paraId="352540E7">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（八）承包人与发包人、承包人或指定分包人之间有关工程质量、进度和费用的一切往来函件、报表均应分类编号归档保存；施工技术资料应真实、完整。</w:t>
      </w:r>
    </w:p>
    <w:p w14:paraId="0078313F">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承包人应加强对发包人按合同规定采购的材料和设备的检验，对涉及结构安全的锚夹具、支座、吊杆（索）等受力构件产品检测，应当在发包人或者监理单位见证下现场取样，对检验不合格的产品，承包人应拒绝使用。</w:t>
      </w:r>
    </w:p>
    <w:p w14:paraId="3E1F073A">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（十）承包人不得暗示材料、设备供应单位提供使用不合格或质量低劣的材料、设备。</w:t>
      </w:r>
    </w:p>
    <w:p w14:paraId="76F17CB4">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第五条</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违约责任</w:t>
      </w:r>
    </w:p>
    <w:p w14:paraId="6BDBCA4F">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（一）发包人及其工作人员违反本合同第二、三条，按管理权限，依据国务院《建设工程质量管理条例》有关规定给予相应的处罚；涉嫌犯罪的，依法追究刑事责任；给承包人单位造成经济损失的，应予以赔偿。</w:t>
      </w:r>
    </w:p>
    <w:p w14:paraId="668542B0">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（二）承包人及其工作人员违反本合同第二、四条，按管理权限，依据国务院《建设工程质量管理条例》有关规定给予相应的处罚；涉嫌犯罪的，依法追究刑事责任；给发包人单位造成经济损失的，应予以赔偿。</w:t>
      </w:r>
    </w:p>
    <w:p w14:paraId="09DE0C79">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第六条</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本合同有效期为双方自签署之日起至该工程项目设计使用年限之日止。</w:t>
      </w:r>
    </w:p>
    <w:p w14:paraId="7AE91059">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第七条</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本合同作为</w:t>
      </w:r>
      <w:r>
        <w:rPr>
          <w:rFonts w:hint="eastAsia"/>
          <w:color w:val="000000" w:themeColor="text1"/>
          <w:highlight w:val="none"/>
          <w:u w:val="single"/>
          <w14:textFill>
            <w14:solidFill>
              <w14:schemeClr w14:val="tx1"/>
            </w14:solidFill>
          </w14:textFill>
        </w:rPr>
        <w:t xml:space="preserve">  （项目名称）  </w:t>
      </w:r>
      <w:r>
        <w:rPr>
          <w:rFonts w:hint="eastAsia"/>
          <w:color w:val="000000" w:themeColor="text1"/>
          <w:highlight w:val="none"/>
          <w14:textFill>
            <w14:solidFill>
              <w14:schemeClr w14:val="tx1"/>
            </w14:solidFill>
          </w14:textFill>
        </w:rPr>
        <w:t>第</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标段施工合同附件，与工程施工合同具有同等的法律效力，经合同双方签署后立即生效。</w:t>
      </w:r>
    </w:p>
    <w:p w14:paraId="24A3926A">
      <w:pPr>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第八条  </w:t>
      </w:r>
      <w:r>
        <w:rPr>
          <w:rFonts w:hint="eastAsia"/>
          <w:color w:val="000000" w:themeColor="text1"/>
          <w:szCs w:val="21"/>
          <w:highlight w:val="none"/>
          <w14:textFill>
            <w14:solidFill>
              <w14:schemeClr w14:val="tx1"/>
            </w14:solidFill>
          </w14:textFill>
        </w:rPr>
        <w:t>本合同正本二份、副本</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份，合同双方各执正本一份</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14:textFill>
            <w14:solidFill>
              <w14:schemeClr w14:val="tx1"/>
            </w14:solidFill>
          </w14:textFill>
        </w:rPr>
        <w:t>副本</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份，当正本与副本的内容不一致时，以正本为准</w:t>
      </w:r>
      <w:r>
        <w:rPr>
          <w:rFonts w:hint="eastAsia"/>
          <w:color w:val="000000" w:themeColor="text1"/>
          <w:highlight w:val="none"/>
          <w14:textFill>
            <w14:solidFill>
              <w14:schemeClr w14:val="tx1"/>
            </w14:solidFill>
          </w14:textFill>
        </w:rPr>
        <w:t>。</w:t>
      </w:r>
    </w:p>
    <w:p w14:paraId="51A5F031">
      <w:pPr>
        <w:spacing w:line="360" w:lineRule="auto"/>
        <w:rPr>
          <w:color w:val="000000" w:themeColor="text1"/>
          <w:highlight w:val="none"/>
          <w14:textFill>
            <w14:solidFill>
              <w14:schemeClr w14:val="tx1"/>
            </w14:solidFill>
          </w14:textFill>
        </w:rPr>
      </w:pPr>
    </w:p>
    <w:p w14:paraId="3813AE14">
      <w:pPr>
        <w:tabs>
          <w:tab w:val="left" w:pos="2790"/>
        </w:tabs>
        <w:spacing w:line="360" w:lineRule="auto"/>
        <w:ind w:firstLine="420" w:firstLineChars="200"/>
        <w:rPr>
          <w:color w:val="000000" w:themeColor="text1"/>
          <w:szCs w:val="21"/>
          <w:highlight w:val="none"/>
          <w14:textFill>
            <w14:solidFill>
              <w14:schemeClr w14:val="tx1"/>
            </w14:solidFill>
          </w14:textFill>
        </w:rPr>
      </w:pPr>
    </w:p>
    <w:p w14:paraId="1075EB9D">
      <w:pPr>
        <w:tabs>
          <w:tab w:val="left" w:pos="2790"/>
        </w:tabs>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发包人：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(盖单位章)     承包人：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(盖单位章)</w:t>
      </w:r>
    </w:p>
    <w:p w14:paraId="524A5634">
      <w:pPr>
        <w:tabs>
          <w:tab w:val="left" w:pos="2790"/>
        </w:tabs>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法定代表人或其委托代理人：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法定代表人或其委托代理人：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w:t>
      </w:r>
    </w:p>
    <w:p w14:paraId="3EC36CF8">
      <w:pPr>
        <w:tabs>
          <w:tab w:val="left" w:pos="2790"/>
        </w:tabs>
        <w:spacing w:line="360" w:lineRule="auto"/>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日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14:paraId="38F6FE1E">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r>
    </w:p>
    <w:p w14:paraId="3B9F5CAB">
      <w:pPr>
        <w:tabs>
          <w:tab w:val="left" w:pos="2790"/>
        </w:tabs>
        <w:spacing w:line="360" w:lineRule="auto"/>
        <w:outlineLvl w:val="2"/>
        <w:rPr>
          <w:rFonts w:hAnsi="宋体"/>
          <w:b/>
          <w:bCs/>
          <w:color w:val="000000" w:themeColor="text1"/>
          <w:sz w:val="24"/>
          <w:szCs w:val="21"/>
          <w:highlight w:val="none"/>
          <w14:textFill>
            <w14:solidFill>
              <w14:schemeClr w14:val="tx1"/>
            </w14:solidFill>
          </w14:textFill>
        </w:rPr>
      </w:pPr>
      <w:bookmarkStart w:id="1247" w:name="_Toc4113"/>
      <w:bookmarkStart w:id="1248" w:name="_Toc3451"/>
      <w:bookmarkStart w:id="1249" w:name="_Toc17673"/>
      <w:bookmarkStart w:id="1250" w:name="_Toc4402"/>
      <w:bookmarkStart w:id="1251" w:name="_Toc2853"/>
      <w:bookmarkStart w:id="1252" w:name="_Toc19417"/>
      <w:bookmarkStart w:id="1253" w:name="_Toc15076"/>
      <w:bookmarkStart w:id="1254" w:name="_Toc118195904"/>
      <w:bookmarkStart w:id="1255" w:name="_Toc12480"/>
      <w:bookmarkStart w:id="1256" w:name="_Toc120624284"/>
      <w:bookmarkStart w:id="1257" w:name="_Toc10276"/>
      <w:bookmarkStart w:id="1258" w:name="_Toc119585545"/>
      <w:bookmarkStart w:id="1259" w:name="_Toc7054"/>
      <w:bookmarkStart w:id="1260" w:name="_Toc3495"/>
      <w:bookmarkStart w:id="1261" w:name="_Toc15430"/>
      <w:bookmarkStart w:id="1262" w:name="_Toc22963"/>
      <w:bookmarkStart w:id="1263" w:name="_Toc29522"/>
      <w:bookmarkStart w:id="1264" w:name="_Toc8748"/>
      <w:bookmarkStart w:id="1265" w:name="_Toc783"/>
      <w:r>
        <w:rPr>
          <w:rFonts w:hint="eastAsia" w:hAnsi="宋体"/>
          <w:b/>
          <w:bCs/>
          <w:color w:val="000000" w:themeColor="text1"/>
          <w:sz w:val="24"/>
          <w:szCs w:val="21"/>
          <w:highlight w:val="none"/>
          <w14:textFill>
            <w14:solidFill>
              <w14:schemeClr w14:val="tx1"/>
            </w14:solidFill>
          </w14:textFill>
        </w:rPr>
        <w:t>附件八</w:t>
      </w:r>
      <w:r>
        <w:rPr>
          <w:rFonts w:hAnsi="宋体"/>
          <w:b/>
          <w:bCs/>
          <w:color w:val="000000" w:themeColor="text1"/>
          <w:sz w:val="24"/>
          <w:szCs w:val="21"/>
          <w:highlight w:val="none"/>
          <w14:textFill>
            <w14:solidFill>
              <w14:schemeClr w14:val="tx1"/>
            </w14:solidFill>
          </w14:textFill>
        </w:rPr>
        <w:t xml:space="preserve">  </w:t>
      </w:r>
      <w:r>
        <w:rPr>
          <w:rFonts w:hint="eastAsia" w:hAnsi="宋体"/>
          <w:b/>
          <w:bCs/>
          <w:color w:val="000000" w:themeColor="text1"/>
          <w:sz w:val="24"/>
          <w:szCs w:val="21"/>
          <w:highlight w:val="none"/>
          <w14:textFill>
            <w14:solidFill>
              <w14:schemeClr w14:val="tx1"/>
            </w14:solidFill>
          </w14:textFill>
        </w:rPr>
        <w:t>相关人员在职承诺书格式</w:t>
      </w:r>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p>
    <w:p w14:paraId="2AD1E72F">
      <w:pPr>
        <w:spacing w:line="360" w:lineRule="auto"/>
        <w:jc w:val="center"/>
        <w:rPr>
          <w:rFonts w:ascii="宋体" w:hAnsi="宋体" w:cs="宋体"/>
          <w:color w:val="000000" w:themeColor="text1"/>
          <w:highlight w:val="none"/>
          <w14:textFill>
            <w14:solidFill>
              <w14:schemeClr w14:val="tx1"/>
            </w14:solidFill>
          </w14:textFill>
        </w:rPr>
      </w:pPr>
    </w:p>
    <w:p w14:paraId="730DCE36">
      <w:pPr>
        <w:tabs>
          <w:tab w:val="left" w:pos="2790"/>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承诺书</w:t>
      </w:r>
    </w:p>
    <w:p w14:paraId="55BB5B9A">
      <w:pPr>
        <w:spacing w:line="360" w:lineRule="auto"/>
        <w:jc w:val="center"/>
        <w:rPr>
          <w:rFonts w:ascii="宋体" w:hAnsi="宋体" w:cs="宋体"/>
          <w:color w:val="000000" w:themeColor="text1"/>
          <w:highlight w:val="none"/>
          <w14:textFill>
            <w14:solidFill>
              <w14:schemeClr w14:val="tx1"/>
            </w14:solidFill>
          </w14:textFill>
        </w:rPr>
      </w:pPr>
    </w:p>
    <w:p w14:paraId="4CA37BE3">
      <w:pPr>
        <w:spacing w:line="360" w:lineRule="auto"/>
        <w:jc w:val="center"/>
        <w:rPr>
          <w:rFonts w:ascii="宋体" w:hAnsi="宋体" w:cs="宋体"/>
          <w:color w:val="000000" w:themeColor="text1"/>
          <w:highlight w:val="none"/>
          <w14:textFill>
            <w14:solidFill>
              <w14:schemeClr w14:val="tx1"/>
            </w14:solidFill>
          </w14:textFill>
        </w:rPr>
      </w:pPr>
    </w:p>
    <w:p w14:paraId="753656D0">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致：</w:t>
      </w:r>
      <w:r>
        <w:rPr>
          <w:rFonts w:ascii="宋体" w:hAnsi="宋体" w:cs="宋体"/>
          <w:color w:val="000000" w:themeColor="text1"/>
          <w:highlight w:val="none"/>
          <w14:textFill>
            <w14:solidFill>
              <w14:schemeClr w14:val="tx1"/>
            </w14:solidFill>
          </w14:textFill>
        </w:rPr>
        <w:t>_______</w:t>
      </w:r>
      <w:r>
        <w:rPr>
          <w:rFonts w:hint="eastAsia" w:ascii="宋体" w:hAnsi="宋体" w:cs="宋体"/>
          <w:color w:val="000000" w:themeColor="text1"/>
          <w:highlight w:val="none"/>
          <w14:textFill>
            <w14:solidFill>
              <w14:schemeClr w14:val="tx1"/>
            </w14:solidFill>
          </w14:textFill>
        </w:rPr>
        <w:t>（发包人名称）：</w:t>
      </w:r>
    </w:p>
    <w:p w14:paraId="4BED12FF">
      <w:pPr>
        <w:spacing w:line="360"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本人作为项目经理</w:t>
      </w:r>
      <w:r>
        <w:rPr>
          <w:rFonts w:ascii="宋体" w:hAnsi="宋体" w:cs="宋体"/>
          <w:color w:val="000000" w:themeColor="text1"/>
          <w:highlight w:val="none"/>
          <w14:textFill>
            <w14:solidFill>
              <w14:schemeClr w14:val="tx1"/>
            </w14:solidFill>
          </w14:textFill>
        </w:rPr>
        <w:t>/项目技术负责人，同意按招标文件规定到位，若有更换，同意按《浙江省</w:t>
      </w:r>
      <w:r>
        <w:rPr>
          <w:rFonts w:hint="eastAsia" w:ascii="宋体" w:hAnsi="宋体" w:cs="宋体"/>
          <w:color w:val="000000" w:themeColor="text1"/>
          <w:highlight w:val="none"/>
          <w14:textFill>
            <w14:solidFill>
              <w14:schemeClr w14:val="tx1"/>
            </w14:solidFill>
          </w14:textFill>
        </w:rPr>
        <w:t>交通</w:t>
      </w:r>
      <w:r>
        <w:rPr>
          <w:rFonts w:ascii="宋体" w:hAnsi="宋体" w:cs="宋体"/>
          <w:color w:val="000000" w:themeColor="text1"/>
          <w:highlight w:val="none"/>
          <w14:textFill>
            <w14:solidFill>
              <w14:schemeClr w14:val="tx1"/>
            </w14:solidFill>
          </w14:textFill>
        </w:rPr>
        <w:t>建设工程从业主体信用评价管理细则》扣分或纳入负面清单管理。</w:t>
      </w:r>
    </w:p>
    <w:p w14:paraId="1C08D0D6">
      <w:pPr>
        <w:spacing w:line="360"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特此承诺。</w:t>
      </w:r>
    </w:p>
    <w:p w14:paraId="6F46C77E">
      <w:pPr>
        <w:spacing w:line="360" w:lineRule="auto"/>
        <w:ind w:firstLine="480"/>
        <w:rPr>
          <w:rFonts w:ascii="宋体" w:hAnsi="宋体" w:cs="宋体"/>
          <w:color w:val="000000" w:themeColor="text1"/>
          <w:highlight w:val="none"/>
          <w14:textFill>
            <w14:solidFill>
              <w14:schemeClr w14:val="tx1"/>
            </w14:solidFill>
          </w14:textFill>
        </w:rPr>
      </w:pPr>
    </w:p>
    <w:p w14:paraId="2C2F2169">
      <w:pPr>
        <w:spacing w:line="360" w:lineRule="auto"/>
        <w:ind w:firstLine="480"/>
        <w:rPr>
          <w:color w:val="000000" w:themeColor="text1"/>
          <w:highlight w:val="none"/>
          <w14:textFill>
            <w14:solidFill>
              <w14:schemeClr w14:val="tx1"/>
            </w14:solidFill>
          </w14:textFill>
        </w:rPr>
      </w:pPr>
    </w:p>
    <w:p w14:paraId="1962BC2B">
      <w:pPr>
        <w:tabs>
          <w:tab w:val="left" w:pos="2790"/>
        </w:tabs>
        <w:spacing w:line="360" w:lineRule="auto"/>
        <w:ind w:left="4393" w:leftChars="2092"/>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承诺人：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w:t>
      </w:r>
    </w:p>
    <w:p w14:paraId="4CD22218">
      <w:pPr>
        <w:tabs>
          <w:tab w:val="left" w:pos="2790"/>
        </w:tabs>
        <w:spacing w:line="360" w:lineRule="auto"/>
        <w:ind w:left="4393" w:leftChars="209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14:paraId="49ED2879">
      <w:pPr>
        <w:tabs>
          <w:tab w:val="left" w:pos="2790"/>
        </w:tabs>
        <w:spacing w:line="360" w:lineRule="auto"/>
        <w:jc w:val="right"/>
        <w:rPr>
          <w:rFonts w:ascii="宋体" w:hAnsi="宋体" w:cs="宋体"/>
          <w:color w:val="000000" w:themeColor="text1"/>
          <w:szCs w:val="21"/>
          <w:highlight w:val="none"/>
          <w14:textFill>
            <w14:solidFill>
              <w14:schemeClr w14:val="tx1"/>
            </w14:solidFill>
          </w14:textFill>
        </w:rPr>
      </w:pPr>
    </w:p>
    <w:p w14:paraId="40CC2E80">
      <w:pPr>
        <w:tabs>
          <w:tab w:val="left" w:pos="2790"/>
        </w:tabs>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注：项目经理、项目技术负责人应分别作出承诺。</w:t>
      </w:r>
    </w:p>
    <w:p w14:paraId="3075B2FE">
      <w:pPr>
        <w:widowControl/>
        <w:jc w:val="left"/>
        <w:rPr>
          <w:rFonts w:ascii="宋体" w:hAnsi="宋体" w:cs="宋体"/>
          <w:color w:val="000000" w:themeColor="text1"/>
          <w:szCs w:val="21"/>
          <w:highlight w:val="none"/>
          <w14:textFill>
            <w14:solidFill>
              <w14:schemeClr w14:val="tx1"/>
            </w14:solidFill>
          </w14:textFill>
        </w:rPr>
        <w:sectPr>
          <w:headerReference r:id="rId9" w:type="default"/>
          <w:footnotePr>
            <w:numFmt w:val="decimalEnclosedCircleChinese"/>
            <w:numRestart w:val="eachPage"/>
          </w:footnotePr>
          <w:pgSz w:w="11906" w:h="16838"/>
          <w:pgMar w:top="1418" w:right="1361" w:bottom="1418" w:left="1361" w:header="851" w:footer="992" w:gutter="0"/>
          <w:pgNumType w:fmt="decimal"/>
          <w:cols w:space="425" w:num="1"/>
          <w:docGrid w:linePitch="312" w:charSpace="0"/>
        </w:sectPr>
      </w:pPr>
      <w:r>
        <w:rPr>
          <w:rFonts w:ascii="宋体" w:hAnsi="宋体" w:cs="宋体"/>
          <w:color w:val="000000" w:themeColor="text1"/>
          <w:szCs w:val="21"/>
          <w:highlight w:val="none"/>
          <w14:textFill>
            <w14:solidFill>
              <w14:schemeClr w14:val="tx1"/>
            </w14:solidFill>
          </w14:textFill>
        </w:rPr>
        <w:br w:type="page"/>
      </w:r>
    </w:p>
    <w:p w14:paraId="6042ABBA">
      <w:pPr>
        <w:pStyle w:val="7"/>
        <w:tabs>
          <w:tab w:val="left" w:pos="2790"/>
        </w:tabs>
        <w:spacing w:line="360" w:lineRule="auto"/>
        <w:rPr>
          <w:rFonts w:ascii="宋体" w:hAnsi="宋体" w:cs="宋体"/>
          <w:color w:val="000000" w:themeColor="text1"/>
          <w:szCs w:val="21"/>
          <w:highlight w:val="none"/>
          <w14:textFill>
            <w14:solidFill>
              <w14:schemeClr w14:val="tx1"/>
            </w14:solidFill>
          </w14:textFill>
        </w:rPr>
      </w:pPr>
    </w:p>
    <w:p w14:paraId="5268A1F8">
      <w:pPr>
        <w:pStyle w:val="7"/>
        <w:widowControl/>
        <w:jc w:val="left"/>
        <w:rPr>
          <w:rFonts w:ascii="宋体" w:hAnsi="宋体" w:cs="宋体"/>
          <w:color w:val="000000" w:themeColor="text1"/>
          <w:sz w:val="24"/>
          <w:highlight w:val="none"/>
          <w14:textFill>
            <w14:solidFill>
              <w14:schemeClr w14:val="tx1"/>
            </w14:solidFill>
          </w14:textFill>
        </w:rPr>
      </w:pPr>
    </w:p>
    <w:p w14:paraId="7D1289B5">
      <w:pPr>
        <w:pStyle w:val="7"/>
        <w:spacing w:line="360" w:lineRule="auto"/>
        <w:rPr>
          <w:rFonts w:ascii="宋体" w:hAnsi="宋体" w:cs="宋体"/>
          <w:color w:val="000000" w:themeColor="text1"/>
          <w:sz w:val="48"/>
          <w:szCs w:val="48"/>
          <w:highlight w:val="none"/>
          <w14:textFill>
            <w14:solidFill>
              <w14:schemeClr w14:val="tx1"/>
            </w14:solidFill>
          </w14:textFill>
        </w:rPr>
      </w:pPr>
    </w:p>
    <w:p w14:paraId="7ED07CFD">
      <w:pPr>
        <w:pStyle w:val="7"/>
        <w:spacing w:line="360" w:lineRule="auto"/>
        <w:rPr>
          <w:rFonts w:ascii="宋体" w:hAnsi="宋体" w:cs="宋体"/>
          <w:color w:val="000000" w:themeColor="text1"/>
          <w:sz w:val="48"/>
          <w:szCs w:val="48"/>
          <w:highlight w:val="none"/>
          <w14:textFill>
            <w14:solidFill>
              <w14:schemeClr w14:val="tx1"/>
            </w14:solidFill>
          </w14:textFill>
        </w:rPr>
      </w:pPr>
    </w:p>
    <w:p w14:paraId="3992FC80">
      <w:pPr>
        <w:pStyle w:val="7"/>
        <w:spacing w:line="360" w:lineRule="auto"/>
        <w:rPr>
          <w:rFonts w:ascii="宋体" w:hAnsi="宋体" w:cs="宋体"/>
          <w:color w:val="000000" w:themeColor="text1"/>
          <w:sz w:val="48"/>
          <w:szCs w:val="48"/>
          <w:highlight w:val="none"/>
          <w14:textFill>
            <w14:solidFill>
              <w14:schemeClr w14:val="tx1"/>
            </w14:solidFill>
          </w14:textFill>
        </w:rPr>
      </w:pPr>
    </w:p>
    <w:p w14:paraId="5C3C05FE">
      <w:pPr>
        <w:pStyle w:val="7"/>
        <w:spacing w:line="360" w:lineRule="auto"/>
        <w:rPr>
          <w:rFonts w:ascii="宋体" w:hAnsi="宋体" w:cs="宋体"/>
          <w:color w:val="000000" w:themeColor="text1"/>
          <w:sz w:val="48"/>
          <w:szCs w:val="48"/>
          <w:highlight w:val="none"/>
          <w14:textFill>
            <w14:solidFill>
              <w14:schemeClr w14:val="tx1"/>
            </w14:solidFill>
          </w14:textFill>
        </w:rPr>
      </w:pPr>
    </w:p>
    <w:p w14:paraId="6EE51554">
      <w:pPr>
        <w:pStyle w:val="7"/>
        <w:spacing w:line="360" w:lineRule="auto"/>
        <w:rPr>
          <w:rFonts w:ascii="宋体" w:hAnsi="宋体" w:cs="宋体"/>
          <w:color w:val="000000" w:themeColor="text1"/>
          <w:sz w:val="48"/>
          <w:szCs w:val="48"/>
          <w:highlight w:val="none"/>
          <w14:textFill>
            <w14:solidFill>
              <w14:schemeClr w14:val="tx1"/>
            </w14:solidFill>
          </w14:textFill>
        </w:rPr>
      </w:pPr>
    </w:p>
    <w:p w14:paraId="467A6DBE">
      <w:pPr>
        <w:pStyle w:val="36"/>
        <w:spacing w:before="260" w:after="260" w:line="500" w:lineRule="exact"/>
        <w:jc w:val="center"/>
        <w:rPr>
          <w:rFonts w:hint="eastAsia" w:ascii="宋体" w:hAnsi="宋体" w:cs="宋体"/>
          <w:color w:val="000000" w:themeColor="text1"/>
          <w:sz w:val="48"/>
          <w:szCs w:val="48"/>
          <w:highlight w:val="none"/>
          <w14:textFill>
            <w14:solidFill>
              <w14:schemeClr w14:val="tx1"/>
            </w14:solidFill>
          </w14:textFill>
        </w:rPr>
      </w:pPr>
      <w:bookmarkStart w:id="1266" w:name="_Toc24025"/>
      <w:bookmarkStart w:id="1267" w:name="_Toc18788"/>
      <w:bookmarkStart w:id="1268" w:name="_Toc9680"/>
      <w:bookmarkStart w:id="1269" w:name="_Toc16525"/>
      <w:bookmarkStart w:id="1270" w:name="_Toc27835"/>
      <w:bookmarkStart w:id="1271" w:name="_Toc98785356"/>
      <w:bookmarkStart w:id="1272" w:name="_Toc120624285"/>
      <w:bookmarkStart w:id="1273" w:name="_Toc25231"/>
      <w:bookmarkStart w:id="1274" w:name="_Toc14262"/>
      <w:bookmarkStart w:id="1275" w:name="_Toc3218"/>
      <w:bookmarkStart w:id="1276" w:name="_Toc26190"/>
      <w:bookmarkStart w:id="1277" w:name="_Toc12524"/>
      <w:bookmarkStart w:id="1278" w:name="_Toc22175"/>
      <w:bookmarkStart w:id="1279" w:name="_Toc17271"/>
      <w:bookmarkStart w:id="1280" w:name="_Toc12405"/>
      <w:bookmarkStart w:id="1281" w:name="_Toc16874"/>
      <w:bookmarkStart w:id="1282" w:name="_Toc118195905"/>
      <w:bookmarkStart w:id="1283" w:name="_Toc14713"/>
      <w:bookmarkStart w:id="1284" w:name="_Toc15693"/>
      <w:bookmarkStart w:id="1285" w:name="_Toc119585546"/>
      <w:r>
        <w:rPr>
          <w:rFonts w:hint="eastAsia" w:ascii="宋体" w:hAnsi="宋体" w:cs="宋体"/>
          <w:color w:val="000000" w:themeColor="text1"/>
          <w:sz w:val="48"/>
          <w:szCs w:val="48"/>
          <w:highlight w:val="none"/>
          <w14:textFill>
            <w14:solidFill>
              <w14:schemeClr w14:val="tx1"/>
            </w14:solidFill>
          </w14:textFill>
        </w:rPr>
        <w:t>第五章 工程量清单</w:t>
      </w:r>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p>
    <w:p w14:paraId="2348DFFA">
      <w:pPr>
        <w:rPr>
          <w:rFonts w:hint="eastAsia" w:ascii="宋体" w:hAnsi="宋体" w:cs="宋体"/>
          <w:color w:val="000000" w:themeColor="text1"/>
          <w:sz w:val="48"/>
          <w:szCs w:val="48"/>
          <w:highlight w:val="none"/>
          <w14:textFill>
            <w14:solidFill>
              <w14:schemeClr w14:val="tx1"/>
            </w14:solidFill>
          </w14:textFill>
        </w:rPr>
      </w:pPr>
      <w:r>
        <w:rPr>
          <w:rFonts w:hint="eastAsia" w:ascii="宋体" w:hAnsi="宋体" w:cs="宋体"/>
          <w:color w:val="000000" w:themeColor="text1"/>
          <w:sz w:val="48"/>
          <w:szCs w:val="48"/>
          <w:highlight w:val="none"/>
          <w14:textFill>
            <w14:solidFill>
              <w14:schemeClr w14:val="tx1"/>
            </w14:solidFill>
          </w14:textFill>
        </w:rPr>
        <w:br w:type="page"/>
      </w:r>
    </w:p>
    <w:p w14:paraId="0AFDC8F1">
      <w:pPr>
        <w:pStyle w:val="34"/>
        <w:spacing w:before="120" w:beforeLines="50" w:line="360" w:lineRule="auto"/>
        <w:ind w:firstLine="422"/>
        <w:rPr>
          <w:rFonts w:hint="eastAsia" w:hAnsi="宋体" w:cs="Times New Roman"/>
          <w:b/>
          <w:kern w:val="2"/>
          <w:szCs w:val="21"/>
          <w:lang w:val="en-US" w:eastAsia="zh-CN"/>
        </w:rPr>
      </w:pPr>
      <w:r>
        <w:rPr>
          <w:rFonts w:hint="eastAsia" w:hAnsi="宋体" w:cs="Times New Roman"/>
          <w:b/>
          <w:kern w:val="2"/>
          <w:szCs w:val="21"/>
          <w:lang w:val="en-US" w:eastAsia="zh-CN"/>
        </w:rPr>
        <w:t>1.工程量清单编制说明</w:t>
      </w:r>
    </w:p>
    <w:p w14:paraId="0469C3A2">
      <w:pPr>
        <w:pStyle w:val="34"/>
        <w:spacing w:line="360" w:lineRule="auto"/>
        <w:ind w:firstLine="420"/>
        <w:rPr>
          <w:rFonts w:hint="eastAsia" w:hAnsi="宋体"/>
          <w:kern w:val="2"/>
          <w:szCs w:val="21"/>
          <w:lang w:val="en-US" w:eastAsia="zh-CN"/>
        </w:rPr>
      </w:pPr>
      <w:r>
        <w:rPr>
          <w:rFonts w:hAnsi="宋体"/>
          <w:kern w:val="2"/>
          <w:szCs w:val="21"/>
          <w:lang w:val="en-US" w:eastAsia="zh-CN"/>
        </w:rPr>
        <w:t>1.1</w:t>
      </w:r>
      <w:r>
        <w:rPr>
          <w:rFonts w:hint="eastAsia" w:hAnsi="宋体"/>
          <w:kern w:val="2"/>
          <w:szCs w:val="21"/>
          <w:lang w:val="en-US" w:eastAsia="zh-CN"/>
        </w:rPr>
        <w:t xml:space="preserve"> </w:t>
      </w:r>
      <w:r>
        <w:rPr>
          <w:rFonts w:hAnsi="宋体"/>
          <w:kern w:val="2"/>
          <w:szCs w:val="21"/>
          <w:lang w:val="en-US" w:eastAsia="zh-CN"/>
        </w:rPr>
        <w:t>本工程量清单是根据招标文件中包括的有合同约束力的</w:t>
      </w:r>
      <w:r>
        <w:rPr>
          <w:rFonts w:hint="eastAsia" w:hAnsi="宋体"/>
          <w:kern w:val="2"/>
          <w:szCs w:val="21"/>
          <w:lang w:val="en-US" w:eastAsia="zh-CN"/>
        </w:rPr>
        <w:t>工程量清单计量规则、</w:t>
      </w:r>
      <w:r>
        <w:rPr>
          <w:rFonts w:hAnsi="宋体"/>
          <w:kern w:val="2"/>
          <w:szCs w:val="21"/>
          <w:lang w:val="en-US" w:eastAsia="zh-CN"/>
        </w:rPr>
        <w:t>图纸以及有关工程量清单的国家标准、行业标准、</w:t>
      </w:r>
      <w:r>
        <w:rPr>
          <w:rFonts w:hint="eastAsia" w:hAnsi="宋体"/>
          <w:kern w:val="2"/>
          <w:szCs w:val="21"/>
          <w:lang w:val="en-US" w:eastAsia="zh-CN"/>
        </w:rPr>
        <w:t>地方标准、</w:t>
      </w:r>
      <w:r>
        <w:rPr>
          <w:rFonts w:hAnsi="宋体"/>
          <w:kern w:val="2"/>
          <w:szCs w:val="21"/>
          <w:lang w:val="en-US" w:eastAsia="zh-CN"/>
        </w:rPr>
        <w:t>合同条款中约定的</w:t>
      </w:r>
      <w:r>
        <w:rPr>
          <w:rFonts w:hint="eastAsia" w:hAnsi="宋体"/>
          <w:kern w:val="2"/>
          <w:szCs w:val="21"/>
          <w:lang w:val="en-US" w:eastAsia="zh-CN"/>
        </w:rPr>
        <w:t>其他</w:t>
      </w:r>
      <w:r>
        <w:rPr>
          <w:rFonts w:hAnsi="宋体"/>
          <w:kern w:val="2"/>
          <w:szCs w:val="21"/>
          <w:lang w:val="en-US" w:eastAsia="zh-CN"/>
        </w:rPr>
        <w:t>规则编制。约定计量规则中没有的子目，其工程量按照有合同约束力的图纸所标示尺寸的理论净量计算。计量采用中华人民共和国法定计量单位。</w:t>
      </w:r>
    </w:p>
    <w:p w14:paraId="41708B2A">
      <w:pPr>
        <w:pStyle w:val="34"/>
        <w:spacing w:line="360" w:lineRule="auto"/>
        <w:ind w:firstLine="420"/>
        <w:rPr>
          <w:rFonts w:hAnsi="宋体"/>
          <w:kern w:val="2"/>
          <w:szCs w:val="21"/>
          <w:lang w:val="en-US" w:eastAsia="zh-CN"/>
        </w:rPr>
      </w:pPr>
      <w:r>
        <w:rPr>
          <w:rFonts w:hint="eastAsia" w:hAnsi="宋体"/>
          <w:kern w:val="2"/>
          <w:szCs w:val="21"/>
          <w:lang w:val="en-US" w:eastAsia="zh-CN"/>
        </w:rPr>
        <w:t>1</w:t>
      </w:r>
      <w:r>
        <w:rPr>
          <w:rFonts w:hAnsi="宋体"/>
          <w:kern w:val="2"/>
          <w:szCs w:val="21"/>
          <w:lang w:val="en-US" w:eastAsia="zh-CN"/>
        </w:rPr>
        <w:t>.</w:t>
      </w:r>
      <w:r>
        <w:rPr>
          <w:rFonts w:hint="eastAsia" w:hAnsi="宋体"/>
          <w:kern w:val="2"/>
          <w:szCs w:val="21"/>
          <w:lang w:val="en-US" w:eastAsia="zh-CN"/>
        </w:rPr>
        <w:t>2 本工程量清单应与DB33/T 628.1</w:t>
      </w:r>
      <w:r>
        <w:rPr>
          <w:rFonts w:hAnsi="宋体"/>
          <w:kern w:val="2"/>
          <w:szCs w:val="21"/>
          <w:lang w:val="en-US" w:eastAsia="zh-CN"/>
        </w:rPr>
        <w:t>-2021 《</w:t>
      </w:r>
      <w:r>
        <w:rPr>
          <w:rFonts w:hint="eastAsia" w:hAnsi="宋体"/>
          <w:kern w:val="2"/>
          <w:szCs w:val="21"/>
          <w:lang w:val="en-US" w:eastAsia="zh-CN"/>
        </w:rPr>
        <w:t>交通建设工程工程量清单计价规范</w:t>
      </w:r>
      <w:r>
        <w:rPr>
          <w:rFonts w:hAnsi="宋体"/>
          <w:kern w:val="2"/>
          <w:szCs w:val="21"/>
          <w:lang w:val="en-US" w:eastAsia="zh-CN"/>
        </w:rPr>
        <w:t xml:space="preserve">  </w:t>
      </w:r>
      <w:r>
        <w:rPr>
          <w:rFonts w:hint="eastAsia" w:hAnsi="宋体"/>
          <w:kern w:val="2"/>
          <w:szCs w:val="21"/>
          <w:lang w:val="en-US" w:eastAsia="zh-CN"/>
        </w:rPr>
        <w:t>第</w:t>
      </w:r>
      <w:r>
        <w:rPr>
          <w:rFonts w:hAnsi="宋体"/>
          <w:kern w:val="2"/>
          <w:szCs w:val="21"/>
          <w:lang w:val="en-US" w:eastAsia="zh-CN"/>
        </w:rPr>
        <w:t>1部分：公路工程》(</w:t>
      </w:r>
      <w:r>
        <w:rPr>
          <w:rFonts w:hint="eastAsia" w:hAnsi="宋体"/>
          <w:kern w:val="2"/>
          <w:szCs w:val="21"/>
          <w:lang w:val="en-US" w:eastAsia="zh-CN"/>
        </w:rPr>
        <w:t>下称《计价规范》)、招标文件中的投标人须知、通用合同条款、专用合同条款、技术规范、图纸等一起阅读和理解。</w:t>
      </w:r>
    </w:p>
    <w:p w14:paraId="1CCE0CAF">
      <w:pPr>
        <w:pStyle w:val="34"/>
        <w:spacing w:line="360" w:lineRule="auto"/>
        <w:ind w:firstLine="420"/>
        <w:rPr>
          <w:rFonts w:hint="eastAsia" w:hAnsi="宋体"/>
          <w:kern w:val="2"/>
          <w:szCs w:val="21"/>
          <w:lang w:val="en-US" w:eastAsia="zh-CN"/>
        </w:rPr>
      </w:pPr>
      <w:r>
        <w:rPr>
          <w:rFonts w:hint="eastAsia" w:hAnsi="宋体"/>
          <w:kern w:val="2"/>
          <w:szCs w:val="21"/>
          <w:lang w:val="en-US" w:eastAsia="zh-CN"/>
        </w:rPr>
        <w:t>1</w:t>
      </w:r>
      <w:r>
        <w:rPr>
          <w:rFonts w:hAnsi="宋体"/>
          <w:kern w:val="2"/>
          <w:szCs w:val="21"/>
          <w:lang w:val="en-US" w:eastAsia="zh-CN"/>
        </w:rPr>
        <w:t>.</w:t>
      </w:r>
      <w:r>
        <w:rPr>
          <w:rFonts w:hint="eastAsia" w:hAnsi="宋体"/>
          <w:kern w:val="2"/>
          <w:szCs w:val="21"/>
          <w:lang w:val="en-US" w:eastAsia="zh-CN"/>
        </w:rPr>
        <w:t>3 本工程量清单中所列工程数量是估算的或设计的预计数量，仅作为投标报价的共同基础，不能作为最终结算与支付的依据。实际支付应按实际完成的工程量，由承包人按计价规范、技术规范规定的计量方法，以监理人认可的尺寸、断面、数量计量，按工程量清单的单价和总额价计算支付金额；或者，根据具体情况，按相应合同条款的规定，由监理人确定的单价或总额价计算支付额。</w:t>
      </w:r>
    </w:p>
    <w:p w14:paraId="7EC46631">
      <w:pPr>
        <w:pStyle w:val="34"/>
        <w:spacing w:line="360" w:lineRule="auto"/>
        <w:ind w:firstLine="420"/>
        <w:rPr>
          <w:rFonts w:hint="eastAsia" w:hAnsi="宋体"/>
          <w:kern w:val="2"/>
          <w:szCs w:val="21"/>
          <w:lang w:val="en-US" w:eastAsia="zh-CN"/>
        </w:rPr>
      </w:pPr>
      <w:r>
        <w:rPr>
          <w:rFonts w:hAnsi="宋体"/>
          <w:kern w:val="2"/>
          <w:szCs w:val="21"/>
          <w:lang w:val="en-US" w:eastAsia="zh-CN"/>
        </w:rPr>
        <w:t>1.4</w:t>
      </w:r>
      <w:r>
        <w:rPr>
          <w:rFonts w:hint="eastAsia" w:hAnsi="宋体"/>
          <w:kern w:val="2"/>
          <w:szCs w:val="21"/>
          <w:lang w:val="en-US" w:eastAsia="zh-CN"/>
        </w:rPr>
        <w:t xml:space="preserve"> </w:t>
      </w:r>
      <w:r>
        <w:rPr>
          <w:rFonts w:hAnsi="宋体"/>
          <w:kern w:val="2"/>
          <w:szCs w:val="21"/>
          <w:lang w:val="en-US" w:eastAsia="zh-CN"/>
        </w:rPr>
        <w:t>工程量清单各章是按</w:t>
      </w:r>
      <w:bookmarkStart w:id="1286" w:name="_Hlk46413977"/>
      <w:r>
        <w:rPr>
          <w:rFonts w:hint="eastAsia" w:hAnsi="宋体"/>
          <w:kern w:val="2"/>
          <w:szCs w:val="21"/>
          <w:lang w:val="en-US" w:eastAsia="zh-CN"/>
        </w:rPr>
        <w:t>《计价规范》</w:t>
      </w:r>
      <w:bookmarkEnd w:id="1286"/>
      <w:r>
        <w:rPr>
          <w:rFonts w:hAnsi="宋体"/>
          <w:kern w:val="2"/>
          <w:szCs w:val="21"/>
          <w:lang w:val="en-US" w:eastAsia="zh-CN"/>
        </w:rPr>
        <w:t>的相应章次编号的，因此，工程量清单中各章</w:t>
      </w:r>
      <w:r>
        <w:rPr>
          <w:rFonts w:hint="eastAsia" w:hAnsi="宋体"/>
          <w:kern w:val="2"/>
          <w:szCs w:val="21"/>
          <w:lang w:val="en-US" w:eastAsia="zh-CN"/>
        </w:rPr>
        <w:t>子目</w:t>
      </w:r>
      <w:r>
        <w:rPr>
          <w:rFonts w:hAnsi="宋体"/>
          <w:kern w:val="2"/>
          <w:szCs w:val="21"/>
          <w:lang w:val="en-US" w:eastAsia="zh-CN"/>
        </w:rPr>
        <w:t>的工程</w:t>
      </w:r>
      <w:r>
        <w:rPr>
          <w:rFonts w:hint="eastAsia" w:hAnsi="宋体"/>
          <w:kern w:val="2"/>
          <w:szCs w:val="21"/>
          <w:lang w:val="en-US" w:eastAsia="zh-CN"/>
        </w:rPr>
        <w:t>量</w:t>
      </w:r>
      <w:r>
        <w:rPr>
          <w:rFonts w:hAnsi="宋体"/>
          <w:kern w:val="2"/>
          <w:szCs w:val="21"/>
          <w:lang w:val="en-US" w:eastAsia="zh-CN"/>
        </w:rPr>
        <w:t>计量</w:t>
      </w:r>
      <w:r>
        <w:rPr>
          <w:rFonts w:hint="eastAsia" w:hAnsi="宋体"/>
          <w:kern w:val="2"/>
          <w:szCs w:val="21"/>
          <w:lang w:val="en-US" w:eastAsia="zh-CN"/>
        </w:rPr>
        <w:t>、工程内容</w:t>
      </w:r>
      <w:r>
        <w:rPr>
          <w:rFonts w:hAnsi="宋体"/>
          <w:kern w:val="2"/>
          <w:szCs w:val="21"/>
          <w:lang w:val="en-US" w:eastAsia="zh-CN"/>
        </w:rPr>
        <w:t>等应与</w:t>
      </w:r>
      <w:r>
        <w:rPr>
          <w:rFonts w:hint="eastAsia" w:hAnsi="宋体"/>
          <w:kern w:val="2"/>
          <w:szCs w:val="21"/>
          <w:lang w:val="en-US" w:eastAsia="zh-CN"/>
        </w:rPr>
        <w:t>《计价规范》</w:t>
      </w:r>
      <w:r>
        <w:rPr>
          <w:rFonts w:hAnsi="宋体"/>
          <w:kern w:val="2"/>
          <w:szCs w:val="21"/>
          <w:lang w:val="en-US" w:eastAsia="zh-CN"/>
        </w:rPr>
        <w:t>相应章节的工程</w:t>
      </w:r>
      <w:r>
        <w:rPr>
          <w:rFonts w:hint="eastAsia" w:hAnsi="宋体"/>
          <w:kern w:val="2"/>
          <w:szCs w:val="21"/>
          <w:lang w:val="en-US" w:eastAsia="zh-CN"/>
        </w:rPr>
        <w:t>量</w:t>
      </w:r>
      <w:r>
        <w:rPr>
          <w:rFonts w:hAnsi="宋体"/>
          <w:kern w:val="2"/>
          <w:szCs w:val="21"/>
          <w:lang w:val="en-US" w:eastAsia="zh-CN"/>
        </w:rPr>
        <w:t>计量</w:t>
      </w:r>
      <w:r>
        <w:rPr>
          <w:rFonts w:hint="eastAsia" w:hAnsi="宋体"/>
          <w:kern w:val="2"/>
          <w:szCs w:val="21"/>
          <w:lang w:val="en-US" w:eastAsia="zh-CN"/>
        </w:rPr>
        <w:t>、工程内容</w:t>
      </w:r>
      <w:r>
        <w:rPr>
          <w:rFonts w:hAnsi="宋体"/>
          <w:kern w:val="2"/>
          <w:szCs w:val="21"/>
          <w:lang w:val="en-US" w:eastAsia="zh-CN"/>
        </w:rPr>
        <w:t>结合起来理解或解释。</w:t>
      </w:r>
    </w:p>
    <w:p w14:paraId="491C2B60">
      <w:pPr>
        <w:pStyle w:val="34"/>
        <w:spacing w:line="360" w:lineRule="auto"/>
        <w:ind w:firstLine="420"/>
        <w:rPr>
          <w:rFonts w:hint="eastAsia" w:hAnsi="宋体"/>
          <w:kern w:val="2"/>
          <w:szCs w:val="21"/>
          <w:lang w:val="en-US" w:eastAsia="zh-CN"/>
        </w:rPr>
      </w:pPr>
      <w:r>
        <w:rPr>
          <w:rFonts w:hAnsi="宋体"/>
          <w:kern w:val="2"/>
          <w:szCs w:val="21"/>
          <w:lang w:val="en-US" w:eastAsia="zh-CN"/>
        </w:rPr>
        <w:t>1.</w:t>
      </w:r>
      <w:r>
        <w:rPr>
          <w:rFonts w:hint="eastAsia" w:hAnsi="宋体"/>
          <w:kern w:val="2"/>
          <w:szCs w:val="21"/>
          <w:lang w:val="en-US" w:eastAsia="zh-CN"/>
        </w:rPr>
        <w:t xml:space="preserve">5 </w:t>
      </w:r>
      <w:r>
        <w:rPr>
          <w:rFonts w:hAnsi="宋体"/>
          <w:kern w:val="2"/>
          <w:szCs w:val="21"/>
          <w:lang w:val="en-US" w:eastAsia="zh-CN"/>
        </w:rPr>
        <w:t>对作业和材料的一般说明或规定，未重复写入工程量清单内，在给工程量清单各子目标价前，应参阅</w:t>
      </w:r>
      <w:r>
        <w:rPr>
          <w:rFonts w:hint="eastAsia" w:hAnsi="宋体"/>
          <w:kern w:val="2"/>
          <w:szCs w:val="21"/>
          <w:lang w:val="en-US" w:eastAsia="zh-CN"/>
        </w:rPr>
        <w:t>《计价规范》</w:t>
      </w:r>
      <w:r>
        <w:rPr>
          <w:rFonts w:hAnsi="宋体"/>
          <w:kern w:val="2"/>
          <w:szCs w:val="21"/>
          <w:lang w:val="en-US" w:eastAsia="zh-CN"/>
        </w:rPr>
        <w:t>的有关内容。</w:t>
      </w:r>
    </w:p>
    <w:p w14:paraId="3FA9D95D">
      <w:pPr>
        <w:pStyle w:val="34"/>
        <w:spacing w:line="360" w:lineRule="auto"/>
        <w:ind w:firstLine="420"/>
        <w:rPr>
          <w:rFonts w:hAnsi="宋体"/>
          <w:kern w:val="2"/>
          <w:szCs w:val="21"/>
          <w:lang w:val="en-US" w:eastAsia="zh-CN"/>
        </w:rPr>
      </w:pPr>
      <w:r>
        <w:rPr>
          <w:rFonts w:hAnsi="宋体"/>
          <w:kern w:val="2"/>
          <w:szCs w:val="21"/>
          <w:lang w:val="en-US" w:eastAsia="zh-CN"/>
        </w:rPr>
        <w:t>1.</w:t>
      </w:r>
      <w:r>
        <w:rPr>
          <w:rFonts w:hint="eastAsia" w:hAnsi="宋体"/>
          <w:kern w:val="2"/>
          <w:szCs w:val="21"/>
          <w:lang w:val="en-US" w:eastAsia="zh-CN"/>
        </w:rPr>
        <w:t xml:space="preserve">6 </w:t>
      </w:r>
      <w:r>
        <w:rPr>
          <w:rFonts w:hAnsi="宋体"/>
          <w:kern w:val="2"/>
          <w:szCs w:val="21"/>
          <w:lang w:val="en-US" w:eastAsia="zh-CN"/>
        </w:rPr>
        <w:t>工程量清单中所列工程量的变动，丝毫不会降低或影响合同条款的效力，也不免除承包人按规定的标准进行施工和修复缺陷的责任。</w:t>
      </w:r>
    </w:p>
    <w:p w14:paraId="0EC57F3A">
      <w:pPr>
        <w:pStyle w:val="34"/>
        <w:spacing w:line="360" w:lineRule="auto"/>
        <w:ind w:firstLine="420"/>
        <w:rPr>
          <w:rFonts w:hint="eastAsia" w:hAnsi="宋体"/>
          <w:kern w:val="2"/>
          <w:szCs w:val="21"/>
          <w:lang w:val="en-US" w:eastAsia="zh-CN"/>
        </w:rPr>
      </w:pPr>
      <w:r>
        <w:rPr>
          <w:rFonts w:hint="eastAsia" w:hAnsi="宋体"/>
          <w:kern w:val="2"/>
          <w:szCs w:val="21"/>
          <w:lang w:val="en-US" w:eastAsia="zh-CN"/>
        </w:rPr>
        <w:t>1.7 图纸中所列的工程数量表及数量汇总表仅是提供资料，不是工程量清单的外延。当图纸与工程量清单所列数量不一致时，以工程量清单所列数量作为报价的依据。</w:t>
      </w:r>
    </w:p>
    <w:p w14:paraId="793AA6F8">
      <w:pPr>
        <w:pStyle w:val="34"/>
        <w:spacing w:before="120" w:beforeLines="50" w:line="360" w:lineRule="auto"/>
        <w:ind w:firstLine="422"/>
        <w:rPr>
          <w:rFonts w:hAnsi="宋体"/>
          <w:b/>
          <w:kern w:val="2"/>
          <w:szCs w:val="21"/>
          <w:lang w:val="en-US" w:eastAsia="zh-CN"/>
        </w:rPr>
      </w:pPr>
      <w:r>
        <w:rPr>
          <w:rFonts w:hint="eastAsia" w:hAnsi="宋体"/>
          <w:b/>
          <w:kern w:val="2"/>
          <w:szCs w:val="21"/>
          <w:lang w:val="en-US" w:eastAsia="zh-CN"/>
        </w:rPr>
        <w:t>2</w:t>
      </w:r>
      <w:r>
        <w:rPr>
          <w:rFonts w:hAnsi="宋体"/>
          <w:b/>
          <w:kern w:val="2"/>
          <w:szCs w:val="21"/>
          <w:lang w:val="en-US" w:eastAsia="zh-CN"/>
        </w:rPr>
        <w:t>.</w:t>
      </w:r>
      <w:r>
        <w:rPr>
          <w:rFonts w:hint="eastAsia" w:hAnsi="宋体"/>
          <w:b/>
          <w:kern w:val="2"/>
          <w:szCs w:val="21"/>
          <w:lang w:val="en-US" w:eastAsia="zh-CN"/>
        </w:rPr>
        <w:t>工程量清单计价说明</w:t>
      </w:r>
    </w:p>
    <w:p w14:paraId="6488E019">
      <w:pPr>
        <w:pStyle w:val="34"/>
        <w:spacing w:line="360" w:lineRule="auto"/>
        <w:ind w:firstLine="420"/>
        <w:rPr>
          <w:rFonts w:hint="eastAsia" w:hAnsi="宋体"/>
          <w:kern w:val="2"/>
          <w:szCs w:val="21"/>
          <w:lang w:val="en-US" w:eastAsia="zh-CN"/>
        </w:rPr>
      </w:pPr>
      <w:r>
        <w:rPr>
          <w:rFonts w:hAnsi="宋体"/>
          <w:kern w:val="2"/>
          <w:szCs w:val="21"/>
          <w:lang w:val="en-US" w:eastAsia="zh-CN"/>
        </w:rPr>
        <w:t>2.1</w:t>
      </w:r>
      <w:r>
        <w:rPr>
          <w:rFonts w:hint="eastAsia" w:hAnsi="宋体"/>
          <w:kern w:val="2"/>
          <w:szCs w:val="21"/>
          <w:lang w:val="en-US" w:eastAsia="zh-CN"/>
        </w:rPr>
        <w:t xml:space="preserve"> </w:t>
      </w:r>
      <w:r>
        <w:rPr>
          <w:rFonts w:hAnsi="宋体"/>
          <w:kern w:val="2"/>
          <w:szCs w:val="21"/>
          <w:lang w:val="en-US" w:eastAsia="zh-CN"/>
        </w:rPr>
        <w:t>工程量清单中的每一子目须填入单价或价格，且只允许有一个报价。</w:t>
      </w:r>
    </w:p>
    <w:p w14:paraId="7586A17D">
      <w:pPr>
        <w:pStyle w:val="34"/>
        <w:spacing w:line="360" w:lineRule="auto"/>
        <w:ind w:firstLine="420"/>
        <w:rPr>
          <w:rFonts w:hint="eastAsia" w:hAnsi="宋体"/>
          <w:kern w:val="2"/>
          <w:szCs w:val="21"/>
          <w:lang w:val="en-US" w:eastAsia="zh-CN"/>
        </w:rPr>
      </w:pPr>
      <w:r>
        <w:rPr>
          <w:rFonts w:hint="eastAsia" w:hAnsi="宋体"/>
          <w:kern w:val="2"/>
          <w:szCs w:val="21"/>
          <w:lang w:val="en-US" w:eastAsia="zh-CN"/>
        </w:rPr>
        <w:t>2.2 除非合同另有规定，工程量清单中有标价的单价和总额价均已包括了为实施和完成合同工程所需的劳务、材料、机械、质检（自检）、安装、调试、缺陷修复、管理、保险（工程一切险和第三方责任险除外）、税费、利润等费用，以及合同明示或暗示的所有责任、义务和一般风险。</w:t>
      </w:r>
    </w:p>
    <w:p w14:paraId="18478821">
      <w:pPr>
        <w:pStyle w:val="34"/>
        <w:spacing w:line="360" w:lineRule="auto"/>
        <w:ind w:firstLine="420"/>
        <w:rPr>
          <w:rFonts w:hint="eastAsia" w:hAnsi="宋体"/>
          <w:kern w:val="2"/>
          <w:szCs w:val="21"/>
          <w:lang w:val="en-US" w:eastAsia="zh-CN"/>
        </w:rPr>
      </w:pPr>
      <w:r>
        <w:rPr>
          <w:rFonts w:hint="eastAsia" w:hAnsi="宋体"/>
          <w:kern w:val="2"/>
          <w:szCs w:val="21"/>
          <w:lang w:val="en-US" w:eastAsia="zh-CN"/>
        </w:rPr>
        <w:t>2.3 工程量清单投标人没有填入单价或总额价的子目，其费用应视为已包括在工程量清单的其他单价或总额价中，承包人必须按监理人指令完成工程量清单中未填入单价或总额价的工程子目，但不能得到结算与支付。</w:t>
      </w:r>
    </w:p>
    <w:p w14:paraId="1D2A835A">
      <w:pPr>
        <w:pStyle w:val="34"/>
        <w:spacing w:line="360" w:lineRule="auto"/>
        <w:ind w:firstLine="420"/>
        <w:rPr>
          <w:rFonts w:hint="eastAsia" w:hAnsi="宋体"/>
          <w:kern w:val="2"/>
          <w:szCs w:val="21"/>
          <w:lang w:val="en-US" w:eastAsia="zh-CN"/>
        </w:rPr>
      </w:pPr>
      <w:r>
        <w:rPr>
          <w:rFonts w:hint="eastAsia" w:hAnsi="宋体"/>
          <w:kern w:val="2"/>
          <w:szCs w:val="21"/>
          <w:lang w:val="en-US" w:eastAsia="zh-CN"/>
        </w:rPr>
        <w:t>2.4 除工程量清单漏项或设计变更引起新的工程量清单项（子）目外，符合合同条款、计价规范、技术规范规定的全部费用</w:t>
      </w:r>
      <w:r>
        <w:rPr>
          <w:rFonts w:hAnsi="宋体"/>
          <w:kern w:val="2"/>
          <w:szCs w:val="21"/>
          <w:lang w:val="en-US" w:eastAsia="zh-CN"/>
        </w:rPr>
        <w:t>（包括暂估价等的管理费、税金）</w:t>
      </w:r>
      <w:r>
        <w:rPr>
          <w:rFonts w:hint="eastAsia" w:hAnsi="宋体"/>
          <w:kern w:val="2"/>
          <w:szCs w:val="21"/>
          <w:lang w:val="en-US" w:eastAsia="zh-CN"/>
        </w:rPr>
        <w:t>应认为已被计入有标价的工程量清单所列各项（子）目之中，未列项（子）目不予计量的工作，其费用应视为已分摊在本合同工程的有关项（子）目的单价或总额价之中。</w:t>
      </w:r>
    </w:p>
    <w:p w14:paraId="134FD60F">
      <w:pPr>
        <w:pStyle w:val="34"/>
        <w:spacing w:line="360" w:lineRule="auto"/>
        <w:ind w:firstLine="420"/>
        <w:rPr>
          <w:rFonts w:hint="eastAsia" w:hAnsi="宋体"/>
          <w:kern w:val="2"/>
          <w:szCs w:val="21"/>
          <w:lang w:val="en-US" w:eastAsia="zh-CN"/>
        </w:rPr>
      </w:pPr>
      <w:r>
        <w:rPr>
          <w:rFonts w:hint="eastAsia" w:hAnsi="宋体"/>
          <w:kern w:val="2"/>
          <w:szCs w:val="21"/>
          <w:lang w:val="en-US" w:eastAsia="zh-CN"/>
        </w:rPr>
        <w:t>2.5 对于符合要求的投标文件，在签订合同协议书前，如发现工程量清单中有计算方面的算术性差错，应按投标人须知规定予以处理。</w:t>
      </w:r>
    </w:p>
    <w:p w14:paraId="1E1E5E9C">
      <w:pPr>
        <w:pStyle w:val="34"/>
        <w:spacing w:line="360" w:lineRule="auto"/>
        <w:ind w:firstLine="420"/>
        <w:rPr>
          <w:rFonts w:hint="eastAsia" w:hAnsi="宋体"/>
          <w:kern w:val="2"/>
          <w:szCs w:val="21"/>
          <w:lang w:val="en-US" w:eastAsia="zh-CN"/>
        </w:rPr>
      </w:pPr>
      <w:r>
        <w:rPr>
          <w:rFonts w:hint="eastAsia" w:hAnsi="宋体"/>
          <w:kern w:val="2"/>
          <w:szCs w:val="21"/>
          <w:lang w:val="en-US" w:eastAsia="zh-CN"/>
        </w:rPr>
        <w:t>2.6 承包人用于本合同工程的各类装备的提供、运输、维护、拆卸、拼装等支付的费用，已包含在工程量清单的单价与总额价之中。</w:t>
      </w:r>
    </w:p>
    <w:p w14:paraId="3E73EEC4">
      <w:pPr>
        <w:pStyle w:val="34"/>
        <w:spacing w:line="360" w:lineRule="auto"/>
        <w:ind w:firstLine="420"/>
        <w:rPr>
          <w:rFonts w:hint="eastAsia" w:hAnsi="宋体"/>
          <w:kern w:val="2"/>
          <w:szCs w:val="21"/>
          <w:lang w:val="en-US" w:eastAsia="zh-CN"/>
        </w:rPr>
      </w:pPr>
      <w:r>
        <w:rPr>
          <w:rFonts w:hint="eastAsia" w:hAnsi="宋体"/>
          <w:kern w:val="2"/>
          <w:szCs w:val="21"/>
          <w:lang w:val="en-US" w:eastAsia="zh-CN"/>
        </w:rPr>
        <w:t>2.7安全生产费用应为招标人公布的工程量清单预算的2.0％。</w:t>
      </w:r>
    </w:p>
    <w:p w14:paraId="688CEA02">
      <w:pPr>
        <w:pStyle w:val="34"/>
        <w:spacing w:line="360" w:lineRule="auto"/>
        <w:ind w:firstLine="420"/>
        <w:rPr>
          <w:rFonts w:hAnsi="宋体"/>
          <w:kern w:val="2"/>
          <w:szCs w:val="21"/>
          <w:lang w:val="en-US" w:eastAsia="zh-CN"/>
        </w:rPr>
      </w:pPr>
      <w:r>
        <w:rPr>
          <w:rFonts w:hint="eastAsia" w:hAnsi="宋体"/>
          <w:kern w:val="2"/>
          <w:szCs w:val="21"/>
          <w:lang w:val="en-US" w:eastAsia="zh-CN"/>
        </w:rPr>
        <w:t xml:space="preserve">2.8 </w:t>
      </w:r>
      <w:r>
        <w:rPr>
          <w:rFonts w:hAnsi="宋体"/>
          <w:kern w:val="2"/>
          <w:szCs w:val="21"/>
          <w:lang w:val="en-US" w:eastAsia="zh-CN"/>
        </w:rPr>
        <w:t>工程量清单中各项金额均以人民币（元）结算</w:t>
      </w:r>
      <w:r>
        <w:rPr>
          <w:rFonts w:hint="eastAsia" w:hAnsi="宋体"/>
          <w:kern w:val="2"/>
          <w:szCs w:val="21"/>
          <w:lang w:val="en-US" w:eastAsia="zh-CN"/>
        </w:rPr>
        <w:t>，有特殊规定的从其规定</w:t>
      </w:r>
      <w:r>
        <w:rPr>
          <w:rFonts w:hAnsi="宋体"/>
          <w:kern w:val="2"/>
          <w:szCs w:val="21"/>
          <w:lang w:val="en-US" w:eastAsia="zh-CN"/>
        </w:rPr>
        <w:t>。</w:t>
      </w:r>
    </w:p>
    <w:p w14:paraId="73516A1A">
      <w:pPr>
        <w:pStyle w:val="34"/>
        <w:spacing w:line="360" w:lineRule="auto"/>
        <w:ind w:firstLine="420"/>
        <w:rPr>
          <w:rFonts w:hint="eastAsia" w:hAnsi="宋体"/>
          <w:szCs w:val="21"/>
        </w:rPr>
      </w:pPr>
      <w:r>
        <w:rPr>
          <w:rFonts w:hint="eastAsia" w:hAnsi="宋体"/>
          <w:szCs w:val="21"/>
        </w:rPr>
        <w:t>2.</w:t>
      </w:r>
      <w:r>
        <w:rPr>
          <w:rFonts w:hint="eastAsia" w:hAnsi="宋体"/>
          <w:szCs w:val="21"/>
          <w:lang w:val="en-US" w:eastAsia="zh-CN"/>
        </w:rPr>
        <w:t xml:space="preserve">9 </w:t>
      </w:r>
      <w:r>
        <w:rPr>
          <w:rFonts w:hint="eastAsia" w:hAnsi="宋体"/>
          <w:szCs w:val="21"/>
        </w:rPr>
        <w:t>在工程量清单中标明的暂列金额，除合同另有规定外，应由监理人按相应合同条款的规定，结合工程具体情况，报发包人批准后指令全部或部分地使用，或者根本不予动用。</w:t>
      </w:r>
      <w:r>
        <w:rPr>
          <w:rFonts w:hAnsi="宋体"/>
          <w:szCs w:val="21"/>
        </w:rPr>
        <w:t>暂列金额（不含计日工总额）的数量及拟用子目的说明：</w:t>
      </w:r>
      <w:r>
        <w:rPr>
          <w:rFonts w:hint="eastAsia" w:hAnsi="宋体"/>
          <w:szCs w:val="21"/>
          <w:u w:val="single"/>
        </w:rPr>
        <w:t>暂列金额（不含计日工总额）的数量为第100章至</w:t>
      </w:r>
      <w:r>
        <w:rPr>
          <w:rFonts w:hint="eastAsia" w:hAnsi="宋体"/>
          <w:szCs w:val="21"/>
          <w:u w:val="single"/>
          <w:lang w:val="en-US" w:eastAsia="zh-CN"/>
        </w:rPr>
        <w:t>7</w:t>
      </w:r>
      <w:r>
        <w:rPr>
          <w:rFonts w:hint="eastAsia" w:hAnsi="宋体"/>
          <w:szCs w:val="21"/>
          <w:u w:val="single"/>
        </w:rPr>
        <w:t>00章工程量清单合计减去专业工程暂估价后的</w:t>
      </w:r>
      <w:r>
        <w:rPr>
          <w:rFonts w:hAnsi="宋体"/>
          <w:szCs w:val="21"/>
          <w:u w:val="single"/>
        </w:rPr>
        <w:t>3</w:t>
      </w:r>
      <w:r>
        <w:rPr>
          <w:rFonts w:hint="eastAsia" w:hAnsi="宋体"/>
          <w:szCs w:val="21"/>
          <w:u w:val="single"/>
        </w:rPr>
        <w:t>％，除合同另有规定外，应由监理人按合同条款第15条的规定，结合工程具体情况，报经发包人批准后指令全部或部分地使用，或者根本不予动用</w:t>
      </w:r>
      <w:r>
        <w:rPr>
          <w:rFonts w:hint="eastAsia" w:hAnsi="宋体"/>
          <w:szCs w:val="21"/>
        </w:rPr>
        <w:t>。</w:t>
      </w:r>
    </w:p>
    <w:p w14:paraId="02BB1FCA">
      <w:pPr>
        <w:pStyle w:val="34"/>
        <w:spacing w:line="360" w:lineRule="auto"/>
        <w:ind w:firstLine="420"/>
        <w:rPr>
          <w:rFonts w:hint="eastAsia" w:hAnsi="宋体"/>
          <w:szCs w:val="21"/>
        </w:rPr>
      </w:pPr>
      <w:r>
        <w:rPr>
          <w:rFonts w:hint="eastAsia" w:hAnsi="宋体"/>
          <w:szCs w:val="21"/>
        </w:rPr>
        <w:t>2.</w:t>
      </w:r>
      <w:r>
        <w:rPr>
          <w:rFonts w:hint="eastAsia" w:hAnsi="宋体"/>
          <w:szCs w:val="21"/>
          <w:lang w:val="en-US" w:eastAsia="zh-CN"/>
        </w:rPr>
        <w:t xml:space="preserve">10 </w:t>
      </w:r>
      <w:r>
        <w:rPr>
          <w:rFonts w:hAnsi="宋体"/>
          <w:szCs w:val="21"/>
        </w:rPr>
        <w:t>暂估价的数量及拟用子目的说明：</w:t>
      </w:r>
      <w:r>
        <w:rPr>
          <w:rFonts w:hint="eastAsia" w:hAnsi="宋体" w:cs="宋体"/>
          <w:szCs w:val="21"/>
          <w:u w:val="single"/>
          <w:lang w:val="en-US" w:eastAsia="zh-CN"/>
        </w:rPr>
        <w:t xml:space="preserve">   /    </w:t>
      </w:r>
      <w:r>
        <w:rPr>
          <w:rFonts w:hint="eastAsia" w:hAnsi="宋体"/>
          <w:szCs w:val="21"/>
        </w:rPr>
        <w:t>。</w:t>
      </w:r>
    </w:p>
    <w:p w14:paraId="1029BEBF">
      <w:pPr>
        <w:pStyle w:val="34"/>
        <w:spacing w:before="120" w:beforeLines="50" w:line="360" w:lineRule="auto"/>
        <w:ind w:firstLine="422"/>
        <w:rPr>
          <w:rFonts w:hAnsi="宋体"/>
          <w:b/>
          <w:szCs w:val="21"/>
        </w:rPr>
      </w:pPr>
      <w:r>
        <w:rPr>
          <w:rFonts w:hAnsi="宋体"/>
          <w:b/>
          <w:szCs w:val="21"/>
        </w:rPr>
        <w:t>3.</w:t>
      </w:r>
      <w:r>
        <w:rPr>
          <w:rFonts w:hint="eastAsia" w:hAnsi="宋体"/>
          <w:b/>
          <w:szCs w:val="21"/>
        </w:rPr>
        <w:t>计日工说明</w:t>
      </w:r>
    </w:p>
    <w:p w14:paraId="11CA3CD3">
      <w:pPr>
        <w:spacing w:line="360" w:lineRule="auto"/>
        <w:ind w:firstLine="420" w:firstLineChars="200"/>
        <w:rPr>
          <w:rFonts w:hint="eastAsia"/>
          <w:szCs w:val="21"/>
        </w:rPr>
      </w:pPr>
      <w:r>
        <w:rPr>
          <w:rFonts w:hint="eastAsia"/>
          <w:szCs w:val="21"/>
        </w:rPr>
        <w:t>本项目不适用。</w:t>
      </w:r>
    </w:p>
    <w:p w14:paraId="71442B2A">
      <w:pPr>
        <w:pStyle w:val="34"/>
        <w:spacing w:before="120" w:beforeLines="50" w:line="360" w:lineRule="auto"/>
        <w:ind w:firstLine="422"/>
        <w:rPr>
          <w:rFonts w:hAnsi="宋体"/>
          <w:b/>
          <w:szCs w:val="21"/>
        </w:rPr>
      </w:pPr>
      <w:r>
        <w:rPr>
          <w:rFonts w:hAnsi="宋体"/>
          <w:b/>
          <w:szCs w:val="21"/>
        </w:rPr>
        <w:t>4.</w:t>
      </w:r>
      <w:r>
        <w:rPr>
          <w:rFonts w:hint="eastAsia" w:hAnsi="宋体"/>
          <w:b/>
          <w:szCs w:val="21"/>
        </w:rPr>
        <w:t>其他说明</w:t>
      </w:r>
    </w:p>
    <w:p w14:paraId="186949C4">
      <w:pPr>
        <w:tabs>
          <w:tab w:val="left" w:pos="775"/>
        </w:tabs>
        <w:autoSpaceDE w:val="0"/>
        <w:autoSpaceDN w:val="0"/>
        <w:spacing w:line="360" w:lineRule="auto"/>
        <w:ind w:firstLine="420" w:firstLineChars="200"/>
        <w:jc w:val="left"/>
        <w:rPr>
          <w:rFonts w:hint="eastAsia"/>
          <w:szCs w:val="21"/>
        </w:rPr>
      </w:pPr>
      <w:r>
        <w:rPr>
          <w:szCs w:val="21"/>
        </w:rPr>
        <w:t>4</w:t>
      </w:r>
      <w:r>
        <w:rPr>
          <w:rFonts w:hint="eastAsia"/>
          <w:szCs w:val="21"/>
        </w:rPr>
        <w:t xml:space="preserve">.1 </w:t>
      </w:r>
      <w:r>
        <w:rPr>
          <w:szCs w:val="21"/>
        </w:rPr>
        <w:t>在签订合同协议书前，</w:t>
      </w:r>
      <w:r>
        <w:rPr>
          <w:rFonts w:hint="eastAsia"/>
          <w:szCs w:val="21"/>
        </w:rPr>
        <w:t>招标人对中标人投标文件中的明显不平衡报价，在总价保持不变的前提下，应双方协商调整至双方认可的合理范围</w:t>
      </w:r>
      <w:r>
        <w:rPr>
          <w:szCs w:val="21"/>
        </w:rPr>
        <w:t>。如最终结算时，因不平衡报价调整过单价（总额价）的所有子目合价的合计金额大于按原报价的工程量清单中的子目单价（总额价）计算的合价的合计金额，则不平衡报价的子目单价（总额价）不予调整，按原报价的工程量清单中的子目单价（总额价）计量支付。因不平衡报价引起的风险由投标人自负。</w:t>
      </w:r>
    </w:p>
    <w:p w14:paraId="74B8402C">
      <w:pPr>
        <w:tabs>
          <w:tab w:val="left" w:pos="775"/>
        </w:tabs>
        <w:autoSpaceDE w:val="0"/>
        <w:autoSpaceDN w:val="0"/>
        <w:spacing w:line="360" w:lineRule="auto"/>
        <w:ind w:firstLine="420" w:firstLineChars="200"/>
        <w:jc w:val="left"/>
        <w:rPr>
          <w:rFonts w:hint="eastAsia"/>
          <w:szCs w:val="21"/>
        </w:rPr>
      </w:pPr>
      <w:r>
        <w:rPr>
          <w:szCs w:val="21"/>
        </w:rPr>
        <w:t>4</w:t>
      </w:r>
      <w:r>
        <w:rPr>
          <w:rFonts w:hint="eastAsia"/>
          <w:szCs w:val="21"/>
        </w:rPr>
        <w:t>.2 如因中标人原因修改了招标人提供的工程量清单中任何一项支付子目的工程量，导致引起清单计算总额价与合同总额价的差异，则在该清单支付子目合价不变的前提下，调整相应的单价，由此造成的损失由中标人承担，调整后的单价作为最终结算单价；</w:t>
      </w:r>
    </w:p>
    <w:p w14:paraId="12084406">
      <w:pPr>
        <w:tabs>
          <w:tab w:val="left" w:pos="775"/>
        </w:tabs>
        <w:autoSpaceDE w:val="0"/>
        <w:autoSpaceDN w:val="0"/>
        <w:spacing w:line="360" w:lineRule="auto"/>
        <w:ind w:firstLine="420" w:firstLineChars="200"/>
        <w:jc w:val="left"/>
        <w:rPr>
          <w:rFonts w:hint="eastAsia" w:ascii="宋体" w:hAnsi="宋体"/>
          <w:szCs w:val="21"/>
        </w:rPr>
      </w:pPr>
      <w:r>
        <w:rPr>
          <w:szCs w:val="21"/>
        </w:rPr>
        <w:t>4</w:t>
      </w:r>
      <w:r>
        <w:rPr>
          <w:rFonts w:hint="eastAsia"/>
          <w:szCs w:val="21"/>
        </w:rPr>
        <w:t>.</w:t>
      </w:r>
      <w:r>
        <w:rPr>
          <w:szCs w:val="21"/>
        </w:rPr>
        <w:t xml:space="preserve">3 </w:t>
      </w:r>
      <w:r>
        <w:rPr>
          <w:rFonts w:hint="eastAsia" w:ascii="宋体" w:hAnsi="宋体"/>
          <w:szCs w:val="21"/>
        </w:rPr>
        <w:t>根据《财政部 税务总局 海关总署关于深化增值税改革有关政策的公告》（财政部 税务总局 海关总署公告2</w:t>
      </w:r>
      <w:r>
        <w:rPr>
          <w:rFonts w:ascii="宋体" w:hAnsi="宋体"/>
          <w:szCs w:val="21"/>
        </w:rPr>
        <w:t>019</w:t>
      </w:r>
      <w:r>
        <w:rPr>
          <w:rFonts w:hint="eastAsia" w:ascii="宋体" w:hAnsi="宋体"/>
          <w:szCs w:val="21"/>
        </w:rPr>
        <w:t>年第3</w:t>
      </w:r>
      <w:r>
        <w:rPr>
          <w:rFonts w:ascii="宋体" w:hAnsi="宋体"/>
          <w:szCs w:val="21"/>
        </w:rPr>
        <w:t>9</w:t>
      </w:r>
      <w:r>
        <w:rPr>
          <w:rFonts w:hint="eastAsia" w:ascii="宋体" w:hAnsi="宋体"/>
          <w:szCs w:val="21"/>
        </w:rPr>
        <w:t>号），本工程的税金按</w:t>
      </w:r>
      <w:r>
        <w:rPr>
          <w:rFonts w:ascii="宋体" w:hAnsi="宋体"/>
          <w:szCs w:val="21"/>
        </w:rPr>
        <w:t>9</w:t>
      </w:r>
      <w:r>
        <w:rPr>
          <w:rFonts w:hint="eastAsia" w:ascii="宋体" w:hAnsi="宋体"/>
          <w:szCs w:val="21"/>
        </w:rPr>
        <w:t>%计取。</w:t>
      </w:r>
    </w:p>
    <w:p w14:paraId="0B37BA3B">
      <w:pPr>
        <w:tabs>
          <w:tab w:val="left" w:pos="775"/>
        </w:tabs>
        <w:spacing w:line="360" w:lineRule="auto"/>
        <w:ind w:firstLine="420" w:firstLineChars="20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4</w:t>
      </w:r>
      <w:r>
        <w:rPr>
          <w:rFonts w:hint="eastAsia" w:ascii="Times New Roman" w:hAnsi="Times New Roman" w:eastAsia="宋体" w:cs="Times New Roman"/>
          <w:color w:val="auto"/>
          <w:szCs w:val="21"/>
          <w:highlight w:val="none"/>
        </w:rPr>
        <w:t>.</w:t>
      </w:r>
      <w:r>
        <w:rPr>
          <w:rFonts w:hint="eastAsia" w:cs="Times New Roman"/>
          <w:color w:val="auto"/>
          <w:szCs w:val="21"/>
          <w:highlight w:val="none"/>
          <w:lang w:val="en-US" w:eastAsia="zh-CN"/>
        </w:rPr>
        <w:t>4</w:t>
      </w:r>
      <w:r>
        <w:rPr>
          <w:rFonts w:hint="eastAsia" w:ascii="Times New Roman" w:hAnsi="Times New Roman" w:eastAsia="宋体" w:cs="Times New Roman"/>
          <w:color w:val="auto"/>
          <w:szCs w:val="21"/>
          <w:highlight w:val="none"/>
        </w:rPr>
        <w:t xml:space="preserve"> 本次招标工作及造价编制工作已委托招标代理单位进行。</w:t>
      </w:r>
    </w:p>
    <w:p w14:paraId="46822E04">
      <w:pPr>
        <w:tabs>
          <w:tab w:val="left" w:pos="775"/>
        </w:tabs>
        <w:spacing w:line="360" w:lineRule="auto"/>
        <w:ind w:firstLine="420" w:firstLineChars="20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（1）招标代理费的计算方法为：当</w:t>
      </w:r>
      <w:r>
        <w:rPr>
          <w:rFonts w:hint="eastAsia" w:cs="Times New Roman"/>
          <w:color w:val="auto"/>
          <w:szCs w:val="21"/>
          <w:highlight w:val="none"/>
          <w:lang w:val="en-US" w:eastAsia="zh-CN"/>
        </w:rPr>
        <w:t>500</w:t>
      </w:r>
      <w:r>
        <w:rPr>
          <w:rFonts w:hint="eastAsia" w:ascii="Times New Roman" w:hAnsi="Times New Roman" w:eastAsia="宋体" w:cs="Times New Roman"/>
          <w:color w:val="auto"/>
          <w:szCs w:val="21"/>
          <w:highlight w:val="none"/>
        </w:rPr>
        <w:t>000</w:t>
      </w:r>
      <w:r>
        <w:rPr>
          <w:rFonts w:hint="eastAsia" w:ascii="Times New Roman" w:hAnsi="Times New Roman" w:eastAsia="宋体" w:cs="Times New Roman"/>
          <w:color w:val="auto"/>
          <w:szCs w:val="21"/>
          <w:highlight w:val="none"/>
          <w:lang w:val="en-US" w:eastAsia="zh-CN"/>
        </w:rPr>
        <w:t>0</w:t>
      </w:r>
      <w:r>
        <w:rPr>
          <w:rFonts w:hint="eastAsia" w:ascii="Times New Roman" w:hAnsi="Times New Roman" w:eastAsia="宋体" w:cs="Times New Roman"/>
          <w:color w:val="auto"/>
          <w:szCs w:val="21"/>
          <w:highlight w:val="none"/>
        </w:rPr>
        <w:t>&lt;计费基数≤</w:t>
      </w:r>
      <w:r>
        <w:rPr>
          <w:rFonts w:hint="eastAsia" w:cs="Times New Roman"/>
          <w:color w:val="auto"/>
          <w:szCs w:val="21"/>
          <w:highlight w:val="none"/>
          <w:lang w:val="en-US" w:eastAsia="zh-CN"/>
        </w:rPr>
        <w:t>1</w:t>
      </w:r>
      <w:r>
        <w:rPr>
          <w:rFonts w:hint="eastAsia" w:ascii="Times New Roman" w:hAnsi="Times New Roman" w:eastAsia="宋体" w:cs="Times New Roman"/>
          <w:color w:val="auto"/>
          <w:szCs w:val="21"/>
          <w:highlight w:val="none"/>
          <w:lang w:val="en-US" w:eastAsia="zh-CN"/>
        </w:rPr>
        <w:t>0</w:t>
      </w:r>
      <w:r>
        <w:rPr>
          <w:rFonts w:hint="eastAsia" w:ascii="Times New Roman" w:hAnsi="Times New Roman" w:eastAsia="宋体" w:cs="Times New Roman"/>
          <w:color w:val="auto"/>
          <w:szCs w:val="21"/>
          <w:highlight w:val="none"/>
        </w:rPr>
        <w:t>000000元时，招标代理费＝[(计费基数－</w:t>
      </w:r>
      <w:r>
        <w:rPr>
          <w:rFonts w:hint="eastAsia" w:cs="Times New Roman"/>
          <w:color w:val="auto"/>
          <w:szCs w:val="21"/>
          <w:highlight w:val="none"/>
          <w:lang w:val="en-US" w:eastAsia="zh-CN"/>
        </w:rPr>
        <w:t>5</w:t>
      </w:r>
      <w:r>
        <w:rPr>
          <w:rFonts w:hint="eastAsia" w:ascii="Times New Roman" w:hAnsi="Times New Roman" w:eastAsia="宋体" w:cs="Times New Roman"/>
          <w:color w:val="auto"/>
          <w:szCs w:val="21"/>
          <w:highlight w:val="none"/>
          <w:lang w:val="en-US" w:eastAsia="zh-CN"/>
        </w:rPr>
        <w:t>0</w:t>
      </w:r>
      <w:r>
        <w:rPr>
          <w:rFonts w:hint="eastAsia" w:ascii="Times New Roman" w:hAnsi="Times New Roman" w:eastAsia="宋体" w:cs="Times New Roman"/>
          <w:color w:val="auto"/>
          <w:szCs w:val="21"/>
          <w:highlight w:val="none"/>
        </w:rPr>
        <w:t>00000)×0.</w:t>
      </w:r>
      <w:r>
        <w:rPr>
          <w:rFonts w:hint="eastAsia" w:cs="Times New Roman"/>
          <w:color w:val="auto"/>
          <w:szCs w:val="21"/>
          <w:highlight w:val="none"/>
          <w:lang w:val="en-US" w:eastAsia="zh-CN"/>
        </w:rPr>
        <w:t>5</w:t>
      </w:r>
      <w:r>
        <w:rPr>
          <w:rFonts w:hint="eastAsia" w:ascii="Times New Roman" w:hAnsi="Times New Roman" w:eastAsia="宋体" w:cs="Times New Roman"/>
          <w:color w:val="auto"/>
          <w:szCs w:val="21"/>
          <w:highlight w:val="none"/>
          <w:lang w:val="en-US" w:eastAsia="zh-CN"/>
        </w:rPr>
        <w:t>5</w:t>
      </w:r>
      <w:r>
        <w:rPr>
          <w:rFonts w:hint="eastAsia" w:ascii="Times New Roman" w:hAnsi="Times New Roman" w:eastAsia="宋体" w:cs="Times New Roman"/>
          <w:color w:val="auto"/>
          <w:szCs w:val="21"/>
          <w:highlight w:val="none"/>
        </w:rPr>
        <w:t>％＋</w:t>
      </w:r>
      <w:r>
        <w:rPr>
          <w:rFonts w:hint="eastAsia" w:cs="Times New Roman"/>
          <w:color w:val="auto"/>
          <w:szCs w:val="21"/>
          <w:highlight w:val="none"/>
          <w:lang w:val="en-US" w:eastAsia="zh-CN"/>
        </w:rPr>
        <w:t>38000</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eastAsia="zh-CN"/>
        </w:rPr>
        <w:t>6</w:t>
      </w:r>
      <w:r>
        <w:rPr>
          <w:rFonts w:hint="eastAsia" w:ascii="Times New Roman" w:hAnsi="Times New Roman" w:eastAsia="宋体" w:cs="Times New Roman"/>
          <w:color w:val="auto"/>
          <w:szCs w:val="21"/>
          <w:highlight w:val="none"/>
          <w:lang w:val="en-US" w:eastAsia="zh-CN"/>
        </w:rPr>
        <w:t>7.34</w:t>
      </w:r>
      <w:r>
        <w:rPr>
          <w:rFonts w:hint="eastAsia" w:ascii="Times New Roman" w:hAnsi="Times New Roman" w:eastAsia="宋体" w:cs="Times New Roman"/>
          <w:color w:val="auto"/>
          <w:szCs w:val="21"/>
          <w:highlight w:val="none"/>
        </w:rPr>
        <w:t>％(元)。</w:t>
      </w:r>
    </w:p>
    <w:p w14:paraId="7BA18218">
      <w:pPr>
        <w:tabs>
          <w:tab w:val="left" w:pos="775"/>
        </w:tabs>
        <w:spacing w:line="360" w:lineRule="auto"/>
        <w:ind w:firstLine="420" w:firstLineChars="20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（2）造价编制费的计算方法为：当</w:t>
      </w:r>
      <w:r>
        <w:rPr>
          <w:rFonts w:hint="eastAsia" w:cs="Times New Roman"/>
          <w:color w:val="auto"/>
          <w:szCs w:val="21"/>
          <w:highlight w:val="none"/>
          <w:lang w:val="en-US" w:eastAsia="zh-CN"/>
        </w:rPr>
        <w:t>500</w:t>
      </w:r>
      <w:r>
        <w:rPr>
          <w:rFonts w:hint="eastAsia" w:ascii="Times New Roman" w:hAnsi="Times New Roman" w:eastAsia="宋体" w:cs="Times New Roman"/>
          <w:color w:val="auto"/>
          <w:szCs w:val="21"/>
          <w:highlight w:val="none"/>
        </w:rPr>
        <w:t>000</w:t>
      </w:r>
      <w:r>
        <w:rPr>
          <w:rFonts w:hint="eastAsia" w:ascii="Times New Roman" w:hAnsi="Times New Roman" w:eastAsia="宋体" w:cs="Times New Roman"/>
          <w:color w:val="auto"/>
          <w:szCs w:val="21"/>
          <w:highlight w:val="none"/>
          <w:lang w:val="en-US" w:eastAsia="zh-CN"/>
        </w:rPr>
        <w:t>0</w:t>
      </w:r>
      <w:r>
        <w:rPr>
          <w:rFonts w:hint="eastAsia" w:ascii="Times New Roman" w:hAnsi="Times New Roman" w:eastAsia="宋体" w:cs="Times New Roman"/>
          <w:color w:val="auto"/>
          <w:szCs w:val="21"/>
          <w:highlight w:val="none"/>
        </w:rPr>
        <w:t>&lt;计费基数≤</w:t>
      </w:r>
      <w:r>
        <w:rPr>
          <w:rFonts w:hint="eastAsia" w:cs="Times New Roman"/>
          <w:color w:val="auto"/>
          <w:szCs w:val="21"/>
          <w:highlight w:val="none"/>
          <w:lang w:val="en-US" w:eastAsia="zh-CN"/>
        </w:rPr>
        <w:t>1</w:t>
      </w:r>
      <w:r>
        <w:rPr>
          <w:rFonts w:hint="eastAsia" w:ascii="Times New Roman" w:hAnsi="Times New Roman" w:eastAsia="宋体" w:cs="Times New Roman"/>
          <w:color w:val="auto"/>
          <w:szCs w:val="21"/>
          <w:highlight w:val="none"/>
          <w:lang w:val="en-US" w:eastAsia="zh-CN"/>
        </w:rPr>
        <w:t>0</w:t>
      </w:r>
      <w:r>
        <w:rPr>
          <w:rFonts w:hint="eastAsia" w:ascii="Times New Roman" w:hAnsi="Times New Roman" w:eastAsia="宋体" w:cs="Times New Roman"/>
          <w:color w:val="auto"/>
          <w:szCs w:val="21"/>
          <w:highlight w:val="none"/>
        </w:rPr>
        <w:t>000000元时，造价编制费＝[(计费基数－</w:t>
      </w:r>
      <w:r>
        <w:rPr>
          <w:rFonts w:hint="eastAsia" w:cs="Times New Roman"/>
          <w:color w:val="auto"/>
          <w:szCs w:val="21"/>
          <w:highlight w:val="none"/>
          <w:lang w:val="en-US" w:eastAsia="zh-CN"/>
        </w:rPr>
        <w:t>5</w:t>
      </w:r>
      <w:r>
        <w:rPr>
          <w:rFonts w:hint="eastAsia" w:ascii="Times New Roman" w:hAnsi="Times New Roman" w:eastAsia="宋体" w:cs="Times New Roman"/>
          <w:color w:val="auto"/>
          <w:szCs w:val="21"/>
          <w:highlight w:val="none"/>
          <w:lang w:val="en-US" w:eastAsia="zh-CN"/>
        </w:rPr>
        <w:t>00</w:t>
      </w:r>
      <w:r>
        <w:rPr>
          <w:rFonts w:hint="eastAsia" w:ascii="Times New Roman" w:hAnsi="Times New Roman" w:eastAsia="宋体" w:cs="Times New Roman"/>
          <w:color w:val="auto"/>
          <w:szCs w:val="21"/>
          <w:highlight w:val="none"/>
        </w:rPr>
        <w:t>0000)×0.</w:t>
      </w:r>
      <w:r>
        <w:rPr>
          <w:rFonts w:hint="eastAsia" w:cs="Times New Roman"/>
          <w:color w:val="auto"/>
          <w:szCs w:val="21"/>
          <w:highlight w:val="none"/>
          <w:lang w:val="en-US" w:eastAsia="zh-CN"/>
        </w:rPr>
        <w:t>3</w:t>
      </w:r>
      <w:r>
        <w:rPr>
          <w:rFonts w:hint="eastAsia" w:ascii="Times New Roman" w:hAnsi="Times New Roman" w:eastAsia="宋体" w:cs="Times New Roman"/>
          <w:color w:val="auto"/>
          <w:szCs w:val="21"/>
          <w:highlight w:val="none"/>
        </w:rPr>
        <w:t>％＋</w:t>
      </w:r>
      <w:r>
        <w:rPr>
          <w:rFonts w:hint="eastAsia" w:cs="Times New Roman"/>
          <w:color w:val="auto"/>
          <w:szCs w:val="21"/>
          <w:highlight w:val="none"/>
          <w:lang w:val="en-US" w:eastAsia="zh-CN"/>
        </w:rPr>
        <w:t>16800</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eastAsia="zh-CN"/>
        </w:rPr>
        <w:t>2</w:t>
      </w:r>
      <w:r>
        <w:rPr>
          <w:rFonts w:hint="eastAsia" w:ascii="Times New Roman" w:hAnsi="Times New Roman" w:eastAsia="宋体" w:cs="Times New Roman"/>
          <w:color w:val="auto"/>
          <w:szCs w:val="21"/>
          <w:highlight w:val="none"/>
          <w:lang w:val="en-US" w:eastAsia="zh-CN"/>
        </w:rPr>
        <w:t>8.86</w:t>
      </w:r>
      <w:r>
        <w:rPr>
          <w:rFonts w:hint="eastAsia" w:ascii="Times New Roman" w:hAnsi="Times New Roman" w:eastAsia="宋体" w:cs="Times New Roman"/>
          <w:color w:val="auto"/>
          <w:szCs w:val="21"/>
          <w:highlight w:val="none"/>
        </w:rPr>
        <w:t>％(元)。</w:t>
      </w:r>
    </w:p>
    <w:p w14:paraId="327E96DF">
      <w:pPr>
        <w:tabs>
          <w:tab w:val="left" w:pos="775"/>
        </w:tabs>
        <w:spacing w:line="360" w:lineRule="auto"/>
        <w:ind w:firstLine="420" w:firstLineChars="20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计费基数＝中标价。</w:t>
      </w:r>
    </w:p>
    <w:p w14:paraId="4C71B80D">
      <w:pPr>
        <w:keepNext w:val="0"/>
        <w:keepLines w:val="0"/>
        <w:pageBreakBefore w:val="0"/>
        <w:widowControl w:val="0"/>
        <w:tabs>
          <w:tab w:val="left" w:pos="775"/>
        </w:tabs>
        <w:kinsoku/>
        <w:wordWrap/>
        <w:overflowPunct/>
        <w:topLinePunct w:val="0"/>
        <w:bidi w:val="0"/>
        <w:adjustRightInd/>
        <w:snapToGrid/>
        <w:spacing w:line="360" w:lineRule="auto"/>
        <w:ind w:left="0" w:firstLine="420" w:firstLineChars="200"/>
        <w:textAlignment w:val="auto"/>
        <w:rPr>
          <w:rFonts w:hint="eastAsia" w:ascii="Times New Roman" w:hAnsi="Times New Roman" w:eastAsia="宋体" w:cs="Times New Roman"/>
          <w:color w:val="0000FF"/>
          <w:szCs w:val="21"/>
        </w:rPr>
      </w:pPr>
      <w:r>
        <w:rPr>
          <w:rFonts w:hint="eastAsia" w:ascii="Times New Roman" w:hAnsi="Times New Roman" w:eastAsia="宋体" w:cs="Times New Roman"/>
          <w:color w:val="auto"/>
          <w:szCs w:val="21"/>
          <w:highlight w:val="none"/>
        </w:rPr>
        <w:t>招标代理费、造价编制费的支付：中标人应在收到中标通知书之前将招标代理费和造价编制费一次性支付给招标代理单位。</w:t>
      </w:r>
    </w:p>
    <w:p w14:paraId="434A27DF">
      <w:pPr>
        <w:tabs>
          <w:tab w:val="left" w:pos="775"/>
        </w:tabs>
        <w:spacing w:line="360" w:lineRule="auto"/>
        <w:ind w:firstLine="420" w:firstLineChars="200"/>
        <w:rPr>
          <w:rFonts w:hint="eastAsia" w:ascii="Times New Roman" w:hAnsi="Times New Roman" w:eastAsia="宋体" w:cs="Times New Roman"/>
          <w:color w:val="auto"/>
          <w:sz w:val="21"/>
          <w:szCs w:val="21"/>
          <w:highlight w:val="none"/>
        </w:rPr>
      </w:pPr>
    </w:p>
    <w:p w14:paraId="5E138C91">
      <w:pPr>
        <w:rPr>
          <w:rFonts w:ascii="黑体" w:hAnsi="宋体" w:eastAsia="黑体"/>
          <w:sz w:val="30"/>
          <w:szCs w:val="30"/>
          <w:highlight w:val="none"/>
        </w:rPr>
      </w:pPr>
      <w:r>
        <w:rPr>
          <w:rFonts w:ascii="黑体" w:hAnsi="宋体" w:eastAsia="黑体"/>
          <w:sz w:val="30"/>
          <w:szCs w:val="30"/>
          <w:highlight w:val="none"/>
        </w:rPr>
        <w:br w:type="page"/>
      </w:r>
    </w:p>
    <w:p w14:paraId="2673115A">
      <w:pPr>
        <w:tabs>
          <w:tab w:val="left" w:pos="775"/>
        </w:tabs>
        <w:autoSpaceDE w:val="0"/>
        <w:autoSpaceDN w:val="0"/>
        <w:spacing w:line="360" w:lineRule="auto"/>
        <w:ind w:firstLine="600" w:firstLineChars="200"/>
        <w:jc w:val="left"/>
        <w:rPr>
          <w:rFonts w:ascii="黑体" w:eastAsia="黑体"/>
          <w:sz w:val="24"/>
          <w:highlight w:val="none"/>
        </w:rPr>
      </w:pPr>
      <w:r>
        <w:rPr>
          <w:rFonts w:ascii="黑体" w:hAnsi="宋体" w:eastAsia="黑体"/>
          <w:sz w:val="30"/>
          <w:szCs w:val="30"/>
          <w:highlight w:val="none"/>
        </w:rPr>
        <w:t>5</w:t>
      </w:r>
      <w:r>
        <w:rPr>
          <w:rFonts w:hint="eastAsia" w:ascii="黑体" w:hAnsi="宋体" w:eastAsia="黑体"/>
          <w:sz w:val="30"/>
          <w:szCs w:val="30"/>
          <w:highlight w:val="none"/>
        </w:rPr>
        <w:t>.工程量清单</w:t>
      </w:r>
    </w:p>
    <w:p w14:paraId="0F14D29E">
      <w:pPr>
        <w:rPr>
          <w:sz w:val="24"/>
          <w:highlight w:val="none"/>
        </w:rPr>
      </w:pPr>
    </w:p>
    <w:p w14:paraId="397E0C61">
      <w:pPr>
        <w:ind w:firstLine="308" w:firstLineChars="147"/>
        <w:rPr>
          <w:rFonts w:ascii="宋体" w:hAnsi="宋体"/>
          <w:bCs/>
          <w:szCs w:val="21"/>
          <w:highlight w:val="none"/>
        </w:rPr>
      </w:pPr>
      <w:r>
        <w:rPr>
          <w:rFonts w:ascii="宋体" w:hAnsi="宋体"/>
          <w:bCs/>
          <w:szCs w:val="21"/>
          <w:highlight w:val="none"/>
        </w:rPr>
        <w:t>5</w:t>
      </w:r>
      <w:r>
        <w:rPr>
          <w:rFonts w:hint="eastAsia" w:ascii="宋体" w:hAnsi="宋体"/>
          <w:bCs/>
          <w:szCs w:val="21"/>
          <w:highlight w:val="none"/>
        </w:rPr>
        <w:t>.1 工程量清单表</w:t>
      </w:r>
    </w:p>
    <w:p w14:paraId="133B1AC8">
      <w:pPr>
        <w:ind w:firstLine="531" w:firstLineChars="147"/>
        <w:rPr>
          <w:rFonts w:hint="eastAsia" w:ascii="宋体" w:hAnsi="宋体"/>
          <w:bCs/>
          <w:sz w:val="24"/>
          <w:highlight w:val="none"/>
        </w:rPr>
      </w:pPr>
      <w:r>
        <w:rPr>
          <w:rFonts w:hint="eastAsia" w:ascii="宋体" w:hAnsi="宋体" w:eastAsia="宋体" w:cs="宋体"/>
          <w:b/>
          <w:bCs/>
          <w:i w:val="0"/>
          <w:iCs w:val="0"/>
          <w:color w:val="000000"/>
          <w:kern w:val="0"/>
          <w:sz w:val="36"/>
          <w:szCs w:val="36"/>
          <w:u w:val="none"/>
          <w:lang w:val="en-US" w:eastAsia="zh-CN" w:bidi="ar"/>
        </w:rPr>
        <w:t>工程量清单表</w:t>
      </w:r>
    </w:p>
    <w:tbl>
      <w:tblPr>
        <w:tblStyle w:val="28"/>
        <w:tblW w:w="89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4"/>
        <w:gridCol w:w="3933"/>
        <w:gridCol w:w="739"/>
        <w:gridCol w:w="1108"/>
        <w:gridCol w:w="1108"/>
        <w:gridCol w:w="1108"/>
      </w:tblGrid>
      <w:tr w14:paraId="16F44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92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754C9F4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 100 章　总则</w:t>
            </w:r>
          </w:p>
        </w:tc>
      </w:tr>
      <w:tr w14:paraId="6BA29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3BCC0A3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933" w:type="dxa"/>
            <w:tcBorders>
              <w:top w:val="nil"/>
              <w:left w:val="nil"/>
              <w:bottom w:val="single" w:color="000000" w:sz="4" w:space="0"/>
              <w:right w:val="single" w:color="000000" w:sz="4" w:space="0"/>
            </w:tcBorders>
            <w:shd w:val="clear" w:color="auto" w:fill="FFFFFF"/>
            <w:vAlign w:val="center"/>
          </w:tcPr>
          <w:p w14:paraId="6E2D878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39" w:type="dxa"/>
            <w:tcBorders>
              <w:top w:val="nil"/>
              <w:left w:val="nil"/>
              <w:bottom w:val="single" w:color="000000" w:sz="4" w:space="0"/>
              <w:right w:val="single" w:color="000000" w:sz="4" w:space="0"/>
            </w:tcBorders>
            <w:shd w:val="clear" w:color="auto" w:fill="FFFFFF"/>
            <w:vAlign w:val="center"/>
          </w:tcPr>
          <w:p w14:paraId="617964FB">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108" w:type="dxa"/>
            <w:tcBorders>
              <w:top w:val="nil"/>
              <w:left w:val="nil"/>
              <w:bottom w:val="single" w:color="000000" w:sz="4" w:space="0"/>
              <w:right w:val="single" w:color="000000" w:sz="4" w:space="0"/>
            </w:tcBorders>
            <w:shd w:val="clear" w:color="auto" w:fill="FFFFFF"/>
            <w:vAlign w:val="center"/>
          </w:tcPr>
          <w:p w14:paraId="2F230AAB">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108" w:type="dxa"/>
            <w:tcBorders>
              <w:top w:val="nil"/>
              <w:left w:val="nil"/>
              <w:bottom w:val="single" w:color="000000" w:sz="4" w:space="0"/>
              <w:right w:val="single" w:color="000000" w:sz="4" w:space="0"/>
            </w:tcBorders>
            <w:shd w:val="clear" w:color="auto" w:fill="FFFFFF"/>
            <w:vAlign w:val="center"/>
          </w:tcPr>
          <w:p w14:paraId="22879F0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108" w:type="dxa"/>
            <w:tcBorders>
              <w:top w:val="nil"/>
              <w:left w:val="nil"/>
              <w:bottom w:val="single" w:color="000000" w:sz="4" w:space="0"/>
              <w:right w:val="single" w:color="000000" w:sz="8" w:space="0"/>
            </w:tcBorders>
            <w:shd w:val="clear" w:color="auto" w:fill="FFFFFF"/>
            <w:vAlign w:val="center"/>
          </w:tcPr>
          <w:p w14:paraId="73EA0F9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11557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60B16A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w:t>
            </w:r>
          </w:p>
        </w:tc>
        <w:tc>
          <w:tcPr>
            <w:tcW w:w="3933" w:type="dxa"/>
            <w:tcBorders>
              <w:top w:val="nil"/>
              <w:left w:val="nil"/>
              <w:bottom w:val="single" w:color="000000" w:sz="4" w:space="0"/>
              <w:right w:val="single" w:color="000000" w:sz="4" w:space="0"/>
            </w:tcBorders>
            <w:shd w:val="clear" w:color="auto" w:fill="FFFFFF"/>
            <w:vAlign w:val="center"/>
          </w:tcPr>
          <w:p w14:paraId="77DF6A4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工程保险费</w:t>
            </w:r>
          </w:p>
        </w:tc>
        <w:tc>
          <w:tcPr>
            <w:tcW w:w="739" w:type="dxa"/>
            <w:tcBorders>
              <w:top w:val="nil"/>
              <w:left w:val="nil"/>
              <w:bottom w:val="single" w:color="000000" w:sz="4" w:space="0"/>
              <w:right w:val="single" w:color="000000" w:sz="4" w:space="0"/>
            </w:tcBorders>
            <w:shd w:val="clear" w:color="auto" w:fill="FFFFFF"/>
            <w:vAlign w:val="center"/>
          </w:tcPr>
          <w:p w14:paraId="7774C970">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530E05DB">
            <w:pPr>
              <w:jc w:val="center"/>
              <w:rPr>
                <w:rFonts w:hint="eastAsia"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101073CA">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36AF08A3">
            <w:pPr>
              <w:jc w:val="right"/>
              <w:rPr>
                <w:rFonts w:hint="default" w:ascii="Arial Narrow" w:hAnsi="Arial Narrow" w:eastAsia="Arial Narrow" w:cs="Arial Narrow"/>
                <w:i w:val="0"/>
                <w:iCs w:val="0"/>
                <w:color w:val="000000"/>
                <w:sz w:val="16"/>
                <w:szCs w:val="16"/>
                <w:u w:val="none"/>
              </w:rPr>
            </w:pPr>
          </w:p>
        </w:tc>
      </w:tr>
      <w:tr w14:paraId="0C8AF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28298C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w:t>
            </w:r>
          </w:p>
        </w:tc>
        <w:tc>
          <w:tcPr>
            <w:tcW w:w="3933" w:type="dxa"/>
            <w:tcBorders>
              <w:top w:val="nil"/>
              <w:left w:val="nil"/>
              <w:bottom w:val="single" w:color="000000" w:sz="4" w:space="0"/>
              <w:right w:val="single" w:color="000000" w:sz="4" w:space="0"/>
            </w:tcBorders>
            <w:shd w:val="clear" w:color="auto" w:fill="FFFFFF"/>
            <w:vAlign w:val="center"/>
          </w:tcPr>
          <w:p w14:paraId="608ECA5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保险费</w:t>
            </w:r>
          </w:p>
        </w:tc>
        <w:tc>
          <w:tcPr>
            <w:tcW w:w="739" w:type="dxa"/>
            <w:tcBorders>
              <w:top w:val="nil"/>
              <w:left w:val="nil"/>
              <w:bottom w:val="single" w:color="000000" w:sz="4" w:space="0"/>
              <w:right w:val="single" w:color="000000" w:sz="4" w:space="0"/>
            </w:tcBorders>
            <w:shd w:val="clear" w:color="auto" w:fill="FFFFFF"/>
            <w:vAlign w:val="center"/>
          </w:tcPr>
          <w:p w14:paraId="39A5B81E">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36323944">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64706C6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33BBB757">
            <w:pPr>
              <w:jc w:val="right"/>
              <w:rPr>
                <w:rFonts w:hint="default" w:ascii="Arial Narrow" w:hAnsi="Arial Narrow" w:eastAsia="Arial Narrow" w:cs="Arial Narrow"/>
                <w:i w:val="0"/>
                <w:iCs w:val="0"/>
                <w:color w:val="000000"/>
                <w:sz w:val="16"/>
                <w:szCs w:val="16"/>
                <w:u w:val="none"/>
              </w:rPr>
            </w:pPr>
          </w:p>
        </w:tc>
      </w:tr>
      <w:tr w14:paraId="2F501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A8C19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101-1-1</w:t>
            </w:r>
          </w:p>
        </w:tc>
        <w:tc>
          <w:tcPr>
            <w:tcW w:w="3933" w:type="dxa"/>
            <w:tcBorders>
              <w:top w:val="nil"/>
              <w:left w:val="nil"/>
              <w:bottom w:val="single" w:color="000000" w:sz="4" w:space="0"/>
              <w:right w:val="single" w:color="000000" w:sz="4" w:space="0"/>
            </w:tcBorders>
            <w:shd w:val="clear" w:color="auto" w:fill="FFFFFF"/>
            <w:vAlign w:val="center"/>
          </w:tcPr>
          <w:p w14:paraId="3FF26DD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按合同条款规定，提供建筑工程一切险</w:t>
            </w:r>
          </w:p>
        </w:tc>
        <w:tc>
          <w:tcPr>
            <w:tcW w:w="739" w:type="dxa"/>
            <w:tcBorders>
              <w:top w:val="nil"/>
              <w:left w:val="nil"/>
              <w:bottom w:val="single" w:color="000000" w:sz="4" w:space="0"/>
              <w:right w:val="single" w:color="000000" w:sz="4" w:space="0"/>
            </w:tcBorders>
            <w:shd w:val="clear" w:color="auto" w:fill="FFFFFF"/>
            <w:vAlign w:val="center"/>
          </w:tcPr>
          <w:p w14:paraId="6DE466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7C0C9CC3">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418C51BA">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DAC5DCF">
            <w:pPr>
              <w:jc w:val="right"/>
              <w:rPr>
                <w:rFonts w:hint="default" w:ascii="Arial Narrow" w:hAnsi="Arial Narrow" w:eastAsia="Arial Narrow" w:cs="Arial Narrow"/>
                <w:i w:val="0"/>
                <w:iCs w:val="0"/>
                <w:color w:val="000000"/>
                <w:sz w:val="16"/>
                <w:szCs w:val="16"/>
                <w:u w:val="none"/>
              </w:rPr>
            </w:pPr>
          </w:p>
        </w:tc>
      </w:tr>
      <w:tr w14:paraId="76B9A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328D17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w:t>
            </w:r>
          </w:p>
        </w:tc>
        <w:tc>
          <w:tcPr>
            <w:tcW w:w="3933" w:type="dxa"/>
            <w:tcBorders>
              <w:top w:val="nil"/>
              <w:left w:val="nil"/>
              <w:bottom w:val="single" w:color="000000" w:sz="4" w:space="0"/>
              <w:right w:val="single" w:color="000000" w:sz="4" w:space="0"/>
            </w:tcBorders>
            <w:shd w:val="clear" w:color="auto" w:fill="FFFFFF"/>
            <w:vAlign w:val="center"/>
          </w:tcPr>
          <w:p w14:paraId="02AAFDC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工程管理</w:t>
            </w:r>
          </w:p>
        </w:tc>
        <w:tc>
          <w:tcPr>
            <w:tcW w:w="739" w:type="dxa"/>
            <w:tcBorders>
              <w:top w:val="nil"/>
              <w:left w:val="nil"/>
              <w:bottom w:val="single" w:color="000000" w:sz="4" w:space="0"/>
              <w:right w:val="single" w:color="000000" w:sz="4" w:space="0"/>
            </w:tcBorders>
            <w:shd w:val="clear" w:color="auto" w:fill="FFFFFF"/>
            <w:vAlign w:val="center"/>
          </w:tcPr>
          <w:p w14:paraId="14C29B51">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34F9369D">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4452041A">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47D640E0">
            <w:pPr>
              <w:jc w:val="right"/>
              <w:rPr>
                <w:rFonts w:hint="default" w:ascii="Arial Narrow" w:hAnsi="Arial Narrow" w:eastAsia="Arial Narrow" w:cs="Arial Narrow"/>
                <w:i w:val="0"/>
                <w:iCs w:val="0"/>
                <w:color w:val="000000"/>
                <w:sz w:val="16"/>
                <w:szCs w:val="16"/>
                <w:u w:val="none"/>
              </w:rPr>
            </w:pPr>
          </w:p>
        </w:tc>
      </w:tr>
      <w:tr w14:paraId="4A08B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239C10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102-1</w:t>
            </w:r>
          </w:p>
        </w:tc>
        <w:tc>
          <w:tcPr>
            <w:tcW w:w="3933" w:type="dxa"/>
            <w:tcBorders>
              <w:top w:val="nil"/>
              <w:left w:val="nil"/>
              <w:bottom w:val="single" w:color="000000" w:sz="4" w:space="0"/>
              <w:right w:val="single" w:color="000000" w:sz="4" w:space="0"/>
            </w:tcBorders>
            <w:shd w:val="clear" w:color="auto" w:fill="FFFFFF"/>
            <w:vAlign w:val="center"/>
          </w:tcPr>
          <w:p w14:paraId="54CBB89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竣工文件</w:t>
            </w:r>
          </w:p>
        </w:tc>
        <w:tc>
          <w:tcPr>
            <w:tcW w:w="739" w:type="dxa"/>
            <w:tcBorders>
              <w:top w:val="nil"/>
              <w:left w:val="nil"/>
              <w:bottom w:val="single" w:color="000000" w:sz="4" w:space="0"/>
              <w:right w:val="single" w:color="000000" w:sz="4" w:space="0"/>
            </w:tcBorders>
            <w:shd w:val="clear" w:color="auto" w:fill="FFFFFF"/>
            <w:vAlign w:val="center"/>
          </w:tcPr>
          <w:p w14:paraId="004B99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744EB436">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64D816A1">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1856DC2">
            <w:pPr>
              <w:jc w:val="right"/>
              <w:rPr>
                <w:rFonts w:hint="default" w:ascii="Arial Narrow" w:hAnsi="Arial Narrow" w:eastAsia="Arial Narrow" w:cs="Arial Narrow"/>
                <w:i w:val="0"/>
                <w:iCs w:val="0"/>
                <w:color w:val="000000"/>
                <w:sz w:val="16"/>
                <w:szCs w:val="16"/>
                <w:u w:val="none"/>
              </w:rPr>
            </w:pPr>
          </w:p>
        </w:tc>
      </w:tr>
      <w:tr w14:paraId="11B0F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8D659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102-2</w:t>
            </w:r>
          </w:p>
        </w:tc>
        <w:tc>
          <w:tcPr>
            <w:tcW w:w="3933" w:type="dxa"/>
            <w:tcBorders>
              <w:top w:val="nil"/>
              <w:left w:val="nil"/>
              <w:bottom w:val="single" w:color="000000" w:sz="4" w:space="0"/>
              <w:right w:val="single" w:color="000000" w:sz="4" w:space="0"/>
            </w:tcBorders>
            <w:shd w:val="clear" w:color="auto" w:fill="FFFFFF"/>
            <w:vAlign w:val="center"/>
          </w:tcPr>
          <w:p w14:paraId="0C1555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施工环保费</w:t>
            </w:r>
          </w:p>
        </w:tc>
        <w:tc>
          <w:tcPr>
            <w:tcW w:w="739" w:type="dxa"/>
            <w:tcBorders>
              <w:top w:val="nil"/>
              <w:left w:val="nil"/>
              <w:bottom w:val="single" w:color="000000" w:sz="4" w:space="0"/>
              <w:right w:val="single" w:color="000000" w:sz="4" w:space="0"/>
            </w:tcBorders>
            <w:shd w:val="clear" w:color="auto" w:fill="FFFFFF"/>
            <w:vAlign w:val="center"/>
          </w:tcPr>
          <w:p w14:paraId="323A5C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04BC554F">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0A83EEC8">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33DF3069">
            <w:pPr>
              <w:jc w:val="right"/>
              <w:rPr>
                <w:rFonts w:hint="default" w:ascii="Arial Narrow" w:hAnsi="Arial Narrow" w:eastAsia="Arial Narrow" w:cs="Arial Narrow"/>
                <w:i w:val="0"/>
                <w:iCs w:val="0"/>
                <w:color w:val="000000"/>
                <w:sz w:val="16"/>
                <w:szCs w:val="16"/>
                <w:u w:val="none"/>
              </w:rPr>
            </w:pPr>
          </w:p>
        </w:tc>
      </w:tr>
      <w:tr w14:paraId="2FDC8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5FF34D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102-3</w:t>
            </w:r>
          </w:p>
        </w:tc>
        <w:tc>
          <w:tcPr>
            <w:tcW w:w="3933" w:type="dxa"/>
            <w:tcBorders>
              <w:top w:val="nil"/>
              <w:left w:val="nil"/>
              <w:bottom w:val="single" w:color="000000" w:sz="4" w:space="0"/>
              <w:right w:val="single" w:color="000000" w:sz="4" w:space="0"/>
            </w:tcBorders>
            <w:shd w:val="clear" w:color="auto" w:fill="FFFFFF"/>
            <w:vAlign w:val="center"/>
          </w:tcPr>
          <w:p w14:paraId="45A805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安全生产费</w:t>
            </w:r>
          </w:p>
        </w:tc>
        <w:tc>
          <w:tcPr>
            <w:tcW w:w="739" w:type="dxa"/>
            <w:tcBorders>
              <w:top w:val="nil"/>
              <w:left w:val="nil"/>
              <w:bottom w:val="single" w:color="000000" w:sz="4" w:space="0"/>
              <w:right w:val="single" w:color="000000" w:sz="4" w:space="0"/>
            </w:tcBorders>
            <w:shd w:val="clear" w:color="auto" w:fill="FFFFFF"/>
            <w:vAlign w:val="center"/>
          </w:tcPr>
          <w:p w14:paraId="264A58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59DBF2D8">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4790AE80">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EFC1969">
            <w:pPr>
              <w:jc w:val="right"/>
              <w:rPr>
                <w:rFonts w:hint="default" w:ascii="Arial Narrow" w:hAnsi="Arial Narrow" w:eastAsia="Arial Narrow" w:cs="Arial Narrow"/>
                <w:i w:val="0"/>
                <w:iCs w:val="0"/>
                <w:color w:val="000000"/>
                <w:sz w:val="16"/>
                <w:szCs w:val="16"/>
                <w:u w:val="none"/>
              </w:rPr>
            </w:pPr>
          </w:p>
        </w:tc>
      </w:tr>
      <w:tr w14:paraId="04C61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17A550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102-6</w:t>
            </w:r>
          </w:p>
        </w:tc>
        <w:tc>
          <w:tcPr>
            <w:tcW w:w="3933" w:type="dxa"/>
            <w:tcBorders>
              <w:top w:val="nil"/>
              <w:left w:val="nil"/>
              <w:bottom w:val="single" w:color="000000" w:sz="4" w:space="0"/>
              <w:right w:val="single" w:color="000000" w:sz="4" w:space="0"/>
            </w:tcBorders>
            <w:shd w:val="clear" w:color="auto" w:fill="FFFFFF"/>
            <w:vAlign w:val="center"/>
          </w:tcPr>
          <w:p w14:paraId="1442B26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招标代理服务</w:t>
            </w:r>
          </w:p>
        </w:tc>
        <w:tc>
          <w:tcPr>
            <w:tcW w:w="739" w:type="dxa"/>
            <w:tcBorders>
              <w:top w:val="nil"/>
              <w:left w:val="nil"/>
              <w:bottom w:val="single" w:color="000000" w:sz="4" w:space="0"/>
              <w:right w:val="single" w:color="000000" w:sz="4" w:space="0"/>
            </w:tcBorders>
            <w:shd w:val="clear" w:color="auto" w:fill="FFFFFF"/>
            <w:vAlign w:val="center"/>
          </w:tcPr>
          <w:p w14:paraId="44757DB9">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69F937E1">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71A5780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24BBAF45">
            <w:pPr>
              <w:jc w:val="right"/>
              <w:rPr>
                <w:rFonts w:hint="default" w:ascii="Arial Narrow" w:hAnsi="Arial Narrow" w:eastAsia="Arial Narrow" w:cs="Arial Narrow"/>
                <w:i w:val="0"/>
                <w:iCs w:val="0"/>
                <w:color w:val="000000"/>
                <w:sz w:val="16"/>
                <w:szCs w:val="16"/>
                <w:u w:val="none"/>
              </w:rPr>
            </w:pPr>
          </w:p>
        </w:tc>
      </w:tr>
      <w:tr w14:paraId="65528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079F02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102-6-1</w:t>
            </w:r>
          </w:p>
        </w:tc>
        <w:tc>
          <w:tcPr>
            <w:tcW w:w="3933" w:type="dxa"/>
            <w:tcBorders>
              <w:top w:val="nil"/>
              <w:left w:val="nil"/>
              <w:bottom w:val="single" w:color="000000" w:sz="4" w:space="0"/>
              <w:right w:val="single" w:color="000000" w:sz="4" w:space="0"/>
            </w:tcBorders>
            <w:shd w:val="clear" w:color="auto" w:fill="FFFFFF"/>
            <w:vAlign w:val="center"/>
          </w:tcPr>
          <w:p w14:paraId="0F326D7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招标代理服务费</w:t>
            </w:r>
          </w:p>
        </w:tc>
        <w:tc>
          <w:tcPr>
            <w:tcW w:w="739" w:type="dxa"/>
            <w:tcBorders>
              <w:top w:val="nil"/>
              <w:left w:val="nil"/>
              <w:bottom w:val="single" w:color="000000" w:sz="4" w:space="0"/>
              <w:right w:val="single" w:color="000000" w:sz="4" w:space="0"/>
            </w:tcBorders>
            <w:shd w:val="clear" w:color="auto" w:fill="FFFFFF"/>
            <w:vAlign w:val="center"/>
          </w:tcPr>
          <w:p w14:paraId="3769DC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77D1509D">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38FA3BD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25228033">
            <w:pPr>
              <w:jc w:val="right"/>
              <w:rPr>
                <w:rFonts w:hint="default" w:ascii="Arial Narrow" w:hAnsi="Arial Narrow" w:eastAsia="Arial Narrow" w:cs="Arial Narrow"/>
                <w:i w:val="0"/>
                <w:iCs w:val="0"/>
                <w:color w:val="000000"/>
                <w:sz w:val="16"/>
                <w:szCs w:val="16"/>
                <w:u w:val="none"/>
              </w:rPr>
            </w:pPr>
          </w:p>
        </w:tc>
      </w:tr>
      <w:tr w14:paraId="1AB17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69A447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102-6-2</w:t>
            </w:r>
          </w:p>
        </w:tc>
        <w:tc>
          <w:tcPr>
            <w:tcW w:w="3933" w:type="dxa"/>
            <w:tcBorders>
              <w:top w:val="nil"/>
              <w:left w:val="nil"/>
              <w:bottom w:val="single" w:color="000000" w:sz="4" w:space="0"/>
              <w:right w:val="single" w:color="000000" w:sz="4" w:space="0"/>
            </w:tcBorders>
            <w:shd w:val="clear" w:color="auto" w:fill="FFFFFF"/>
            <w:vAlign w:val="center"/>
          </w:tcPr>
          <w:p w14:paraId="34C3B49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工程造价咨询费</w:t>
            </w:r>
          </w:p>
        </w:tc>
        <w:tc>
          <w:tcPr>
            <w:tcW w:w="739" w:type="dxa"/>
            <w:tcBorders>
              <w:top w:val="nil"/>
              <w:left w:val="nil"/>
              <w:bottom w:val="single" w:color="000000" w:sz="4" w:space="0"/>
              <w:right w:val="single" w:color="000000" w:sz="4" w:space="0"/>
            </w:tcBorders>
            <w:shd w:val="clear" w:color="auto" w:fill="FFFFFF"/>
            <w:vAlign w:val="center"/>
          </w:tcPr>
          <w:p w14:paraId="210950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409AA5E6">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66D6A91B">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33CA8DDC">
            <w:pPr>
              <w:jc w:val="right"/>
              <w:rPr>
                <w:rFonts w:hint="default" w:ascii="Arial Narrow" w:hAnsi="Arial Narrow" w:eastAsia="Arial Narrow" w:cs="Arial Narrow"/>
                <w:i w:val="0"/>
                <w:iCs w:val="0"/>
                <w:color w:val="000000"/>
                <w:sz w:val="16"/>
                <w:szCs w:val="16"/>
                <w:u w:val="none"/>
              </w:rPr>
            </w:pPr>
          </w:p>
        </w:tc>
      </w:tr>
      <w:tr w14:paraId="3FC9D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6EAF5E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103</w:t>
            </w:r>
          </w:p>
        </w:tc>
        <w:tc>
          <w:tcPr>
            <w:tcW w:w="3933" w:type="dxa"/>
            <w:tcBorders>
              <w:top w:val="nil"/>
              <w:left w:val="nil"/>
              <w:bottom w:val="single" w:color="000000" w:sz="4" w:space="0"/>
              <w:right w:val="single" w:color="000000" w:sz="4" w:space="0"/>
            </w:tcBorders>
            <w:shd w:val="clear" w:color="auto" w:fill="FFFFFF"/>
            <w:vAlign w:val="center"/>
          </w:tcPr>
          <w:p w14:paraId="42B89DC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临时工程与设施</w:t>
            </w:r>
          </w:p>
        </w:tc>
        <w:tc>
          <w:tcPr>
            <w:tcW w:w="739" w:type="dxa"/>
            <w:tcBorders>
              <w:top w:val="nil"/>
              <w:left w:val="nil"/>
              <w:bottom w:val="single" w:color="000000" w:sz="4" w:space="0"/>
              <w:right w:val="single" w:color="000000" w:sz="4" w:space="0"/>
            </w:tcBorders>
            <w:shd w:val="clear" w:color="auto" w:fill="FFFFFF"/>
            <w:vAlign w:val="center"/>
          </w:tcPr>
          <w:p w14:paraId="64EA8A85">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301B1FD2">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1FE0EA6B">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0028857D">
            <w:pPr>
              <w:jc w:val="right"/>
              <w:rPr>
                <w:rFonts w:hint="default" w:ascii="Arial Narrow" w:hAnsi="Arial Narrow" w:eastAsia="Arial Narrow" w:cs="Arial Narrow"/>
                <w:i w:val="0"/>
                <w:iCs w:val="0"/>
                <w:color w:val="000000"/>
                <w:sz w:val="16"/>
                <w:szCs w:val="16"/>
                <w:u w:val="none"/>
              </w:rPr>
            </w:pPr>
          </w:p>
        </w:tc>
      </w:tr>
      <w:tr w14:paraId="257AE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1FF8B9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103-2</w:t>
            </w:r>
          </w:p>
        </w:tc>
        <w:tc>
          <w:tcPr>
            <w:tcW w:w="3933" w:type="dxa"/>
            <w:tcBorders>
              <w:top w:val="nil"/>
              <w:left w:val="nil"/>
              <w:bottom w:val="single" w:color="000000" w:sz="4" w:space="0"/>
              <w:right w:val="single" w:color="000000" w:sz="4" w:space="0"/>
            </w:tcBorders>
            <w:shd w:val="clear" w:color="auto" w:fill="FFFFFF"/>
            <w:vAlign w:val="center"/>
          </w:tcPr>
          <w:p w14:paraId="6A7D1B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临时占地</w:t>
            </w:r>
          </w:p>
        </w:tc>
        <w:tc>
          <w:tcPr>
            <w:tcW w:w="739" w:type="dxa"/>
            <w:tcBorders>
              <w:top w:val="nil"/>
              <w:left w:val="nil"/>
              <w:bottom w:val="single" w:color="000000" w:sz="4" w:space="0"/>
              <w:right w:val="single" w:color="000000" w:sz="4" w:space="0"/>
            </w:tcBorders>
            <w:shd w:val="clear" w:color="auto" w:fill="FFFFFF"/>
            <w:vAlign w:val="center"/>
          </w:tcPr>
          <w:p w14:paraId="1C8121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3B129AE9">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4EE4D900">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2A6E2BF7">
            <w:pPr>
              <w:jc w:val="right"/>
              <w:rPr>
                <w:rFonts w:hint="default" w:ascii="Arial Narrow" w:hAnsi="Arial Narrow" w:eastAsia="Arial Narrow" w:cs="Arial Narrow"/>
                <w:i w:val="0"/>
                <w:iCs w:val="0"/>
                <w:color w:val="000000"/>
                <w:sz w:val="16"/>
                <w:szCs w:val="16"/>
                <w:u w:val="none"/>
              </w:rPr>
            </w:pPr>
          </w:p>
        </w:tc>
      </w:tr>
      <w:tr w14:paraId="3CB3A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8FD24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103-5</w:t>
            </w:r>
          </w:p>
        </w:tc>
        <w:tc>
          <w:tcPr>
            <w:tcW w:w="3933" w:type="dxa"/>
            <w:tcBorders>
              <w:top w:val="nil"/>
              <w:left w:val="nil"/>
              <w:bottom w:val="single" w:color="000000" w:sz="4" w:space="0"/>
              <w:right w:val="single" w:color="000000" w:sz="4" w:space="0"/>
            </w:tcBorders>
            <w:shd w:val="clear" w:color="auto" w:fill="FFFFFF"/>
            <w:vAlign w:val="center"/>
          </w:tcPr>
          <w:p w14:paraId="01EA15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供水与排污设施</w:t>
            </w:r>
          </w:p>
        </w:tc>
        <w:tc>
          <w:tcPr>
            <w:tcW w:w="739" w:type="dxa"/>
            <w:tcBorders>
              <w:top w:val="nil"/>
              <w:left w:val="nil"/>
              <w:bottom w:val="single" w:color="000000" w:sz="4" w:space="0"/>
              <w:right w:val="single" w:color="000000" w:sz="4" w:space="0"/>
            </w:tcBorders>
            <w:shd w:val="clear" w:color="auto" w:fill="FFFFFF"/>
            <w:vAlign w:val="center"/>
          </w:tcPr>
          <w:p w14:paraId="0E77CC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64F9C0FA">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1E07E042">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7619C86E">
            <w:pPr>
              <w:jc w:val="right"/>
              <w:rPr>
                <w:rFonts w:hint="default" w:ascii="Arial Narrow" w:hAnsi="Arial Narrow" w:eastAsia="Arial Narrow" w:cs="Arial Narrow"/>
                <w:i w:val="0"/>
                <w:iCs w:val="0"/>
                <w:color w:val="000000"/>
                <w:sz w:val="16"/>
                <w:szCs w:val="16"/>
                <w:u w:val="none"/>
              </w:rPr>
            </w:pPr>
          </w:p>
        </w:tc>
      </w:tr>
      <w:tr w14:paraId="24F76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90232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104</w:t>
            </w:r>
          </w:p>
        </w:tc>
        <w:tc>
          <w:tcPr>
            <w:tcW w:w="3933" w:type="dxa"/>
            <w:tcBorders>
              <w:top w:val="nil"/>
              <w:left w:val="nil"/>
              <w:bottom w:val="single" w:color="000000" w:sz="4" w:space="0"/>
              <w:right w:val="single" w:color="000000" w:sz="4" w:space="0"/>
            </w:tcBorders>
            <w:shd w:val="clear" w:color="auto" w:fill="FFFFFF"/>
            <w:vAlign w:val="center"/>
          </w:tcPr>
          <w:p w14:paraId="7CE5678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承包人驻地建设</w:t>
            </w:r>
          </w:p>
        </w:tc>
        <w:tc>
          <w:tcPr>
            <w:tcW w:w="739" w:type="dxa"/>
            <w:tcBorders>
              <w:top w:val="nil"/>
              <w:left w:val="nil"/>
              <w:bottom w:val="single" w:color="000000" w:sz="4" w:space="0"/>
              <w:right w:val="single" w:color="000000" w:sz="4" w:space="0"/>
            </w:tcBorders>
            <w:shd w:val="clear" w:color="auto" w:fill="FFFFFF"/>
            <w:vAlign w:val="center"/>
          </w:tcPr>
          <w:p w14:paraId="45EE684F">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427C5870">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032469A2">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D353C9F">
            <w:pPr>
              <w:jc w:val="right"/>
              <w:rPr>
                <w:rFonts w:hint="default" w:ascii="Arial Narrow" w:hAnsi="Arial Narrow" w:eastAsia="Arial Narrow" w:cs="Arial Narrow"/>
                <w:i w:val="0"/>
                <w:iCs w:val="0"/>
                <w:color w:val="000000"/>
                <w:sz w:val="16"/>
                <w:szCs w:val="16"/>
                <w:u w:val="none"/>
              </w:rPr>
            </w:pPr>
          </w:p>
        </w:tc>
      </w:tr>
      <w:tr w14:paraId="302FB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08B433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104-1</w:t>
            </w:r>
          </w:p>
        </w:tc>
        <w:tc>
          <w:tcPr>
            <w:tcW w:w="3933" w:type="dxa"/>
            <w:tcBorders>
              <w:top w:val="nil"/>
              <w:left w:val="nil"/>
              <w:bottom w:val="single" w:color="000000" w:sz="4" w:space="0"/>
              <w:right w:val="single" w:color="000000" w:sz="4" w:space="0"/>
            </w:tcBorders>
            <w:shd w:val="clear" w:color="auto" w:fill="FFFFFF"/>
            <w:vAlign w:val="center"/>
          </w:tcPr>
          <w:p w14:paraId="7EF4617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承包人驻地建设（标准化工地建设）</w:t>
            </w:r>
          </w:p>
        </w:tc>
        <w:tc>
          <w:tcPr>
            <w:tcW w:w="739" w:type="dxa"/>
            <w:tcBorders>
              <w:top w:val="nil"/>
              <w:left w:val="nil"/>
              <w:bottom w:val="single" w:color="000000" w:sz="4" w:space="0"/>
              <w:right w:val="single" w:color="000000" w:sz="4" w:space="0"/>
            </w:tcBorders>
            <w:shd w:val="clear" w:color="auto" w:fill="FFFFFF"/>
            <w:vAlign w:val="center"/>
          </w:tcPr>
          <w:p w14:paraId="5893F5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08" w:type="dxa"/>
            <w:tcBorders>
              <w:top w:val="nil"/>
              <w:left w:val="nil"/>
              <w:bottom w:val="single" w:color="000000" w:sz="4" w:space="0"/>
              <w:right w:val="single" w:color="000000" w:sz="4" w:space="0"/>
            </w:tcBorders>
            <w:shd w:val="clear" w:color="auto" w:fill="FFFFFF"/>
            <w:vAlign w:val="center"/>
          </w:tcPr>
          <w:p w14:paraId="0341D002">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08" w:type="dxa"/>
            <w:tcBorders>
              <w:top w:val="nil"/>
              <w:left w:val="nil"/>
              <w:bottom w:val="single" w:color="000000" w:sz="4" w:space="0"/>
              <w:right w:val="single" w:color="000000" w:sz="4" w:space="0"/>
            </w:tcBorders>
            <w:shd w:val="clear" w:color="auto" w:fill="FFFFFF"/>
            <w:vAlign w:val="center"/>
          </w:tcPr>
          <w:p w14:paraId="4C110DFA">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34C6B4C8">
            <w:pPr>
              <w:jc w:val="right"/>
              <w:rPr>
                <w:rFonts w:hint="default" w:ascii="Arial Narrow" w:hAnsi="Arial Narrow" w:eastAsia="Arial Narrow" w:cs="Arial Narrow"/>
                <w:i w:val="0"/>
                <w:iCs w:val="0"/>
                <w:color w:val="000000"/>
                <w:sz w:val="16"/>
                <w:szCs w:val="16"/>
                <w:u w:val="none"/>
              </w:rPr>
            </w:pPr>
          </w:p>
        </w:tc>
      </w:tr>
      <w:tr w14:paraId="603F8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243E00E">
            <w:pPr>
              <w:jc w:val="center"/>
              <w:rPr>
                <w:rFonts w:hint="eastAsia" w:ascii="宋体" w:hAnsi="宋体" w:eastAsia="宋体" w:cs="宋体"/>
                <w:i w:val="0"/>
                <w:iCs w:val="0"/>
                <w:color w:val="000000"/>
                <w:sz w:val="16"/>
                <w:szCs w:val="16"/>
                <w:u w:val="none"/>
              </w:rPr>
            </w:pPr>
          </w:p>
        </w:tc>
        <w:tc>
          <w:tcPr>
            <w:tcW w:w="3933" w:type="dxa"/>
            <w:tcBorders>
              <w:top w:val="nil"/>
              <w:left w:val="nil"/>
              <w:bottom w:val="single" w:color="000000" w:sz="4" w:space="0"/>
              <w:right w:val="single" w:color="000000" w:sz="4" w:space="0"/>
            </w:tcBorders>
            <w:shd w:val="clear" w:color="auto" w:fill="FFFFFF"/>
            <w:vAlign w:val="center"/>
          </w:tcPr>
          <w:p w14:paraId="489D176B">
            <w:pPr>
              <w:jc w:val="left"/>
              <w:rPr>
                <w:rFonts w:hint="eastAsia" w:ascii="宋体" w:hAnsi="宋体" w:eastAsia="宋体" w:cs="宋体"/>
                <w:i w:val="0"/>
                <w:iCs w:val="0"/>
                <w:color w:val="000000"/>
                <w:sz w:val="16"/>
                <w:szCs w:val="16"/>
                <w:u w:val="none"/>
              </w:rPr>
            </w:pPr>
          </w:p>
        </w:tc>
        <w:tc>
          <w:tcPr>
            <w:tcW w:w="739" w:type="dxa"/>
            <w:tcBorders>
              <w:top w:val="nil"/>
              <w:left w:val="nil"/>
              <w:bottom w:val="single" w:color="000000" w:sz="4" w:space="0"/>
              <w:right w:val="single" w:color="000000" w:sz="4" w:space="0"/>
            </w:tcBorders>
            <w:shd w:val="clear" w:color="auto" w:fill="FFFFFF"/>
            <w:vAlign w:val="center"/>
          </w:tcPr>
          <w:p w14:paraId="042B5FDC">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64712728">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01AA0321">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092B9FF0">
            <w:pPr>
              <w:jc w:val="right"/>
              <w:rPr>
                <w:rFonts w:hint="default" w:ascii="Arial Narrow" w:hAnsi="Arial Narrow" w:eastAsia="Arial Narrow" w:cs="Arial Narrow"/>
                <w:i w:val="0"/>
                <w:iCs w:val="0"/>
                <w:color w:val="000000"/>
                <w:sz w:val="16"/>
                <w:szCs w:val="16"/>
                <w:u w:val="none"/>
              </w:rPr>
            </w:pPr>
          </w:p>
        </w:tc>
      </w:tr>
      <w:tr w14:paraId="0AB1F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20" w:type="dxa"/>
            <w:gridSpan w:val="6"/>
            <w:tcBorders>
              <w:top w:val="nil"/>
              <w:left w:val="single" w:color="000000" w:sz="8" w:space="0"/>
              <w:bottom w:val="nil"/>
              <w:right w:val="single" w:color="000000" w:sz="8" w:space="0"/>
            </w:tcBorders>
            <w:shd w:val="clear" w:color="auto" w:fill="FFFFFF"/>
            <w:vAlign w:val="center"/>
          </w:tcPr>
          <w:p w14:paraId="41D81F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100 章  合计   人民币           元</w:t>
            </w:r>
          </w:p>
        </w:tc>
      </w:tr>
    </w:tbl>
    <w:p w14:paraId="16E5B4FF">
      <w:pPr>
        <w:spacing w:line="500" w:lineRule="exact"/>
        <w:rPr>
          <w:rFonts w:ascii="宋体" w:hAnsi="宋体"/>
          <w:bCs/>
          <w:sz w:val="24"/>
          <w:highlight w:val="none"/>
        </w:rPr>
      </w:pPr>
    </w:p>
    <w:p w14:paraId="3A483D64">
      <w:pPr>
        <w:pStyle w:val="11"/>
        <w:jc w:val="center"/>
      </w:pPr>
      <w:r>
        <w:rPr>
          <w:rFonts w:hint="eastAsia" w:ascii="宋体" w:hAnsi="宋体" w:eastAsia="宋体" w:cs="宋体"/>
          <w:b/>
          <w:bCs/>
          <w:i w:val="0"/>
          <w:iCs w:val="0"/>
          <w:color w:val="000000"/>
          <w:kern w:val="0"/>
          <w:sz w:val="36"/>
          <w:szCs w:val="36"/>
          <w:u w:val="none"/>
          <w:lang w:val="en-US" w:eastAsia="zh-CN" w:bidi="ar"/>
        </w:rPr>
        <w:t>工程量清单表</w:t>
      </w:r>
    </w:p>
    <w:tbl>
      <w:tblPr>
        <w:tblStyle w:val="28"/>
        <w:tblW w:w="89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4"/>
        <w:gridCol w:w="3933"/>
        <w:gridCol w:w="739"/>
        <w:gridCol w:w="1108"/>
        <w:gridCol w:w="1108"/>
        <w:gridCol w:w="1108"/>
      </w:tblGrid>
      <w:tr w14:paraId="7669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92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789CFEC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 700 章 绿化及环境保护工程</w:t>
            </w:r>
          </w:p>
        </w:tc>
      </w:tr>
      <w:tr w14:paraId="25114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22863C3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933" w:type="dxa"/>
            <w:tcBorders>
              <w:top w:val="nil"/>
              <w:left w:val="nil"/>
              <w:bottom w:val="single" w:color="000000" w:sz="4" w:space="0"/>
              <w:right w:val="single" w:color="000000" w:sz="4" w:space="0"/>
            </w:tcBorders>
            <w:shd w:val="clear" w:color="auto" w:fill="FFFFFF"/>
            <w:vAlign w:val="center"/>
          </w:tcPr>
          <w:p w14:paraId="6FBFCD0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39" w:type="dxa"/>
            <w:tcBorders>
              <w:top w:val="nil"/>
              <w:left w:val="nil"/>
              <w:bottom w:val="single" w:color="000000" w:sz="4" w:space="0"/>
              <w:right w:val="single" w:color="000000" w:sz="4" w:space="0"/>
            </w:tcBorders>
            <w:shd w:val="clear" w:color="auto" w:fill="FFFFFF"/>
            <w:vAlign w:val="center"/>
          </w:tcPr>
          <w:p w14:paraId="08DB6ED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108" w:type="dxa"/>
            <w:tcBorders>
              <w:top w:val="nil"/>
              <w:left w:val="nil"/>
              <w:bottom w:val="single" w:color="000000" w:sz="4" w:space="0"/>
              <w:right w:val="single" w:color="000000" w:sz="4" w:space="0"/>
            </w:tcBorders>
            <w:shd w:val="clear" w:color="auto" w:fill="FFFFFF"/>
            <w:vAlign w:val="center"/>
          </w:tcPr>
          <w:p w14:paraId="4C0F03B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108" w:type="dxa"/>
            <w:tcBorders>
              <w:top w:val="nil"/>
              <w:left w:val="nil"/>
              <w:bottom w:val="single" w:color="000000" w:sz="4" w:space="0"/>
              <w:right w:val="single" w:color="000000" w:sz="4" w:space="0"/>
            </w:tcBorders>
            <w:shd w:val="clear" w:color="auto" w:fill="FFFFFF"/>
            <w:vAlign w:val="center"/>
          </w:tcPr>
          <w:p w14:paraId="5443F68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108" w:type="dxa"/>
            <w:tcBorders>
              <w:top w:val="nil"/>
              <w:left w:val="nil"/>
              <w:bottom w:val="single" w:color="000000" w:sz="4" w:space="0"/>
              <w:right w:val="single" w:color="000000" w:sz="8" w:space="0"/>
            </w:tcBorders>
            <w:shd w:val="clear" w:color="auto" w:fill="FFFFFF"/>
            <w:vAlign w:val="center"/>
          </w:tcPr>
          <w:p w14:paraId="50C0C7E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37D09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0518FA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702</w:t>
            </w:r>
          </w:p>
        </w:tc>
        <w:tc>
          <w:tcPr>
            <w:tcW w:w="3933" w:type="dxa"/>
            <w:tcBorders>
              <w:top w:val="nil"/>
              <w:left w:val="nil"/>
              <w:bottom w:val="single" w:color="000000" w:sz="4" w:space="0"/>
              <w:right w:val="single" w:color="000000" w:sz="4" w:space="0"/>
            </w:tcBorders>
            <w:shd w:val="clear" w:color="auto" w:fill="FFFFFF"/>
            <w:vAlign w:val="center"/>
          </w:tcPr>
          <w:p w14:paraId="1C7F2A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铺设表土</w:t>
            </w:r>
          </w:p>
        </w:tc>
        <w:tc>
          <w:tcPr>
            <w:tcW w:w="739" w:type="dxa"/>
            <w:tcBorders>
              <w:top w:val="nil"/>
              <w:left w:val="nil"/>
              <w:bottom w:val="single" w:color="000000" w:sz="4" w:space="0"/>
              <w:right w:val="single" w:color="000000" w:sz="4" w:space="0"/>
            </w:tcBorders>
            <w:shd w:val="clear" w:color="auto" w:fill="FFFFFF"/>
            <w:vAlign w:val="center"/>
          </w:tcPr>
          <w:p w14:paraId="7CDD94DB">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45B6C6FC">
            <w:pPr>
              <w:jc w:val="center"/>
              <w:rPr>
                <w:rFonts w:hint="eastAsia"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109E9203">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0AC95A8F">
            <w:pPr>
              <w:jc w:val="right"/>
              <w:rPr>
                <w:rFonts w:hint="default" w:ascii="Arial Narrow" w:hAnsi="Arial Narrow" w:eastAsia="Arial Narrow" w:cs="Arial Narrow"/>
                <w:i w:val="0"/>
                <w:iCs w:val="0"/>
                <w:color w:val="000000"/>
                <w:sz w:val="16"/>
                <w:szCs w:val="16"/>
                <w:u w:val="none"/>
              </w:rPr>
            </w:pPr>
          </w:p>
        </w:tc>
      </w:tr>
      <w:tr w14:paraId="38FBD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24E8BB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702-1</w:t>
            </w:r>
          </w:p>
        </w:tc>
        <w:tc>
          <w:tcPr>
            <w:tcW w:w="3933" w:type="dxa"/>
            <w:tcBorders>
              <w:top w:val="nil"/>
              <w:left w:val="nil"/>
              <w:bottom w:val="single" w:color="000000" w:sz="4" w:space="0"/>
              <w:right w:val="single" w:color="000000" w:sz="4" w:space="0"/>
            </w:tcBorders>
            <w:shd w:val="clear" w:color="auto" w:fill="FFFFFF"/>
            <w:vAlign w:val="center"/>
          </w:tcPr>
          <w:p w14:paraId="1E20492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开挖并铺设表土</w:t>
            </w:r>
          </w:p>
        </w:tc>
        <w:tc>
          <w:tcPr>
            <w:tcW w:w="739" w:type="dxa"/>
            <w:tcBorders>
              <w:top w:val="nil"/>
              <w:left w:val="nil"/>
              <w:bottom w:val="single" w:color="000000" w:sz="4" w:space="0"/>
              <w:right w:val="single" w:color="000000" w:sz="4" w:space="0"/>
            </w:tcBorders>
            <w:shd w:val="clear" w:color="auto" w:fill="FFFFFF"/>
            <w:vAlign w:val="center"/>
          </w:tcPr>
          <w:p w14:paraId="393CF8B7">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4560198D">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486D090D">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03DC509">
            <w:pPr>
              <w:jc w:val="right"/>
              <w:rPr>
                <w:rFonts w:hint="default" w:ascii="Arial Narrow" w:hAnsi="Arial Narrow" w:eastAsia="Arial Narrow" w:cs="Arial Narrow"/>
                <w:i w:val="0"/>
                <w:iCs w:val="0"/>
                <w:color w:val="000000"/>
                <w:sz w:val="16"/>
                <w:szCs w:val="16"/>
                <w:u w:val="none"/>
              </w:rPr>
            </w:pPr>
          </w:p>
        </w:tc>
      </w:tr>
      <w:tr w14:paraId="1326A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6E604E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702-1-2</w:t>
            </w:r>
          </w:p>
        </w:tc>
        <w:tc>
          <w:tcPr>
            <w:tcW w:w="3933" w:type="dxa"/>
            <w:tcBorders>
              <w:top w:val="nil"/>
              <w:left w:val="nil"/>
              <w:bottom w:val="single" w:color="000000" w:sz="4" w:space="0"/>
              <w:right w:val="single" w:color="000000" w:sz="4" w:space="0"/>
            </w:tcBorders>
            <w:shd w:val="clear" w:color="auto" w:fill="FFFFFF"/>
            <w:vAlign w:val="center"/>
          </w:tcPr>
          <w:p w14:paraId="29116F8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种植土</w:t>
            </w:r>
          </w:p>
        </w:tc>
        <w:tc>
          <w:tcPr>
            <w:tcW w:w="739" w:type="dxa"/>
            <w:tcBorders>
              <w:top w:val="nil"/>
              <w:left w:val="nil"/>
              <w:bottom w:val="single" w:color="000000" w:sz="4" w:space="0"/>
              <w:right w:val="single" w:color="000000" w:sz="4" w:space="0"/>
            </w:tcBorders>
            <w:shd w:val="clear" w:color="auto" w:fill="FFFFFF"/>
            <w:vAlign w:val="center"/>
          </w:tcPr>
          <w:p w14:paraId="376B63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108" w:type="dxa"/>
            <w:tcBorders>
              <w:top w:val="nil"/>
              <w:left w:val="nil"/>
              <w:bottom w:val="single" w:color="000000" w:sz="4" w:space="0"/>
              <w:right w:val="single" w:color="000000" w:sz="4" w:space="0"/>
            </w:tcBorders>
            <w:shd w:val="clear" w:color="auto" w:fill="FFFFFF"/>
            <w:vAlign w:val="center"/>
          </w:tcPr>
          <w:p w14:paraId="7EFFB5CA">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40141</w:t>
            </w:r>
          </w:p>
        </w:tc>
        <w:tc>
          <w:tcPr>
            <w:tcW w:w="1108" w:type="dxa"/>
            <w:tcBorders>
              <w:top w:val="nil"/>
              <w:left w:val="nil"/>
              <w:bottom w:val="single" w:color="000000" w:sz="4" w:space="0"/>
              <w:right w:val="single" w:color="000000" w:sz="4" w:space="0"/>
            </w:tcBorders>
            <w:shd w:val="clear" w:color="auto" w:fill="FFFFFF"/>
            <w:vAlign w:val="center"/>
          </w:tcPr>
          <w:p w14:paraId="50CC539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0563CFF1">
            <w:pPr>
              <w:jc w:val="right"/>
              <w:rPr>
                <w:rFonts w:hint="default" w:ascii="Arial Narrow" w:hAnsi="Arial Narrow" w:eastAsia="Arial Narrow" w:cs="Arial Narrow"/>
                <w:i w:val="0"/>
                <w:iCs w:val="0"/>
                <w:color w:val="000000"/>
                <w:sz w:val="16"/>
                <w:szCs w:val="16"/>
                <w:u w:val="none"/>
              </w:rPr>
            </w:pPr>
          </w:p>
        </w:tc>
      </w:tr>
      <w:tr w14:paraId="70F94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5B4ED9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702-1-3</w:t>
            </w:r>
          </w:p>
        </w:tc>
        <w:tc>
          <w:tcPr>
            <w:tcW w:w="3933" w:type="dxa"/>
            <w:tcBorders>
              <w:top w:val="nil"/>
              <w:left w:val="nil"/>
              <w:bottom w:val="single" w:color="000000" w:sz="4" w:space="0"/>
              <w:right w:val="single" w:color="000000" w:sz="4" w:space="0"/>
            </w:tcBorders>
            <w:shd w:val="clear" w:color="auto" w:fill="FFFFFF"/>
            <w:vAlign w:val="center"/>
          </w:tcPr>
          <w:p w14:paraId="7DCFBCD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场地平整</w:t>
            </w:r>
          </w:p>
        </w:tc>
        <w:tc>
          <w:tcPr>
            <w:tcW w:w="739" w:type="dxa"/>
            <w:tcBorders>
              <w:top w:val="nil"/>
              <w:left w:val="nil"/>
              <w:bottom w:val="single" w:color="000000" w:sz="4" w:space="0"/>
              <w:right w:val="single" w:color="000000" w:sz="4" w:space="0"/>
            </w:tcBorders>
            <w:shd w:val="clear" w:color="auto" w:fill="FFFFFF"/>
            <w:vAlign w:val="center"/>
          </w:tcPr>
          <w:p w14:paraId="41EF70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133487FD">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78544</w:t>
            </w:r>
          </w:p>
        </w:tc>
        <w:tc>
          <w:tcPr>
            <w:tcW w:w="1108" w:type="dxa"/>
            <w:tcBorders>
              <w:top w:val="nil"/>
              <w:left w:val="nil"/>
              <w:bottom w:val="single" w:color="000000" w:sz="4" w:space="0"/>
              <w:right w:val="single" w:color="000000" w:sz="4" w:space="0"/>
            </w:tcBorders>
            <w:shd w:val="clear" w:color="auto" w:fill="FFFFFF"/>
            <w:vAlign w:val="center"/>
          </w:tcPr>
          <w:p w14:paraId="3C7D4488">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0A803C7">
            <w:pPr>
              <w:jc w:val="right"/>
              <w:rPr>
                <w:rFonts w:hint="default" w:ascii="Arial Narrow" w:hAnsi="Arial Narrow" w:eastAsia="Arial Narrow" w:cs="Arial Narrow"/>
                <w:i w:val="0"/>
                <w:iCs w:val="0"/>
                <w:color w:val="000000"/>
                <w:sz w:val="16"/>
                <w:szCs w:val="16"/>
                <w:u w:val="none"/>
              </w:rPr>
            </w:pPr>
          </w:p>
        </w:tc>
      </w:tr>
      <w:tr w14:paraId="48A81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51D241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703</w:t>
            </w:r>
          </w:p>
        </w:tc>
        <w:tc>
          <w:tcPr>
            <w:tcW w:w="3933" w:type="dxa"/>
            <w:tcBorders>
              <w:top w:val="nil"/>
              <w:left w:val="nil"/>
              <w:bottom w:val="single" w:color="000000" w:sz="4" w:space="0"/>
              <w:right w:val="single" w:color="000000" w:sz="4" w:space="0"/>
            </w:tcBorders>
            <w:shd w:val="clear" w:color="auto" w:fill="FFFFFF"/>
            <w:vAlign w:val="center"/>
          </w:tcPr>
          <w:p w14:paraId="2BFAA8B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撒播草种和铺植草皮</w:t>
            </w:r>
          </w:p>
        </w:tc>
        <w:tc>
          <w:tcPr>
            <w:tcW w:w="739" w:type="dxa"/>
            <w:tcBorders>
              <w:top w:val="nil"/>
              <w:left w:val="nil"/>
              <w:bottom w:val="single" w:color="000000" w:sz="4" w:space="0"/>
              <w:right w:val="single" w:color="000000" w:sz="4" w:space="0"/>
            </w:tcBorders>
            <w:shd w:val="clear" w:color="auto" w:fill="FFFFFF"/>
            <w:vAlign w:val="center"/>
          </w:tcPr>
          <w:p w14:paraId="04399281">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20F8CCFF">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1B3B6010">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5D5564C">
            <w:pPr>
              <w:jc w:val="right"/>
              <w:rPr>
                <w:rFonts w:hint="default" w:ascii="Arial Narrow" w:hAnsi="Arial Narrow" w:eastAsia="Arial Narrow" w:cs="Arial Narrow"/>
                <w:i w:val="0"/>
                <w:iCs w:val="0"/>
                <w:color w:val="000000"/>
                <w:sz w:val="16"/>
                <w:szCs w:val="16"/>
                <w:u w:val="none"/>
              </w:rPr>
            </w:pPr>
          </w:p>
        </w:tc>
      </w:tr>
      <w:tr w14:paraId="0C5B5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5D142B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703-4</w:t>
            </w:r>
          </w:p>
        </w:tc>
        <w:tc>
          <w:tcPr>
            <w:tcW w:w="3933" w:type="dxa"/>
            <w:tcBorders>
              <w:top w:val="nil"/>
              <w:left w:val="nil"/>
              <w:bottom w:val="single" w:color="000000" w:sz="4" w:space="0"/>
              <w:right w:val="single" w:color="000000" w:sz="4" w:space="0"/>
            </w:tcBorders>
            <w:shd w:val="clear" w:color="auto" w:fill="FFFFFF"/>
            <w:vAlign w:val="center"/>
          </w:tcPr>
          <w:p w14:paraId="68A5DE7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铺植草皮</w:t>
            </w:r>
          </w:p>
        </w:tc>
        <w:tc>
          <w:tcPr>
            <w:tcW w:w="739" w:type="dxa"/>
            <w:tcBorders>
              <w:top w:val="nil"/>
              <w:left w:val="nil"/>
              <w:bottom w:val="single" w:color="000000" w:sz="4" w:space="0"/>
              <w:right w:val="single" w:color="000000" w:sz="4" w:space="0"/>
            </w:tcBorders>
            <w:shd w:val="clear" w:color="auto" w:fill="FFFFFF"/>
            <w:vAlign w:val="center"/>
          </w:tcPr>
          <w:p w14:paraId="669E6B45">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14287192">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306E3B9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C562532">
            <w:pPr>
              <w:jc w:val="right"/>
              <w:rPr>
                <w:rFonts w:hint="default" w:ascii="Arial Narrow" w:hAnsi="Arial Narrow" w:eastAsia="Arial Narrow" w:cs="Arial Narrow"/>
                <w:i w:val="0"/>
                <w:iCs w:val="0"/>
                <w:color w:val="000000"/>
                <w:sz w:val="16"/>
                <w:szCs w:val="16"/>
                <w:u w:val="none"/>
              </w:rPr>
            </w:pPr>
          </w:p>
        </w:tc>
      </w:tr>
      <w:tr w14:paraId="0498F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C632C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703-4-1</w:t>
            </w:r>
          </w:p>
        </w:tc>
        <w:tc>
          <w:tcPr>
            <w:tcW w:w="3933" w:type="dxa"/>
            <w:tcBorders>
              <w:top w:val="nil"/>
              <w:left w:val="nil"/>
              <w:bottom w:val="single" w:color="000000" w:sz="4" w:space="0"/>
              <w:right w:val="single" w:color="000000" w:sz="4" w:space="0"/>
            </w:tcBorders>
            <w:shd w:val="clear" w:color="auto" w:fill="FFFFFF"/>
            <w:vAlign w:val="center"/>
          </w:tcPr>
          <w:p w14:paraId="4CA9141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草坪（30厘米*80厘米无缝密铺，矮生百慕大草卷，秋季追播黑麦草15克/平方米）（含预留）</w:t>
            </w:r>
          </w:p>
        </w:tc>
        <w:tc>
          <w:tcPr>
            <w:tcW w:w="739" w:type="dxa"/>
            <w:tcBorders>
              <w:top w:val="nil"/>
              <w:left w:val="nil"/>
              <w:bottom w:val="single" w:color="000000" w:sz="4" w:space="0"/>
              <w:right w:val="single" w:color="000000" w:sz="4" w:space="0"/>
            </w:tcBorders>
            <w:shd w:val="clear" w:color="auto" w:fill="FFFFFF"/>
            <w:vAlign w:val="center"/>
          </w:tcPr>
          <w:p w14:paraId="1D8BE5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0B166A63">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40520</w:t>
            </w:r>
          </w:p>
        </w:tc>
        <w:tc>
          <w:tcPr>
            <w:tcW w:w="1108" w:type="dxa"/>
            <w:tcBorders>
              <w:top w:val="nil"/>
              <w:left w:val="nil"/>
              <w:bottom w:val="single" w:color="000000" w:sz="4" w:space="0"/>
              <w:right w:val="single" w:color="000000" w:sz="4" w:space="0"/>
            </w:tcBorders>
            <w:shd w:val="clear" w:color="auto" w:fill="FFFFFF"/>
            <w:vAlign w:val="center"/>
          </w:tcPr>
          <w:p w14:paraId="7248EBE6">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35D499A5">
            <w:pPr>
              <w:jc w:val="right"/>
              <w:rPr>
                <w:rFonts w:hint="default" w:ascii="Arial Narrow" w:hAnsi="Arial Narrow" w:eastAsia="Arial Narrow" w:cs="Arial Narrow"/>
                <w:i w:val="0"/>
                <w:iCs w:val="0"/>
                <w:color w:val="000000"/>
                <w:sz w:val="16"/>
                <w:szCs w:val="16"/>
                <w:u w:val="none"/>
              </w:rPr>
            </w:pPr>
          </w:p>
        </w:tc>
      </w:tr>
      <w:tr w14:paraId="7478C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605391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w:t>
            </w:r>
          </w:p>
        </w:tc>
        <w:tc>
          <w:tcPr>
            <w:tcW w:w="3933" w:type="dxa"/>
            <w:tcBorders>
              <w:top w:val="nil"/>
              <w:left w:val="nil"/>
              <w:bottom w:val="single" w:color="000000" w:sz="4" w:space="0"/>
              <w:right w:val="single" w:color="000000" w:sz="4" w:space="0"/>
            </w:tcBorders>
            <w:shd w:val="clear" w:color="auto" w:fill="FFFFFF"/>
            <w:vAlign w:val="center"/>
          </w:tcPr>
          <w:p w14:paraId="39AB47F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种植乔木、灌木和攀缘植物</w:t>
            </w:r>
          </w:p>
        </w:tc>
        <w:tc>
          <w:tcPr>
            <w:tcW w:w="739" w:type="dxa"/>
            <w:tcBorders>
              <w:top w:val="nil"/>
              <w:left w:val="nil"/>
              <w:bottom w:val="single" w:color="000000" w:sz="4" w:space="0"/>
              <w:right w:val="single" w:color="000000" w:sz="4" w:space="0"/>
            </w:tcBorders>
            <w:shd w:val="clear" w:color="auto" w:fill="FFFFFF"/>
            <w:vAlign w:val="center"/>
          </w:tcPr>
          <w:p w14:paraId="258444FA">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33382F82">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6C4B0DBE">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3A088F1">
            <w:pPr>
              <w:jc w:val="right"/>
              <w:rPr>
                <w:rFonts w:hint="default" w:ascii="Arial Narrow" w:hAnsi="Arial Narrow" w:eastAsia="Arial Narrow" w:cs="Arial Narrow"/>
                <w:i w:val="0"/>
                <w:iCs w:val="0"/>
                <w:color w:val="000000"/>
                <w:sz w:val="16"/>
                <w:szCs w:val="16"/>
                <w:u w:val="none"/>
              </w:rPr>
            </w:pPr>
          </w:p>
        </w:tc>
      </w:tr>
      <w:tr w14:paraId="3ECE1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02ACA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w:t>
            </w:r>
          </w:p>
        </w:tc>
        <w:tc>
          <w:tcPr>
            <w:tcW w:w="3933" w:type="dxa"/>
            <w:tcBorders>
              <w:top w:val="nil"/>
              <w:left w:val="nil"/>
              <w:bottom w:val="single" w:color="000000" w:sz="4" w:space="0"/>
              <w:right w:val="single" w:color="000000" w:sz="4" w:space="0"/>
            </w:tcBorders>
            <w:shd w:val="clear" w:color="auto" w:fill="FFFFFF"/>
            <w:vAlign w:val="center"/>
          </w:tcPr>
          <w:p w14:paraId="111BF8E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人工种植乔木</w:t>
            </w:r>
          </w:p>
        </w:tc>
        <w:tc>
          <w:tcPr>
            <w:tcW w:w="739" w:type="dxa"/>
            <w:tcBorders>
              <w:top w:val="nil"/>
              <w:left w:val="nil"/>
              <w:bottom w:val="single" w:color="000000" w:sz="4" w:space="0"/>
              <w:right w:val="single" w:color="000000" w:sz="4" w:space="0"/>
            </w:tcBorders>
            <w:shd w:val="clear" w:color="auto" w:fill="FFFFFF"/>
            <w:vAlign w:val="center"/>
          </w:tcPr>
          <w:p w14:paraId="4051B529">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14EBCFD6">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3B2E2D61">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22AB9983">
            <w:pPr>
              <w:jc w:val="right"/>
              <w:rPr>
                <w:rFonts w:hint="default" w:ascii="Arial Narrow" w:hAnsi="Arial Narrow" w:eastAsia="Arial Narrow" w:cs="Arial Narrow"/>
                <w:i w:val="0"/>
                <w:iCs w:val="0"/>
                <w:color w:val="000000"/>
                <w:sz w:val="16"/>
                <w:szCs w:val="16"/>
                <w:u w:val="none"/>
              </w:rPr>
            </w:pPr>
          </w:p>
        </w:tc>
      </w:tr>
      <w:tr w14:paraId="01822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5A8E1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704-1-1</w:t>
            </w:r>
          </w:p>
        </w:tc>
        <w:tc>
          <w:tcPr>
            <w:tcW w:w="3933" w:type="dxa"/>
            <w:tcBorders>
              <w:top w:val="nil"/>
              <w:left w:val="nil"/>
              <w:bottom w:val="single" w:color="000000" w:sz="4" w:space="0"/>
              <w:right w:val="single" w:color="000000" w:sz="4" w:space="0"/>
            </w:tcBorders>
            <w:shd w:val="clear" w:color="auto" w:fill="FFFFFF"/>
            <w:vAlign w:val="center"/>
          </w:tcPr>
          <w:p w14:paraId="7E22F5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黄山栾树B(Ф14,H550,P350）</w:t>
            </w:r>
          </w:p>
        </w:tc>
        <w:tc>
          <w:tcPr>
            <w:tcW w:w="739" w:type="dxa"/>
            <w:tcBorders>
              <w:top w:val="nil"/>
              <w:left w:val="nil"/>
              <w:bottom w:val="single" w:color="000000" w:sz="4" w:space="0"/>
              <w:right w:val="single" w:color="000000" w:sz="4" w:space="0"/>
            </w:tcBorders>
            <w:shd w:val="clear" w:color="auto" w:fill="FFFFFF"/>
            <w:vAlign w:val="center"/>
          </w:tcPr>
          <w:p w14:paraId="7F1C09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23EC7BCA">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546</w:t>
            </w:r>
          </w:p>
        </w:tc>
        <w:tc>
          <w:tcPr>
            <w:tcW w:w="1108" w:type="dxa"/>
            <w:tcBorders>
              <w:top w:val="nil"/>
              <w:left w:val="nil"/>
              <w:bottom w:val="single" w:color="000000" w:sz="4" w:space="0"/>
              <w:right w:val="single" w:color="000000" w:sz="4" w:space="0"/>
            </w:tcBorders>
            <w:shd w:val="clear" w:color="auto" w:fill="FFFFFF"/>
            <w:vAlign w:val="center"/>
          </w:tcPr>
          <w:p w14:paraId="32E7E663">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45BF2ACC">
            <w:pPr>
              <w:jc w:val="right"/>
              <w:rPr>
                <w:rFonts w:hint="default" w:ascii="Arial Narrow" w:hAnsi="Arial Narrow" w:eastAsia="Arial Narrow" w:cs="Arial Narrow"/>
                <w:i w:val="0"/>
                <w:iCs w:val="0"/>
                <w:color w:val="000000"/>
                <w:sz w:val="16"/>
                <w:szCs w:val="16"/>
                <w:u w:val="none"/>
              </w:rPr>
            </w:pPr>
          </w:p>
        </w:tc>
      </w:tr>
      <w:tr w14:paraId="34444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2D3140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704-1-2</w:t>
            </w:r>
          </w:p>
        </w:tc>
        <w:tc>
          <w:tcPr>
            <w:tcW w:w="3933" w:type="dxa"/>
            <w:tcBorders>
              <w:top w:val="nil"/>
              <w:left w:val="nil"/>
              <w:bottom w:val="single" w:color="000000" w:sz="4" w:space="0"/>
              <w:right w:val="single" w:color="000000" w:sz="4" w:space="0"/>
            </w:tcBorders>
            <w:shd w:val="clear" w:color="auto" w:fill="FFFFFF"/>
            <w:vAlign w:val="center"/>
          </w:tcPr>
          <w:p w14:paraId="19F57F7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香樟A(Ф10,H450,P250)</w:t>
            </w:r>
          </w:p>
        </w:tc>
        <w:tc>
          <w:tcPr>
            <w:tcW w:w="739" w:type="dxa"/>
            <w:tcBorders>
              <w:top w:val="nil"/>
              <w:left w:val="nil"/>
              <w:bottom w:val="single" w:color="000000" w:sz="4" w:space="0"/>
              <w:right w:val="single" w:color="000000" w:sz="4" w:space="0"/>
            </w:tcBorders>
            <w:shd w:val="clear" w:color="auto" w:fill="FFFFFF"/>
            <w:vAlign w:val="center"/>
          </w:tcPr>
          <w:p w14:paraId="18D6EA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02DDBE0C">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50</w:t>
            </w:r>
          </w:p>
        </w:tc>
        <w:tc>
          <w:tcPr>
            <w:tcW w:w="1108" w:type="dxa"/>
            <w:tcBorders>
              <w:top w:val="nil"/>
              <w:left w:val="nil"/>
              <w:bottom w:val="single" w:color="000000" w:sz="4" w:space="0"/>
              <w:right w:val="single" w:color="000000" w:sz="4" w:space="0"/>
            </w:tcBorders>
            <w:shd w:val="clear" w:color="auto" w:fill="FFFFFF"/>
            <w:vAlign w:val="center"/>
          </w:tcPr>
          <w:p w14:paraId="4E0AA82F">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23B25B4A">
            <w:pPr>
              <w:jc w:val="right"/>
              <w:rPr>
                <w:rFonts w:hint="default" w:ascii="Arial Narrow" w:hAnsi="Arial Narrow" w:eastAsia="Arial Narrow" w:cs="Arial Narrow"/>
                <w:i w:val="0"/>
                <w:iCs w:val="0"/>
                <w:color w:val="000000"/>
                <w:sz w:val="16"/>
                <w:szCs w:val="16"/>
                <w:u w:val="none"/>
              </w:rPr>
            </w:pPr>
          </w:p>
        </w:tc>
      </w:tr>
      <w:tr w14:paraId="0F127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2080B9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704-1-3</w:t>
            </w:r>
          </w:p>
        </w:tc>
        <w:tc>
          <w:tcPr>
            <w:tcW w:w="3933" w:type="dxa"/>
            <w:tcBorders>
              <w:top w:val="nil"/>
              <w:left w:val="nil"/>
              <w:bottom w:val="single" w:color="000000" w:sz="4" w:space="0"/>
              <w:right w:val="single" w:color="000000" w:sz="4" w:space="0"/>
            </w:tcBorders>
            <w:shd w:val="clear" w:color="auto" w:fill="FFFFFF"/>
            <w:vAlign w:val="center"/>
          </w:tcPr>
          <w:p w14:paraId="5176413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香樟B(Ф14,H550,P350)</w:t>
            </w:r>
          </w:p>
        </w:tc>
        <w:tc>
          <w:tcPr>
            <w:tcW w:w="739" w:type="dxa"/>
            <w:tcBorders>
              <w:top w:val="nil"/>
              <w:left w:val="nil"/>
              <w:bottom w:val="single" w:color="000000" w:sz="4" w:space="0"/>
              <w:right w:val="single" w:color="000000" w:sz="4" w:space="0"/>
            </w:tcBorders>
            <w:shd w:val="clear" w:color="auto" w:fill="FFFFFF"/>
            <w:vAlign w:val="center"/>
          </w:tcPr>
          <w:p w14:paraId="14BD9B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28661070">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46</w:t>
            </w:r>
          </w:p>
        </w:tc>
        <w:tc>
          <w:tcPr>
            <w:tcW w:w="1108" w:type="dxa"/>
            <w:tcBorders>
              <w:top w:val="nil"/>
              <w:left w:val="nil"/>
              <w:bottom w:val="single" w:color="000000" w:sz="4" w:space="0"/>
              <w:right w:val="single" w:color="000000" w:sz="4" w:space="0"/>
            </w:tcBorders>
            <w:shd w:val="clear" w:color="auto" w:fill="FFFFFF"/>
            <w:vAlign w:val="center"/>
          </w:tcPr>
          <w:p w14:paraId="3FFFFC1B">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70E9090">
            <w:pPr>
              <w:jc w:val="right"/>
              <w:rPr>
                <w:rFonts w:hint="default" w:ascii="Arial Narrow" w:hAnsi="Arial Narrow" w:eastAsia="Arial Narrow" w:cs="Arial Narrow"/>
                <w:i w:val="0"/>
                <w:iCs w:val="0"/>
                <w:color w:val="000000"/>
                <w:sz w:val="16"/>
                <w:szCs w:val="16"/>
                <w:u w:val="none"/>
              </w:rPr>
            </w:pPr>
          </w:p>
        </w:tc>
      </w:tr>
      <w:tr w14:paraId="5ABDC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E49FB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704-1-5</w:t>
            </w:r>
          </w:p>
        </w:tc>
        <w:tc>
          <w:tcPr>
            <w:tcW w:w="3933" w:type="dxa"/>
            <w:tcBorders>
              <w:top w:val="nil"/>
              <w:left w:val="nil"/>
              <w:bottom w:val="single" w:color="000000" w:sz="4" w:space="0"/>
              <w:right w:val="single" w:color="000000" w:sz="4" w:space="0"/>
            </w:tcBorders>
            <w:shd w:val="clear" w:color="auto" w:fill="FFFFFF"/>
            <w:vAlign w:val="center"/>
          </w:tcPr>
          <w:p w14:paraId="168A6FC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早樱B(D12,H350,P300）</w:t>
            </w:r>
          </w:p>
        </w:tc>
        <w:tc>
          <w:tcPr>
            <w:tcW w:w="739" w:type="dxa"/>
            <w:tcBorders>
              <w:top w:val="nil"/>
              <w:left w:val="nil"/>
              <w:bottom w:val="single" w:color="000000" w:sz="4" w:space="0"/>
              <w:right w:val="single" w:color="000000" w:sz="4" w:space="0"/>
            </w:tcBorders>
            <w:shd w:val="clear" w:color="auto" w:fill="FFFFFF"/>
            <w:vAlign w:val="center"/>
          </w:tcPr>
          <w:p w14:paraId="488A90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739ADC4D">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22</w:t>
            </w:r>
          </w:p>
        </w:tc>
        <w:tc>
          <w:tcPr>
            <w:tcW w:w="1108" w:type="dxa"/>
            <w:tcBorders>
              <w:top w:val="nil"/>
              <w:left w:val="nil"/>
              <w:bottom w:val="single" w:color="000000" w:sz="4" w:space="0"/>
              <w:right w:val="single" w:color="000000" w:sz="4" w:space="0"/>
            </w:tcBorders>
            <w:shd w:val="clear" w:color="auto" w:fill="FFFFFF"/>
            <w:vAlign w:val="center"/>
          </w:tcPr>
          <w:p w14:paraId="270FA929">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C1A3223">
            <w:pPr>
              <w:jc w:val="right"/>
              <w:rPr>
                <w:rFonts w:hint="default" w:ascii="Arial Narrow" w:hAnsi="Arial Narrow" w:eastAsia="Arial Narrow" w:cs="Arial Narrow"/>
                <w:i w:val="0"/>
                <w:iCs w:val="0"/>
                <w:color w:val="000000"/>
                <w:sz w:val="16"/>
                <w:szCs w:val="16"/>
                <w:u w:val="none"/>
              </w:rPr>
            </w:pPr>
          </w:p>
        </w:tc>
      </w:tr>
      <w:tr w14:paraId="2DB14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2794E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704-1-6</w:t>
            </w:r>
          </w:p>
        </w:tc>
        <w:tc>
          <w:tcPr>
            <w:tcW w:w="3933" w:type="dxa"/>
            <w:tcBorders>
              <w:top w:val="nil"/>
              <w:left w:val="nil"/>
              <w:bottom w:val="single" w:color="000000" w:sz="4" w:space="0"/>
              <w:right w:val="single" w:color="000000" w:sz="4" w:space="0"/>
            </w:tcBorders>
            <w:shd w:val="clear" w:color="auto" w:fill="FFFFFF"/>
            <w:vAlign w:val="center"/>
          </w:tcPr>
          <w:p w14:paraId="0500D6A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桂花B(金桂)(H300,P250)</w:t>
            </w:r>
          </w:p>
        </w:tc>
        <w:tc>
          <w:tcPr>
            <w:tcW w:w="739" w:type="dxa"/>
            <w:tcBorders>
              <w:top w:val="nil"/>
              <w:left w:val="nil"/>
              <w:bottom w:val="single" w:color="000000" w:sz="4" w:space="0"/>
              <w:right w:val="single" w:color="000000" w:sz="4" w:space="0"/>
            </w:tcBorders>
            <w:shd w:val="clear" w:color="auto" w:fill="FFFFFF"/>
            <w:vAlign w:val="center"/>
          </w:tcPr>
          <w:p w14:paraId="023536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0E1A4611">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453</w:t>
            </w:r>
          </w:p>
        </w:tc>
        <w:tc>
          <w:tcPr>
            <w:tcW w:w="1108" w:type="dxa"/>
            <w:tcBorders>
              <w:top w:val="nil"/>
              <w:left w:val="nil"/>
              <w:bottom w:val="single" w:color="000000" w:sz="4" w:space="0"/>
              <w:right w:val="single" w:color="000000" w:sz="4" w:space="0"/>
            </w:tcBorders>
            <w:shd w:val="clear" w:color="auto" w:fill="FFFFFF"/>
            <w:vAlign w:val="center"/>
          </w:tcPr>
          <w:p w14:paraId="13B28D40">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713DF0BC">
            <w:pPr>
              <w:jc w:val="right"/>
              <w:rPr>
                <w:rFonts w:hint="default" w:ascii="Arial Narrow" w:hAnsi="Arial Narrow" w:eastAsia="Arial Narrow" w:cs="Arial Narrow"/>
                <w:i w:val="0"/>
                <w:iCs w:val="0"/>
                <w:color w:val="000000"/>
                <w:sz w:val="16"/>
                <w:szCs w:val="16"/>
                <w:u w:val="none"/>
              </w:rPr>
            </w:pPr>
          </w:p>
        </w:tc>
      </w:tr>
      <w:tr w14:paraId="03B70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4CACA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704-1-7</w:t>
            </w:r>
          </w:p>
        </w:tc>
        <w:tc>
          <w:tcPr>
            <w:tcW w:w="3933" w:type="dxa"/>
            <w:tcBorders>
              <w:top w:val="nil"/>
              <w:left w:val="nil"/>
              <w:bottom w:val="single" w:color="000000" w:sz="4" w:space="0"/>
              <w:right w:val="single" w:color="000000" w:sz="4" w:space="0"/>
            </w:tcBorders>
            <w:shd w:val="clear" w:color="auto" w:fill="FFFFFF"/>
            <w:vAlign w:val="center"/>
          </w:tcPr>
          <w:p w14:paraId="374198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红枫(D10,H250,P250）</w:t>
            </w:r>
          </w:p>
        </w:tc>
        <w:tc>
          <w:tcPr>
            <w:tcW w:w="739" w:type="dxa"/>
            <w:tcBorders>
              <w:top w:val="nil"/>
              <w:left w:val="nil"/>
              <w:bottom w:val="single" w:color="000000" w:sz="4" w:space="0"/>
              <w:right w:val="single" w:color="000000" w:sz="4" w:space="0"/>
            </w:tcBorders>
            <w:shd w:val="clear" w:color="auto" w:fill="FFFFFF"/>
            <w:vAlign w:val="center"/>
          </w:tcPr>
          <w:p w14:paraId="29381C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18922763">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72</w:t>
            </w:r>
          </w:p>
        </w:tc>
        <w:tc>
          <w:tcPr>
            <w:tcW w:w="1108" w:type="dxa"/>
            <w:tcBorders>
              <w:top w:val="nil"/>
              <w:left w:val="nil"/>
              <w:bottom w:val="single" w:color="000000" w:sz="4" w:space="0"/>
              <w:right w:val="single" w:color="000000" w:sz="4" w:space="0"/>
            </w:tcBorders>
            <w:shd w:val="clear" w:color="auto" w:fill="FFFFFF"/>
            <w:vAlign w:val="center"/>
          </w:tcPr>
          <w:p w14:paraId="01E64867">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C169350">
            <w:pPr>
              <w:jc w:val="right"/>
              <w:rPr>
                <w:rFonts w:hint="default" w:ascii="Arial Narrow" w:hAnsi="Arial Narrow" w:eastAsia="Arial Narrow" w:cs="Arial Narrow"/>
                <w:i w:val="0"/>
                <w:iCs w:val="0"/>
                <w:color w:val="000000"/>
                <w:sz w:val="16"/>
                <w:szCs w:val="16"/>
                <w:u w:val="none"/>
              </w:rPr>
            </w:pPr>
          </w:p>
        </w:tc>
      </w:tr>
      <w:tr w14:paraId="7CEF6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3CA96E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704-1-8</w:t>
            </w:r>
          </w:p>
        </w:tc>
        <w:tc>
          <w:tcPr>
            <w:tcW w:w="3933" w:type="dxa"/>
            <w:tcBorders>
              <w:top w:val="nil"/>
              <w:left w:val="nil"/>
              <w:bottom w:val="single" w:color="000000" w:sz="4" w:space="0"/>
              <w:right w:val="single" w:color="000000" w:sz="4" w:space="0"/>
            </w:tcBorders>
            <w:shd w:val="clear" w:color="auto" w:fill="FFFFFF"/>
            <w:vAlign w:val="center"/>
          </w:tcPr>
          <w:p w14:paraId="0FB0DF1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晚樱B(D10,H250,P250）</w:t>
            </w:r>
          </w:p>
        </w:tc>
        <w:tc>
          <w:tcPr>
            <w:tcW w:w="739" w:type="dxa"/>
            <w:tcBorders>
              <w:top w:val="nil"/>
              <w:left w:val="nil"/>
              <w:bottom w:val="single" w:color="000000" w:sz="4" w:space="0"/>
              <w:right w:val="single" w:color="000000" w:sz="4" w:space="0"/>
            </w:tcBorders>
            <w:shd w:val="clear" w:color="auto" w:fill="FFFFFF"/>
            <w:vAlign w:val="center"/>
          </w:tcPr>
          <w:p w14:paraId="013D29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337A5FF5">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27</w:t>
            </w:r>
          </w:p>
        </w:tc>
        <w:tc>
          <w:tcPr>
            <w:tcW w:w="1108" w:type="dxa"/>
            <w:tcBorders>
              <w:top w:val="nil"/>
              <w:left w:val="nil"/>
              <w:bottom w:val="single" w:color="000000" w:sz="4" w:space="0"/>
              <w:right w:val="single" w:color="000000" w:sz="4" w:space="0"/>
            </w:tcBorders>
            <w:shd w:val="clear" w:color="auto" w:fill="FFFFFF"/>
            <w:vAlign w:val="center"/>
          </w:tcPr>
          <w:p w14:paraId="5556C19B">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38E4E9E5">
            <w:pPr>
              <w:jc w:val="right"/>
              <w:rPr>
                <w:rFonts w:hint="default" w:ascii="Arial Narrow" w:hAnsi="Arial Narrow" w:eastAsia="Arial Narrow" w:cs="Arial Narrow"/>
                <w:i w:val="0"/>
                <w:iCs w:val="0"/>
                <w:color w:val="000000"/>
                <w:sz w:val="16"/>
                <w:szCs w:val="16"/>
                <w:u w:val="none"/>
              </w:rPr>
            </w:pPr>
          </w:p>
        </w:tc>
      </w:tr>
      <w:tr w14:paraId="3D8CC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129C59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704-1-9</w:t>
            </w:r>
          </w:p>
        </w:tc>
        <w:tc>
          <w:tcPr>
            <w:tcW w:w="3933" w:type="dxa"/>
            <w:tcBorders>
              <w:top w:val="nil"/>
              <w:left w:val="nil"/>
              <w:bottom w:val="single" w:color="000000" w:sz="4" w:space="0"/>
              <w:right w:val="single" w:color="000000" w:sz="4" w:space="0"/>
            </w:tcBorders>
            <w:shd w:val="clear" w:color="auto" w:fill="FFFFFF"/>
            <w:vAlign w:val="center"/>
          </w:tcPr>
          <w:p w14:paraId="114BDD2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紫玉兰(D10,H300,P250）</w:t>
            </w:r>
          </w:p>
        </w:tc>
        <w:tc>
          <w:tcPr>
            <w:tcW w:w="739" w:type="dxa"/>
            <w:tcBorders>
              <w:top w:val="nil"/>
              <w:left w:val="nil"/>
              <w:bottom w:val="single" w:color="000000" w:sz="4" w:space="0"/>
              <w:right w:val="single" w:color="000000" w:sz="4" w:space="0"/>
            </w:tcBorders>
            <w:shd w:val="clear" w:color="auto" w:fill="FFFFFF"/>
            <w:vAlign w:val="center"/>
          </w:tcPr>
          <w:p w14:paraId="055041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6D3D8D82">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112</w:t>
            </w:r>
          </w:p>
        </w:tc>
        <w:tc>
          <w:tcPr>
            <w:tcW w:w="1108" w:type="dxa"/>
            <w:tcBorders>
              <w:top w:val="nil"/>
              <w:left w:val="nil"/>
              <w:bottom w:val="single" w:color="000000" w:sz="4" w:space="0"/>
              <w:right w:val="single" w:color="000000" w:sz="4" w:space="0"/>
            </w:tcBorders>
            <w:shd w:val="clear" w:color="auto" w:fill="FFFFFF"/>
            <w:vAlign w:val="center"/>
          </w:tcPr>
          <w:p w14:paraId="4EBC41B7">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29A0ED7">
            <w:pPr>
              <w:jc w:val="right"/>
              <w:rPr>
                <w:rFonts w:hint="default" w:ascii="Arial Narrow" w:hAnsi="Arial Narrow" w:eastAsia="Arial Narrow" w:cs="Arial Narrow"/>
                <w:i w:val="0"/>
                <w:iCs w:val="0"/>
                <w:color w:val="000000"/>
                <w:sz w:val="16"/>
                <w:szCs w:val="16"/>
                <w:u w:val="none"/>
              </w:rPr>
            </w:pPr>
          </w:p>
        </w:tc>
      </w:tr>
      <w:tr w14:paraId="45235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0B40DC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704-1-10</w:t>
            </w:r>
          </w:p>
        </w:tc>
        <w:tc>
          <w:tcPr>
            <w:tcW w:w="3933" w:type="dxa"/>
            <w:tcBorders>
              <w:top w:val="nil"/>
              <w:left w:val="nil"/>
              <w:bottom w:val="single" w:color="000000" w:sz="4" w:space="0"/>
              <w:right w:val="single" w:color="000000" w:sz="4" w:space="0"/>
            </w:tcBorders>
            <w:shd w:val="clear" w:color="auto" w:fill="FFFFFF"/>
            <w:vAlign w:val="center"/>
          </w:tcPr>
          <w:p w14:paraId="0273367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紫薇B(D10,H250,P180）</w:t>
            </w:r>
          </w:p>
        </w:tc>
        <w:tc>
          <w:tcPr>
            <w:tcW w:w="739" w:type="dxa"/>
            <w:tcBorders>
              <w:top w:val="nil"/>
              <w:left w:val="nil"/>
              <w:bottom w:val="single" w:color="000000" w:sz="4" w:space="0"/>
              <w:right w:val="single" w:color="000000" w:sz="4" w:space="0"/>
            </w:tcBorders>
            <w:shd w:val="clear" w:color="auto" w:fill="FFFFFF"/>
            <w:vAlign w:val="center"/>
          </w:tcPr>
          <w:p w14:paraId="5F2B85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774F828C">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216</w:t>
            </w:r>
          </w:p>
        </w:tc>
        <w:tc>
          <w:tcPr>
            <w:tcW w:w="1108" w:type="dxa"/>
            <w:tcBorders>
              <w:top w:val="nil"/>
              <w:left w:val="nil"/>
              <w:bottom w:val="single" w:color="000000" w:sz="4" w:space="0"/>
              <w:right w:val="single" w:color="000000" w:sz="4" w:space="0"/>
            </w:tcBorders>
            <w:shd w:val="clear" w:color="auto" w:fill="FFFFFF"/>
            <w:vAlign w:val="center"/>
          </w:tcPr>
          <w:p w14:paraId="1F0262B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47F81693">
            <w:pPr>
              <w:jc w:val="right"/>
              <w:rPr>
                <w:rFonts w:hint="default" w:ascii="Arial Narrow" w:hAnsi="Arial Narrow" w:eastAsia="Arial Narrow" w:cs="Arial Narrow"/>
                <w:i w:val="0"/>
                <w:iCs w:val="0"/>
                <w:color w:val="000000"/>
                <w:sz w:val="16"/>
                <w:szCs w:val="16"/>
                <w:u w:val="none"/>
              </w:rPr>
            </w:pPr>
          </w:p>
        </w:tc>
      </w:tr>
      <w:tr w14:paraId="1670A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0A15F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704-1-11</w:t>
            </w:r>
          </w:p>
        </w:tc>
        <w:tc>
          <w:tcPr>
            <w:tcW w:w="3933" w:type="dxa"/>
            <w:tcBorders>
              <w:top w:val="nil"/>
              <w:left w:val="nil"/>
              <w:bottom w:val="single" w:color="000000" w:sz="4" w:space="0"/>
              <w:right w:val="single" w:color="000000" w:sz="4" w:space="0"/>
            </w:tcBorders>
            <w:shd w:val="clear" w:color="auto" w:fill="FFFFFF"/>
            <w:vAlign w:val="center"/>
          </w:tcPr>
          <w:p w14:paraId="3F5E8B1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红梅(D8,H220,P150）</w:t>
            </w:r>
          </w:p>
        </w:tc>
        <w:tc>
          <w:tcPr>
            <w:tcW w:w="739" w:type="dxa"/>
            <w:tcBorders>
              <w:top w:val="nil"/>
              <w:left w:val="nil"/>
              <w:bottom w:val="single" w:color="000000" w:sz="4" w:space="0"/>
              <w:right w:val="single" w:color="000000" w:sz="4" w:space="0"/>
            </w:tcBorders>
            <w:shd w:val="clear" w:color="auto" w:fill="FFFFFF"/>
            <w:vAlign w:val="center"/>
          </w:tcPr>
          <w:p w14:paraId="319660F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70DD5213">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141</w:t>
            </w:r>
          </w:p>
        </w:tc>
        <w:tc>
          <w:tcPr>
            <w:tcW w:w="1108" w:type="dxa"/>
            <w:tcBorders>
              <w:top w:val="nil"/>
              <w:left w:val="nil"/>
              <w:bottom w:val="single" w:color="000000" w:sz="4" w:space="0"/>
              <w:right w:val="single" w:color="000000" w:sz="4" w:space="0"/>
            </w:tcBorders>
            <w:shd w:val="clear" w:color="auto" w:fill="FFFFFF"/>
            <w:vAlign w:val="center"/>
          </w:tcPr>
          <w:p w14:paraId="27422ACE">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7FA214B5">
            <w:pPr>
              <w:jc w:val="right"/>
              <w:rPr>
                <w:rFonts w:hint="default" w:ascii="Arial Narrow" w:hAnsi="Arial Narrow" w:eastAsia="Arial Narrow" w:cs="Arial Narrow"/>
                <w:i w:val="0"/>
                <w:iCs w:val="0"/>
                <w:color w:val="000000"/>
                <w:sz w:val="16"/>
                <w:szCs w:val="16"/>
                <w:u w:val="none"/>
              </w:rPr>
            </w:pPr>
          </w:p>
        </w:tc>
      </w:tr>
      <w:tr w14:paraId="7D14F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EC298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704-1-13</w:t>
            </w:r>
          </w:p>
        </w:tc>
        <w:tc>
          <w:tcPr>
            <w:tcW w:w="3933" w:type="dxa"/>
            <w:tcBorders>
              <w:top w:val="nil"/>
              <w:left w:val="nil"/>
              <w:bottom w:val="single" w:color="000000" w:sz="4" w:space="0"/>
              <w:right w:val="single" w:color="000000" w:sz="4" w:space="0"/>
            </w:tcBorders>
            <w:shd w:val="clear" w:color="auto" w:fill="FFFFFF"/>
            <w:vAlign w:val="center"/>
          </w:tcPr>
          <w:p w14:paraId="0CABA8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红叶李(D8,H220,P150）</w:t>
            </w:r>
          </w:p>
        </w:tc>
        <w:tc>
          <w:tcPr>
            <w:tcW w:w="739" w:type="dxa"/>
            <w:tcBorders>
              <w:top w:val="nil"/>
              <w:left w:val="nil"/>
              <w:bottom w:val="single" w:color="000000" w:sz="4" w:space="0"/>
              <w:right w:val="single" w:color="000000" w:sz="4" w:space="0"/>
            </w:tcBorders>
            <w:shd w:val="clear" w:color="auto" w:fill="FFFFFF"/>
            <w:vAlign w:val="center"/>
          </w:tcPr>
          <w:p w14:paraId="4EE265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414184DD">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19</w:t>
            </w:r>
          </w:p>
        </w:tc>
        <w:tc>
          <w:tcPr>
            <w:tcW w:w="1108" w:type="dxa"/>
            <w:tcBorders>
              <w:top w:val="nil"/>
              <w:left w:val="nil"/>
              <w:bottom w:val="single" w:color="000000" w:sz="4" w:space="0"/>
              <w:right w:val="single" w:color="000000" w:sz="4" w:space="0"/>
            </w:tcBorders>
            <w:shd w:val="clear" w:color="auto" w:fill="FFFFFF"/>
            <w:vAlign w:val="center"/>
          </w:tcPr>
          <w:p w14:paraId="4A60033B">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27020A7">
            <w:pPr>
              <w:jc w:val="right"/>
              <w:rPr>
                <w:rFonts w:hint="default" w:ascii="Arial Narrow" w:hAnsi="Arial Narrow" w:eastAsia="Arial Narrow" w:cs="Arial Narrow"/>
                <w:i w:val="0"/>
                <w:iCs w:val="0"/>
                <w:color w:val="000000"/>
                <w:sz w:val="16"/>
                <w:szCs w:val="16"/>
                <w:u w:val="none"/>
              </w:rPr>
            </w:pPr>
          </w:p>
        </w:tc>
      </w:tr>
      <w:tr w14:paraId="574FE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56586B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704-1-14</w:t>
            </w:r>
          </w:p>
        </w:tc>
        <w:tc>
          <w:tcPr>
            <w:tcW w:w="3933" w:type="dxa"/>
            <w:tcBorders>
              <w:top w:val="nil"/>
              <w:left w:val="nil"/>
              <w:bottom w:val="single" w:color="000000" w:sz="4" w:space="0"/>
              <w:right w:val="single" w:color="000000" w:sz="4" w:space="0"/>
            </w:tcBorders>
            <w:shd w:val="clear" w:color="auto" w:fill="FFFFFF"/>
            <w:vAlign w:val="center"/>
          </w:tcPr>
          <w:p w14:paraId="2012DB3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茶花A(H150,P100)</w:t>
            </w:r>
          </w:p>
        </w:tc>
        <w:tc>
          <w:tcPr>
            <w:tcW w:w="739" w:type="dxa"/>
            <w:tcBorders>
              <w:top w:val="nil"/>
              <w:left w:val="nil"/>
              <w:bottom w:val="single" w:color="000000" w:sz="4" w:space="0"/>
              <w:right w:val="single" w:color="000000" w:sz="4" w:space="0"/>
            </w:tcBorders>
            <w:shd w:val="clear" w:color="auto" w:fill="FFFFFF"/>
            <w:vAlign w:val="center"/>
          </w:tcPr>
          <w:p w14:paraId="3E253B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75AFDF88">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1401</w:t>
            </w:r>
          </w:p>
        </w:tc>
        <w:tc>
          <w:tcPr>
            <w:tcW w:w="1108" w:type="dxa"/>
            <w:tcBorders>
              <w:top w:val="nil"/>
              <w:left w:val="nil"/>
              <w:bottom w:val="single" w:color="000000" w:sz="4" w:space="0"/>
              <w:right w:val="single" w:color="000000" w:sz="4" w:space="0"/>
            </w:tcBorders>
            <w:shd w:val="clear" w:color="auto" w:fill="FFFFFF"/>
            <w:vAlign w:val="center"/>
          </w:tcPr>
          <w:p w14:paraId="18C061E2">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F3068EE">
            <w:pPr>
              <w:jc w:val="right"/>
              <w:rPr>
                <w:rFonts w:hint="default" w:ascii="Arial Narrow" w:hAnsi="Arial Narrow" w:eastAsia="Arial Narrow" w:cs="Arial Narrow"/>
                <w:i w:val="0"/>
                <w:iCs w:val="0"/>
                <w:color w:val="000000"/>
                <w:sz w:val="16"/>
                <w:szCs w:val="16"/>
                <w:u w:val="none"/>
              </w:rPr>
            </w:pPr>
          </w:p>
        </w:tc>
      </w:tr>
      <w:tr w14:paraId="7D2D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AAB77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704-1-15</w:t>
            </w:r>
          </w:p>
        </w:tc>
        <w:tc>
          <w:tcPr>
            <w:tcW w:w="3933" w:type="dxa"/>
            <w:tcBorders>
              <w:top w:val="nil"/>
              <w:left w:val="nil"/>
              <w:bottom w:val="single" w:color="000000" w:sz="4" w:space="0"/>
              <w:right w:val="single" w:color="000000" w:sz="4" w:space="0"/>
            </w:tcBorders>
            <w:shd w:val="clear" w:color="auto" w:fill="FFFFFF"/>
            <w:vAlign w:val="center"/>
          </w:tcPr>
          <w:p w14:paraId="0BEE81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茶花B(H180,P120)</w:t>
            </w:r>
          </w:p>
        </w:tc>
        <w:tc>
          <w:tcPr>
            <w:tcW w:w="739" w:type="dxa"/>
            <w:tcBorders>
              <w:top w:val="nil"/>
              <w:left w:val="nil"/>
              <w:bottom w:val="single" w:color="000000" w:sz="4" w:space="0"/>
              <w:right w:val="single" w:color="000000" w:sz="4" w:space="0"/>
            </w:tcBorders>
            <w:shd w:val="clear" w:color="auto" w:fill="FFFFFF"/>
            <w:vAlign w:val="center"/>
          </w:tcPr>
          <w:p w14:paraId="185F8B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6D4393A1">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1408</w:t>
            </w:r>
          </w:p>
        </w:tc>
        <w:tc>
          <w:tcPr>
            <w:tcW w:w="1108" w:type="dxa"/>
            <w:tcBorders>
              <w:top w:val="nil"/>
              <w:left w:val="nil"/>
              <w:bottom w:val="single" w:color="000000" w:sz="4" w:space="0"/>
              <w:right w:val="single" w:color="000000" w:sz="4" w:space="0"/>
            </w:tcBorders>
            <w:shd w:val="clear" w:color="auto" w:fill="FFFFFF"/>
            <w:vAlign w:val="center"/>
          </w:tcPr>
          <w:p w14:paraId="2D913C6A">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3334804">
            <w:pPr>
              <w:jc w:val="right"/>
              <w:rPr>
                <w:rFonts w:hint="default" w:ascii="Arial Narrow" w:hAnsi="Arial Narrow" w:eastAsia="Arial Narrow" w:cs="Arial Narrow"/>
                <w:i w:val="0"/>
                <w:iCs w:val="0"/>
                <w:color w:val="000000"/>
                <w:sz w:val="16"/>
                <w:szCs w:val="16"/>
                <w:u w:val="none"/>
              </w:rPr>
            </w:pPr>
          </w:p>
        </w:tc>
      </w:tr>
      <w:tr w14:paraId="15F7F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660E3D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704-2</w:t>
            </w:r>
          </w:p>
        </w:tc>
        <w:tc>
          <w:tcPr>
            <w:tcW w:w="3933" w:type="dxa"/>
            <w:tcBorders>
              <w:top w:val="nil"/>
              <w:left w:val="nil"/>
              <w:bottom w:val="single" w:color="000000" w:sz="4" w:space="0"/>
              <w:right w:val="single" w:color="000000" w:sz="4" w:space="0"/>
            </w:tcBorders>
            <w:shd w:val="clear" w:color="auto" w:fill="FFFFFF"/>
            <w:vAlign w:val="center"/>
          </w:tcPr>
          <w:p w14:paraId="6B821F1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人工种植灌木</w:t>
            </w:r>
          </w:p>
        </w:tc>
        <w:tc>
          <w:tcPr>
            <w:tcW w:w="739" w:type="dxa"/>
            <w:tcBorders>
              <w:top w:val="nil"/>
              <w:left w:val="nil"/>
              <w:bottom w:val="single" w:color="000000" w:sz="4" w:space="0"/>
              <w:right w:val="single" w:color="000000" w:sz="4" w:space="0"/>
            </w:tcBorders>
            <w:shd w:val="clear" w:color="auto" w:fill="FFFFFF"/>
            <w:vAlign w:val="center"/>
          </w:tcPr>
          <w:p w14:paraId="60B7F529">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230611EE">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13A7C665">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4B7E5FB">
            <w:pPr>
              <w:jc w:val="right"/>
              <w:rPr>
                <w:rFonts w:hint="default" w:ascii="Arial Narrow" w:hAnsi="Arial Narrow" w:eastAsia="Arial Narrow" w:cs="Arial Narrow"/>
                <w:i w:val="0"/>
                <w:iCs w:val="0"/>
                <w:color w:val="000000"/>
                <w:sz w:val="16"/>
                <w:szCs w:val="16"/>
                <w:u w:val="none"/>
              </w:rPr>
            </w:pPr>
          </w:p>
        </w:tc>
      </w:tr>
      <w:tr w14:paraId="1B40F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35CA03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704-2-1</w:t>
            </w:r>
          </w:p>
        </w:tc>
        <w:tc>
          <w:tcPr>
            <w:tcW w:w="3933" w:type="dxa"/>
            <w:tcBorders>
              <w:top w:val="nil"/>
              <w:left w:val="nil"/>
              <w:bottom w:val="single" w:color="000000" w:sz="4" w:space="0"/>
              <w:right w:val="single" w:color="000000" w:sz="4" w:space="0"/>
            </w:tcBorders>
            <w:shd w:val="clear" w:color="auto" w:fill="FFFFFF"/>
            <w:vAlign w:val="center"/>
          </w:tcPr>
          <w:p w14:paraId="02582CC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红花继木球（H100,P120）</w:t>
            </w:r>
          </w:p>
        </w:tc>
        <w:tc>
          <w:tcPr>
            <w:tcW w:w="739" w:type="dxa"/>
            <w:tcBorders>
              <w:top w:val="nil"/>
              <w:left w:val="nil"/>
              <w:bottom w:val="single" w:color="000000" w:sz="4" w:space="0"/>
              <w:right w:val="single" w:color="000000" w:sz="4" w:space="0"/>
            </w:tcBorders>
            <w:shd w:val="clear" w:color="auto" w:fill="FFFFFF"/>
            <w:vAlign w:val="center"/>
          </w:tcPr>
          <w:p w14:paraId="00E801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0875B8C2">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82</w:t>
            </w:r>
          </w:p>
        </w:tc>
        <w:tc>
          <w:tcPr>
            <w:tcW w:w="1108" w:type="dxa"/>
            <w:tcBorders>
              <w:top w:val="nil"/>
              <w:left w:val="nil"/>
              <w:bottom w:val="single" w:color="000000" w:sz="4" w:space="0"/>
              <w:right w:val="single" w:color="000000" w:sz="4" w:space="0"/>
            </w:tcBorders>
            <w:shd w:val="clear" w:color="auto" w:fill="FFFFFF"/>
            <w:vAlign w:val="center"/>
          </w:tcPr>
          <w:p w14:paraId="1ED0D97A">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09A3384C">
            <w:pPr>
              <w:jc w:val="right"/>
              <w:rPr>
                <w:rFonts w:hint="default" w:ascii="Arial Narrow" w:hAnsi="Arial Narrow" w:eastAsia="Arial Narrow" w:cs="Arial Narrow"/>
                <w:i w:val="0"/>
                <w:iCs w:val="0"/>
                <w:color w:val="000000"/>
                <w:sz w:val="16"/>
                <w:szCs w:val="16"/>
                <w:u w:val="none"/>
              </w:rPr>
            </w:pPr>
          </w:p>
        </w:tc>
      </w:tr>
      <w:tr w14:paraId="32A1E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5623E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704-2-2</w:t>
            </w:r>
          </w:p>
        </w:tc>
        <w:tc>
          <w:tcPr>
            <w:tcW w:w="3933" w:type="dxa"/>
            <w:tcBorders>
              <w:top w:val="nil"/>
              <w:left w:val="nil"/>
              <w:bottom w:val="single" w:color="000000" w:sz="4" w:space="0"/>
              <w:right w:val="single" w:color="000000" w:sz="4" w:space="0"/>
            </w:tcBorders>
            <w:shd w:val="clear" w:color="auto" w:fill="FFFFFF"/>
            <w:vAlign w:val="center"/>
          </w:tcPr>
          <w:p w14:paraId="06F5DB7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红叶石楠球（H100,P120）</w:t>
            </w:r>
          </w:p>
        </w:tc>
        <w:tc>
          <w:tcPr>
            <w:tcW w:w="739" w:type="dxa"/>
            <w:tcBorders>
              <w:top w:val="nil"/>
              <w:left w:val="nil"/>
              <w:bottom w:val="single" w:color="000000" w:sz="4" w:space="0"/>
              <w:right w:val="single" w:color="000000" w:sz="4" w:space="0"/>
            </w:tcBorders>
            <w:shd w:val="clear" w:color="auto" w:fill="FFFFFF"/>
            <w:vAlign w:val="center"/>
          </w:tcPr>
          <w:p w14:paraId="55AE30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770A9733">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67</w:t>
            </w:r>
          </w:p>
        </w:tc>
        <w:tc>
          <w:tcPr>
            <w:tcW w:w="1108" w:type="dxa"/>
            <w:tcBorders>
              <w:top w:val="nil"/>
              <w:left w:val="nil"/>
              <w:bottom w:val="single" w:color="000000" w:sz="4" w:space="0"/>
              <w:right w:val="single" w:color="000000" w:sz="4" w:space="0"/>
            </w:tcBorders>
            <w:shd w:val="clear" w:color="auto" w:fill="FFFFFF"/>
            <w:vAlign w:val="center"/>
          </w:tcPr>
          <w:p w14:paraId="6E6FF853">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07764B41">
            <w:pPr>
              <w:jc w:val="right"/>
              <w:rPr>
                <w:rFonts w:hint="default" w:ascii="Arial Narrow" w:hAnsi="Arial Narrow" w:eastAsia="Arial Narrow" w:cs="Arial Narrow"/>
                <w:i w:val="0"/>
                <w:iCs w:val="0"/>
                <w:color w:val="000000"/>
                <w:sz w:val="16"/>
                <w:szCs w:val="16"/>
                <w:u w:val="none"/>
              </w:rPr>
            </w:pPr>
          </w:p>
        </w:tc>
      </w:tr>
      <w:tr w14:paraId="72026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1D5CCA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704-2-3</w:t>
            </w:r>
          </w:p>
        </w:tc>
        <w:tc>
          <w:tcPr>
            <w:tcW w:w="3933" w:type="dxa"/>
            <w:tcBorders>
              <w:top w:val="nil"/>
              <w:left w:val="nil"/>
              <w:bottom w:val="single" w:color="000000" w:sz="4" w:space="0"/>
              <w:right w:val="single" w:color="000000" w:sz="4" w:space="0"/>
            </w:tcBorders>
            <w:shd w:val="clear" w:color="auto" w:fill="FFFFFF"/>
            <w:vAlign w:val="center"/>
          </w:tcPr>
          <w:p w14:paraId="126A74E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无刺枸骨球（H100,P120）</w:t>
            </w:r>
          </w:p>
        </w:tc>
        <w:tc>
          <w:tcPr>
            <w:tcW w:w="739" w:type="dxa"/>
            <w:tcBorders>
              <w:top w:val="nil"/>
              <w:left w:val="nil"/>
              <w:bottom w:val="single" w:color="000000" w:sz="4" w:space="0"/>
              <w:right w:val="single" w:color="000000" w:sz="4" w:space="0"/>
            </w:tcBorders>
            <w:shd w:val="clear" w:color="auto" w:fill="FFFFFF"/>
            <w:vAlign w:val="center"/>
          </w:tcPr>
          <w:p w14:paraId="2713BE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2DAFE911">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49</w:t>
            </w:r>
          </w:p>
        </w:tc>
        <w:tc>
          <w:tcPr>
            <w:tcW w:w="1108" w:type="dxa"/>
            <w:tcBorders>
              <w:top w:val="nil"/>
              <w:left w:val="nil"/>
              <w:bottom w:val="single" w:color="000000" w:sz="4" w:space="0"/>
              <w:right w:val="single" w:color="000000" w:sz="4" w:space="0"/>
            </w:tcBorders>
            <w:shd w:val="clear" w:color="auto" w:fill="FFFFFF"/>
            <w:vAlign w:val="center"/>
          </w:tcPr>
          <w:p w14:paraId="0182B84B">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786D4D05">
            <w:pPr>
              <w:jc w:val="right"/>
              <w:rPr>
                <w:rFonts w:hint="default" w:ascii="Arial Narrow" w:hAnsi="Arial Narrow" w:eastAsia="Arial Narrow" w:cs="Arial Narrow"/>
                <w:i w:val="0"/>
                <w:iCs w:val="0"/>
                <w:color w:val="000000"/>
                <w:sz w:val="16"/>
                <w:szCs w:val="16"/>
                <w:u w:val="none"/>
              </w:rPr>
            </w:pPr>
          </w:p>
        </w:tc>
      </w:tr>
      <w:tr w14:paraId="34A86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0499C3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704-3</w:t>
            </w:r>
          </w:p>
        </w:tc>
        <w:tc>
          <w:tcPr>
            <w:tcW w:w="3933" w:type="dxa"/>
            <w:tcBorders>
              <w:top w:val="nil"/>
              <w:left w:val="nil"/>
              <w:bottom w:val="single" w:color="000000" w:sz="4" w:space="0"/>
              <w:right w:val="single" w:color="000000" w:sz="4" w:space="0"/>
            </w:tcBorders>
            <w:shd w:val="clear" w:color="auto" w:fill="FFFFFF"/>
            <w:vAlign w:val="center"/>
          </w:tcPr>
          <w:p w14:paraId="285ED09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人工片植灌木</w:t>
            </w:r>
          </w:p>
        </w:tc>
        <w:tc>
          <w:tcPr>
            <w:tcW w:w="739" w:type="dxa"/>
            <w:tcBorders>
              <w:top w:val="nil"/>
              <w:left w:val="nil"/>
              <w:bottom w:val="single" w:color="000000" w:sz="4" w:space="0"/>
              <w:right w:val="single" w:color="000000" w:sz="4" w:space="0"/>
            </w:tcBorders>
            <w:shd w:val="clear" w:color="auto" w:fill="FFFFFF"/>
            <w:vAlign w:val="center"/>
          </w:tcPr>
          <w:p w14:paraId="74E88A4F">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105AFE94">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3C3CDBFC">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34347C37">
            <w:pPr>
              <w:jc w:val="right"/>
              <w:rPr>
                <w:rFonts w:hint="default" w:ascii="Arial Narrow" w:hAnsi="Arial Narrow" w:eastAsia="Arial Narrow" w:cs="Arial Narrow"/>
                <w:i w:val="0"/>
                <w:iCs w:val="0"/>
                <w:color w:val="000000"/>
                <w:sz w:val="16"/>
                <w:szCs w:val="16"/>
                <w:u w:val="none"/>
              </w:rPr>
            </w:pPr>
          </w:p>
        </w:tc>
      </w:tr>
      <w:tr w14:paraId="7625A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3E9379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704-3-1</w:t>
            </w:r>
          </w:p>
        </w:tc>
        <w:tc>
          <w:tcPr>
            <w:tcW w:w="3933" w:type="dxa"/>
            <w:tcBorders>
              <w:top w:val="nil"/>
              <w:left w:val="nil"/>
              <w:bottom w:val="single" w:color="000000" w:sz="4" w:space="0"/>
              <w:right w:val="single" w:color="000000" w:sz="4" w:space="0"/>
            </w:tcBorders>
            <w:shd w:val="clear" w:color="auto" w:fill="FFFFFF"/>
            <w:vAlign w:val="center"/>
          </w:tcPr>
          <w:p w14:paraId="6F5AA40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春鹃（H40,P30,25株/平方米）</w:t>
            </w:r>
          </w:p>
        </w:tc>
        <w:tc>
          <w:tcPr>
            <w:tcW w:w="739" w:type="dxa"/>
            <w:tcBorders>
              <w:top w:val="nil"/>
              <w:left w:val="nil"/>
              <w:bottom w:val="single" w:color="000000" w:sz="4" w:space="0"/>
              <w:right w:val="single" w:color="000000" w:sz="4" w:space="0"/>
            </w:tcBorders>
            <w:shd w:val="clear" w:color="auto" w:fill="FFFFFF"/>
            <w:vAlign w:val="center"/>
          </w:tcPr>
          <w:p w14:paraId="17EC44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5781417B">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5754</w:t>
            </w:r>
          </w:p>
        </w:tc>
        <w:tc>
          <w:tcPr>
            <w:tcW w:w="1108" w:type="dxa"/>
            <w:tcBorders>
              <w:top w:val="nil"/>
              <w:left w:val="nil"/>
              <w:bottom w:val="single" w:color="000000" w:sz="4" w:space="0"/>
              <w:right w:val="single" w:color="000000" w:sz="4" w:space="0"/>
            </w:tcBorders>
            <w:shd w:val="clear" w:color="auto" w:fill="FFFFFF"/>
            <w:vAlign w:val="center"/>
          </w:tcPr>
          <w:p w14:paraId="1AE53CAD">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12AC7C5">
            <w:pPr>
              <w:jc w:val="right"/>
              <w:rPr>
                <w:rFonts w:hint="default" w:ascii="Arial Narrow" w:hAnsi="Arial Narrow" w:eastAsia="Arial Narrow" w:cs="Arial Narrow"/>
                <w:i w:val="0"/>
                <w:iCs w:val="0"/>
                <w:color w:val="000000"/>
                <w:sz w:val="16"/>
                <w:szCs w:val="16"/>
                <w:u w:val="none"/>
              </w:rPr>
            </w:pPr>
          </w:p>
        </w:tc>
      </w:tr>
      <w:tr w14:paraId="383D8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9BDE3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704-3-2</w:t>
            </w:r>
          </w:p>
        </w:tc>
        <w:tc>
          <w:tcPr>
            <w:tcW w:w="3933" w:type="dxa"/>
            <w:tcBorders>
              <w:top w:val="nil"/>
              <w:left w:val="nil"/>
              <w:bottom w:val="single" w:color="000000" w:sz="4" w:space="0"/>
              <w:right w:val="single" w:color="000000" w:sz="4" w:space="0"/>
            </w:tcBorders>
            <w:shd w:val="clear" w:color="auto" w:fill="FFFFFF"/>
            <w:vAlign w:val="center"/>
          </w:tcPr>
          <w:p w14:paraId="119FD52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红叶石楠（H40,P30,25株/平方米）</w:t>
            </w:r>
          </w:p>
        </w:tc>
        <w:tc>
          <w:tcPr>
            <w:tcW w:w="739" w:type="dxa"/>
            <w:tcBorders>
              <w:top w:val="nil"/>
              <w:left w:val="nil"/>
              <w:bottom w:val="single" w:color="000000" w:sz="4" w:space="0"/>
              <w:right w:val="single" w:color="000000" w:sz="4" w:space="0"/>
            </w:tcBorders>
            <w:shd w:val="clear" w:color="auto" w:fill="FFFFFF"/>
            <w:vAlign w:val="center"/>
          </w:tcPr>
          <w:p w14:paraId="147814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71B5648D">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8082</w:t>
            </w:r>
          </w:p>
        </w:tc>
        <w:tc>
          <w:tcPr>
            <w:tcW w:w="1108" w:type="dxa"/>
            <w:tcBorders>
              <w:top w:val="nil"/>
              <w:left w:val="nil"/>
              <w:bottom w:val="single" w:color="000000" w:sz="4" w:space="0"/>
              <w:right w:val="single" w:color="000000" w:sz="4" w:space="0"/>
            </w:tcBorders>
            <w:shd w:val="clear" w:color="auto" w:fill="FFFFFF"/>
            <w:vAlign w:val="center"/>
          </w:tcPr>
          <w:p w14:paraId="58DC2B9D">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4C240C33">
            <w:pPr>
              <w:jc w:val="right"/>
              <w:rPr>
                <w:rFonts w:hint="default" w:ascii="Arial Narrow" w:hAnsi="Arial Narrow" w:eastAsia="Arial Narrow" w:cs="Arial Narrow"/>
                <w:i w:val="0"/>
                <w:iCs w:val="0"/>
                <w:color w:val="000000"/>
                <w:sz w:val="16"/>
                <w:szCs w:val="16"/>
                <w:u w:val="none"/>
              </w:rPr>
            </w:pPr>
          </w:p>
        </w:tc>
      </w:tr>
      <w:tr w14:paraId="15111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4292AE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704-3-3</w:t>
            </w:r>
          </w:p>
        </w:tc>
        <w:tc>
          <w:tcPr>
            <w:tcW w:w="3933" w:type="dxa"/>
            <w:tcBorders>
              <w:top w:val="nil"/>
              <w:left w:val="nil"/>
              <w:bottom w:val="single" w:color="000000" w:sz="4" w:space="0"/>
              <w:right w:val="single" w:color="000000" w:sz="4" w:space="0"/>
            </w:tcBorders>
            <w:shd w:val="clear" w:color="auto" w:fill="FFFFFF"/>
            <w:vAlign w:val="center"/>
          </w:tcPr>
          <w:p w14:paraId="22ECA31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金丝桃（H40,P30,25株/平方米）</w:t>
            </w:r>
          </w:p>
        </w:tc>
        <w:tc>
          <w:tcPr>
            <w:tcW w:w="739" w:type="dxa"/>
            <w:tcBorders>
              <w:top w:val="nil"/>
              <w:left w:val="nil"/>
              <w:bottom w:val="single" w:color="000000" w:sz="4" w:space="0"/>
              <w:right w:val="single" w:color="000000" w:sz="4" w:space="0"/>
            </w:tcBorders>
            <w:shd w:val="clear" w:color="auto" w:fill="FFFFFF"/>
            <w:vAlign w:val="center"/>
          </w:tcPr>
          <w:p w14:paraId="363091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4693CA5C">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8246</w:t>
            </w:r>
          </w:p>
        </w:tc>
        <w:tc>
          <w:tcPr>
            <w:tcW w:w="1108" w:type="dxa"/>
            <w:tcBorders>
              <w:top w:val="nil"/>
              <w:left w:val="nil"/>
              <w:bottom w:val="single" w:color="000000" w:sz="4" w:space="0"/>
              <w:right w:val="single" w:color="000000" w:sz="4" w:space="0"/>
            </w:tcBorders>
            <w:shd w:val="clear" w:color="auto" w:fill="FFFFFF"/>
            <w:vAlign w:val="center"/>
          </w:tcPr>
          <w:p w14:paraId="5BD4764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475931E1">
            <w:pPr>
              <w:jc w:val="right"/>
              <w:rPr>
                <w:rFonts w:hint="default" w:ascii="Arial Narrow" w:hAnsi="Arial Narrow" w:eastAsia="Arial Narrow" w:cs="Arial Narrow"/>
                <w:i w:val="0"/>
                <w:iCs w:val="0"/>
                <w:color w:val="000000"/>
                <w:sz w:val="16"/>
                <w:szCs w:val="16"/>
                <w:u w:val="none"/>
              </w:rPr>
            </w:pPr>
          </w:p>
        </w:tc>
      </w:tr>
      <w:tr w14:paraId="3D5F6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165089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704-3-4</w:t>
            </w:r>
          </w:p>
        </w:tc>
        <w:tc>
          <w:tcPr>
            <w:tcW w:w="3933" w:type="dxa"/>
            <w:tcBorders>
              <w:top w:val="nil"/>
              <w:left w:val="nil"/>
              <w:bottom w:val="single" w:color="000000" w:sz="4" w:space="0"/>
              <w:right w:val="single" w:color="000000" w:sz="4" w:space="0"/>
            </w:tcBorders>
            <w:shd w:val="clear" w:color="auto" w:fill="FFFFFF"/>
            <w:vAlign w:val="center"/>
          </w:tcPr>
          <w:p w14:paraId="2752918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金森女贞（H35,P20,36株/平方米）</w:t>
            </w:r>
          </w:p>
        </w:tc>
        <w:tc>
          <w:tcPr>
            <w:tcW w:w="739" w:type="dxa"/>
            <w:tcBorders>
              <w:top w:val="nil"/>
              <w:left w:val="nil"/>
              <w:bottom w:val="single" w:color="000000" w:sz="4" w:space="0"/>
              <w:right w:val="single" w:color="000000" w:sz="4" w:space="0"/>
            </w:tcBorders>
            <w:shd w:val="clear" w:color="auto" w:fill="FFFFFF"/>
            <w:vAlign w:val="center"/>
          </w:tcPr>
          <w:p w14:paraId="7ABCD4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1BCAE170">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2749</w:t>
            </w:r>
          </w:p>
        </w:tc>
        <w:tc>
          <w:tcPr>
            <w:tcW w:w="1108" w:type="dxa"/>
            <w:tcBorders>
              <w:top w:val="nil"/>
              <w:left w:val="nil"/>
              <w:bottom w:val="single" w:color="000000" w:sz="4" w:space="0"/>
              <w:right w:val="single" w:color="000000" w:sz="4" w:space="0"/>
            </w:tcBorders>
            <w:shd w:val="clear" w:color="auto" w:fill="FFFFFF"/>
            <w:vAlign w:val="center"/>
          </w:tcPr>
          <w:p w14:paraId="0261282C">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0EA8A177">
            <w:pPr>
              <w:jc w:val="right"/>
              <w:rPr>
                <w:rFonts w:hint="default" w:ascii="Arial Narrow" w:hAnsi="Arial Narrow" w:eastAsia="Arial Narrow" w:cs="Arial Narrow"/>
                <w:i w:val="0"/>
                <w:iCs w:val="0"/>
                <w:color w:val="000000"/>
                <w:sz w:val="16"/>
                <w:szCs w:val="16"/>
                <w:u w:val="none"/>
              </w:rPr>
            </w:pPr>
          </w:p>
        </w:tc>
      </w:tr>
      <w:tr w14:paraId="01260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0ACB6C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704-3-5</w:t>
            </w:r>
          </w:p>
        </w:tc>
        <w:tc>
          <w:tcPr>
            <w:tcW w:w="3933" w:type="dxa"/>
            <w:tcBorders>
              <w:top w:val="nil"/>
              <w:left w:val="nil"/>
              <w:bottom w:val="single" w:color="000000" w:sz="4" w:space="0"/>
              <w:right w:val="single" w:color="000000" w:sz="4" w:space="0"/>
            </w:tcBorders>
            <w:shd w:val="clear" w:color="auto" w:fill="FFFFFF"/>
            <w:vAlign w:val="center"/>
          </w:tcPr>
          <w:p w14:paraId="04545A9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红花继木（H30,P20,36株/平方米）</w:t>
            </w:r>
          </w:p>
        </w:tc>
        <w:tc>
          <w:tcPr>
            <w:tcW w:w="739" w:type="dxa"/>
            <w:tcBorders>
              <w:top w:val="nil"/>
              <w:left w:val="nil"/>
              <w:bottom w:val="single" w:color="000000" w:sz="4" w:space="0"/>
              <w:right w:val="single" w:color="000000" w:sz="4" w:space="0"/>
            </w:tcBorders>
            <w:shd w:val="clear" w:color="auto" w:fill="FFFFFF"/>
            <w:vAlign w:val="center"/>
          </w:tcPr>
          <w:p w14:paraId="7EB2B6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42580E11">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5651</w:t>
            </w:r>
          </w:p>
        </w:tc>
        <w:tc>
          <w:tcPr>
            <w:tcW w:w="1108" w:type="dxa"/>
            <w:tcBorders>
              <w:top w:val="nil"/>
              <w:left w:val="nil"/>
              <w:bottom w:val="single" w:color="000000" w:sz="4" w:space="0"/>
              <w:right w:val="single" w:color="000000" w:sz="4" w:space="0"/>
            </w:tcBorders>
            <w:shd w:val="clear" w:color="auto" w:fill="FFFFFF"/>
            <w:vAlign w:val="center"/>
          </w:tcPr>
          <w:p w14:paraId="7CC0A097">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63E91698">
            <w:pPr>
              <w:jc w:val="right"/>
              <w:rPr>
                <w:rFonts w:hint="default" w:ascii="Arial Narrow" w:hAnsi="Arial Narrow" w:eastAsia="Arial Narrow" w:cs="Arial Narrow"/>
                <w:i w:val="0"/>
                <w:iCs w:val="0"/>
                <w:color w:val="000000"/>
                <w:sz w:val="16"/>
                <w:szCs w:val="16"/>
                <w:u w:val="none"/>
              </w:rPr>
            </w:pPr>
          </w:p>
        </w:tc>
      </w:tr>
      <w:tr w14:paraId="24C3D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3D5FF8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704-3-6</w:t>
            </w:r>
          </w:p>
        </w:tc>
        <w:tc>
          <w:tcPr>
            <w:tcW w:w="3933" w:type="dxa"/>
            <w:tcBorders>
              <w:top w:val="nil"/>
              <w:left w:val="nil"/>
              <w:bottom w:val="single" w:color="000000" w:sz="4" w:space="0"/>
              <w:right w:val="single" w:color="000000" w:sz="4" w:space="0"/>
            </w:tcBorders>
            <w:shd w:val="clear" w:color="auto" w:fill="FFFFFF"/>
            <w:vAlign w:val="center"/>
          </w:tcPr>
          <w:p w14:paraId="0FD1ED5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珊瑚树绿篱（H180,P50,9株/平方米）（含预留）</w:t>
            </w:r>
          </w:p>
        </w:tc>
        <w:tc>
          <w:tcPr>
            <w:tcW w:w="739" w:type="dxa"/>
            <w:tcBorders>
              <w:top w:val="nil"/>
              <w:left w:val="nil"/>
              <w:bottom w:val="single" w:color="000000" w:sz="4" w:space="0"/>
              <w:right w:val="single" w:color="000000" w:sz="4" w:space="0"/>
            </w:tcBorders>
            <w:shd w:val="clear" w:color="auto" w:fill="FFFFFF"/>
            <w:vAlign w:val="center"/>
          </w:tcPr>
          <w:p w14:paraId="4EB4B1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0F384A3D">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3137</w:t>
            </w:r>
          </w:p>
        </w:tc>
        <w:tc>
          <w:tcPr>
            <w:tcW w:w="1108" w:type="dxa"/>
            <w:tcBorders>
              <w:top w:val="nil"/>
              <w:left w:val="nil"/>
              <w:bottom w:val="single" w:color="000000" w:sz="4" w:space="0"/>
              <w:right w:val="single" w:color="000000" w:sz="4" w:space="0"/>
            </w:tcBorders>
            <w:shd w:val="clear" w:color="auto" w:fill="FFFFFF"/>
            <w:vAlign w:val="center"/>
          </w:tcPr>
          <w:p w14:paraId="62356B12">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1FB63049">
            <w:pPr>
              <w:jc w:val="right"/>
              <w:rPr>
                <w:rFonts w:hint="default" w:ascii="Arial Narrow" w:hAnsi="Arial Narrow" w:eastAsia="Arial Narrow" w:cs="Arial Narrow"/>
                <w:i w:val="0"/>
                <w:iCs w:val="0"/>
                <w:color w:val="000000"/>
                <w:sz w:val="16"/>
                <w:szCs w:val="16"/>
                <w:u w:val="none"/>
              </w:rPr>
            </w:pPr>
          </w:p>
        </w:tc>
      </w:tr>
      <w:tr w14:paraId="53DC8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961E1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704-3-7</w:t>
            </w:r>
          </w:p>
        </w:tc>
        <w:tc>
          <w:tcPr>
            <w:tcW w:w="3933" w:type="dxa"/>
            <w:tcBorders>
              <w:top w:val="nil"/>
              <w:left w:val="nil"/>
              <w:bottom w:val="single" w:color="000000" w:sz="4" w:space="0"/>
              <w:right w:val="single" w:color="000000" w:sz="4" w:space="0"/>
            </w:tcBorders>
            <w:shd w:val="clear" w:color="auto" w:fill="FFFFFF"/>
            <w:vAlign w:val="center"/>
          </w:tcPr>
          <w:p w14:paraId="24CA9E7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窄叶麦冬（7-9芽/丛，36丛/平方米）</w:t>
            </w:r>
          </w:p>
        </w:tc>
        <w:tc>
          <w:tcPr>
            <w:tcW w:w="739" w:type="dxa"/>
            <w:tcBorders>
              <w:top w:val="nil"/>
              <w:left w:val="nil"/>
              <w:bottom w:val="single" w:color="000000" w:sz="4" w:space="0"/>
              <w:right w:val="single" w:color="000000" w:sz="4" w:space="0"/>
            </w:tcBorders>
            <w:shd w:val="clear" w:color="auto" w:fill="FFFFFF"/>
            <w:vAlign w:val="center"/>
          </w:tcPr>
          <w:p w14:paraId="40C0C6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0879BF53">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4405</w:t>
            </w:r>
          </w:p>
        </w:tc>
        <w:tc>
          <w:tcPr>
            <w:tcW w:w="1108" w:type="dxa"/>
            <w:tcBorders>
              <w:top w:val="nil"/>
              <w:left w:val="nil"/>
              <w:bottom w:val="single" w:color="000000" w:sz="4" w:space="0"/>
              <w:right w:val="single" w:color="000000" w:sz="4" w:space="0"/>
            </w:tcBorders>
            <w:shd w:val="clear" w:color="auto" w:fill="FFFFFF"/>
            <w:vAlign w:val="center"/>
          </w:tcPr>
          <w:p w14:paraId="017E9C00">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5CC33553">
            <w:pPr>
              <w:jc w:val="right"/>
              <w:rPr>
                <w:rFonts w:hint="default" w:ascii="Arial Narrow" w:hAnsi="Arial Narrow" w:eastAsia="Arial Narrow" w:cs="Arial Narrow"/>
                <w:i w:val="0"/>
                <w:iCs w:val="0"/>
                <w:color w:val="000000"/>
                <w:sz w:val="16"/>
                <w:szCs w:val="16"/>
                <w:u w:val="none"/>
              </w:rPr>
            </w:pPr>
          </w:p>
        </w:tc>
      </w:tr>
      <w:tr w14:paraId="337D6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15D97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708</w:t>
            </w:r>
          </w:p>
        </w:tc>
        <w:tc>
          <w:tcPr>
            <w:tcW w:w="3933" w:type="dxa"/>
            <w:tcBorders>
              <w:top w:val="nil"/>
              <w:left w:val="nil"/>
              <w:bottom w:val="single" w:color="000000" w:sz="4" w:space="0"/>
              <w:right w:val="single" w:color="000000" w:sz="4" w:space="0"/>
            </w:tcBorders>
            <w:shd w:val="clear" w:color="auto" w:fill="FFFFFF"/>
            <w:vAlign w:val="center"/>
          </w:tcPr>
          <w:p w14:paraId="2C05F9A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绿化景观工程</w:t>
            </w:r>
          </w:p>
        </w:tc>
        <w:tc>
          <w:tcPr>
            <w:tcW w:w="739" w:type="dxa"/>
            <w:tcBorders>
              <w:top w:val="nil"/>
              <w:left w:val="nil"/>
              <w:bottom w:val="single" w:color="000000" w:sz="4" w:space="0"/>
              <w:right w:val="single" w:color="000000" w:sz="4" w:space="0"/>
            </w:tcBorders>
            <w:shd w:val="clear" w:color="auto" w:fill="FFFFFF"/>
            <w:vAlign w:val="center"/>
          </w:tcPr>
          <w:p w14:paraId="33AE5D4E">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786FD59C">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7B7E1C06">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0D9F39F5">
            <w:pPr>
              <w:jc w:val="right"/>
              <w:rPr>
                <w:rFonts w:hint="default" w:ascii="Arial Narrow" w:hAnsi="Arial Narrow" w:eastAsia="Arial Narrow" w:cs="Arial Narrow"/>
                <w:i w:val="0"/>
                <w:iCs w:val="0"/>
                <w:color w:val="000000"/>
                <w:sz w:val="16"/>
                <w:szCs w:val="16"/>
                <w:u w:val="none"/>
              </w:rPr>
            </w:pPr>
          </w:p>
        </w:tc>
      </w:tr>
      <w:tr w14:paraId="63E4A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89B15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708-3</w:t>
            </w:r>
          </w:p>
        </w:tc>
        <w:tc>
          <w:tcPr>
            <w:tcW w:w="3933" w:type="dxa"/>
            <w:tcBorders>
              <w:top w:val="nil"/>
              <w:left w:val="nil"/>
              <w:bottom w:val="single" w:color="000000" w:sz="4" w:space="0"/>
              <w:right w:val="single" w:color="000000" w:sz="4" w:space="0"/>
            </w:tcBorders>
            <w:shd w:val="clear" w:color="auto" w:fill="FFFFFF"/>
            <w:vAlign w:val="center"/>
          </w:tcPr>
          <w:p w14:paraId="5BFC13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道路侧石（预留）</w:t>
            </w:r>
          </w:p>
        </w:tc>
        <w:tc>
          <w:tcPr>
            <w:tcW w:w="739" w:type="dxa"/>
            <w:tcBorders>
              <w:top w:val="nil"/>
              <w:left w:val="nil"/>
              <w:bottom w:val="single" w:color="000000" w:sz="4" w:space="0"/>
              <w:right w:val="single" w:color="000000" w:sz="4" w:space="0"/>
            </w:tcBorders>
            <w:shd w:val="clear" w:color="auto" w:fill="FFFFFF"/>
            <w:vAlign w:val="center"/>
          </w:tcPr>
          <w:p w14:paraId="12203F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108" w:type="dxa"/>
            <w:tcBorders>
              <w:top w:val="nil"/>
              <w:left w:val="nil"/>
              <w:bottom w:val="single" w:color="000000" w:sz="4" w:space="0"/>
              <w:right w:val="single" w:color="000000" w:sz="4" w:space="0"/>
            </w:tcBorders>
            <w:shd w:val="clear" w:color="auto" w:fill="FFFFFF"/>
            <w:vAlign w:val="center"/>
          </w:tcPr>
          <w:p w14:paraId="2855E978">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70</w:t>
            </w:r>
          </w:p>
        </w:tc>
        <w:tc>
          <w:tcPr>
            <w:tcW w:w="1108" w:type="dxa"/>
            <w:tcBorders>
              <w:top w:val="nil"/>
              <w:left w:val="nil"/>
              <w:bottom w:val="single" w:color="000000" w:sz="4" w:space="0"/>
              <w:right w:val="single" w:color="000000" w:sz="4" w:space="0"/>
            </w:tcBorders>
            <w:shd w:val="clear" w:color="auto" w:fill="FFFFFF"/>
            <w:vAlign w:val="center"/>
          </w:tcPr>
          <w:p w14:paraId="1D8DED90">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63C8AAAF">
            <w:pPr>
              <w:jc w:val="right"/>
              <w:rPr>
                <w:rFonts w:hint="default" w:ascii="Arial Narrow" w:hAnsi="Arial Narrow" w:eastAsia="Arial Narrow" w:cs="Arial Narrow"/>
                <w:i w:val="0"/>
                <w:iCs w:val="0"/>
                <w:color w:val="000000"/>
                <w:sz w:val="16"/>
                <w:szCs w:val="16"/>
                <w:u w:val="none"/>
              </w:rPr>
            </w:pPr>
          </w:p>
        </w:tc>
      </w:tr>
      <w:tr w14:paraId="3D1AF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ED11F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708-4</w:t>
            </w:r>
          </w:p>
        </w:tc>
        <w:tc>
          <w:tcPr>
            <w:tcW w:w="3933" w:type="dxa"/>
            <w:tcBorders>
              <w:top w:val="nil"/>
              <w:left w:val="nil"/>
              <w:bottom w:val="single" w:color="000000" w:sz="4" w:space="0"/>
              <w:right w:val="single" w:color="000000" w:sz="4" w:space="0"/>
            </w:tcBorders>
            <w:shd w:val="clear" w:color="auto" w:fill="FFFFFF"/>
            <w:vAlign w:val="center"/>
          </w:tcPr>
          <w:p w14:paraId="564DAE7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现状保留苗木修剪（复绿工程范围内预留）</w:t>
            </w:r>
          </w:p>
        </w:tc>
        <w:tc>
          <w:tcPr>
            <w:tcW w:w="739" w:type="dxa"/>
            <w:tcBorders>
              <w:top w:val="nil"/>
              <w:left w:val="nil"/>
              <w:bottom w:val="single" w:color="000000" w:sz="4" w:space="0"/>
              <w:right w:val="single" w:color="000000" w:sz="4" w:space="0"/>
            </w:tcBorders>
            <w:shd w:val="clear" w:color="auto" w:fill="FFFFFF"/>
            <w:vAlign w:val="center"/>
          </w:tcPr>
          <w:p w14:paraId="6CBDAB7D">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6B43302E">
            <w:pPr>
              <w:jc w:val="center"/>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583F8638">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6E315CBC">
            <w:pPr>
              <w:jc w:val="right"/>
              <w:rPr>
                <w:rFonts w:hint="default" w:ascii="Arial Narrow" w:hAnsi="Arial Narrow" w:eastAsia="Arial Narrow" w:cs="Arial Narrow"/>
                <w:i w:val="0"/>
                <w:iCs w:val="0"/>
                <w:color w:val="000000"/>
                <w:sz w:val="16"/>
                <w:szCs w:val="16"/>
                <w:u w:val="none"/>
              </w:rPr>
            </w:pPr>
          </w:p>
        </w:tc>
      </w:tr>
      <w:tr w14:paraId="1520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3A8624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708-4-1</w:t>
            </w:r>
          </w:p>
        </w:tc>
        <w:tc>
          <w:tcPr>
            <w:tcW w:w="3933" w:type="dxa"/>
            <w:tcBorders>
              <w:top w:val="nil"/>
              <w:left w:val="nil"/>
              <w:bottom w:val="single" w:color="000000" w:sz="4" w:space="0"/>
              <w:right w:val="single" w:color="000000" w:sz="4" w:space="0"/>
            </w:tcBorders>
            <w:shd w:val="clear" w:color="auto" w:fill="FFFFFF"/>
            <w:vAlign w:val="center"/>
          </w:tcPr>
          <w:p w14:paraId="187BFE7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乔木（修剪2次）</w:t>
            </w:r>
          </w:p>
        </w:tc>
        <w:tc>
          <w:tcPr>
            <w:tcW w:w="739" w:type="dxa"/>
            <w:tcBorders>
              <w:top w:val="nil"/>
              <w:left w:val="nil"/>
              <w:bottom w:val="single" w:color="000000" w:sz="4" w:space="0"/>
              <w:right w:val="single" w:color="000000" w:sz="4" w:space="0"/>
            </w:tcBorders>
            <w:shd w:val="clear" w:color="auto" w:fill="FFFFFF"/>
            <w:vAlign w:val="center"/>
          </w:tcPr>
          <w:p w14:paraId="2D1A2B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株</w:t>
            </w:r>
          </w:p>
        </w:tc>
        <w:tc>
          <w:tcPr>
            <w:tcW w:w="1108" w:type="dxa"/>
            <w:tcBorders>
              <w:top w:val="nil"/>
              <w:left w:val="nil"/>
              <w:bottom w:val="single" w:color="000000" w:sz="4" w:space="0"/>
              <w:right w:val="single" w:color="000000" w:sz="4" w:space="0"/>
            </w:tcBorders>
            <w:shd w:val="clear" w:color="auto" w:fill="FFFFFF"/>
            <w:vAlign w:val="center"/>
          </w:tcPr>
          <w:p w14:paraId="7E4CC23D">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750</w:t>
            </w:r>
          </w:p>
        </w:tc>
        <w:tc>
          <w:tcPr>
            <w:tcW w:w="1108" w:type="dxa"/>
            <w:tcBorders>
              <w:top w:val="nil"/>
              <w:left w:val="nil"/>
              <w:bottom w:val="single" w:color="000000" w:sz="4" w:space="0"/>
              <w:right w:val="single" w:color="000000" w:sz="4" w:space="0"/>
            </w:tcBorders>
            <w:shd w:val="clear" w:color="auto" w:fill="FFFFFF"/>
            <w:vAlign w:val="center"/>
          </w:tcPr>
          <w:p w14:paraId="034E538D">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244100F3">
            <w:pPr>
              <w:jc w:val="right"/>
              <w:rPr>
                <w:rFonts w:hint="default" w:ascii="Arial Narrow" w:hAnsi="Arial Narrow" w:eastAsia="Arial Narrow" w:cs="Arial Narrow"/>
                <w:i w:val="0"/>
                <w:iCs w:val="0"/>
                <w:color w:val="000000"/>
                <w:sz w:val="16"/>
                <w:szCs w:val="16"/>
                <w:u w:val="none"/>
              </w:rPr>
            </w:pPr>
          </w:p>
        </w:tc>
      </w:tr>
      <w:tr w14:paraId="14CB2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FAC4E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708-4-2</w:t>
            </w:r>
          </w:p>
        </w:tc>
        <w:tc>
          <w:tcPr>
            <w:tcW w:w="3933" w:type="dxa"/>
            <w:tcBorders>
              <w:top w:val="nil"/>
              <w:left w:val="nil"/>
              <w:bottom w:val="single" w:color="000000" w:sz="4" w:space="0"/>
              <w:right w:val="single" w:color="000000" w:sz="4" w:space="0"/>
            </w:tcBorders>
            <w:shd w:val="clear" w:color="auto" w:fill="FFFFFF"/>
            <w:vAlign w:val="center"/>
          </w:tcPr>
          <w:p w14:paraId="61A5557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灌木（修剪2次）</w:t>
            </w:r>
          </w:p>
        </w:tc>
        <w:tc>
          <w:tcPr>
            <w:tcW w:w="739" w:type="dxa"/>
            <w:tcBorders>
              <w:top w:val="nil"/>
              <w:left w:val="nil"/>
              <w:bottom w:val="single" w:color="000000" w:sz="4" w:space="0"/>
              <w:right w:val="single" w:color="000000" w:sz="4" w:space="0"/>
            </w:tcBorders>
            <w:shd w:val="clear" w:color="auto" w:fill="FFFFFF"/>
            <w:vAlign w:val="center"/>
          </w:tcPr>
          <w:p w14:paraId="4ACDA5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545B0955">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3000</w:t>
            </w:r>
          </w:p>
        </w:tc>
        <w:tc>
          <w:tcPr>
            <w:tcW w:w="1108" w:type="dxa"/>
            <w:tcBorders>
              <w:top w:val="nil"/>
              <w:left w:val="nil"/>
              <w:bottom w:val="single" w:color="000000" w:sz="4" w:space="0"/>
              <w:right w:val="single" w:color="000000" w:sz="4" w:space="0"/>
            </w:tcBorders>
            <w:shd w:val="clear" w:color="auto" w:fill="FFFFFF"/>
            <w:vAlign w:val="center"/>
          </w:tcPr>
          <w:p w14:paraId="65F7649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6493077A">
            <w:pPr>
              <w:jc w:val="right"/>
              <w:rPr>
                <w:rFonts w:hint="default" w:ascii="Arial Narrow" w:hAnsi="Arial Narrow" w:eastAsia="Arial Narrow" w:cs="Arial Narrow"/>
                <w:i w:val="0"/>
                <w:iCs w:val="0"/>
                <w:color w:val="000000"/>
                <w:sz w:val="16"/>
                <w:szCs w:val="16"/>
                <w:u w:val="none"/>
              </w:rPr>
            </w:pPr>
          </w:p>
        </w:tc>
      </w:tr>
      <w:tr w14:paraId="7A247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15D7F2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708-4-3</w:t>
            </w:r>
          </w:p>
        </w:tc>
        <w:tc>
          <w:tcPr>
            <w:tcW w:w="3933" w:type="dxa"/>
            <w:tcBorders>
              <w:top w:val="nil"/>
              <w:left w:val="nil"/>
              <w:bottom w:val="single" w:color="000000" w:sz="4" w:space="0"/>
              <w:right w:val="single" w:color="000000" w:sz="4" w:space="0"/>
            </w:tcBorders>
            <w:shd w:val="clear" w:color="auto" w:fill="FFFFFF"/>
            <w:vAlign w:val="center"/>
          </w:tcPr>
          <w:p w14:paraId="6A8D976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草皮（修剪2次）</w:t>
            </w:r>
          </w:p>
        </w:tc>
        <w:tc>
          <w:tcPr>
            <w:tcW w:w="739" w:type="dxa"/>
            <w:tcBorders>
              <w:top w:val="nil"/>
              <w:left w:val="nil"/>
              <w:bottom w:val="single" w:color="000000" w:sz="4" w:space="0"/>
              <w:right w:val="single" w:color="000000" w:sz="4" w:space="0"/>
            </w:tcBorders>
            <w:shd w:val="clear" w:color="auto" w:fill="FFFFFF"/>
            <w:vAlign w:val="center"/>
          </w:tcPr>
          <w:p w14:paraId="39B05F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108" w:type="dxa"/>
            <w:tcBorders>
              <w:top w:val="nil"/>
              <w:left w:val="nil"/>
              <w:bottom w:val="single" w:color="000000" w:sz="4" w:space="0"/>
              <w:right w:val="single" w:color="000000" w:sz="4" w:space="0"/>
            </w:tcBorders>
            <w:shd w:val="clear" w:color="auto" w:fill="FFFFFF"/>
            <w:vAlign w:val="center"/>
          </w:tcPr>
          <w:p w14:paraId="3AC8B041">
            <w:pPr>
              <w:keepNext w:val="0"/>
              <w:keepLines w:val="0"/>
              <w:widowControl/>
              <w:suppressLineNumbers w:val="0"/>
              <w:jc w:val="center"/>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3000</w:t>
            </w:r>
          </w:p>
        </w:tc>
        <w:tc>
          <w:tcPr>
            <w:tcW w:w="1108" w:type="dxa"/>
            <w:tcBorders>
              <w:top w:val="nil"/>
              <w:left w:val="nil"/>
              <w:bottom w:val="single" w:color="000000" w:sz="4" w:space="0"/>
              <w:right w:val="single" w:color="000000" w:sz="4" w:space="0"/>
            </w:tcBorders>
            <w:shd w:val="clear" w:color="auto" w:fill="FFFFFF"/>
            <w:vAlign w:val="center"/>
          </w:tcPr>
          <w:p w14:paraId="3ECAA231">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282A3D63">
            <w:pPr>
              <w:jc w:val="right"/>
              <w:rPr>
                <w:rFonts w:hint="default" w:ascii="Arial Narrow" w:hAnsi="Arial Narrow" w:eastAsia="Arial Narrow" w:cs="Arial Narrow"/>
                <w:i w:val="0"/>
                <w:iCs w:val="0"/>
                <w:color w:val="000000"/>
                <w:sz w:val="16"/>
                <w:szCs w:val="16"/>
                <w:u w:val="none"/>
              </w:rPr>
            </w:pPr>
          </w:p>
        </w:tc>
      </w:tr>
      <w:tr w14:paraId="30326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924" w:type="dxa"/>
            <w:tcBorders>
              <w:top w:val="nil"/>
              <w:left w:val="single" w:color="000000" w:sz="8" w:space="0"/>
              <w:bottom w:val="single" w:color="000000" w:sz="4" w:space="0"/>
              <w:right w:val="single" w:color="000000" w:sz="4" w:space="0"/>
            </w:tcBorders>
            <w:shd w:val="clear" w:color="auto" w:fill="FFFFFF"/>
            <w:vAlign w:val="center"/>
          </w:tcPr>
          <w:p w14:paraId="72445F37">
            <w:pPr>
              <w:jc w:val="center"/>
              <w:rPr>
                <w:rFonts w:hint="eastAsia" w:ascii="宋体" w:hAnsi="宋体" w:eastAsia="宋体" w:cs="宋体"/>
                <w:i w:val="0"/>
                <w:iCs w:val="0"/>
                <w:color w:val="000000"/>
                <w:sz w:val="16"/>
                <w:szCs w:val="16"/>
                <w:u w:val="none"/>
              </w:rPr>
            </w:pPr>
          </w:p>
        </w:tc>
        <w:tc>
          <w:tcPr>
            <w:tcW w:w="3933" w:type="dxa"/>
            <w:tcBorders>
              <w:top w:val="nil"/>
              <w:left w:val="nil"/>
              <w:bottom w:val="single" w:color="000000" w:sz="4" w:space="0"/>
              <w:right w:val="single" w:color="000000" w:sz="4" w:space="0"/>
            </w:tcBorders>
            <w:shd w:val="clear" w:color="auto" w:fill="FFFFFF"/>
            <w:vAlign w:val="center"/>
          </w:tcPr>
          <w:p w14:paraId="696097E3">
            <w:pPr>
              <w:jc w:val="left"/>
              <w:rPr>
                <w:rFonts w:hint="eastAsia" w:ascii="宋体" w:hAnsi="宋体" w:eastAsia="宋体" w:cs="宋体"/>
                <w:i w:val="0"/>
                <w:iCs w:val="0"/>
                <w:color w:val="000000"/>
                <w:sz w:val="16"/>
                <w:szCs w:val="16"/>
                <w:u w:val="none"/>
              </w:rPr>
            </w:pPr>
          </w:p>
        </w:tc>
        <w:tc>
          <w:tcPr>
            <w:tcW w:w="739" w:type="dxa"/>
            <w:tcBorders>
              <w:top w:val="nil"/>
              <w:left w:val="nil"/>
              <w:bottom w:val="single" w:color="000000" w:sz="4" w:space="0"/>
              <w:right w:val="single" w:color="000000" w:sz="4" w:space="0"/>
            </w:tcBorders>
            <w:shd w:val="clear" w:color="auto" w:fill="FFFFFF"/>
            <w:vAlign w:val="center"/>
          </w:tcPr>
          <w:p w14:paraId="3B7AE744">
            <w:pPr>
              <w:jc w:val="center"/>
              <w:rPr>
                <w:rFonts w:hint="eastAsia" w:ascii="宋体" w:hAnsi="宋体" w:eastAsia="宋体" w:cs="宋体"/>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66604728">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4" w:space="0"/>
            </w:tcBorders>
            <w:shd w:val="clear" w:color="auto" w:fill="FFFFFF"/>
            <w:vAlign w:val="center"/>
          </w:tcPr>
          <w:p w14:paraId="06F40894">
            <w:pPr>
              <w:jc w:val="right"/>
              <w:rPr>
                <w:rFonts w:hint="default" w:ascii="Arial Narrow" w:hAnsi="Arial Narrow" w:eastAsia="Arial Narrow" w:cs="Arial Narrow"/>
                <w:i w:val="0"/>
                <w:iCs w:val="0"/>
                <w:color w:val="000000"/>
                <w:sz w:val="16"/>
                <w:szCs w:val="16"/>
                <w:u w:val="none"/>
              </w:rPr>
            </w:pPr>
          </w:p>
        </w:tc>
        <w:tc>
          <w:tcPr>
            <w:tcW w:w="1108" w:type="dxa"/>
            <w:tcBorders>
              <w:top w:val="nil"/>
              <w:left w:val="nil"/>
              <w:bottom w:val="single" w:color="000000" w:sz="4" w:space="0"/>
              <w:right w:val="single" w:color="000000" w:sz="8" w:space="0"/>
            </w:tcBorders>
            <w:shd w:val="clear" w:color="auto" w:fill="FFFFFF"/>
            <w:vAlign w:val="center"/>
          </w:tcPr>
          <w:p w14:paraId="7FE6B1FB">
            <w:pPr>
              <w:jc w:val="right"/>
              <w:rPr>
                <w:rFonts w:hint="default" w:ascii="Arial Narrow" w:hAnsi="Arial Narrow" w:eastAsia="Arial Narrow" w:cs="Arial Narrow"/>
                <w:i w:val="0"/>
                <w:iCs w:val="0"/>
                <w:color w:val="000000"/>
                <w:sz w:val="16"/>
                <w:szCs w:val="16"/>
                <w:u w:val="none"/>
              </w:rPr>
            </w:pPr>
          </w:p>
        </w:tc>
      </w:tr>
      <w:tr w14:paraId="1293D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920" w:type="dxa"/>
            <w:gridSpan w:val="6"/>
            <w:tcBorders>
              <w:top w:val="nil"/>
              <w:left w:val="single" w:color="000000" w:sz="8" w:space="0"/>
              <w:bottom w:val="single" w:color="000000" w:sz="8" w:space="0"/>
              <w:right w:val="single" w:color="000000" w:sz="8" w:space="0"/>
            </w:tcBorders>
            <w:shd w:val="clear" w:color="auto" w:fill="FFFFFF"/>
            <w:vAlign w:val="center"/>
          </w:tcPr>
          <w:p w14:paraId="5974A4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700 章  合计   人民币           元</w:t>
            </w:r>
          </w:p>
        </w:tc>
      </w:tr>
    </w:tbl>
    <w:p w14:paraId="5E25738B">
      <w:pPr>
        <w:spacing w:line="500" w:lineRule="exact"/>
        <w:ind w:firstLine="411" w:firstLineChars="196"/>
        <w:rPr>
          <w:rFonts w:ascii="宋体" w:hAnsi="宋体"/>
          <w:bCs/>
          <w:szCs w:val="21"/>
          <w:highlight w:val="none"/>
        </w:rPr>
      </w:pPr>
      <w:r>
        <w:rPr>
          <w:rFonts w:ascii="宋体" w:hAnsi="宋体"/>
          <w:bCs/>
          <w:szCs w:val="21"/>
          <w:highlight w:val="none"/>
        </w:rPr>
        <w:t xml:space="preserve">5.2 </w:t>
      </w:r>
      <w:r>
        <w:rPr>
          <w:rFonts w:hint="eastAsia" w:ascii="宋体" w:hAnsi="宋体"/>
          <w:bCs/>
          <w:szCs w:val="21"/>
          <w:highlight w:val="none"/>
        </w:rPr>
        <w:t>计日工表</w:t>
      </w:r>
    </w:p>
    <w:p w14:paraId="24A5094C">
      <w:pPr>
        <w:spacing w:line="500" w:lineRule="exact"/>
        <w:ind w:firstLine="411" w:firstLineChars="196"/>
        <w:rPr>
          <w:rFonts w:hint="eastAsia" w:ascii="宋体" w:hAnsi="宋体"/>
          <w:bCs/>
          <w:szCs w:val="21"/>
          <w:highlight w:val="none"/>
        </w:rPr>
      </w:pPr>
      <w:r>
        <w:rPr>
          <w:rFonts w:hint="eastAsia" w:ascii="宋体" w:hAnsi="宋体"/>
          <w:bCs/>
          <w:szCs w:val="21"/>
          <w:highlight w:val="none"/>
        </w:rPr>
        <w:t>本项目不适用。</w:t>
      </w:r>
    </w:p>
    <w:p w14:paraId="1D65707F">
      <w:pPr>
        <w:spacing w:line="500" w:lineRule="exact"/>
        <w:ind w:firstLine="411" w:firstLineChars="196"/>
        <w:rPr>
          <w:rFonts w:ascii="宋体" w:hAnsi="宋体"/>
          <w:bCs/>
          <w:szCs w:val="21"/>
          <w:highlight w:val="none"/>
        </w:rPr>
      </w:pPr>
      <w:r>
        <w:rPr>
          <w:rFonts w:ascii="宋体" w:hAnsi="宋体"/>
          <w:bCs/>
          <w:szCs w:val="21"/>
          <w:highlight w:val="none"/>
        </w:rPr>
        <w:t>5</w:t>
      </w:r>
      <w:r>
        <w:rPr>
          <w:rFonts w:hint="eastAsia" w:ascii="宋体" w:hAnsi="宋体"/>
          <w:bCs/>
          <w:szCs w:val="21"/>
          <w:highlight w:val="none"/>
        </w:rPr>
        <w:t>.3  暂估价表</w:t>
      </w:r>
    </w:p>
    <w:p w14:paraId="34893A51">
      <w:pPr>
        <w:pStyle w:val="57"/>
        <w:tabs>
          <w:tab w:val="left" w:pos="1684"/>
          <w:tab w:val="left" w:pos="1685"/>
        </w:tabs>
        <w:autoSpaceDE w:val="0"/>
        <w:autoSpaceDN w:val="0"/>
        <w:spacing w:before="125" w:after="40"/>
        <w:ind w:firstLine="840" w:firstLineChars="400"/>
        <w:jc w:val="left"/>
        <w:rPr>
          <w:rFonts w:ascii="宋体" w:hAnsi="宋体"/>
          <w:bCs/>
          <w:szCs w:val="21"/>
          <w:highlight w:val="none"/>
        </w:rPr>
      </w:pPr>
      <w:r>
        <w:rPr>
          <w:rFonts w:ascii="宋体" w:hAnsi="宋体"/>
          <w:bCs/>
          <w:szCs w:val="21"/>
          <w:highlight w:val="none"/>
        </w:rPr>
        <w:t>5</w:t>
      </w:r>
      <w:r>
        <w:rPr>
          <w:rFonts w:hint="eastAsia" w:ascii="宋体" w:hAnsi="宋体"/>
          <w:bCs/>
          <w:szCs w:val="21"/>
          <w:highlight w:val="none"/>
        </w:rPr>
        <w:t xml:space="preserve">.3.1 </w:t>
      </w:r>
      <w:r>
        <w:rPr>
          <w:szCs w:val="21"/>
          <w:highlight w:val="none"/>
        </w:rPr>
        <w:t>专业工程暂估价表</w:t>
      </w:r>
    </w:p>
    <w:p w14:paraId="2B4C44C0">
      <w:pPr>
        <w:spacing w:line="500" w:lineRule="exact"/>
        <w:ind w:firstLine="411" w:firstLineChars="196"/>
        <w:rPr>
          <w:rFonts w:hint="eastAsia" w:ascii="宋体" w:hAnsi="宋体"/>
          <w:bCs/>
          <w:szCs w:val="21"/>
          <w:highlight w:val="none"/>
        </w:rPr>
      </w:pPr>
      <w:r>
        <w:rPr>
          <w:rFonts w:hint="eastAsia" w:ascii="黑体" w:eastAsia="黑体"/>
          <w:szCs w:val="21"/>
          <w:highlight w:val="none"/>
        </w:rPr>
        <w:t xml:space="preserve">    </w:t>
      </w:r>
      <w:r>
        <w:rPr>
          <w:rFonts w:hint="eastAsia" w:ascii="宋体" w:hAnsi="宋体"/>
          <w:bCs/>
          <w:szCs w:val="21"/>
          <w:highlight w:val="none"/>
        </w:rPr>
        <w:t>本项目不适用。</w:t>
      </w:r>
    </w:p>
    <w:p w14:paraId="0F0FCD79">
      <w:pPr>
        <w:pStyle w:val="34"/>
        <w:ind w:firstLine="199" w:firstLineChars="95"/>
        <w:rPr>
          <w:rFonts w:ascii="黑体" w:eastAsia="黑体"/>
          <w:szCs w:val="21"/>
          <w:highlight w:val="none"/>
        </w:rPr>
      </w:pPr>
    </w:p>
    <w:p w14:paraId="7A15C3D8">
      <w:pPr>
        <w:spacing w:line="500" w:lineRule="exact"/>
        <w:ind w:firstLine="470" w:firstLineChars="196"/>
        <w:rPr>
          <w:rFonts w:ascii="宋体" w:hAnsi="宋体"/>
          <w:bCs/>
          <w:sz w:val="24"/>
          <w:highlight w:val="none"/>
        </w:rPr>
      </w:pPr>
    </w:p>
    <w:p w14:paraId="7EA1E0A4">
      <w:pPr>
        <w:spacing w:line="500" w:lineRule="exact"/>
        <w:ind w:firstLine="411" w:firstLineChars="196"/>
        <w:rPr>
          <w:rFonts w:hint="eastAsia" w:ascii="宋体" w:hAnsi="宋体"/>
          <w:bCs/>
          <w:szCs w:val="21"/>
          <w:highlight w:val="none"/>
        </w:rPr>
      </w:pPr>
    </w:p>
    <w:p w14:paraId="48984B11">
      <w:pPr>
        <w:spacing w:line="500" w:lineRule="exact"/>
        <w:ind w:firstLine="470" w:firstLineChars="196"/>
        <w:rPr>
          <w:rFonts w:ascii="宋体" w:hAnsi="宋体"/>
          <w:bCs/>
          <w:szCs w:val="21"/>
          <w:highlight w:val="none"/>
        </w:rPr>
      </w:pPr>
      <w:r>
        <w:rPr>
          <w:rFonts w:ascii="宋体" w:hAnsi="宋体"/>
          <w:bCs/>
          <w:sz w:val="24"/>
          <w:highlight w:val="none"/>
        </w:rPr>
        <w:br w:type="page"/>
      </w:r>
      <w:r>
        <w:rPr>
          <w:rFonts w:ascii="宋体" w:hAnsi="宋体"/>
          <w:bCs/>
          <w:szCs w:val="21"/>
          <w:highlight w:val="none"/>
        </w:rPr>
        <w:t>5</w:t>
      </w:r>
      <w:r>
        <w:rPr>
          <w:rFonts w:hint="eastAsia" w:ascii="宋体" w:hAnsi="宋体"/>
          <w:bCs/>
          <w:szCs w:val="21"/>
          <w:highlight w:val="none"/>
        </w:rPr>
        <w:t>.4  投标报价汇总表</w:t>
      </w:r>
    </w:p>
    <w:p w14:paraId="39576076">
      <w:pPr>
        <w:rPr>
          <w:szCs w:val="21"/>
          <w:highlight w:val="none"/>
        </w:rPr>
      </w:pPr>
    </w:p>
    <w:tbl>
      <w:tblPr>
        <w:tblStyle w:val="28"/>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6"/>
        <w:gridCol w:w="1571"/>
        <w:gridCol w:w="4230"/>
        <w:gridCol w:w="2297"/>
      </w:tblGrid>
      <w:tr w14:paraId="407B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16" w:type="dxa"/>
            <w:tcBorders>
              <w:top w:val="single" w:color="auto" w:sz="12" w:space="0"/>
              <w:left w:val="single" w:color="auto" w:sz="12" w:space="0"/>
            </w:tcBorders>
            <w:noWrap w:val="0"/>
            <w:vAlign w:val="center"/>
          </w:tcPr>
          <w:p w14:paraId="1E340D35">
            <w:pPr>
              <w:spacing w:line="300" w:lineRule="exact"/>
              <w:jc w:val="center"/>
              <w:rPr>
                <w:sz w:val="18"/>
                <w:szCs w:val="18"/>
                <w:highlight w:val="none"/>
              </w:rPr>
            </w:pPr>
            <w:r>
              <w:rPr>
                <w:rFonts w:hint="eastAsia"/>
                <w:sz w:val="18"/>
                <w:szCs w:val="18"/>
                <w:highlight w:val="none"/>
              </w:rPr>
              <w:t>序 号</w:t>
            </w:r>
          </w:p>
        </w:tc>
        <w:tc>
          <w:tcPr>
            <w:tcW w:w="1571" w:type="dxa"/>
            <w:tcBorders>
              <w:top w:val="single" w:color="auto" w:sz="12" w:space="0"/>
            </w:tcBorders>
            <w:noWrap w:val="0"/>
            <w:vAlign w:val="center"/>
          </w:tcPr>
          <w:p w14:paraId="7525C748">
            <w:pPr>
              <w:spacing w:line="300" w:lineRule="exact"/>
              <w:jc w:val="center"/>
              <w:rPr>
                <w:sz w:val="18"/>
                <w:szCs w:val="18"/>
                <w:highlight w:val="none"/>
              </w:rPr>
            </w:pPr>
            <w:r>
              <w:rPr>
                <w:rFonts w:hint="eastAsia"/>
                <w:sz w:val="18"/>
                <w:szCs w:val="18"/>
                <w:highlight w:val="none"/>
              </w:rPr>
              <w:t>章  次</w:t>
            </w:r>
          </w:p>
        </w:tc>
        <w:tc>
          <w:tcPr>
            <w:tcW w:w="4230" w:type="dxa"/>
            <w:tcBorders>
              <w:top w:val="single" w:color="auto" w:sz="12" w:space="0"/>
            </w:tcBorders>
            <w:noWrap w:val="0"/>
            <w:vAlign w:val="center"/>
          </w:tcPr>
          <w:p w14:paraId="362CA638">
            <w:pPr>
              <w:spacing w:line="300" w:lineRule="exact"/>
              <w:jc w:val="center"/>
              <w:rPr>
                <w:sz w:val="18"/>
                <w:szCs w:val="18"/>
                <w:highlight w:val="none"/>
              </w:rPr>
            </w:pPr>
            <w:r>
              <w:rPr>
                <w:rFonts w:hint="eastAsia"/>
                <w:sz w:val="18"/>
                <w:szCs w:val="18"/>
                <w:highlight w:val="none"/>
              </w:rPr>
              <w:t>科  目  名  称</w:t>
            </w:r>
          </w:p>
        </w:tc>
        <w:tc>
          <w:tcPr>
            <w:tcW w:w="2297" w:type="dxa"/>
            <w:tcBorders>
              <w:top w:val="single" w:color="auto" w:sz="12" w:space="0"/>
              <w:right w:val="single" w:color="auto" w:sz="12" w:space="0"/>
            </w:tcBorders>
            <w:noWrap w:val="0"/>
            <w:vAlign w:val="center"/>
          </w:tcPr>
          <w:p w14:paraId="71A22031">
            <w:pPr>
              <w:spacing w:line="300" w:lineRule="exact"/>
              <w:jc w:val="center"/>
              <w:rPr>
                <w:sz w:val="18"/>
                <w:szCs w:val="18"/>
                <w:highlight w:val="none"/>
              </w:rPr>
            </w:pPr>
            <w:r>
              <w:rPr>
                <w:rFonts w:hint="eastAsia"/>
                <w:sz w:val="18"/>
                <w:szCs w:val="18"/>
                <w:highlight w:val="none"/>
              </w:rPr>
              <w:t>金额（元）</w:t>
            </w:r>
          </w:p>
        </w:tc>
      </w:tr>
      <w:tr w14:paraId="7564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16" w:type="dxa"/>
            <w:tcBorders>
              <w:left w:val="single" w:color="auto" w:sz="12" w:space="0"/>
            </w:tcBorders>
            <w:noWrap w:val="0"/>
            <w:vAlign w:val="center"/>
          </w:tcPr>
          <w:p w14:paraId="47C282E0">
            <w:pPr>
              <w:spacing w:line="300" w:lineRule="exact"/>
              <w:jc w:val="center"/>
              <w:rPr>
                <w:rFonts w:hint="default"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1</w:t>
            </w:r>
          </w:p>
        </w:tc>
        <w:tc>
          <w:tcPr>
            <w:tcW w:w="1571" w:type="dxa"/>
            <w:noWrap w:val="0"/>
            <w:vAlign w:val="center"/>
          </w:tcPr>
          <w:p w14:paraId="454825CD">
            <w:pPr>
              <w:spacing w:line="300" w:lineRule="exact"/>
              <w:jc w:val="center"/>
              <w:rPr>
                <w:rFonts w:hint="eastAsia"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100</w:t>
            </w:r>
          </w:p>
        </w:tc>
        <w:tc>
          <w:tcPr>
            <w:tcW w:w="4230" w:type="dxa"/>
            <w:noWrap w:val="0"/>
            <w:vAlign w:val="center"/>
          </w:tcPr>
          <w:p w14:paraId="39F073F8">
            <w:pPr>
              <w:spacing w:line="300" w:lineRule="exact"/>
              <w:jc w:val="center"/>
              <w:rPr>
                <w:rFonts w:hint="eastAsia"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总则</w:t>
            </w:r>
          </w:p>
        </w:tc>
        <w:tc>
          <w:tcPr>
            <w:tcW w:w="2297" w:type="dxa"/>
            <w:tcBorders>
              <w:right w:val="single" w:color="auto" w:sz="12" w:space="0"/>
            </w:tcBorders>
            <w:noWrap w:val="0"/>
            <w:vAlign w:val="center"/>
          </w:tcPr>
          <w:p w14:paraId="0FCBA250">
            <w:pPr>
              <w:spacing w:line="300" w:lineRule="exact"/>
              <w:jc w:val="center"/>
              <w:rPr>
                <w:sz w:val="18"/>
                <w:szCs w:val="18"/>
                <w:highlight w:val="none"/>
              </w:rPr>
            </w:pPr>
          </w:p>
        </w:tc>
      </w:tr>
      <w:tr w14:paraId="6E9ED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16" w:type="dxa"/>
            <w:tcBorders>
              <w:left w:val="single" w:color="auto" w:sz="12" w:space="0"/>
            </w:tcBorders>
            <w:noWrap w:val="0"/>
            <w:vAlign w:val="center"/>
          </w:tcPr>
          <w:p w14:paraId="6AF35A22">
            <w:pPr>
              <w:spacing w:line="300" w:lineRule="exact"/>
              <w:jc w:val="center"/>
              <w:rPr>
                <w:rFonts w:hint="default"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2</w:t>
            </w:r>
          </w:p>
        </w:tc>
        <w:tc>
          <w:tcPr>
            <w:tcW w:w="1571" w:type="dxa"/>
            <w:noWrap w:val="0"/>
            <w:vAlign w:val="center"/>
          </w:tcPr>
          <w:p w14:paraId="14858EC1">
            <w:pPr>
              <w:spacing w:line="300" w:lineRule="exact"/>
              <w:jc w:val="center"/>
              <w:rPr>
                <w:rFonts w:hint="eastAsia"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700</w:t>
            </w:r>
          </w:p>
        </w:tc>
        <w:tc>
          <w:tcPr>
            <w:tcW w:w="4230" w:type="dxa"/>
            <w:noWrap w:val="0"/>
            <w:vAlign w:val="center"/>
          </w:tcPr>
          <w:p w14:paraId="31AD9557">
            <w:pPr>
              <w:spacing w:line="300" w:lineRule="exact"/>
              <w:jc w:val="center"/>
              <w:rPr>
                <w:rFonts w:hint="eastAsia"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绿化及环境保护工程</w:t>
            </w:r>
          </w:p>
        </w:tc>
        <w:tc>
          <w:tcPr>
            <w:tcW w:w="2297" w:type="dxa"/>
            <w:tcBorders>
              <w:right w:val="single" w:color="auto" w:sz="12" w:space="0"/>
            </w:tcBorders>
            <w:noWrap w:val="0"/>
            <w:vAlign w:val="center"/>
          </w:tcPr>
          <w:p w14:paraId="4888B603">
            <w:pPr>
              <w:spacing w:line="300" w:lineRule="exact"/>
              <w:jc w:val="center"/>
              <w:rPr>
                <w:sz w:val="18"/>
                <w:szCs w:val="18"/>
                <w:highlight w:val="none"/>
              </w:rPr>
            </w:pPr>
          </w:p>
        </w:tc>
      </w:tr>
      <w:tr w14:paraId="66045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16" w:type="dxa"/>
            <w:tcBorders>
              <w:left w:val="single" w:color="auto" w:sz="12" w:space="0"/>
            </w:tcBorders>
            <w:noWrap w:val="0"/>
            <w:vAlign w:val="center"/>
          </w:tcPr>
          <w:p w14:paraId="25E76B66">
            <w:pPr>
              <w:spacing w:line="300" w:lineRule="exact"/>
              <w:jc w:val="center"/>
              <w:rPr>
                <w:rFonts w:hint="default" w:ascii="宋体" w:hAnsi="宋体" w:eastAsia="宋体" w:cs="Times New Roman"/>
                <w:kern w:val="0"/>
                <w:sz w:val="21"/>
                <w:szCs w:val="21"/>
                <w:highlight w:val="none"/>
                <w:lang w:val="en-US" w:eastAsia="zh-CN" w:bidi="ar-SA"/>
              </w:rPr>
            </w:pPr>
            <w:r>
              <w:rPr>
                <w:rFonts w:hint="eastAsia" w:ascii="宋体" w:hAnsi="宋体" w:cs="Times New Roman"/>
                <w:kern w:val="0"/>
                <w:sz w:val="21"/>
                <w:szCs w:val="21"/>
                <w:highlight w:val="none"/>
                <w:lang w:val="en-US" w:eastAsia="zh-CN" w:bidi="ar-SA"/>
              </w:rPr>
              <w:t>3</w:t>
            </w:r>
          </w:p>
        </w:tc>
        <w:tc>
          <w:tcPr>
            <w:tcW w:w="5801" w:type="dxa"/>
            <w:gridSpan w:val="2"/>
            <w:noWrap w:val="0"/>
            <w:vAlign w:val="center"/>
          </w:tcPr>
          <w:p w14:paraId="054E10F6">
            <w:pPr>
              <w:spacing w:line="300" w:lineRule="exact"/>
              <w:jc w:val="center"/>
              <w:rPr>
                <w:rFonts w:hint="eastAsia"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第100章至第</w:t>
            </w:r>
            <w:r>
              <w:rPr>
                <w:rFonts w:hint="eastAsia" w:ascii="宋体" w:hAnsi="宋体" w:cs="Times New Roman"/>
                <w:kern w:val="0"/>
                <w:sz w:val="21"/>
                <w:szCs w:val="21"/>
                <w:highlight w:val="none"/>
                <w:lang w:val="en-US" w:eastAsia="zh-CN" w:bidi="ar-SA"/>
              </w:rPr>
              <w:t>7</w:t>
            </w:r>
            <w:r>
              <w:rPr>
                <w:rFonts w:hint="eastAsia" w:ascii="宋体" w:hAnsi="宋体" w:eastAsia="宋体" w:cs="Times New Roman"/>
                <w:kern w:val="0"/>
                <w:sz w:val="21"/>
                <w:szCs w:val="21"/>
                <w:highlight w:val="none"/>
                <w:lang w:val="en-US" w:eastAsia="zh-CN" w:bidi="ar-SA"/>
              </w:rPr>
              <w:t>00章清单合计</w:t>
            </w:r>
          </w:p>
        </w:tc>
        <w:tc>
          <w:tcPr>
            <w:tcW w:w="2297" w:type="dxa"/>
            <w:tcBorders>
              <w:right w:val="single" w:color="auto" w:sz="12" w:space="0"/>
            </w:tcBorders>
            <w:noWrap w:val="0"/>
            <w:vAlign w:val="center"/>
          </w:tcPr>
          <w:p w14:paraId="5DB2BE92">
            <w:pPr>
              <w:spacing w:line="300" w:lineRule="exact"/>
              <w:jc w:val="center"/>
              <w:rPr>
                <w:rFonts w:ascii="宋体" w:hAnsi="宋体"/>
                <w:spacing w:val="10"/>
                <w:sz w:val="18"/>
                <w:szCs w:val="18"/>
                <w:highlight w:val="none"/>
              </w:rPr>
            </w:pPr>
          </w:p>
        </w:tc>
      </w:tr>
      <w:tr w14:paraId="331A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16" w:type="dxa"/>
            <w:tcBorders>
              <w:left w:val="single" w:color="auto" w:sz="12" w:space="0"/>
            </w:tcBorders>
            <w:noWrap w:val="0"/>
            <w:vAlign w:val="center"/>
          </w:tcPr>
          <w:p w14:paraId="1A68820A">
            <w:pPr>
              <w:spacing w:line="300" w:lineRule="exact"/>
              <w:jc w:val="center"/>
              <w:rPr>
                <w:rFonts w:hint="default" w:ascii="宋体" w:hAnsi="宋体" w:cs="Times New Roman"/>
                <w:kern w:val="0"/>
                <w:sz w:val="21"/>
                <w:szCs w:val="21"/>
                <w:highlight w:val="none"/>
                <w:lang w:val="en-US" w:eastAsia="zh-CN" w:bidi="ar-SA"/>
              </w:rPr>
            </w:pPr>
            <w:r>
              <w:rPr>
                <w:rFonts w:hint="eastAsia" w:ascii="宋体" w:hAnsi="宋体" w:cs="Times New Roman"/>
                <w:kern w:val="0"/>
                <w:sz w:val="21"/>
                <w:szCs w:val="21"/>
                <w:highlight w:val="none"/>
                <w:lang w:val="en-US" w:eastAsia="zh-CN" w:bidi="ar-SA"/>
              </w:rPr>
              <w:t>4</w:t>
            </w:r>
          </w:p>
        </w:tc>
        <w:tc>
          <w:tcPr>
            <w:tcW w:w="5801" w:type="dxa"/>
            <w:gridSpan w:val="2"/>
            <w:noWrap w:val="0"/>
            <w:vAlign w:val="center"/>
          </w:tcPr>
          <w:p w14:paraId="43D92B01">
            <w:pPr>
              <w:pStyle w:val="34"/>
              <w:spacing w:line="360" w:lineRule="auto"/>
              <w:ind w:firstLine="0" w:firstLineChars="0"/>
              <w:jc w:val="center"/>
              <w:rPr>
                <w:rFonts w:hint="eastAsia" w:ascii="宋体" w:hAnsi="宋体" w:eastAsia="宋体" w:cs="Times New Roman"/>
                <w:kern w:val="0"/>
                <w:sz w:val="21"/>
                <w:szCs w:val="21"/>
                <w:highlight w:val="none"/>
                <w:lang w:val="en-US" w:eastAsia="zh-CN" w:bidi="ar-SA"/>
              </w:rPr>
            </w:pPr>
            <w:r>
              <w:rPr>
                <w:rFonts w:hint="eastAsia" w:hAnsi="宋体"/>
                <w:szCs w:val="21"/>
                <w:highlight w:val="none"/>
              </w:rPr>
              <w:t>已包含在清单合计中的材料、工程设备、专业工程暂估价合计</w:t>
            </w:r>
          </w:p>
        </w:tc>
        <w:tc>
          <w:tcPr>
            <w:tcW w:w="2297" w:type="dxa"/>
            <w:tcBorders>
              <w:right w:val="single" w:color="auto" w:sz="12" w:space="0"/>
            </w:tcBorders>
            <w:noWrap w:val="0"/>
            <w:vAlign w:val="center"/>
          </w:tcPr>
          <w:p w14:paraId="6DD6C154">
            <w:pPr>
              <w:spacing w:line="300" w:lineRule="exact"/>
              <w:jc w:val="center"/>
              <w:rPr>
                <w:rFonts w:ascii="宋体" w:hAnsi="宋体"/>
                <w:spacing w:val="10"/>
                <w:sz w:val="18"/>
                <w:szCs w:val="18"/>
                <w:highlight w:val="none"/>
              </w:rPr>
            </w:pPr>
          </w:p>
        </w:tc>
      </w:tr>
      <w:tr w14:paraId="2F1F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16" w:type="dxa"/>
            <w:tcBorders>
              <w:left w:val="single" w:color="auto" w:sz="12" w:space="0"/>
            </w:tcBorders>
            <w:noWrap w:val="0"/>
            <w:vAlign w:val="center"/>
          </w:tcPr>
          <w:p w14:paraId="13C575C8">
            <w:pPr>
              <w:spacing w:line="300" w:lineRule="exact"/>
              <w:jc w:val="center"/>
              <w:rPr>
                <w:rFonts w:hint="default" w:ascii="宋体" w:hAnsi="宋体" w:cs="Times New Roman"/>
                <w:kern w:val="0"/>
                <w:sz w:val="21"/>
                <w:szCs w:val="21"/>
                <w:highlight w:val="none"/>
                <w:lang w:val="en-US" w:eastAsia="zh-CN" w:bidi="ar-SA"/>
              </w:rPr>
            </w:pPr>
            <w:r>
              <w:rPr>
                <w:rFonts w:hint="eastAsia" w:ascii="宋体" w:hAnsi="宋体" w:cs="Times New Roman"/>
                <w:kern w:val="0"/>
                <w:sz w:val="21"/>
                <w:szCs w:val="21"/>
                <w:highlight w:val="none"/>
                <w:lang w:val="en-US" w:eastAsia="zh-CN" w:bidi="ar-SA"/>
              </w:rPr>
              <w:t>5</w:t>
            </w:r>
          </w:p>
        </w:tc>
        <w:tc>
          <w:tcPr>
            <w:tcW w:w="5801" w:type="dxa"/>
            <w:gridSpan w:val="2"/>
            <w:noWrap w:val="0"/>
            <w:vAlign w:val="center"/>
          </w:tcPr>
          <w:p w14:paraId="27761A9C">
            <w:pPr>
              <w:pStyle w:val="34"/>
              <w:spacing w:line="360" w:lineRule="auto"/>
              <w:ind w:firstLine="0" w:firstLineChars="0"/>
              <w:jc w:val="center"/>
              <w:rPr>
                <w:rFonts w:hint="eastAsia" w:ascii="宋体" w:hAnsi="宋体" w:eastAsia="宋体" w:cs="Times New Roman"/>
                <w:kern w:val="0"/>
                <w:sz w:val="21"/>
                <w:szCs w:val="21"/>
                <w:highlight w:val="none"/>
                <w:lang w:val="en-US" w:eastAsia="zh-CN" w:bidi="ar-SA"/>
              </w:rPr>
            </w:pPr>
            <w:r>
              <w:rPr>
                <w:rFonts w:hint="eastAsia" w:hAnsi="宋体"/>
                <w:szCs w:val="21"/>
                <w:highlight w:val="none"/>
              </w:rPr>
              <w:t>计日工合计</w:t>
            </w:r>
          </w:p>
        </w:tc>
        <w:tc>
          <w:tcPr>
            <w:tcW w:w="2297" w:type="dxa"/>
            <w:tcBorders>
              <w:right w:val="single" w:color="auto" w:sz="12" w:space="0"/>
            </w:tcBorders>
            <w:noWrap w:val="0"/>
            <w:vAlign w:val="center"/>
          </w:tcPr>
          <w:p w14:paraId="0CB35FE8">
            <w:pPr>
              <w:spacing w:line="300" w:lineRule="exact"/>
              <w:jc w:val="center"/>
              <w:rPr>
                <w:rFonts w:ascii="宋体" w:hAnsi="宋体"/>
                <w:spacing w:val="10"/>
                <w:sz w:val="18"/>
                <w:szCs w:val="18"/>
                <w:highlight w:val="none"/>
              </w:rPr>
            </w:pPr>
          </w:p>
        </w:tc>
      </w:tr>
      <w:tr w14:paraId="2C5E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16" w:type="dxa"/>
            <w:tcBorders>
              <w:left w:val="single" w:color="auto" w:sz="12" w:space="0"/>
            </w:tcBorders>
            <w:noWrap w:val="0"/>
            <w:vAlign w:val="center"/>
          </w:tcPr>
          <w:p w14:paraId="04FF13D4">
            <w:pPr>
              <w:spacing w:line="300" w:lineRule="exact"/>
              <w:jc w:val="center"/>
              <w:rPr>
                <w:rFonts w:hint="default" w:ascii="宋体" w:hAnsi="宋体" w:eastAsia="宋体" w:cs="Times New Roman"/>
                <w:kern w:val="0"/>
                <w:sz w:val="21"/>
                <w:szCs w:val="21"/>
                <w:highlight w:val="none"/>
                <w:lang w:val="en-US" w:eastAsia="zh-CN" w:bidi="ar-SA"/>
              </w:rPr>
            </w:pPr>
            <w:r>
              <w:rPr>
                <w:rFonts w:hint="eastAsia" w:ascii="宋体" w:hAnsi="宋体" w:cs="Times New Roman"/>
                <w:kern w:val="0"/>
                <w:sz w:val="21"/>
                <w:szCs w:val="21"/>
                <w:highlight w:val="none"/>
                <w:lang w:val="en-US" w:eastAsia="zh-CN" w:bidi="ar-SA"/>
              </w:rPr>
              <w:t>6</w:t>
            </w:r>
          </w:p>
        </w:tc>
        <w:tc>
          <w:tcPr>
            <w:tcW w:w="5801" w:type="dxa"/>
            <w:gridSpan w:val="2"/>
            <w:noWrap w:val="0"/>
            <w:vAlign w:val="center"/>
          </w:tcPr>
          <w:p w14:paraId="5D8D456A">
            <w:pPr>
              <w:spacing w:line="300" w:lineRule="exact"/>
              <w:jc w:val="center"/>
              <w:rPr>
                <w:rFonts w:hint="eastAsia"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暂列金额</w:t>
            </w:r>
            <w:r>
              <w:rPr>
                <w:rFonts w:hint="eastAsia" w:ascii="宋体" w:hAnsi="宋体" w:cs="Times New Roman"/>
                <w:kern w:val="0"/>
                <w:sz w:val="21"/>
                <w:szCs w:val="21"/>
                <w:highlight w:val="none"/>
                <w:lang w:val="en-US" w:eastAsia="zh-CN" w:bidi="ar-SA"/>
              </w:rPr>
              <w:t>6</w:t>
            </w:r>
            <w:r>
              <w:rPr>
                <w:rFonts w:hint="eastAsia" w:ascii="宋体" w:hAnsi="宋体" w:eastAsia="宋体" w:cs="Times New Roman"/>
                <w:kern w:val="0"/>
                <w:sz w:val="21"/>
                <w:szCs w:val="21"/>
                <w:highlight w:val="none"/>
                <w:lang w:val="en-US" w:eastAsia="zh-CN" w:bidi="ar-SA"/>
              </w:rPr>
              <w:t>=</w:t>
            </w:r>
            <w:r>
              <w:rPr>
                <w:rFonts w:hint="eastAsia" w:ascii="宋体" w:hAnsi="宋体" w:cs="Times New Roman"/>
                <w:kern w:val="0"/>
                <w:sz w:val="21"/>
                <w:szCs w:val="21"/>
                <w:highlight w:val="none"/>
                <w:lang w:val="en-US" w:eastAsia="zh-CN" w:bidi="ar-SA"/>
              </w:rPr>
              <w:t>(3-4)</w:t>
            </w:r>
            <w:r>
              <w:rPr>
                <w:rFonts w:hint="eastAsia" w:ascii="宋体" w:hAnsi="宋体" w:eastAsia="宋体" w:cs="Times New Roman"/>
                <w:kern w:val="0"/>
                <w:sz w:val="21"/>
                <w:szCs w:val="21"/>
                <w:highlight w:val="none"/>
                <w:lang w:val="en-US" w:eastAsia="zh-CN" w:bidi="ar-SA"/>
              </w:rPr>
              <w:t>×3%</w:t>
            </w:r>
          </w:p>
        </w:tc>
        <w:tc>
          <w:tcPr>
            <w:tcW w:w="2297" w:type="dxa"/>
            <w:tcBorders>
              <w:right w:val="single" w:color="auto" w:sz="12" w:space="0"/>
            </w:tcBorders>
            <w:noWrap w:val="0"/>
            <w:vAlign w:val="center"/>
          </w:tcPr>
          <w:p w14:paraId="7E04E496">
            <w:pPr>
              <w:spacing w:line="300" w:lineRule="exact"/>
              <w:jc w:val="center"/>
              <w:rPr>
                <w:rFonts w:ascii="宋体" w:hAnsi="宋体"/>
                <w:spacing w:val="10"/>
                <w:sz w:val="18"/>
                <w:szCs w:val="18"/>
                <w:highlight w:val="none"/>
              </w:rPr>
            </w:pPr>
          </w:p>
        </w:tc>
      </w:tr>
      <w:tr w14:paraId="7493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16" w:type="dxa"/>
            <w:tcBorders>
              <w:left w:val="single" w:color="auto" w:sz="12" w:space="0"/>
              <w:bottom w:val="single" w:color="auto" w:sz="12" w:space="0"/>
            </w:tcBorders>
            <w:noWrap w:val="0"/>
            <w:vAlign w:val="center"/>
          </w:tcPr>
          <w:p w14:paraId="40FF8FCF">
            <w:pPr>
              <w:spacing w:line="300" w:lineRule="exact"/>
              <w:jc w:val="center"/>
              <w:rPr>
                <w:rFonts w:hint="default" w:ascii="宋体" w:hAnsi="宋体" w:eastAsia="宋体" w:cs="Times New Roman"/>
                <w:kern w:val="0"/>
                <w:sz w:val="21"/>
                <w:szCs w:val="21"/>
                <w:highlight w:val="none"/>
                <w:lang w:val="en-US" w:eastAsia="zh-CN" w:bidi="ar-SA"/>
              </w:rPr>
            </w:pPr>
            <w:r>
              <w:rPr>
                <w:rFonts w:hint="eastAsia" w:ascii="宋体" w:hAnsi="宋体" w:cs="Times New Roman"/>
                <w:kern w:val="0"/>
                <w:sz w:val="21"/>
                <w:szCs w:val="21"/>
                <w:highlight w:val="none"/>
                <w:lang w:val="en-US" w:eastAsia="zh-CN" w:bidi="ar-SA"/>
              </w:rPr>
              <w:t>7</w:t>
            </w:r>
          </w:p>
        </w:tc>
        <w:tc>
          <w:tcPr>
            <w:tcW w:w="5801" w:type="dxa"/>
            <w:gridSpan w:val="2"/>
            <w:tcBorders>
              <w:bottom w:val="single" w:color="auto" w:sz="12" w:space="0"/>
            </w:tcBorders>
            <w:noWrap w:val="0"/>
            <w:vAlign w:val="center"/>
          </w:tcPr>
          <w:p w14:paraId="62235047">
            <w:pPr>
              <w:spacing w:line="300" w:lineRule="exact"/>
              <w:jc w:val="center"/>
              <w:rPr>
                <w:rFonts w:hint="default" w:ascii="宋体" w:hAnsi="宋体" w:eastAsia="宋体" w:cs="Times New Roman"/>
                <w:kern w:val="0"/>
                <w:sz w:val="21"/>
                <w:szCs w:val="21"/>
                <w:highlight w:val="none"/>
                <w:lang w:val="en-US" w:eastAsia="zh-CN" w:bidi="ar-SA"/>
              </w:rPr>
            </w:pPr>
            <w:r>
              <w:rPr>
                <w:rFonts w:hint="eastAsia" w:ascii="宋体" w:hAnsi="宋体" w:eastAsia="宋体" w:cs="Times New Roman"/>
                <w:kern w:val="0"/>
                <w:sz w:val="21"/>
                <w:szCs w:val="21"/>
                <w:highlight w:val="none"/>
                <w:lang w:val="en-US" w:eastAsia="zh-CN" w:bidi="ar-SA"/>
              </w:rPr>
              <w:t>投标价</w:t>
            </w:r>
            <w:r>
              <w:rPr>
                <w:rFonts w:hint="eastAsia" w:ascii="宋体" w:hAnsi="宋体" w:cs="Times New Roman"/>
                <w:kern w:val="0"/>
                <w:sz w:val="21"/>
                <w:szCs w:val="21"/>
                <w:highlight w:val="none"/>
                <w:lang w:val="en-US" w:eastAsia="zh-CN" w:bidi="ar-SA"/>
              </w:rPr>
              <w:t>7=(3+5+6)</w:t>
            </w:r>
          </w:p>
        </w:tc>
        <w:tc>
          <w:tcPr>
            <w:tcW w:w="2297" w:type="dxa"/>
            <w:tcBorders>
              <w:bottom w:val="single" w:color="auto" w:sz="12" w:space="0"/>
              <w:right w:val="single" w:color="auto" w:sz="12" w:space="0"/>
            </w:tcBorders>
            <w:noWrap w:val="0"/>
            <w:vAlign w:val="center"/>
          </w:tcPr>
          <w:p w14:paraId="643C81B9">
            <w:pPr>
              <w:spacing w:line="300" w:lineRule="exact"/>
              <w:jc w:val="center"/>
              <w:rPr>
                <w:rFonts w:ascii="宋体" w:hAnsi="宋体"/>
                <w:spacing w:val="10"/>
                <w:sz w:val="18"/>
                <w:szCs w:val="18"/>
                <w:highlight w:val="none"/>
              </w:rPr>
            </w:pPr>
          </w:p>
        </w:tc>
      </w:tr>
    </w:tbl>
    <w:p w14:paraId="5E738A39">
      <w:pPr>
        <w:rPr>
          <w:highlight w:val="none"/>
        </w:rPr>
      </w:pPr>
    </w:p>
    <w:p w14:paraId="4898D684">
      <w:pPr>
        <w:rPr>
          <w:szCs w:val="21"/>
          <w:highlight w:val="none"/>
          <w:u w:val="single"/>
        </w:rPr>
      </w:pPr>
    </w:p>
    <w:p w14:paraId="2EAACD30">
      <w:pPr>
        <w:rPr>
          <w:szCs w:val="21"/>
          <w:highlight w:val="none"/>
          <w:u w:val="single"/>
        </w:rPr>
      </w:pPr>
    </w:p>
    <w:p w14:paraId="57356D31">
      <w:pPr>
        <w:spacing w:line="500" w:lineRule="exact"/>
        <w:ind w:firstLine="411" w:firstLineChars="196"/>
        <w:rPr>
          <w:rFonts w:ascii="宋体" w:hAnsi="宋体"/>
          <w:bCs/>
          <w:szCs w:val="21"/>
          <w:highlight w:val="none"/>
        </w:rPr>
      </w:pPr>
    </w:p>
    <w:p w14:paraId="7D869DF8">
      <w:pPr>
        <w:rPr>
          <w:highlight w:val="none"/>
        </w:rPr>
      </w:pPr>
      <w:r>
        <w:rPr>
          <w:rFonts w:ascii="宋体" w:hAnsi="宋体"/>
          <w:bCs/>
          <w:szCs w:val="21"/>
          <w:highlight w:val="none"/>
        </w:rPr>
        <w:br w:type="page"/>
      </w:r>
    </w:p>
    <w:p w14:paraId="5671B61F">
      <w:pPr>
        <w:rPr>
          <w:rFonts w:ascii="宋体" w:hAnsi="宋体"/>
          <w:bCs/>
          <w:szCs w:val="21"/>
          <w:highlight w:val="none"/>
        </w:rPr>
      </w:pPr>
      <w:r>
        <w:rPr>
          <w:rFonts w:hint="eastAsia" w:ascii="宋体" w:hAnsi="宋体"/>
          <w:bCs/>
          <w:szCs w:val="21"/>
          <w:highlight w:val="none"/>
        </w:rPr>
        <w:t>5.5  工程量清单单价分析表</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9"/>
        <w:gridCol w:w="409"/>
        <w:gridCol w:w="602"/>
        <w:gridCol w:w="409"/>
        <w:gridCol w:w="409"/>
        <w:gridCol w:w="409"/>
        <w:gridCol w:w="602"/>
        <w:gridCol w:w="409"/>
        <w:gridCol w:w="409"/>
        <w:gridCol w:w="506"/>
        <w:gridCol w:w="506"/>
        <w:gridCol w:w="409"/>
        <w:gridCol w:w="699"/>
        <w:gridCol w:w="409"/>
        <w:gridCol w:w="506"/>
        <w:gridCol w:w="409"/>
        <w:gridCol w:w="409"/>
        <w:gridCol w:w="602"/>
      </w:tblGrid>
      <w:tr w14:paraId="20B6C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240" w:type="pct"/>
            <w:vMerge w:val="restart"/>
            <w:noWrap/>
            <w:vAlign w:val="center"/>
          </w:tcPr>
          <w:p w14:paraId="72091A56">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序号</w:t>
            </w:r>
          </w:p>
        </w:tc>
        <w:tc>
          <w:tcPr>
            <w:tcW w:w="240" w:type="pct"/>
            <w:vMerge w:val="restart"/>
            <w:noWrap/>
            <w:vAlign w:val="center"/>
          </w:tcPr>
          <w:p w14:paraId="418BC6EC">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编码</w:t>
            </w:r>
          </w:p>
        </w:tc>
        <w:tc>
          <w:tcPr>
            <w:tcW w:w="364" w:type="pct"/>
            <w:vMerge w:val="restart"/>
            <w:noWrap/>
            <w:vAlign w:val="center"/>
          </w:tcPr>
          <w:p w14:paraId="637FAAF5">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子目名称</w:t>
            </w:r>
          </w:p>
        </w:tc>
        <w:tc>
          <w:tcPr>
            <w:tcW w:w="719" w:type="pct"/>
            <w:gridSpan w:val="3"/>
            <w:noWrap/>
            <w:vAlign w:val="center"/>
          </w:tcPr>
          <w:p w14:paraId="48D50766">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人工费</w:t>
            </w:r>
          </w:p>
        </w:tc>
        <w:tc>
          <w:tcPr>
            <w:tcW w:w="1625" w:type="pct"/>
            <w:gridSpan w:val="6"/>
            <w:noWrap/>
            <w:vAlign w:val="center"/>
          </w:tcPr>
          <w:p w14:paraId="6F891B07">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材料费</w:t>
            </w:r>
          </w:p>
        </w:tc>
        <w:tc>
          <w:tcPr>
            <w:tcW w:w="426" w:type="pct"/>
            <w:vMerge w:val="restart"/>
            <w:noWrap/>
            <w:vAlign w:val="center"/>
          </w:tcPr>
          <w:p w14:paraId="4D1453CD">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机械使用费</w:t>
            </w:r>
          </w:p>
        </w:tc>
        <w:tc>
          <w:tcPr>
            <w:tcW w:w="240" w:type="pct"/>
            <w:vMerge w:val="restart"/>
            <w:noWrap/>
            <w:vAlign w:val="center"/>
          </w:tcPr>
          <w:p w14:paraId="554B26C0">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其他</w:t>
            </w:r>
          </w:p>
        </w:tc>
        <w:tc>
          <w:tcPr>
            <w:tcW w:w="302" w:type="pct"/>
            <w:vMerge w:val="restart"/>
            <w:noWrap/>
            <w:vAlign w:val="center"/>
          </w:tcPr>
          <w:p w14:paraId="17F0FA9C">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管理费</w:t>
            </w:r>
          </w:p>
        </w:tc>
        <w:tc>
          <w:tcPr>
            <w:tcW w:w="240" w:type="pct"/>
            <w:vMerge w:val="restart"/>
            <w:noWrap/>
            <w:vAlign w:val="center"/>
          </w:tcPr>
          <w:p w14:paraId="22562FB1">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税费</w:t>
            </w:r>
          </w:p>
        </w:tc>
        <w:tc>
          <w:tcPr>
            <w:tcW w:w="240" w:type="pct"/>
            <w:vMerge w:val="restart"/>
            <w:noWrap/>
            <w:vAlign w:val="center"/>
          </w:tcPr>
          <w:p w14:paraId="56646CC3">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利润</w:t>
            </w:r>
          </w:p>
        </w:tc>
        <w:tc>
          <w:tcPr>
            <w:tcW w:w="364" w:type="pct"/>
            <w:vMerge w:val="restart"/>
            <w:noWrap/>
            <w:vAlign w:val="center"/>
          </w:tcPr>
          <w:p w14:paraId="3C0E438B">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综合单价</w:t>
            </w:r>
          </w:p>
        </w:tc>
      </w:tr>
      <w:tr w14:paraId="7B5B4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vMerge w:val="continue"/>
            <w:noWrap w:val="0"/>
            <w:vAlign w:val="top"/>
          </w:tcPr>
          <w:p w14:paraId="1EB39011">
            <w:pPr>
              <w:tabs>
                <w:tab w:val="left" w:pos="2790"/>
              </w:tabs>
              <w:spacing w:line="220" w:lineRule="exact"/>
              <w:rPr>
                <w:rFonts w:ascii="宋体"/>
                <w:sz w:val="24"/>
                <w:highlight w:val="none"/>
              </w:rPr>
            </w:pPr>
          </w:p>
        </w:tc>
        <w:tc>
          <w:tcPr>
            <w:tcW w:w="240" w:type="pct"/>
            <w:vMerge w:val="continue"/>
            <w:noWrap w:val="0"/>
            <w:vAlign w:val="top"/>
          </w:tcPr>
          <w:p w14:paraId="46A1D475">
            <w:pPr>
              <w:tabs>
                <w:tab w:val="left" w:pos="2790"/>
              </w:tabs>
              <w:spacing w:line="220" w:lineRule="exact"/>
              <w:rPr>
                <w:rFonts w:ascii="宋体"/>
                <w:sz w:val="24"/>
                <w:highlight w:val="none"/>
              </w:rPr>
            </w:pPr>
          </w:p>
        </w:tc>
        <w:tc>
          <w:tcPr>
            <w:tcW w:w="364" w:type="pct"/>
            <w:vMerge w:val="continue"/>
            <w:noWrap w:val="0"/>
            <w:vAlign w:val="top"/>
          </w:tcPr>
          <w:p w14:paraId="506B3BD5">
            <w:pPr>
              <w:tabs>
                <w:tab w:val="left" w:pos="2790"/>
              </w:tabs>
              <w:spacing w:line="220" w:lineRule="exact"/>
              <w:rPr>
                <w:rFonts w:ascii="宋体"/>
                <w:sz w:val="24"/>
                <w:highlight w:val="none"/>
              </w:rPr>
            </w:pPr>
          </w:p>
        </w:tc>
        <w:tc>
          <w:tcPr>
            <w:tcW w:w="240" w:type="pct"/>
            <w:vMerge w:val="restart"/>
            <w:noWrap/>
            <w:vAlign w:val="center"/>
          </w:tcPr>
          <w:p w14:paraId="27A28665">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工日</w:t>
            </w:r>
          </w:p>
        </w:tc>
        <w:tc>
          <w:tcPr>
            <w:tcW w:w="240" w:type="pct"/>
            <w:vMerge w:val="restart"/>
            <w:noWrap/>
            <w:vAlign w:val="center"/>
          </w:tcPr>
          <w:p w14:paraId="71CD1F03">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单价</w:t>
            </w:r>
          </w:p>
        </w:tc>
        <w:tc>
          <w:tcPr>
            <w:tcW w:w="240" w:type="pct"/>
            <w:vMerge w:val="restart"/>
            <w:noWrap/>
            <w:vAlign w:val="center"/>
          </w:tcPr>
          <w:p w14:paraId="5B21C1D9">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金额</w:t>
            </w:r>
          </w:p>
        </w:tc>
        <w:tc>
          <w:tcPr>
            <w:tcW w:w="1145" w:type="pct"/>
            <w:gridSpan w:val="4"/>
            <w:noWrap/>
            <w:vAlign w:val="top"/>
          </w:tcPr>
          <w:p w14:paraId="1AA24670">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主材</w:t>
            </w:r>
          </w:p>
        </w:tc>
        <w:tc>
          <w:tcPr>
            <w:tcW w:w="302" w:type="pct"/>
            <w:vMerge w:val="restart"/>
            <w:noWrap/>
            <w:vAlign w:val="center"/>
          </w:tcPr>
          <w:p w14:paraId="72F8993E">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辅材费</w:t>
            </w:r>
          </w:p>
        </w:tc>
        <w:tc>
          <w:tcPr>
            <w:tcW w:w="178" w:type="pct"/>
            <w:vMerge w:val="restart"/>
            <w:noWrap/>
            <w:vAlign w:val="center"/>
          </w:tcPr>
          <w:p w14:paraId="3D61E104">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金额</w:t>
            </w:r>
          </w:p>
        </w:tc>
        <w:tc>
          <w:tcPr>
            <w:tcW w:w="426" w:type="pct"/>
            <w:vMerge w:val="continue"/>
            <w:noWrap w:val="0"/>
            <w:vAlign w:val="center"/>
          </w:tcPr>
          <w:p w14:paraId="1E177D6B">
            <w:pPr>
              <w:tabs>
                <w:tab w:val="left" w:pos="2790"/>
              </w:tabs>
              <w:spacing w:line="220" w:lineRule="exact"/>
              <w:jc w:val="center"/>
              <w:rPr>
                <w:rFonts w:ascii="宋体"/>
                <w:sz w:val="24"/>
                <w:highlight w:val="none"/>
              </w:rPr>
            </w:pPr>
          </w:p>
        </w:tc>
        <w:tc>
          <w:tcPr>
            <w:tcW w:w="240" w:type="pct"/>
            <w:vMerge w:val="continue"/>
            <w:noWrap w:val="0"/>
            <w:vAlign w:val="center"/>
          </w:tcPr>
          <w:p w14:paraId="50DE5572">
            <w:pPr>
              <w:tabs>
                <w:tab w:val="left" w:pos="2790"/>
              </w:tabs>
              <w:spacing w:line="220" w:lineRule="exact"/>
              <w:jc w:val="center"/>
              <w:rPr>
                <w:rFonts w:ascii="宋体"/>
                <w:sz w:val="24"/>
                <w:highlight w:val="none"/>
              </w:rPr>
            </w:pPr>
          </w:p>
        </w:tc>
        <w:tc>
          <w:tcPr>
            <w:tcW w:w="302" w:type="pct"/>
            <w:vMerge w:val="continue"/>
            <w:noWrap w:val="0"/>
            <w:vAlign w:val="center"/>
          </w:tcPr>
          <w:p w14:paraId="4D7CDC10">
            <w:pPr>
              <w:tabs>
                <w:tab w:val="left" w:pos="2790"/>
              </w:tabs>
              <w:spacing w:line="220" w:lineRule="exact"/>
              <w:jc w:val="center"/>
              <w:rPr>
                <w:rFonts w:ascii="宋体"/>
                <w:sz w:val="24"/>
                <w:highlight w:val="none"/>
              </w:rPr>
            </w:pPr>
          </w:p>
        </w:tc>
        <w:tc>
          <w:tcPr>
            <w:tcW w:w="240" w:type="pct"/>
            <w:vMerge w:val="continue"/>
            <w:noWrap w:val="0"/>
            <w:vAlign w:val="center"/>
          </w:tcPr>
          <w:p w14:paraId="3CD93220">
            <w:pPr>
              <w:tabs>
                <w:tab w:val="left" w:pos="2790"/>
              </w:tabs>
              <w:spacing w:line="220" w:lineRule="exact"/>
              <w:jc w:val="center"/>
              <w:rPr>
                <w:rFonts w:ascii="宋体"/>
                <w:sz w:val="24"/>
                <w:highlight w:val="none"/>
              </w:rPr>
            </w:pPr>
          </w:p>
        </w:tc>
        <w:tc>
          <w:tcPr>
            <w:tcW w:w="240" w:type="pct"/>
            <w:vMerge w:val="continue"/>
            <w:noWrap w:val="0"/>
            <w:vAlign w:val="center"/>
          </w:tcPr>
          <w:p w14:paraId="42E6D010">
            <w:pPr>
              <w:tabs>
                <w:tab w:val="left" w:pos="2790"/>
              </w:tabs>
              <w:spacing w:line="220" w:lineRule="exact"/>
              <w:jc w:val="center"/>
              <w:rPr>
                <w:rFonts w:ascii="宋体"/>
                <w:sz w:val="24"/>
                <w:highlight w:val="none"/>
              </w:rPr>
            </w:pPr>
          </w:p>
        </w:tc>
        <w:tc>
          <w:tcPr>
            <w:tcW w:w="364" w:type="pct"/>
            <w:vMerge w:val="continue"/>
            <w:noWrap w:val="0"/>
            <w:vAlign w:val="center"/>
          </w:tcPr>
          <w:p w14:paraId="5D67699C">
            <w:pPr>
              <w:tabs>
                <w:tab w:val="left" w:pos="2790"/>
              </w:tabs>
              <w:spacing w:line="220" w:lineRule="exact"/>
              <w:jc w:val="center"/>
              <w:rPr>
                <w:rFonts w:ascii="宋体"/>
                <w:sz w:val="24"/>
                <w:highlight w:val="none"/>
              </w:rPr>
            </w:pPr>
          </w:p>
        </w:tc>
      </w:tr>
      <w:tr w14:paraId="0EC615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vMerge w:val="continue"/>
            <w:noWrap w:val="0"/>
            <w:vAlign w:val="top"/>
          </w:tcPr>
          <w:p w14:paraId="47EC0A2D">
            <w:pPr>
              <w:tabs>
                <w:tab w:val="left" w:pos="2790"/>
              </w:tabs>
              <w:spacing w:line="220" w:lineRule="exact"/>
              <w:rPr>
                <w:rFonts w:ascii="宋体"/>
                <w:sz w:val="24"/>
                <w:highlight w:val="none"/>
              </w:rPr>
            </w:pPr>
          </w:p>
        </w:tc>
        <w:tc>
          <w:tcPr>
            <w:tcW w:w="240" w:type="pct"/>
            <w:vMerge w:val="continue"/>
            <w:noWrap w:val="0"/>
            <w:vAlign w:val="top"/>
          </w:tcPr>
          <w:p w14:paraId="58C28DC3">
            <w:pPr>
              <w:tabs>
                <w:tab w:val="left" w:pos="2790"/>
              </w:tabs>
              <w:spacing w:line="220" w:lineRule="exact"/>
              <w:rPr>
                <w:rFonts w:ascii="宋体"/>
                <w:sz w:val="24"/>
                <w:highlight w:val="none"/>
              </w:rPr>
            </w:pPr>
          </w:p>
        </w:tc>
        <w:tc>
          <w:tcPr>
            <w:tcW w:w="364" w:type="pct"/>
            <w:vMerge w:val="continue"/>
            <w:noWrap w:val="0"/>
            <w:vAlign w:val="top"/>
          </w:tcPr>
          <w:p w14:paraId="54F7E4F9">
            <w:pPr>
              <w:tabs>
                <w:tab w:val="left" w:pos="2790"/>
              </w:tabs>
              <w:spacing w:line="220" w:lineRule="exact"/>
              <w:rPr>
                <w:rFonts w:ascii="宋体"/>
                <w:sz w:val="24"/>
                <w:highlight w:val="none"/>
              </w:rPr>
            </w:pPr>
          </w:p>
        </w:tc>
        <w:tc>
          <w:tcPr>
            <w:tcW w:w="240" w:type="pct"/>
            <w:vMerge w:val="continue"/>
            <w:noWrap w:val="0"/>
            <w:vAlign w:val="center"/>
          </w:tcPr>
          <w:p w14:paraId="0C47F873">
            <w:pPr>
              <w:tabs>
                <w:tab w:val="left" w:pos="2790"/>
              </w:tabs>
              <w:spacing w:line="220" w:lineRule="exact"/>
              <w:jc w:val="center"/>
              <w:rPr>
                <w:rFonts w:ascii="宋体"/>
                <w:sz w:val="24"/>
                <w:highlight w:val="none"/>
              </w:rPr>
            </w:pPr>
          </w:p>
        </w:tc>
        <w:tc>
          <w:tcPr>
            <w:tcW w:w="240" w:type="pct"/>
            <w:vMerge w:val="continue"/>
            <w:noWrap w:val="0"/>
            <w:vAlign w:val="center"/>
          </w:tcPr>
          <w:p w14:paraId="21F394BF">
            <w:pPr>
              <w:tabs>
                <w:tab w:val="left" w:pos="2790"/>
              </w:tabs>
              <w:spacing w:line="220" w:lineRule="exact"/>
              <w:jc w:val="center"/>
              <w:rPr>
                <w:rFonts w:ascii="宋体"/>
                <w:sz w:val="24"/>
                <w:highlight w:val="none"/>
              </w:rPr>
            </w:pPr>
          </w:p>
        </w:tc>
        <w:tc>
          <w:tcPr>
            <w:tcW w:w="240" w:type="pct"/>
            <w:vMerge w:val="continue"/>
            <w:noWrap w:val="0"/>
            <w:vAlign w:val="center"/>
          </w:tcPr>
          <w:p w14:paraId="0C7418E1">
            <w:pPr>
              <w:tabs>
                <w:tab w:val="left" w:pos="2790"/>
              </w:tabs>
              <w:spacing w:line="220" w:lineRule="exact"/>
              <w:jc w:val="center"/>
              <w:rPr>
                <w:rFonts w:ascii="宋体"/>
                <w:sz w:val="24"/>
                <w:highlight w:val="none"/>
              </w:rPr>
            </w:pPr>
          </w:p>
        </w:tc>
        <w:tc>
          <w:tcPr>
            <w:tcW w:w="364" w:type="pct"/>
            <w:noWrap/>
            <w:vAlign w:val="center"/>
          </w:tcPr>
          <w:p w14:paraId="77A9907C">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主材耗量</w:t>
            </w:r>
          </w:p>
        </w:tc>
        <w:tc>
          <w:tcPr>
            <w:tcW w:w="240" w:type="pct"/>
            <w:noWrap/>
            <w:vAlign w:val="center"/>
          </w:tcPr>
          <w:p w14:paraId="16C77AF4">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单位</w:t>
            </w:r>
          </w:p>
        </w:tc>
        <w:tc>
          <w:tcPr>
            <w:tcW w:w="240" w:type="pct"/>
            <w:noWrap/>
            <w:vAlign w:val="center"/>
          </w:tcPr>
          <w:p w14:paraId="6C7188DE">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单价</w:t>
            </w:r>
          </w:p>
        </w:tc>
        <w:tc>
          <w:tcPr>
            <w:tcW w:w="302" w:type="pct"/>
            <w:noWrap/>
            <w:vAlign w:val="center"/>
          </w:tcPr>
          <w:p w14:paraId="4680C1B0">
            <w:pPr>
              <w:tabs>
                <w:tab w:val="left" w:pos="2790"/>
              </w:tabs>
              <w:spacing w:line="360" w:lineRule="auto"/>
              <w:jc w:val="center"/>
              <w:rPr>
                <w:rFonts w:hint="eastAsia" w:ascii="宋体" w:hAnsi="宋体"/>
                <w:bCs/>
                <w:szCs w:val="21"/>
                <w:highlight w:val="none"/>
              </w:rPr>
            </w:pPr>
            <w:r>
              <w:rPr>
                <w:rFonts w:hint="eastAsia" w:ascii="宋体" w:hAnsi="宋体"/>
                <w:bCs/>
                <w:szCs w:val="21"/>
                <w:highlight w:val="none"/>
              </w:rPr>
              <w:t>主材费</w:t>
            </w:r>
          </w:p>
        </w:tc>
        <w:tc>
          <w:tcPr>
            <w:tcW w:w="302" w:type="pct"/>
            <w:vMerge w:val="continue"/>
            <w:noWrap w:val="0"/>
            <w:vAlign w:val="top"/>
          </w:tcPr>
          <w:p w14:paraId="37AE46DE">
            <w:pPr>
              <w:tabs>
                <w:tab w:val="left" w:pos="2790"/>
              </w:tabs>
              <w:spacing w:line="220" w:lineRule="exact"/>
              <w:rPr>
                <w:rFonts w:ascii="宋体"/>
                <w:sz w:val="24"/>
                <w:highlight w:val="none"/>
              </w:rPr>
            </w:pPr>
          </w:p>
        </w:tc>
        <w:tc>
          <w:tcPr>
            <w:tcW w:w="178" w:type="pct"/>
            <w:vMerge w:val="continue"/>
            <w:noWrap w:val="0"/>
            <w:vAlign w:val="top"/>
          </w:tcPr>
          <w:p w14:paraId="3D4F9990">
            <w:pPr>
              <w:tabs>
                <w:tab w:val="left" w:pos="2790"/>
              </w:tabs>
              <w:spacing w:line="220" w:lineRule="exact"/>
              <w:rPr>
                <w:rFonts w:ascii="宋体"/>
                <w:sz w:val="24"/>
                <w:highlight w:val="none"/>
              </w:rPr>
            </w:pPr>
          </w:p>
        </w:tc>
        <w:tc>
          <w:tcPr>
            <w:tcW w:w="426" w:type="pct"/>
            <w:vMerge w:val="continue"/>
            <w:noWrap w:val="0"/>
            <w:vAlign w:val="top"/>
          </w:tcPr>
          <w:p w14:paraId="070A56FD">
            <w:pPr>
              <w:tabs>
                <w:tab w:val="left" w:pos="2790"/>
              </w:tabs>
              <w:spacing w:line="220" w:lineRule="exact"/>
              <w:rPr>
                <w:rFonts w:ascii="宋体"/>
                <w:sz w:val="24"/>
                <w:highlight w:val="none"/>
              </w:rPr>
            </w:pPr>
          </w:p>
        </w:tc>
        <w:tc>
          <w:tcPr>
            <w:tcW w:w="240" w:type="pct"/>
            <w:vMerge w:val="continue"/>
            <w:noWrap w:val="0"/>
            <w:vAlign w:val="top"/>
          </w:tcPr>
          <w:p w14:paraId="415B8160">
            <w:pPr>
              <w:tabs>
                <w:tab w:val="left" w:pos="2790"/>
              </w:tabs>
              <w:spacing w:line="220" w:lineRule="exact"/>
              <w:rPr>
                <w:rFonts w:ascii="宋体"/>
                <w:sz w:val="24"/>
                <w:highlight w:val="none"/>
              </w:rPr>
            </w:pPr>
          </w:p>
        </w:tc>
        <w:tc>
          <w:tcPr>
            <w:tcW w:w="302" w:type="pct"/>
            <w:vMerge w:val="continue"/>
            <w:noWrap w:val="0"/>
            <w:vAlign w:val="top"/>
          </w:tcPr>
          <w:p w14:paraId="3A8DE89E">
            <w:pPr>
              <w:tabs>
                <w:tab w:val="left" w:pos="2790"/>
              </w:tabs>
              <w:spacing w:line="220" w:lineRule="exact"/>
              <w:rPr>
                <w:rFonts w:ascii="宋体"/>
                <w:sz w:val="24"/>
                <w:highlight w:val="none"/>
              </w:rPr>
            </w:pPr>
          </w:p>
        </w:tc>
        <w:tc>
          <w:tcPr>
            <w:tcW w:w="240" w:type="pct"/>
            <w:vMerge w:val="continue"/>
            <w:noWrap w:val="0"/>
            <w:vAlign w:val="top"/>
          </w:tcPr>
          <w:p w14:paraId="3F233822">
            <w:pPr>
              <w:tabs>
                <w:tab w:val="left" w:pos="2790"/>
              </w:tabs>
              <w:spacing w:line="220" w:lineRule="exact"/>
              <w:rPr>
                <w:rFonts w:ascii="宋体"/>
                <w:sz w:val="24"/>
                <w:highlight w:val="none"/>
              </w:rPr>
            </w:pPr>
          </w:p>
        </w:tc>
        <w:tc>
          <w:tcPr>
            <w:tcW w:w="240" w:type="pct"/>
            <w:vMerge w:val="continue"/>
            <w:noWrap w:val="0"/>
            <w:vAlign w:val="top"/>
          </w:tcPr>
          <w:p w14:paraId="79B11218">
            <w:pPr>
              <w:tabs>
                <w:tab w:val="left" w:pos="2790"/>
              </w:tabs>
              <w:spacing w:line="220" w:lineRule="exact"/>
              <w:rPr>
                <w:rFonts w:ascii="宋体"/>
                <w:sz w:val="24"/>
                <w:highlight w:val="none"/>
              </w:rPr>
            </w:pPr>
          </w:p>
        </w:tc>
        <w:tc>
          <w:tcPr>
            <w:tcW w:w="364" w:type="pct"/>
            <w:vMerge w:val="continue"/>
            <w:noWrap w:val="0"/>
            <w:vAlign w:val="top"/>
          </w:tcPr>
          <w:p w14:paraId="27D1E077">
            <w:pPr>
              <w:tabs>
                <w:tab w:val="left" w:pos="2790"/>
              </w:tabs>
              <w:spacing w:line="220" w:lineRule="exact"/>
              <w:rPr>
                <w:rFonts w:ascii="宋体"/>
                <w:sz w:val="24"/>
                <w:highlight w:val="none"/>
              </w:rPr>
            </w:pPr>
          </w:p>
        </w:tc>
      </w:tr>
      <w:tr w14:paraId="0DD682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04E59D00">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1A0DB91E">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57AE1D83">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6C00E804">
            <w:pPr>
              <w:tabs>
                <w:tab w:val="left" w:pos="2790"/>
              </w:tabs>
              <w:spacing w:line="220" w:lineRule="exact"/>
              <w:jc w:val="center"/>
              <w:rPr>
                <w:rFonts w:hint="eastAsia" w:ascii="宋体"/>
                <w:sz w:val="24"/>
                <w:highlight w:val="none"/>
              </w:rPr>
            </w:pPr>
          </w:p>
        </w:tc>
        <w:tc>
          <w:tcPr>
            <w:tcW w:w="240" w:type="pct"/>
            <w:noWrap/>
            <w:vAlign w:val="center"/>
          </w:tcPr>
          <w:p w14:paraId="782A0001">
            <w:pPr>
              <w:tabs>
                <w:tab w:val="left" w:pos="2790"/>
              </w:tabs>
              <w:spacing w:line="220" w:lineRule="exact"/>
              <w:jc w:val="center"/>
              <w:rPr>
                <w:rFonts w:hint="eastAsia" w:ascii="宋体"/>
                <w:sz w:val="24"/>
                <w:highlight w:val="none"/>
              </w:rPr>
            </w:pPr>
          </w:p>
        </w:tc>
        <w:tc>
          <w:tcPr>
            <w:tcW w:w="240" w:type="pct"/>
            <w:noWrap/>
            <w:vAlign w:val="center"/>
          </w:tcPr>
          <w:p w14:paraId="0868F95E">
            <w:pPr>
              <w:tabs>
                <w:tab w:val="left" w:pos="2790"/>
              </w:tabs>
              <w:spacing w:line="220" w:lineRule="exact"/>
              <w:jc w:val="center"/>
              <w:rPr>
                <w:rFonts w:hint="eastAsia" w:ascii="宋体"/>
                <w:sz w:val="24"/>
                <w:highlight w:val="none"/>
              </w:rPr>
            </w:pPr>
          </w:p>
        </w:tc>
        <w:tc>
          <w:tcPr>
            <w:tcW w:w="364" w:type="pct"/>
            <w:noWrap/>
            <w:vAlign w:val="center"/>
          </w:tcPr>
          <w:p w14:paraId="0F33FA7A">
            <w:pPr>
              <w:tabs>
                <w:tab w:val="left" w:pos="2790"/>
              </w:tabs>
              <w:spacing w:line="220" w:lineRule="exact"/>
              <w:jc w:val="center"/>
              <w:rPr>
                <w:rFonts w:hint="eastAsia" w:ascii="宋体"/>
                <w:sz w:val="24"/>
                <w:highlight w:val="none"/>
              </w:rPr>
            </w:pPr>
          </w:p>
        </w:tc>
        <w:tc>
          <w:tcPr>
            <w:tcW w:w="240" w:type="pct"/>
            <w:noWrap/>
            <w:vAlign w:val="center"/>
          </w:tcPr>
          <w:p w14:paraId="1661BC47">
            <w:pPr>
              <w:tabs>
                <w:tab w:val="left" w:pos="2790"/>
              </w:tabs>
              <w:spacing w:line="220" w:lineRule="exact"/>
              <w:jc w:val="center"/>
              <w:rPr>
                <w:rFonts w:hint="eastAsia" w:ascii="宋体"/>
                <w:sz w:val="24"/>
                <w:highlight w:val="none"/>
              </w:rPr>
            </w:pPr>
          </w:p>
        </w:tc>
        <w:tc>
          <w:tcPr>
            <w:tcW w:w="240" w:type="pct"/>
            <w:noWrap/>
            <w:vAlign w:val="center"/>
          </w:tcPr>
          <w:p w14:paraId="4E3C8046">
            <w:pPr>
              <w:tabs>
                <w:tab w:val="left" w:pos="2790"/>
              </w:tabs>
              <w:spacing w:line="220" w:lineRule="exact"/>
              <w:jc w:val="center"/>
              <w:rPr>
                <w:rFonts w:hint="eastAsia" w:ascii="宋体"/>
                <w:sz w:val="24"/>
                <w:highlight w:val="none"/>
              </w:rPr>
            </w:pPr>
          </w:p>
        </w:tc>
        <w:tc>
          <w:tcPr>
            <w:tcW w:w="302" w:type="pct"/>
            <w:noWrap/>
            <w:vAlign w:val="center"/>
          </w:tcPr>
          <w:p w14:paraId="1EDAC316">
            <w:pPr>
              <w:tabs>
                <w:tab w:val="left" w:pos="2790"/>
              </w:tabs>
              <w:spacing w:line="220" w:lineRule="exact"/>
              <w:jc w:val="center"/>
              <w:rPr>
                <w:rFonts w:hint="eastAsia" w:ascii="宋体"/>
                <w:sz w:val="24"/>
                <w:highlight w:val="none"/>
              </w:rPr>
            </w:pPr>
          </w:p>
        </w:tc>
        <w:tc>
          <w:tcPr>
            <w:tcW w:w="302" w:type="pct"/>
            <w:noWrap/>
            <w:vAlign w:val="top"/>
          </w:tcPr>
          <w:p w14:paraId="6CF561DE">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0A000A7E">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0A0A7F83">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E6A1A38">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5321E294">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38FC95D">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70BB874">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2AC76D37">
            <w:pPr>
              <w:tabs>
                <w:tab w:val="left" w:pos="2790"/>
              </w:tabs>
              <w:spacing w:line="220" w:lineRule="exact"/>
              <w:rPr>
                <w:rFonts w:hint="eastAsia" w:ascii="宋体"/>
                <w:sz w:val="24"/>
                <w:highlight w:val="none"/>
              </w:rPr>
            </w:pPr>
            <w:r>
              <w:rPr>
                <w:rFonts w:hint="eastAsia" w:ascii="宋体"/>
                <w:sz w:val="24"/>
                <w:highlight w:val="none"/>
              </w:rPr>
              <w:t>　</w:t>
            </w:r>
          </w:p>
        </w:tc>
      </w:tr>
      <w:tr w14:paraId="6FF1C9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28FD31FD">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FE1A6A7">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2B9B882F">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4CCB6CCA">
            <w:pPr>
              <w:tabs>
                <w:tab w:val="left" w:pos="2790"/>
              </w:tabs>
              <w:spacing w:line="220" w:lineRule="exact"/>
              <w:jc w:val="center"/>
              <w:rPr>
                <w:rFonts w:hint="eastAsia" w:ascii="宋体"/>
                <w:sz w:val="24"/>
                <w:highlight w:val="none"/>
              </w:rPr>
            </w:pPr>
          </w:p>
        </w:tc>
        <w:tc>
          <w:tcPr>
            <w:tcW w:w="240" w:type="pct"/>
            <w:noWrap/>
            <w:vAlign w:val="center"/>
          </w:tcPr>
          <w:p w14:paraId="3B477A29">
            <w:pPr>
              <w:tabs>
                <w:tab w:val="left" w:pos="2790"/>
              </w:tabs>
              <w:spacing w:line="220" w:lineRule="exact"/>
              <w:jc w:val="center"/>
              <w:rPr>
                <w:rFonts w:hint="eastAsia" w:ascii="宋体"/>
                <w:sz w:val="24"/>
                <w:highlight w:val="none"/>
              </w:rPr>
            </w:pPr>
          </w:p>
        </w:tc>
        <w:tc>
          <w:tcPr>
            <w:tcW w:w="240" w:type="pct"/>
            <w:noWrap/>
            <w:vAlign w:val="center"/>
          </w:tcPr>
          <w:p w14:paraId="2A347D78">
            <w:pPr>
              <w:tabs>
                <w:tab w:val="left" w:pos="2790"/>
              </w:tabs>
              <w:spacing w:line="220" w:lineRule="exact"/>
              <w:jc w:val="center"/>
              <w:rPr>
                <w:rFonts w:hint="eastAsia" w:ascii="宋体"/>
                <w:sz w:val="24"/>
                <w:highlight w:val="none"/>
              </w:rPr>
            </w:pPr>
          </w:p>
        </w:tc>
        <w:tc>
          <w:tcPr>
            <w:tcW w:w="364" w:type="pct"/>
            <w:noWrap/>
            <w:vAlign w:val="center"/>
          </w:tcPr>
          <w:p w14:paraId="2642A996">
            <w:pPr>
              <w:tabs>
                <w:tab w:val="left" w:pos="2790"/>
              </w:tabs>
              <w:spacing w:line="220" w:lineRule="exact"/>
              <w:jc w:val="center"/>
              <w:rPr>
                <w:rFonts w:hint="eastAsia" w:ascii="宋体"/>
                <w:sz w:val="24"/>
                <w:highlight w:val="none"/>
              </w:rPr>
            </w:pPr>
          </w:p>
        </w:tc>
        <w:tc>
          <w:tcPr>
            <w:tcW w:w="240" w:type="pct"/>
            <w:noWrap/>
            <w:vAlign w:val="center"/>
          </w:tcPr>
          <w:p w14:paraId="7CACD321">
            <w:pPr>
              <w:tabs>
                <w:tab w:val="left" w:pos="2790"/>
              </w:tabs>
              <w:spacing w:line="220" w:lineRule="exact"/>
              <w:jc w:val="center"/>
              <w:rPr>
                <w:rFonts w:hint="eastAsia" w:ascii="宋体"/>
                <w:sz w:val="24"/>
                <w:highlight w:val="none"/>
              </w:rPr>
            </w:pPr>
          </w:p>
        </w:tc>
        <w:tc>
          <w:tcPr>
            <w:tcW w:w="240" w:type="pct"/>
            <w:noWrap/>
            <w:vAlign w:val="center"/>
          </w:tcPr>
          <w:p w14:paraId="48C6B88C">
            <w:pPr>
              <w:tabs>
                <w:tab w:val="left" w:pos="2790"/>
              </w:tabs>
              <w:spacing w:line="220" w:lineRule="exact"/>
              <w:jc w:val="center"/>
              <w:rPr>
                <w:rFonts w:hint="eastAsia" w:ascii="宋体"/>
                <w:sz w:val="24"/>
                <w:highlight w:val="none"/>
              </w:rPr>
            </w:pPr>
          </w:p>
        </w:tc>
        <w:tc>
          <w:tcPr>
            <w:tcW w:w="302" w:type="pct"/>
            <w:noWrap/>
            <w:vAlign w:val="center"/>
          </w:tcPr>
          <w:p w14:paraId="2BB01CC9">
            <w:pPr>
              <w:tabs>
                <w:tab w:val="left" w:pos="2790"/>
              </w:tabs>
              <w:spacing w:line="220" w:lineRule="exact"/>
              <w:jc w:val="center"/>
              <w:rPr>
                <w:rFonts w:hint="eastAsia" w:ascii="宋体"/>
                <w:sz w:val="24"/>
                <w:highlight w:val="none"/>
              </w:rPr>
            </w:pPr>
          </w:p>
        </w:tc>
        <w:tc>
          <w:tcPr>
            <w:tcW w:w="302" w:type="pct"/>
            <w:noWrap/>
            <w:vAlign w:val="top"/>
          </w:tcPr>
          <w:p w14:paraId="3DDE91FC">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7726F284">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543AE458">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A2A30E7">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1E6ADF3F">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53291BA7">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C5B6188">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72EE6B2E">
            <w:pPr>
              <w:tabs>
                <w:tab w:val="left" w:pos="2790"/>
              </w:tabs>
              <w:spacing w:line="220" w:lineRule="exact"/>
              <w:rPr>
                <w:rFonts w:hint="eastAsia" w:ascii="宋体"/>
                <w:sz w:val="24"/>
                <w:highlight w:val="none"/>
              </w:rPr>
            </w:pPr>
            <w:r>
              <w:rPr>
                <w:rFonts w:hint="eastAsia" w:ascii="宋体"/>
                <w:sz w:val="24"/>
                <w:highlight w:val="none"/>
              </w:rPr>
              <w:t>　</w:t>
            </w:r>
          </w:p>
        </w:tc>
      </w:tr>
      <w:tr w14:paraId="561D5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1AB722E5">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004C719">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40824D5B">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61801B1C">
            <w:pPr>
              <w:tabs>
                <w:tab w:val="left" w:pos="2790"/>
              </w:tabs>
              <w:spacing w:line="220" w:lineRule="exact"/>
              <w:jc w:val="center"/>
              <w:rPr>
                <w:rFonts w:hint="eastAsia" w:ascii="宋体"/>
                <w:sz w:val="24"/>
                <w:highlight w:val="none"/>
              </w:rPr>
            </w:pPr>
          </w:p>
        </w:tc>
        <w:tc>
          <w:tcPr>
            <w:tcW w:w="240" w:type="pct"/>
            <w:noWrap/>
            <w:vAlign w:val="center"/>
          </w:tcPr>
          <w:p w14:paraId="26DAABC4">
            <w:pPr>
              <w:tabs>
                <w:tab w:val="left" w:pos="2790"/>
              </w:tabs>
              <w:spacing w:line="220" w:lineRule="exact"/>
              <w:jc w:val="center"/>
              <w:rPr>
                <w:rFonts w:hint="eastAsia" w:ascii="宋体"/>
                <w:sz w:val="24"/>
                <w:highlight w:val="none"/>
              </w:rPr>
            </w:pPr>
          </w:p>
        </w:tc>
        <w:tc>
          <w:tcPr>
            <w:tcW w:w="240" w:type="pct"/>
            <w:noWrap/>
            <w:vAlign w:val="center"/>
          </w:tcPr>
          <w:p w14:paraId="253E6D01">
            <w:pPr>
              <w:tabs>
                <w:tab w:val="left" w:pos="2790"/>
              </w:tabs>
              <w:spacing w:line="220" w:lineRule="exact"/>
              <w:jc w:val="center"/>
              <w:rPr>
                <w:rFonts w:hint="eastAsia" w:ascii="宋体"/>
                <w:sz w:val="24"/>
                <w:highlight w:val="none"/>
              </w:rPr>
            </w:pPr>
          </w:p>
        </w:tc>
        <w:tc>
          <w:tcPr>
            <w:tcW w:w="364" w:type="pct"/>
            <w:noWrap/>
            <w:vAlign w:val="center"/>
          </w:tcPr>
          <w:p w14:paraId="2A4F7CCF">
            <w:pPr>
              <w:tabs>
                <w:tab w:val="left" w:pos="2790"/>
              </w:tabs>
              <w:spacing w:line="220" w:lineRule="exact"/>
              <w:jc w:val="center"/>
              <w:rPr>
                <w:rFonts w:hint="eastAsia" w:ascii="宋体"/>
                <w:sz w:val="24"/>
                <w:highlight w:val="none"/>
              </w:rPr>
            </w:pPr>
          </w:p>
        </w:tc>
        <w:tc>
          <w:tcPr>
            <w:tcW w:w="240" w:type="pct"/>
            <w:noWrap/>
            <w:vAlign w:val="center"/>
          </w:tcPr>
          <w:p w14:paraId="2B1DFD80">
            <w:pPr>
              <w:tabs>
                <w:tab w:val="left" w:pos="2790"/>
              </w:tabs>
              <w:spacing w:line="220" w:lineRule="exact"/>
              <w:jc w:val="center"/>
              <w:rPr>
                <w:rFonts w:hint="eastAsia" w:ascii="宋体"/>
                <w:sz w:val="24"/>
                <w:highlight w:val="none"/>
              </w:rPr>
            </w:pPr>
          </w:p>
        </w:tc>
        <w:tc>
          <w:tcPr>
            <w:tcW w:w="240" w:type="pct"/>
            <w:noWrap/>
            <w:vAlign w:val="center"/>
          </w:tcPr>
          <w:p w14:paraId="7F9D3296">
            <w:pPr>
              <w:tabs>
                <w:tab w:val="left" w:pos="2790"/>
              </w:tabs>
              <w:spacing w:line="220" w:lineRule="exact"/>
              <w:jc w:val="center"/>
              <w:rPr>
                <w:rFonts w:hint="eastAsia" w:ascii="宋体"/>
                <w:sz w:val="24"/>
                <w:highlight w:val="none"/>
              </w:rPr>
            </w:pPr>
          </w:p>
        </w:tc>
        <w:tc>
          <w:tcPr>
            <w:tcW w:w="302" w:type="pct"/>
            <w:noWrap/>
            <w:vAlign w:val="center"/>
          </w:tcPr>
          <w:p w14:paraId="019ADB56">
            <w:pPr>
              <w:tabs>
                <w:tab w:val="left" w:pos="2790"/>
              </w:tabs>
              <w:spacing w:line="220" w:lineRule="exact"/>
              <w:jc w:val="center"/>
              <w:rPr>
                <w:rFonts w:hint="eastAsia" w:ascii="宋体"/>
                <w:sz w:val="24"/>
                <w:highlight w:val="none"/>
              </w:rPr>
            </w:pPr>
          </w:p>
        </w:tc>
        <w:tc>
          <w:tcPr>
            <w:tcW w:w="302" w:type="pct"/>
            <w:noWrap/>
            <w:vAlign w:val="top"/>
          </w:tcPr>
          <w:p w14:paraId="56E0BCB6">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04714B40">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653F01DB">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0115E1D">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3E554DC2">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5B2C181">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76B057C">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675AA4AF">
            <w:pPr>
              <w:tabs>
                <w:tab w:val="left" w:pos="2790"/>
              </w:tabs>
              <w:spacing w:line="220" w:lineRule="exact"/>
              <w:rPr>
                <w:rFonts w:hint="eastAsia" w:ascii="宋体"/>
                <w:sz w:val="24"/>
                <w:highlight w:val="none"/>
              </w:rPr>
            </w:pPr>
            <w:r>
              <w:rPr>
                <w:rFonts w:hint="eastAsia" w:ascii="宋体"/>
                <w:sz w:val="24"/>
                <w:highlight w:val="none"/>
              </w:rPr>
              <w:t>　</w:t>
            </w:r>
          </w:p>
        </w:tc>
      </w:tr>
      <w:tr w14:paraId="434D34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1A7C5FD1">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C6AF4A6">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4F3FCBC8">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19CA0315">
            <w:pPr>
              <w:tabs>
                <w:tab w:val="left" w:pos="2790"/>
              </w:tabs>
              <w:spacing w:line="220" w:lineRule="exact"/>
              <w:jc w:val="center"/>
              <w:rPr>
                <w:rFonts w:hint="eastAsia" w:ascii="宋体"/>
                <w:sz w:val="24"/>
                <w:highlight w:val="none"/>
              </w:rPr>
            </w:pPr>
          </w:p>
        </w:tc>
        <w:tc>
          <w:tcPr>
            <w:tcW w:w="240" w:type="pct"/>
            <w:noWrap/>
            <w:vAlign w:val="center"/>
          </w:tcPr>
          <w:p w14:paraId="5DF00094">
            <w:pPr>
              <w:tabs>
                <w:tab w:val="left" w:pos="2790"/>
              </w:tabs>
              <w:spacing w:line="220" w:lineRule="exact"/>
              <w:jc w:val="center"/>
              <w:rPr>
                <w:rFonts w:hint="eastAsia" w:ascii="宋体"/>
                <w:sz w:val="24"/>
                <w:highlight w:val="none"/>
              </w:rPr>
            </w:pPr>
          </w:p>
        </w:tc>
        <w:tc>
          <w:tcPr>
            <w:tcW w:w="240" w:type="pct"/>
            <w:noWrap/>
            <w:vAlign w:val="center"/>
          </w:tcPr>
          <w:p w14:paraId="688691D1">
            <w:pPr>
              <w:tabs>
                <w:tab w:val="left" w:pos="2790"/>
              </w:tabs>
              <w:spacing w:line="220" w:lineRule="exact"/>
              <w:jc w:val="center"/>
              <w:rPr>
                <w:rFonts w:hint="eastAsia" w:ascii="宋体"/>
                <w:sz w:val="24"/>
                <w:highlight w:val="none"/>
              </w:rPr>
            </w:pPr>
          </w:p>
        </w:tc>
        <w:tc>
          <w:tcPr>
            <w:tcW w:w="364" w:type="pct"/>
            <w:noWrap/>
            <w:vAlign w:val="center"/>
          </w:tcPr>
          <w:p w14:paraId="7A2D1B3F">
            <w:pPr>
              <w:tabs>
                <w:tab w:val="left" w:pos="2790"/>
              </w:tabs>
              <w:spacing w:line="220" w:lineRule="exact"/>
              <w:jc w:val="center"/>
              <w:rPr>
                <w:rFonts w:hint="eastAsia" w:ascii="宋体"/>
                <w:sz w:val="24"/>
                <w:highlight w:val="none"/>
              </w:rPr>
            </w:pPr>
          </w:p>
        </w:tc>
        <w:tc>
          <w:tcPr>
            <w:tcW w:w="240" w:type="pct"/>
            <w:noWrap/>
            <w:vAlign w:val="center"/>
          </w:tcPr>
          <w:p w14:paraId="311DA600">
            <w:pPr>
              <w:tabs>
                <w:tab w:val="left" w:pos="2790"/>
              </w:tabs>
              <w:spacing w:line="220" w:lineRule="exact"/>
              <w:jc w:val="center"/>
              <w:rPr>
                <w:rFonts w:hint="eastAsia" w:ascii="宋体"/>
                <w:sz w:val="24"/>
                <w:highlight w:val="none"/>
              </w:rPr>
            </w:pPr>
          </w:p>
        </w:tc>
        <w:tc>
          <w:tcPr>
            <w:tcW w:w="240" w:type="pct"/>
            <w:noWrap/>
            <w:vAlign w:val="center"/>
          </w:tcPr>
          <w:p w14:paraId="2484C9AE">
            <w:pPr>
              <w:tabs>
                <w:tab w:val="left" w:pos="2790"/>
              </w:tabs>
              <w:spacing w:line="220" w:lineRule="exact"/>
              <w:jc w:val="center"/>
              <w:rPr>
                <w:rFonts w:hint="eastAsia" w:ascii="宋体"/>
                <w:sz w:val="24"/>
                <w:highlight w:val="none"/>
              </w:rPr>
            </w:pPr>
          </w:p>
        </w:tc>
        <w:tc>
          <w:tcPr>
            <w:tcW w:w="302" w:type="pct"/>
            <w:noWrap/>
            <w:vAlign w:val="center"/>
          </w:tcPr>
          <w:p w14:paraId="6266A261">
            <w:pPr>
              <w:tabs>
                <w:tab w:val="left" w:pos="2790"/>
              </w:tabs>
              <w:spacing w:line="220" w:lineRule="exact"/>
              <w:jc w:val="center"/>
              <w:rPr>
                <w:rFonts w:hint="eastAsia" w:ascii="宋体"/>
                <w:sz w:val="24"/>
                <w:highlight w:val="none"/>
              </w:rPr>
            </w:pPr>
          </w:p>
        </w:tc>
        <w:tc>
          <w:tcPr>
            <w:tcW w:w="302" w:type="pct"/>
            <w:noWrap/>
            <w:vAlign w:val="top"/>
          </w:tcPr>
          <w:p w14:paraId="13D50EDB">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6C2A893F">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03DB3D73">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62E4EA7">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7159184E">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50CA9C34">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59B3185C">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52852544">
            <w:pPr>
              <w:tabs>
                <w:tab w:val="left" w:pos="2790"/>
              </w:tabs>
              <w:spacing w:line="220" w:lineRule="exact"/>
              <w:rPr>
                <w:rFonts w:hint="eastAsia" w:ascii="宋体"/>
                <w:sz w:val="24"/>
                <w:highlight w:val="none"/>
              </w:rPr>
            </w:pPr>
            <w:r>
              <w:rPr>
                <w:rFonts w:hint="eastAsia" w:ascii="宋体"/>
                <w:sz w:val="24"/>
                <w:highlight w:val="none"/>
              </w:rPr>
              <w:t>　</w:t>
            </w:r>
          </w:p>
        </w:tc>
      </w:tr>
      <w:tr w14:paraId="6AFB73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63F3CE44">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DF5E692">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1FF881E2">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151F64FC">
            <w:pPr>
              <w:tabs>
                <w:tab w:val="left" w:pos="2790"/>
              </w:tabs>
              <w:spacing w:line="220" w:lineRule="exact"/>
              <w:jc w:val="center"/>
              <w:rPr>
                <w:rFonts w:hint="eastAsia" w:ascii="宋体"/>
                <w:sz w:val="24"/>
                <w:highlight w:val="none"/>
              </w:rPr>
            </w:pPr>
          </w:p>
        </w:tc>
        <w:tc>
          <w:tcPr>
            <w:tcW w:w="240" w:type="pct"/>
            <w:noWrap/>
            <w:vAlign w:val="center"/>
          </w:tcPr>
          <w:p w14:paraId="583A8BD5">
            <w:pPr>
              <w:tabs>
                <w:tab w:val="left" w:pos="2790"/>
              </w:tabs>
              <w:spacing w:line="220" w:lineRule="exact"/>
              <w:jc w:val="center"/>
              <w:rPr>
                <w:rFonts w:hint="eastAsia" w:ascii="宋体"/>
                <w:sz w:val="24"/>
                <w:highlight w:val="none"/>
              </w:rPr>
            </w:pPr>
          </w:p>
        </w:tc>
        <w:tc>
          <w:tcPr>
            <w:tcW w:w="240" w:type="pct"/>
            <w:noWrap/>
            <w:vAlign w:val="center"/>
          </w:tcPr>
          <w:p w14:paraId="0EAACCCF">
            <w:pPr>
              <w:tabs>
                <w:tab w:val="left" w:pos="2790"/>
              </w:tabs>
              <w:spacing w:line="220" w:lineRule="exact"/>
              <w:jc w:val="center"/>
              <w:rPr>
                <w:rFonts w:hint="eastAsia" w:ascii="宋体"/>
                <w:sz w:val="24"/>
                <w:highlight w:val="none"/>
              </w:rPr>
            </w:pPr>
          </w:p>
        </w:tc>
        <w:tc>
          <w:tcPr>
            <w:tcW w:w="364" w:type="pct"/>
            <w:noWrap/>
            <w:vAlign w:val="center"/>
          </w:tcPr>
          <w:p w14:paraId="6EAE7F33">
            <w:pPr>
              <w:tabs>
                <w:tab w:val="left" w:pos="2790"/>
              </w:tabs>
              <w:spacing w:line="220" w:lineRule="exact"/>
              <w:jc w:val="center"/>
              <w:rPr>
                <w:rFonts w:hint="eastAsia" w:ascii="宋体"/>
                <w:sz w:val="24"/>
                <w:highlight w:val="none"/>
              </w:rPr>
            </w:pPr>
          </w:p>
        </w:tc>
        <w:tc>
          <w:tcPr>
            <w:tcW w:w="240" w:type="pct"/>
            <w:noWrap/>
            <w:vAlign w:val="center"/>
          </w:tcPr>
          <w:p w14:paraId="2AE20F11">
            <w:pPr>
              <w:tabs>
                <w:tab w:val="left" w:pos="2790"/>
              </w:tabs>
              <w:spacing w:line="220" w:lineRule="exact"/>
              <w:jc w:val="center"/>
              <w:rPr>
                <w:rFonts w:hint="eastAsia" w:ascii="宋体"/>
                <w:sz w:val="24"/>
                <w:highlight w:val="none"/>
              </w:rPr>
            </w:pPr>
          </w:p>
        </w:tc>
        <w:tc>
          <w:tcPr>
            <w:tcW w:w="240" w:type="pct"/>
            <w:noWrap/>
            <w:vAlign w:val="center"/>
          </w:tcPr>
          <w:p w14:paraId="181D4D3F">
            <w:pPr>
              <w:tabs>
                <w:tab w:val="left" w:pos="2790"/>
              </w:tabs>
              <w:spacing w:line="220" w:lineRule="exact"/>
              <w:jc w:val="center"/>
              <w:rPr>
                <w:rFonts w:hint="eastAsia" w:ascii="宋体"/>
                <w:sz w:val="24"/>
                <w:highlight w:val="none"/>
              </w:rPr>
            </w:pPr>
          </w:p>
        </w:tc>
        <w:tc>
          <w:tcPr>
            <w:tcW w:w="302" w:type="pct"/>
            <w:noWrap/>
            <w:vAlign w:val="center"/>
          </w:tcPr>
          <w:p w14:paraId="526650D5">
            <w:pPr>
              <w:tabs>
                <w:tab w:val="left" w:pos="2790"/>
              </w:tabs>
              <w:spacing w:line="220" w:lineRule="exact"/>
              <w:jc w:val="center"/>
              <w:rPr>
                <w:rFonts w:hint="eastAsia" w:ascii="宋体"/>
                <w:sz w:val="24"/>
                <w:highlight w:val="none"/>
              </w:rPr>
            </w:pPr>
          </w:p>
        </w:tc>
        <w:tc>
          <w:tcPr>
            <w:tcW w:w="302" w:type="pct"/>
            <w:noWrap/>
            <w:vAlign w:val="top"/>
          </w:tcPr>
          <w:p w14:paraId="29AA9D57">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7632365F">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63EB02DE">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8ACF571">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3159DBB9">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375345A9">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3ED929C">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08204EF4">
            <w:pPr>
              <w:tabs>
                <w:tab w:val="left" w:pos="2790"/>
              </w:tabs>
              <w:spacing w:line="220" w:lineRule="exact"/>
              <w:rPr>
                <w:rFonts w:hint="eastAsia" w:ascii="宋体"/>
                <w:sz w:val="24"/>
                <w:highlight w:val="none"/>
              </w:rPr>
            </w:pPr>
            <w:r>
              <w:rPr>
                <w:rFonts w:hint="eastAsia" w:ascii="宋体"/>
                <w:sz w:val="24"/>
                <w:highlight w:val="none"/>
              </w:rPr>
              <w:t>　</w:t>
            </w:r>
          </w:p>
        </w:tc>
      </w:tr>
      <w:tr w14:paraId="638596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510EC106">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EB60DEA">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1B0862CF">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4D3BD8C4">
            <w:pPr>
              <w:tabs>
                <w:tab w:val="left" w:pos="2790"/>
              </w:tabs>
              <w:spacing w:line="220" w:lineRule="exact"/>
              <w:jc w:val="center"/>
              <w:rPr>
                <w:rFonts w:hint="eastAsia" w:ascii="宋体"/>
                <w:sz w:val="24"/>
                <w:highlight w:val="none"/>
              </w:rPr>
            </w:pPr>
          </w:p>
        </w:tc>
        <w:tc>
          <w:tcPr>
            <w:tcW w:w="240" w:type="pct"/>
            <w:noWrap/>
            <w:vAlign w:val="center"/>
          </w:tcPr>
          <w:p w14:paraId="05F38419">
            <w:pPr>
              <w:tabs>
                <w:tab w:val="left" w:pos="2790"/>
              </w:tabs>
              <w:spacing w:line="220" w:lineRule="exact"/>
              <w:jc w:val="center"/>
              <w:rPr>
                <w:rFonts w:hint="eastAsia" w:ascii="宋体"/>
                <w:sz w:val="24"/>
                <w:highlight w:val="none"/>
              </w:rPr>
            </w:pPr>
          </w:p>
        </w:tc>
        <w:tc>
          <w:tcPr>
            <w:tcW w:w="240" w:type="pct"/>
            <w:noWrap/>
            <w:vAlign w:val="center"/>
          </w:tcPr>
          <w:p w14:paraId="5F21CB87">
            <w:pPr>
              <w:tabs>
                <w:tab w:val="left" w:pos="2790"/>
              </w:tabs>
              <w:spacing w:line="220" w:lineRule="exact"/>
              <w:jc w:val="center"/>
              <w:rPr>
                <w:rFonts w:hint="eastAsia" w:ascii="宋体"/>
                <w:sz w:val="24"/>
                <w:highlight w:val="none"/>
              </w:rPr>
            </w:pPr>
          </w:p>
        </w:tc>
        <w:tc>
          <w:tcPr>
            <w:tcW w:w="364" w:type="pct"/>
            <w:noWrap/>
            <w:vAlign w:val="center"/>
          </w:tcPr>
          <w:p w14:paraId="061501DA">
            <w:pPr>
              <w:tabs>
                <w:tab w:val="left" w:pos="2790"/>
              </w:tabs>
              <w:spacing w:line="220" w:lineRule="exact"/>
              <w:jc w:val="center"/>
              <w:rPr>
                <w:rFonts w:hint="eastAsia" w:ascii="宋体"/>
                <w:sz w:val="24"/>
                <w:highlight w:val="none"/>
              </w:rPr>
            </w:pPr>
          </w:p>
        </w:tc>
        <w:tc>
          <w:tcPr>
            <w:tcW w:w="240" w:type="pct"/>
            <w:noWrap/>
            <w:vAlign w:val="center"/>
          </w:tcPr>
          <w:p w14:paraId="079A32D8">
            <w:pPr>
              <w:tabs>
                <w:tab w:val="left" w:pos="2790"/>
              </w:tabs>
              <w:spacing w:line="220" w:lineRule="exact"/>
              <w:jc w:val="center"/>
              <w:rPr>
                <w:rFonts w:hint="eastAsia" w:ascii="宋体"/>
                <w:sz w:val="24"/>
                <w:highlight w:val="none"/>
              </w:rPr>
            </w:pPr>
          </w:p>
        </w:tc>
        <w:tc>
          <w:tcPr>
            <w:tcW w:w="240" w:type="pct"/>
            <w:noWrap/>
            <w:vAlign w:val="center"/>
          </w:tcPr>
          <w:p w14:paraId="528D74F6">
            <w:pPr>
              <w:tabs>
                <w:tab w:val="left" w:pos="2790"/>
              </w:tabs>
              <w:spacing w:line="220" w:lineRule="exact"/>
              <w:jc w:val="center"/>
              <w:rPr>
                <w:rFonts w:hint="eastAsia" w:ascii="宋体"/>
                <w:sz w:val="24"/>
                <w:highlight w:val="none"/>
              </w:rPr>
            </w:pPr>
          </w:p>
        </w:tc>
        <w:tc>
          <w:tcPr>
            <w:tcW w:w="302" w:type="pct"/>
            <w:noWrap/>
            <w:vAlign w:val="center"/>
          </w:tcPr>
          <w:p w14:paraId="72436005">
            <w:pPr>
              <w:tabs>
                <w:tab w:val="left" w:pos="2790"/>
              </w:tabs>
              <w:spacing w:line="220" w:lineRule="exact"/>
              <w:jc w:val="center"/>
              <w:rPr>
                <w:rFonts w:hint="eastAsia" w:ascii="宋体"/>
                <w:sz w:val="24"/>
                <w:highlight w:val="none"/>
              </w:rPr>
            </w:pPr>
          </w:p>
        </w:tc>
        <w:tc>
          <w:tcPr>
            <w:tcW w:w="302" w:type="pct"/>
            <w:noWrap/>
            <w:vAlign w:val="top"/>
          </w:tcPr>
          <w:p w14:paraId="1627647B">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247445EF">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6EC205F7">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D105AB3">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549248E4">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5BCF0FE3">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32F45F96">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6D0FA046">
            <w:pPr>
              <w:tabs>
                <w:tab w:val="left" w:pos="2790"/>
              </w:tabs>
              <w:spacing w:line="220" w:lineRule="exact"/>
              <w:rPr>
                <w:rFonts w:hint="eastAsia" w:ascii="宋体"/>
                <w:sz w:val="24"/>
                <w:highlight w:val="none"/>
              </w:rPr>
            </w:pPr>
            <w:r>
              <w:rPr>
                <w:rFonts w:hint="eastAsia" w:ascii="宋体"/>
                <w:sz w:val="24"/>
                <w:highlight w:val="none"/>
              </w:rPr>
              <w:t>　</w:t>
            </w:r>
          </w:p>
        </w:tc>
      </w:tr>
      <w:tr w14:paraId="70E6CD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4FA8BBDC">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02CA40F7">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6D7D1CA2">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5301BE22">
            <w:pPr>
              <w:tabs>
                <w:tab w:val="left" w:pos="2790"/>
              </w:tabs>
              <w:spacing w:line="220" w:lineRule="exact"/>
              <w:jc w:val="center"/>
              <w:rPr>
                <w:rFonts w:hint="eastAsia" w:ascii="宋体"/>
                <w:sz w:val="24"/>
                <w:highlight w:val="none"/>
              </w:rPr>
            </w:pPr>
          </w:p>
        </w:tc>
        <w:tc>
          <w:tcPr>
            <w:tcW w:w="240" w:type="pct"/>
            <w:noWrap/>
            <w:vAlign w:val="center"/>
          </w:tcPr>
          <w:p w14:paraId="3FADDFBD">
            <w:pPr>
              <w:tabs>
                <w:tab w:val="left" w:pos="2790"/>
              </w:tabs>
              <w:spacing w:line="220" w:lineRule="exact"/>
              <w:jc w:val="center"/>
              <w:rPr>
                <w:rFonts w:hint="eastAsia" w:ascii="宋体"/>
                <w:sz w:val="24"/>
                <w:highlight w:val="none"/>
              </w:rPr>
            </w:pPr>
          </w:p>
        </w:tc>
        <w:tc>
          <w:tcPr>
            <w:tcW w:w="240" w:type="pct"/>
            <w:noWrap/>
            <w:vAlign w:val="center"/>
          </w:tcPr>
          <w:p w14:paraId="5B202EF9">
            <w:pPr>
              <w:tabs>
                <w:tab w:val="left" w:pos="2790"/>
              </w:tabs>
              <w:spacing w:line="220" w:lineRule="exact"/>
              <w:jc w:val="center"/>
              <w:rPr>
                <w:rFonts w:hint="eastAsia" w:ascii="宋体"/>
                <w:sz w:val="24"/>
                <w:highlight w:val="none"/>
              </w:rPr>
            </w:pPr>
          </w:p>
        </w:tc>
        <w:tc>
          <w:tcPr>
            <w:tcW w:w="364" w:type="pct"/>
            <w:noWrap/>
            <w:vAlign w:val="center"/>
          </w:tcPr>
          <w:p w14:paraId="3FBB2718">
            <w:pPr>
              <w:tabs>
                <w:tab w:val="left" w:pos="2790"/>
              </w:tabs>
              <w:spacing w:line="220" w:lineRule="exact"/>
              <w:jc w:val="center"/>
              <w:rPr>
                <w:rFonts w:hint="eastAsia" w:ascii="宋体"/>
                <w:sz w:val="24"/>
                <w:highlight w:val="none"/>
              </w:rPr>
            </w:pPr>
          </w:p>
        </w:tc>
        <w:tc>
          <w:tcPr>
            <w:tcW w:w="240" w:type="pct"/>
            <w:noWrap/>
            <w:vAlign w:val="center"/>
          </w:tcPr>
          <w:p w14:paraId="5960B75B">
            <w:pPr>
              <w:tabs>
                <w:tab w:val="left" w:pos="2790"/>
              </w:tabs>
              <w:spacing w:line="220" w:lineRule="exact"/>
              <w:jc w:val="center"/>
              <w:rPr>
                <w:rFonts w:hint="eastAsia" w:ascii="宋体"/>
                <w:sz w:val="24"/>
                <w:highlight w:val="none"/>
              </w:rPr>
            </w:pPr>
          </w:p>
        </w:tc>
        <w:tc>
          <w:tcPr>
            <w:tcW w:w="240" w:type="pct"/>
            <w:noWrap/>
            <w:vAlign w:val="center"/>
          </w:tcPr>
          <w:p w14:paraId="713A47A0">
            <w:pPr>
              <w:tabs>
                <w:tab w:val="left" w:pos="2790"/>
              </w:tabs>
              <w:spacing w:line="220" w:lineRule="exact"/>
              <w:jc w:val="center"/>
              <w:rPr>
                <w:rFonts w:hint="eastAsia" w:ascii="宋体"/>
                <w:sz w:val="24"/>
                <w:highlight w:val="none"/>
              </w:rPr>
            </w:pPr>
          </w:p>
        </w:tc>
        <w:tc>
          <w:tcPr>
            <w:tcW w:w="302" w:type="pct"/>
            <w:noWrap/>
            <w:vAlign w:val="center"/>
          </w:tcPr>
          <w:p w14:paraId="15A0C31C">
            <w:pPr>
              <w:tabs>
                <w:tab w:val="left" w:pos="2790"/>
              </w:tabs>
              <w:spacing w:line="220" w:lineRule="exact"/>
              <w:jc w:val="center"/>
              <w:rPr>
                <w:rFonts w:hint="eastAsia" w:ascii="宋体"/>
                <w:sz w:val="24"/>
                <w:highlight w:val="none"/>
              </w:rPr>
            </w:pPr>
          </w:p>
        </w:tc>
        <w:tc>
          <w:tcPr>
            <w:tcW w:w="302" w:type="pct"/>
            <w:noWrap/>
            <w:vAlign w:val="top"/>
          </w:tcPr>
          <w:p w14:paraId="2A562486">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67D7E5BF">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24FCB62A">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108CAFE2">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08F0CB5D">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C89F52A">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11FBE66">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63E98E80">
            <w:pPr>
              <w:tabs>
                <w:tab w:val="left" w:pos="2790"/>
              </w:tabs>
              <w:spacing w:line="220" w:lineRule="exact"/>
              <w:rPr>
                <w:rFonts w:hint="eastAsia" w:ascii="宋体"/>
                <w:sz w:val="24"/>
                <w:highlight w:val="none"/>
              </w:rPr>
            </w:pPr>
            <w:r>
              <w:rPr>
                <w:rFonts w:hint="eastAsia" w:ascii="宋体"/>
                <w:sz w:val="24"/>
                <w:highlight w:val="none"/>
              </w:rPr>
              <w:t>　</w:t>
            </w:r>
          </w:p>
        </w:tc>
      </w:tr>
      <w:tr w14:paraId="2BBEE8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5D764489">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3D9D4F3F">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73DE9564">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6BA444D3">
            <w:pPr>
              <w:tabs>
                <w:tab w:val="left" w:pos="2790"/>
              </w:tabs>
              <w:spacing w:line="220" w:lineRule="exact"/>
              <w:jc w:val="center"/>
              <w:rPr>
                <w:rFonts w:hint="eastAsia" w:ascii="宋体"/>
                <w:sz w:val="24"/>
                <w:highlight w:val="none"/>
              </w:rPr>
            </w:pPr>
          </w:p>
        </w:tc>
        <w:tc>
          <w:tcPr>
            <w:tcW w:w="240" w:type="pct"/>
            <w:noWrap/>
            <w:vAlign w:val="center"/>
          </w:tcPr>
          <w:p w14:paraId="3624BFB8">
            <w:pPr>
              <w:tabs>
                <w:tab w:val="left" w:pos="2790"/>
              </w:tabs>
              <w:spacing w:line="220" w:lineRule="exact"/>
              <w:jc w:val="center"/>
              <w:rPr>
                <w:rFonts w:hint="eastAsia" w:ascii="宋体"/>
                <w:sz w:val="24"/>
                <w:highlight w:val="none"/>
              </w:rPr>
            </w:pPr>
          </w:p>
        </w:tc>
        <w:tc>
          <w:tcPr>
            <w:tcW w:w="240" w:type="pct"/>
            <w:noWrap/>
            <w:vAlign w:val="center"/>
          </w:tcPr>
          <w:p w14:paraId="6E535380">
            <w:pPr>
              <w:tabs>
                <w:tab w:val="left" w:pos="2790"/>
              </w:tabs>
              <w:spacing w:line="220" w:lineRule="exact"/>
              <w:jc w:val="center"/>
              <w:rPr>
                <w:rFonts w:hint="eastAsia" w:ascii="宋体"/>
                <w:sz w:val="24"/>
                <w:highlight w:val="none"/>
              </w:rPr>
            </w:pPr>
          </w:p>
        </w:tc>
        <w:tc>
          <w:tcPr>
            <w:tcW w:w="364" w:type="pct"/>
            <w:noWrap/>
            <w:vAlign w:val="center"/>
          </w:tcPr>
          <w:p w14:paraId="343E33A5">
            <w:pPr>
              <w:tabs>
                <w:tab w:val="left" w:pos="2790"/>
              </w:tabs>
              <w:spacing w:line="220" w:lineRule="exact"/>
              <w:jc w:val="center"/>
              <w:rPr>
                <w:rFonts w:hint="eastAsia" w:ascii="宋体"/>
                <w:sz w:val="24"/>
                <w:highlight w:val="none"/>
              </w:rPr>
            </w:pPr>
          </w:p>
        </w:tc>
        <w:tc>
          <w:tcPr>
            <w:tcW w:w="240" w:type="pct"/>
            <w:noWrap/>
            <w:vAlign w:val="center"/>
          </w:tcPr>
          <w:p w14:paraId="784F04AF">
            <w:pPr>
              <w:tabs>
                <w:tab w:val="left" w:pos="2790"/>
              </w:tabs>
              <w:spacing w:line="220" w:lineRule="exact"/>
              <w:jc w:val="center"/>
              <w:rPr>
                <w:rFonts w:hint="eastAsia" w:ascii="宋体"/>
                <w:sz w:val="24"/>
                <w:highlight w:val="none"/>
              </w:rPr>
            </w:pPr>
          </w:p>
        </w:tc>
        <w:tc>
          <w:tcPr>
            <w:tcW w:w="240" w:type="pct"/>
            <w:noWrap/>
            <w:vAlign w:val="center"/>
          </w:tcPr>
          <w:p w14:paraId="0AF90A21">
            <w:pPr>
              <w:tabs>
                <w:tab w:val="left" w:pos="2790"/>
              </w:tabs>
              <w:spacing w:line="220" w:lineRule="exact"/>
              <w:jc w:val="center"/>
              <w:rPr>
                <w:rFonts w:hint="eastAsia" w:ascii="宋体"/>
                <w:sz w:val="24"/>
                <w:highlight w:val="none"/>
              </w:rPr>
            </w:pPr>
          </w:p>
        </w:tc>
        <w:tc>
          <w:tcPr>
            <w:tcW w:w="302" w:type="pct"/>
            <w:noWrap/>
            <w:vAlign w:val="center"/>
          </w:tcPr>
          <w:p w14:paraId="0B6687B0">
            <w:pPr>
              <w:tabs>
                <w:tab w:val="left" w:pos="2790"/>
              </w:tabs>
              <w:spacing w:line="220" w:lineRule="exact"/>
              <w:jc w:val="center"/>
              <w:rPr>
                <w:rFonts w:hint="eastAsia" w:ascii="宋体"/>
                <w:sz w:val="24"/>
                <w:highlight w:val="none"/>
              </w:rPr>
            </w:pPr>
          </w:p>
        </w:tc>
        <w:tc>
          <w:tcPr>
            <w:tcW w:w="302" w:type="pct"/>
            <w:noWrap/>
            <w:vAlign w:val="top"/>
          </w:tcPr>
          <w:p w14:paraId="7713C5A4">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6AA33E8E">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24ACF3D4">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2F2761B">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5C6EB2EF">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364798B0">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A5D24FA">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31025C02">
            <w:pPr>
              <w:tabs>
                <w:tab w:val="left" w:pos="2790"/>
              </w:tabs>
              <w:spacing w:line="220" w:lineRule="exact"/>
              <w:rPr>
                <w:rFonts w:hint="eastAsia" w:ascii="宋体"/>
                <w:sz w:val="24"/>
                <w:highlight w:val="none"/>
              </w:rPr>
            </w:pPr>
            <w:r>
              <w:rPr>
                <w:rFonts w:hint="eastAsia" w:ascii="宋体"/>
                <w:sz w:val="24"/>
                <w:highlight w:val="none"/>
              </w:rPr>
              <w:t>　</w:t>
            </w:r>
          </w:p>
        </w:tc>
      </w:tr>
      <w:tr w14:paraId="326E67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3C21966B">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0374D589">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4527D882">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0065A56E">
            <w:pPr>
              <w:tabs>
                <w:tab w:val="left" w:pos="2790"/>
              </w:tabs>
              <w:spacing w:line="220" w:lineRule="exact"/>
              <w:jc w:val="center"/>
              <w:rPr>
                <w:rFonts w:hint="eastAsia" w:ascii="宋体"/>
                <w:sz w:val="24"/>
                <w:highlight w:val="none"/>
              </w:rPr>
            </w:pPr>
          </w:p>
        </w:tc>
        <w:tc>
          <w:tcPr>
            <w:tcW w:w="240" w:type="pct"/>
            <w:noWrap/>
            <w:vAlign w:val="center"/>
          </w:tcPr>
          <w:p w14:paraId="71D5B734">
            <w:pPr>
              <w:tabs>
                <w:tab w:val="left" w:pos="2790"/>
              </w:tabs>
              <w:spacing w:line="220" w:lineRule="exact"/>
              <w:jc w:val="center"/>
              <w:rPr>
                <w:rFonts w:hint="eastAsia" w:ascii="宋体"/>
                <w:sz w:val="24"/>
                <w:highlight w:val="none"/>
              </w:rPr>
            </w:pPr>
          </w:p>
        </w:tc>
        <w:tc>
          <w:tcPr>
            <w:tcW w:w="240" w:type="pct"/>
            <w:noWrap/>
            <w:vAlign w:val="center"/>
          </w:tcPr>
          <w:p w14:paraId="4D01EF69">
            <w:pPr>
              <w:tabs>
                <w:tab w:val="left" w:pos="2790"/>
              </w:tabs>
              <w:spacing w:line="220" w:lineRule="exact"/>
              <w:jc w:val="center"/>
              <w:rPr>
                <w:rFonts w:hint="eastAsia" w:ascii="宋体"/>
                <w:sz w:val="24"/>
                <w:highlight w:val="none"/>
              </w:rPr>
            </w:pPr>
          </w:p>
        </w:tc>
        <w:tc>
          <w:tcPr>
            <w:tcW w:w="364" w:type="pct"/>
            <w:noWrap/>
            <w:vAlign w:val="center"/>
          </w:tcPr>
          <w:p w14:paraId="3F4ACFC5">
            <w:pPr>
              <w:tabs>
                <w:tab w:val="left" w:pos="2790"/>
              </w:tabs>
              <w:spacing w:line="220" w:lineRule="exact"/>
              <w:jc w:val="center"/>
              <w:rPr>
                <w:rFonts w:hint="eastAsia" w:ascii="宋体"/>
                <w:sz w:val="24"/>
                <w:highlight w:val="none"/>
              </w:rPr>
            </w:pPr>
          </w:p>
        </w:tc>
        <w:tc>
          <w:tcPr>
            <w:tcW w:w="240" w:type="pct"/>
            <w:noWrap/>
            <w:vAlign w:val="center"/>
          </w:tcPr>
          <w:p w14:paraId="5C7ED600">
            <w:pPr>
              <w:tabs>
                <w:tab w:val="left" w:pos="2790"/>
              </w:tabs>
              <w:spacing w:line="220" w:lineRule="exact"/>
              <w:jc w:val="center"/>
              <w:rPr>
                <w:rFonts w:hint="eastAsia" w:ascii="宋体"/>
                <w:sz w:val="24"/>
                <w:highlight w:val="none"/>
              </w:rPr>
            </w:pPr>
          </w:p>
        </w:tc>
        <w:tc>
          <w:tcPr>
            <w:tcW w:w="240" w:type="pct"/>
            <w:noWrap/>
            <w:vAlign w:val="center"/>
          </w:tcPr>
          <w:p w14:paraId="6EB7F725">
            <w:pPr>
              <w:tabs>
                <w:tab w:val="left" w:pos="2790"/>
              </w:tabs>
              <w:spacing w:line="220" w:lineRule="exact"/>
              <w:jc w:val="center"/>
              <w:rPr>
                <w:rFonts w:hint="eastAsia" w:ascii="宋体"/>
                <w:sz w:val="24"/>
                <w:highlight w:val="none"/>
              </w:rPr>
            </w:pPr>
          </w:p>
        </w:tc>
        <w:tc>
          <w:tcPr>
            <w:tcW w:w="302" w:type="pct"/>
            <w:noWrap/>
            <w:vAlign w:val="center"/>
          </w:tcPr>
          <w:p w14:paraId="7AED394F">
            <w:pPr>
              <w:tabs>
                <w:tab w:val="left" w:pos="2790"/>
              </w:tabs>
              <w:spacing w:line="220" w:lineRule="exact"/>
              <w:jc w:val="center"/>
              <w:rPr>
                <w:rFonts w:hint="eastAsia" w:ascii="宋体"/>
                <w:sz w:val="24"/>
                <w:highlight w:val="none"/>
              </w:rPr>
            </w:pPr>
          </w:p>
        </w:tc>
        <w:tc>
          <w:tcPr>
            <w:tcW w:w="302" w:type="pct"/>
            <w:noWrap/>
            <w:vAlign w:val="top"/>
          </w:tcPr>
          <w:p w14:paraId="7EB9E80C">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2A4E09C7">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41796860">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5138F28">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2A7A0CED">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4FF0627C">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84D3DD0">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25B636DC">
            <w:pPr>
              <w:tabs>
                <w:tab w:val="left" w:pos="2790"/>
              </w:tabs>
              <w:spacing w:line="220" w:lineRule="exact"/>
              <w:rPr>
                <w:rFonts w:hint="eastAsia" w:ascii="宋体"/>
                <w:sz w:val="24"/>
                <w:highlight w:val="none"/>
              </w:rPr>
            </w:pPr>
            <w:r>
              <w:rPr>
                <w:rFonts w:hint="eastAsia" w:ascii="宋体"/>
                <w:sz w:val="24"/>
                <w:highlight w:val="none"/>
              </w:rPr>
              <w:t>　</w:t>
            </w:r>
          </w:p>
        </w:tc>
      </w:tr>
      <w:tr w14:paraId="184721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49CA5752">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4C7F89CE">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210954E4">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48AC69AF">
            <w:pPr>
              <w:tabs>
                <w:tab w:val="left" w:pos="2790"/>
              </w:tabs>
              <w:spacing w:line="220" w:lineRule="exact"/>
              <w:jc w:val="center"/>
              <w:rPr>
                <w:rFonts w:hint="eastAsia" w:ascii="宋体"/>
                <w:sz w:val="24"/>
                <w:highlight w:val="none"/>
              </w:rPr>
            </w:pPr>
          </w:p>
        </w:tc>
        <w:tc>
          <w:tcPr>
            <w:tcW w:w="240" w:type="pct"/>
            <w:noWrap/>
            <w:vAlign w:val="center"/>
          </w:tcPr>
          <w:p w14:paraId="49F760E4">
            <w:pPr>
              <w:tabs>
                <w:tab w:val="left" w:pos="2790"/>
              </w:tabs>
              <w:spacing w:line="220" w:lineRule="exact"/>
              <w:jc w:val="center"/>
              <w:rPr>
                <w:rFonts w:hint="eastAsia" w:ascii="宋体"/>
                <w:sz w:val="24"/>
                <w:highlight w:val="none"/>
              </w:rPr>
            </w:pPr>
          </w:p>
        </w:tc>
        <w:tc>
          <w:tcPr>
            <w:tcW w:w="240" w:type="pct"/>
            <w:noWrap/>
            <w:vAlign w:val="center"/>
          </w:tcPr>
          <w:p w14:paraId="6471E799">
            <w:pPr>
              <w:tabs>
                <w:tab w:val="left" w:pos="2790"/>
              </w:tabs>
              <w:spacing w:line="220" w:lineRule="exact"/>
              <w:jc w:val="center"/>
              <w:rPr>
                <w:rFonts w:hint="eastAsia" w:ascii="宋体"/>
                <w:sz w:val="24"/>
                <w:highlight w:val="none"/>
              </w:rPr>
            </w:pPr>
          </w:p>
        </w:tc>
        <w:tc>
          <w:tcPr>
            <w:tcW w:w="364" w:type="pct"/>
            <w:noWrap/>
            <w:vAlign w:val="center"/>
          </w:tcPr>
          <w:p w14:paraId="260363FB">
            <w:pPr>
              <w:tabs>
                <w:tab w:val="left" w:pos="2790"/>
              </w:tabs>
              <w:spacing w:line="220" w:lineRule="exact"/>
              <w:jc w:val="center"/>
              <w:rPr>
                <w:rFonts w:hint="eastAsia" w:ascii="宋体"/>
                <w:sz w:val="24"/>
                <w:highlight w:val="none"/>
              </w:rPr>
            </w:pPr>
          </w:p>
        </w:tc>
        <w:tc>
          <w:tcPr>
            <w:tcW w:w="240" w:type="pct"/>
            <w:noWrap/>
            <w:vAlign w:val="center"/>
          </w:tcPr>
          <w:p w14:paraId="3F5ED55E">
            <w:pPr>
              <w:tabs>
                <w:tab w:val="left" w:pos="2790"/>
              </w:tabs>
              <w:spacing w:line="220" w:lineRule="exact"/>
              <w:jc w:val="center"/>
              <w:rPr>
                <w:rFonts w:hint="eastAsia" w:ascii="宋体"/>
                <w:sz w:val="24"/>
                <w:highlight w:val="none"/>
              </w:rPr>
            </w:pPr>
          </w:p>
        </w:tc>
        <w:tc>
          <w:tcPr>
            <w:tcW w:w="240" w:type="pct"/>
            <w:noWrap/>
            <w:vAlign w:val="center"/>
          </w:tcPr>
          <w:p w14:paraId="59A296F2">
            <w:pPr>
              <w:tabs>
                <w:tab w:val="left" w:pos="2790"/>
              </w:tabs>
              <w:spacing w:line="220" w:lineRule="exact"/>
              <w:jc w:val="center"/>
              <w:rPr>
                <w:rFonts w:hint="eastAsia" w:ascii="宋体"/>
                <w:sz w:val="24"/>
                <w:highlight w:val="none"/>
              </w:rPr>
            </w:pPr>
          </w:p>
        </w:tc>
        <w:tc>
          <w:tcPr>
            <w:tcW w:w="302" w:type="pct"/>
            <w:noWrap/>
            <w:vAlign w:val="center"/>
          </w:tcPr>
          <w:p w14:paraId="7D213C13">
            <w:pPr>
              <w:tabs>
                <w:tab w:val="left" w:pos="2790"/>
              </w:tabs>
              <w:spacing w:line="220" w:lineRule="exact"/>
              <w:jc w:val="center"/>
              <w:rPr>
                <w:rFonts w:hint="eastAsia" w:ascii="宋体"/>
                <w:sz w:val="24"/>
                <w:highlight w:val="none"/>
              </w:rPr>
            </w:pPr>
          </w:p>
        </w:tc>
        <w:tc>
          <w:tcPr>
            <w:tcW w:w="302" w:type="pct"/>
            <w:noWrap/>
            <w:vAlign w:val="top"/>
          </w:tcPr>
          <w:p w14:paraId="66264239">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4F25B57B">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4E2170C9">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3B5271F7">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0F635FEA">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3D74352">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48E19FD2">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75F8AC03">
            <w:pPr>
              <w:tabs>
                <w:tab w:val="left" w:pos="2790"/>
              </w:tabs>
              <w:spacing w:line="220" w:lineRule="exact"/>
              <w:rPr>
                <w:rFonts w:hint="eastAsia" w:ascii="宋体"/>
                <w:sz w:val="24"/>
                <w:highlight w:val="none"/>
              </w:rPr>
            </w:pPr>
            <w:r>
              <w:rPr>
                <w:rFonts w:hint="eastAsia" w:ascii="宋体"/>
                <w:sz w:val="24"/>
                <w:highlight w:val="none"/>
              </w:rPr>
              <w:t>　</w:t>
            </w:r>
          </w:p>
        </w:tc>
      </w:tr>
      <w:tr w14:paraId="04968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59E902EA">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E657183">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48E40861">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77FCBB09">
            <w:pPr>
              <w:tabs>
                <w:tab w:val="left" w:pos="2790"/>
              </w:tabs>
              <w:spacing w:line="220" w:lineRule="exact"/>
              <w:jc w:val="center"/>
              <w:rPr>
                <w:rFonts w:hint="eastAsia" w:ascii="宋体"/>
                <w:sz w:val="24"/>
                <w:highlight w:val="none"/>
              </w:rPr>
            </w:pPr>
          </w:p>
        </w:tc>
        <w:tc>
          <w:tcPr>
            <w:tcW w:w="240" w:type="pct"/>
            <w:noWrap/>
            <w:vAlign w:val="center"/>
          </w:tcPr>
          <w:p w14:paraId="75C4DB72">
            <w:pPr>
              <w:tabs>
                <w:tab w:val="left" w:pos="2790"/>
              </w:tabs>
              <w:spacing w:line="220" w:lineRule="exact"/>
              <w:jc w:val="center"/>
              <w:rPr>
                <w:rFonts w:hint="eastAsia" w:ascii="宋体"/>
                <w:sz w:val="24"/>
                <w:highlight w:val="none"/>
              </w:rPr>
            </w:pPr>
          </w:p>
        </w:tc>
        <w:tc>
          <w:tcPr>
            <w:tcW w:w="240" w:type="pct"/>
            <w:noWrap/>
            <w:vAlign w:val="center"/>
          </w:tcPr>
          <w:p w14:paraId="1E08D304">
            <w:pPr>
              <w:tabs>
                <w:tab w:val="left" w:pos="2790"/>
              </w:tabs>
              <w:spacing w:line="220" w:lineRule="exact"/>
              <w:jc w:val="center"/>
              <w:rPr>
                <w:rFonts w:hint="eastAsia" w:ascii="宋体"/>
                <w:sz w:val="24"/>
                <w:highlight w:val="none"/>
              </w:rPr>
            </w:pPr>
          </w:p>
        </w:tc>
        <w:tc>
          <w:tcPr>
            <w:tcW w:w="364" w:type="pct"/>
            <w:noWrap/>
            <w:vAlign w:val="center"/>
          </w:tcPr>
          <w:p w14:paraId="5ECAE3C0">
            <w:pPr>
              <w:tabs>
                <w:tab w:val="left" w:pos="2790"/>
              </w:tabs>
              <w:spacing w:line="220" w:lineRule="exact"/>
              <w:jc w:val="center"/>
              <w:rPr>
                <w:rFonts w:hint="eastAsia" w:ascii="宋体"/>
                <w:sz w:val="24"/>
                <w:highlight w:val="none"/>
              </w:rPr>
            </w:pPr>
          </w:p>
        </w:tc>
        <w:tc>
          <w:tcPr>
            <w:tcW w:w="240" w:type="pct"/>
            <w:noWrap/>
            <w:vAlign w:val="center"/>
          </w:tcPr>
          <w:p w14:paraId="2B1CB231">
            <w:pPr>
              <w:tabs>
                <w:tab w:val="left" w:pos="2790"/>
              </w:tabs>
              <w:spacing w:line="220" w:lineRule="exact"/>
              <w:jc w:val="center"/>
              <w:rPr>
                <w:rFonts w:hint="eastAsia" w:ascii="宋体"/>
                <w:sz w:val="24"/>
                <w:highlight w:val="none"/>
              </w:rPr>
            </w:pPr>
          </w:p>
        </w:tc>
        <w:tc>
          <w:tcPr>
            <w:tcW w:w="240" w:type="pct"/>
            <w:noWrap/>
            <w:vAlign w:val="center"/>
          </w:tcPr>
          <w:p w14:paraId="639EE2E3">
            <w:pPr>
              <w:tabs>
                <w:tab w:val="left" w:pos="2790"/>
              </w:tabs>
              <w:spacing w:line="220" w:lineRule="exact"/>
              <w:jc w:val="center"/>
              <w:rPr>
                <w:rFonts w:hint="eastAsia" w:ascii="宋体"/>
                <w:sz w:val="24"/>
                <w:highlight w:val="none"/>
              </w:rPr>
            </w:pPr>
          </w:p>
        </w:tc>
        <w:tc>
          <w:tcPr>
            <w:tcW w:w="302" w:type="pct"/>
            <w:noWrap/>
            <w:vAlign w:val="center"/>
          </w:tcPr>
          <w:p w14:paraId="7C811C4F">
            <w:pPr>
              <w:tabs>
                <w:tab w:val="left" w:pos="2790"/>
              </w:tabs>
              <w:spacing w:line="220" w:lineRule="exact"/>
              <w:jc w:val="center"/>
              <w:rPr>
                <w:rFonts w:hint="eastAsia" w:ascii="宋体"/>
                <w:sz w:val="24"/>
                <w:highlight w:val="none"/>
              </w:rPr>
            </w:pPr>
          </w:p>
        </w:tc>
        <w:tc>
          <w:tcPr>
            <w:tcW w:w="302" w:type="pct"/>
            <w:noWrap/>
            <w:vAlign w:val="top"/>
          </w:tcPr>
          <w:p w14:paraId="3FE0B339">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7BC36A6C">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1E65C2F1">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CDC7936">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27268F38">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2DD8BE0">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04335437">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0886A808">
            <w:pPr>
              <w:tabs>
                <w:tab w:val="left" w:pos="2790"/>
              </w:tabs>
              <w:spacing w:line="220" w:lineRule="exact"/>
              <w:rPr>
                <w:rFonts w:hint="eastAsia" w:ascii="宋体"/>
                <w:sz w:val="24"/>
                <w:highlight w:val="none"/>
              </w:rPr>
            </w:pPr>
            <w:r>
              <w:rPr>
                <w:rFonts w:hint="eastAsia" w:ascii="宋体"/>
                <w:sz w:val="24"/>
                <w:highlight w:val="none"/>
              </w:rPr>
              <w:t>　</w:t>
            </w:r>
          </w:p>
        </w:tc>
      </w:tr>
      <w:tr w14:paraId="298DCF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737A3D22">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77AE8534">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135B47C7">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531FD215">
            <w:pPr>
              <w:tabs>
                <w:tab w:val="left" w:pos="2790"/>
              </w:tabs>
              <w:spacing w:line="220" w:lineRule="exact"/>
              <w:jc w:val="center"/>
              <w:rPr>
                <w:rFonts w:hint="eastAsia" w:ascii="宋体"/>
                <w:sz w:val="24"/>
                <w:highlight w:val="none"/>
              </w:rPr>
            </w:pPr>
          </w:p>
        </w:tc>
        <w:tc>
          <w:tcPr>
            <w:tcW w:w="240" w:type="pct"/>
            <w:noWrap/>
            <w:vAlign w:val="center"/>
          </w:tcPr>
          <w:p w14:paraId="11BFF556">
            <w:pPr>
              <w:tabs>
                <w:tab w:val="left" w:pos="2790"/>
              </w:tabs>
              <w:spacing w:line="220" w:lineRule="exact"/>
              <w:jc w:val="center"/>
              <w:rPr>
                <w:rFonts w:hint="eastAsia" w:ascii="宋体"/>
                <w:sz w:val="24"/>
                <w:highlight w:val="none"/>
              </w:rPr>
            </w:pPr>
          </w:p>
        </w:tc>
        <w:tc>
          <w:tcPr>
            <w:tcW w:w="240" w:type="pct"/>
            <w:noWrap/>
            <w:vAlign w:val="center"/>
          </w:tcPr>
          <w:p w14:paraId="0D8A55BF">
            <w:pPr>
              <w:tabs>
                <w:tab w:val="left" w:pos="2790"/>
              </w:tabs>
              <w:spacing w:line="220" w:lineRule="exact"/>
              <w:jc w:val="center"/>
              <w:rPr>
                <w:rFonts w:hint="eastAsia" w:ascii="宋体"/>
                <w:sz w:val="24"/>
                <w:highlight w:val="none"/>
              </w:rPr>
            </w:pPr>
          </w:p>
        </w:tc>
        <w:tc>
          <w:tcPr>
            <w:tcW w:w="364" w:type="pct"/>
            <w:noWrap/>
            <w:vAlign w:val="center"/>
          </w:tcPr>
          <w:p w14:paraId="3EBB906F">
            <w:pPr>
              <w:tabs>
                <w:tab w:val="left" w:pos="2790"/>
              </w:tabs>
              <w:spacing w:line="220" w:lineRule="exact"/>
              <w:jc w:val="center"/>
              <w:rPr>
                <w:rFonts w:hint="eastAsia" w:ascii="宋体"/>
                <w:sz w:val="24"/>
                <w:highlight w:val="none"/>
              </w:rPr>
            </w:pPr>
          </w:p>
        </w:tc>
        <w:tc>
          <w:tcPr>
            <w:tcW w:w="240" w:type="pct"/>
            <w:noWrap/>
            <w:vAlign w:val="center"/>
          </w:tcPr>
          <w:p w14:paraId="7322E85A">
            <w:pPr>
              <w:tabs>
                <w:tab w:val="left" w:pos="2790"/>
              </w:tabs>
              <w:spacing w:line="220" w:lineRule="exact"/>
              <w:jc w:val="center"/>
              <w:rPr>
                <w:rFonts w:hint="eastAsia" w:ascii="宋体"/>
                <w:sz w:val="24"/>
                <w:highlight w:val="none"/>
              </w:rPr>
            </w:pPr>
          </w:p>
        </w:tc>
        <w:tc>
          <w:tcPr>
            <w:tcW w:w="240" w:type="pct"/>
            <w:noWrap/>
            <w:vAlign w:val="center"/>
          </w:tcPr>
          <w:p w14:paraId="7CF557E9">
            <w:pPr>
              <w:tabs>
                <w:tab w:val="left" w:pos="2790"/>
              </w:tabs>
              <w:spacing w:line="220" w:lineRule="exact"/>
              <w:jc w:val="center"/>
              <w:rPr>
                <w:rFonts w:hint="eastAsia" w:ascii="宋体"/>
                <w:sz w:val="24"/>
                <w:highlight w:val="none"/>
              </w:rPr>
            </w:pPr>
          </w:p>
        </w:tc>
        <w:tc>
          <w:tcPr>
            <w:tcW w:w="302" w:type="pct"/>
            <w:noWrap/>
            <w:vAlign w:val="center"/>
          </w:tcPr>
          <w:p w14:paraId="294DA960">
            <w:pPr>
              <w:tabs>
                <w:tab w:val="left" w:pos="2790"/>
              </w:tabs>
              <w:spacing w:line="220" w:lineRule="exact"/>
              <w:jc w:val="center"/>
              <w:rPr>
                <w:rFonts w:hint="eastAsia" w:ascii="宋体"/>
                <w:sz w:val="24"/>
                <w:highlight w:val="none"/>
              </w:rPr>
            </w:pPr>
          </w:p>
        </w:tc>
        <w:tc>
          <w:tcPr>
            <w:tcW w:w="302" w:type="pct"/>
            <w:noWrap/>
            <w:vAlign w:val="top"/>
          </w:tcPr>
          <w:p w14:paraId="1B7D7E25">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2155EF33">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3F9D1680">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C4765DE">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66CF7790">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052D5B9C">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511699B0">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437B9E84">
            <w:pPr>
              <w:tabs>
                <w:tab w:val="left" w:pos="2790"/>
              </w:tabs>
              <w:spacing w:line="220" w:lineRule="exact"/>
              <w:rPr>
                <w:rFonts w:hint="eastAsia" w:ascii="宋体"/>
                <w:sz w:val="24"/>
                <w:highlight w:val="none"/>
              </w:rPr>
            </w:pPr>
            <w:r>
              <w:rPr>
                <w:rFonts w:hint="eastAsia" w:ascii="宋体"/>
                <w:sz w:val="24"/>
                <w:highlight w:val="none"/>
              </w:rPr>
              <w:t>　</w:t>
            </w:r>
          </w:p>
        </w:tc>
      </w:tr>
      <w:tr w14:paraId="4B819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40" w:type="pct"/>
            <w:noWrap/>
            <w:vAlign w:val="top"/>
          </w:tcPr>
          <w:p w14:paraId="2BDCB626">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415B85F5">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2A0C6BDC">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center"/>
          </w:tcPr>
          <w:p w14:paraId="5D0EA2DF">
            <w:pPr>
              <w:tabs>
                <w:tab w:val="left" w:pos="2790"/>
              </w:tabs>
              <w:spacing w:line="220" w:lineRule="exact"/>
              <w:jc w:val="center"/>
              <w:rPr>
                <w:rFonts w:hint="eastAsia" w:ascii="宋体"/>
                <w:sz w:val="24"/>
                <w:highlight w:val="none"/>
              </w:rPr>
            </w:pPr>
          </w:p>
        </w:tc>
        <w:tc>
          <w:tcPr>
            <w:tcW w:w="240" w:type="pct"/>
            <w:noWrap/>
            <w:vAlign w:val="center"/>
          </w:tcPr>
          <w:p w14:paraId="42DEAADB">
            <w:pPr>
              <w:tabs>
                <w:tab w:val="left" w:pos="2790"/>
              </w:tabs>
              <w:spacing w:line="220" w:lineRule="exact"/>
              <w:jc w:val="center"/>
              <w:rPr>
                <w:rFonts w:hint="eastAsia" w:ascii="宋体"/>
                <w:sz w:val="24"/>
                <w:highlight w:val="none"/>
              </w:rPr>
            </w:pPr>
          </w:p>
        </w:tc>
        <w:tc>
          <w:tcPr>
            <w:tcW w:w="240" w:type="pct"/>
            <w:noWrap/>
            <w:vAlign w:val="center"/>
          </w:tcPr>
          <w:p w14:paraId="164111AE">
            <w:pPr>
              <w:tabs>
                <w:tab w:val="left" w:pos="2790"/>
              </w:tabs>
              <w:spacing w:line="220" w:lineRule="exact"/>
              <w:jc w:val="center"/>
              <w:rPr>
                <w:rFonts w:hint="eastAsia" w:ascii="宋体"/>
                <w:sz w:val="24"/>
                <w:highlight w:val="none"/>
              </w:rPr>
            </w:pPr>
          </w:p>
        </w:tc>
        <w:tc>
          <w:tcPr>
            <w:tcW w:w="364" w:type="pct"/>
            <w:noWrap/>
            <w:vAlign w:val="center"/>
          </w:tcPr>
          <w:p w14:paraId="73F0DE62">
            <w:pPr>
              <w:tabs>
                <w:tab w:val="left" w:pos="2790"/>
              </w:tabs>
              <w:spacing w:line="220" w:lineRule="exact"/>
              <w:jc w:val="center"/>
              <w:rPr>
                <w:rFonts w:hint="eastAsia" w:ascii="宋体"/>
                <w:sz w:val="24"/>
                <w:highlight w:val="none"/>
              </w:rPr>
            </w:pPr>
          </w:p>
        </w:tc>
        <w:tc>
          <w:tcPr>
            <w:tcW w:w="240" w:type="pct"/>
            <w:noWrap/>
            <w:vAlign w:val="center"/>
          </w:tcPr>
          <w:p w14:paraId="7F3583A2">
            <w:pPr>
              <w:tabs>
                <w:tab w:val="left" w:pos="2790"/>
              </w:tabs>
              <w:spacing w:line="220" w:lineRule="exact"/>
              <w:jc w:val="center"/>
              <w:rPr>
                <w:rFonts w:hint="eastAsia" w:ascii="宋体"/>
                <w:sz w:val="24"/>
                <w:highlight w:val="none"/>
              </w:rPr>
            </w:pPr>
          </w:p>
        </w:tc>
        <w:tc>
          <w:tcPr>
            <w:tcW w:w="240" w:type="pct"/>
            <w:noWrap/>
            <w:vAlign w:val="center"/>
          </w:tcPr>
          <w:p w14:paraId="2A42D577">
            <w:pPr>
              <w:tabs>
                <w:tab w:val="left" w:pos="2790"/>
              </w:tabs>
              <w:spacing w:line="220" w:lineRule="exact"/>
              <w:jc w:val="center"/>
              <w:rPr>
                <w:rFonts w:hint="eastAsia" w:ascii="宋体"/>
                <w:sz w:val="24"/>
                <w:highlight w:val="none"/>
              </w:rPr>
            </w:pPr>
          </w:p>
        </w:tc>
        <w:tc>
          <w:tcPr>
            <w:tcW w:w="302" w:type="pct"/>
            <w:noWrap/>
            <w:vAlign w:val="center"/>
          </w:tcPr>
          <w:p w14:paraId="1ABB13D7">
            <w:pPr>
              <w:tabs>
                <w:tab w:val="left" w:pos="2790"/>
              </w:tabs>
              <w:spacing w:line="220" w:lineRule="exact"/>
              <w:jc w:val="center"/>
              <w:rPr>
                <w:rFonts w:hint="eastAsia" w:ascii="宋体"/>
                <w:sz w:val="24"/>
                <w:highlight w:val="none"/>
              </w:rPr>
            </w:pPr>
          </w:p>
        </w:tc>
        <w:tc>
          <w:tcPr>
            <w:tcW w:w="302" w:type="pct"/>
            <w:noWrap/>
            <w:vAlign w:val="top"/>
          </w:tcPr>
          <w:p w14:paraId="70BC1F93">
            <w:pPr>
              <w:tabs>
                <w:tab w:val="left" w:pos="2790"/>
              </w:tabs>
              <w:spacing w:line="220" w:lineRule="exact"/>
              <w:rPr>
                <w:rFonts w:hint="eastAsia" w:ascii="宋体"/>
                <w:sz w:val="24"/>
                <w:highlight w:val="none"/>
              </w:rPr>
            </w:pPr>
            <w:r>
              <w:rPr>
                <w:rFonts w:hint="eastAsia" w:ascii="宋体"/>
                <w:sz w:val="24"/>
                <w:highlight w:val="none"/>
              </w:rPr>
              <w:t>　</w:t>
            </w:r>
          </w:p>
        </w:tc>
        <w:tc>
          <w:tcPr>
            <w:tcW w:w="178" w:type="pct"/>
            <w:noWrap/>
            <w:vAlign w:val="top"/>
          </w:tcPr>
          <w:p w14:paraId="5ED773CE">
            <w:pPr>
              <w:tabs>
                <w:tab w:val="left" w:pos="2790"/>
              </w:tabs>
              <w:spacing w:line="220" w:lineRule="exact"/>
              <w:rPr>
                <w:rFonts w:hint="eastAsia" w:ascii="宋体"/>
                <w:sz w:val="24"/>
                <w:highlight w:val="none"/>
              </w:rPr>
            </w:pPr>
            <w:r>
              <w:rPr>
                <w:rFonts w:hint="eastAsia" w:ascii="宋体"/>
                <w:sz w:val="24"/>
                <w:highlight w:val="none"/>
              </w:rPr>
              <w:t>　</w:t>
            </w:r>
          </w:p>
        </w:tc>
        <w:tc>
          <w:tcPr>
            <w:tcW w:w="426" w:type="pct"/>
            <w:noWrap/>
            <w:vAlign w:val="top"/>
          </w:tcPr>
          <w:p w14:paraId="017711CA">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3DFE6C3">
            <w:pPr>
              <w:tabs>
                <w:tab w:val="left" w:pos="2790"/>
              </w:tabs>
              <w:spacing w:line="220" w:lineRule="exact"/>
              <w:rPr>
                <w:rFonts w:hint="eastAsia" w:ascii="宋体"/>
                <w:sz w:val="24"/>
                <w:highlight w:val="none"/>
              </w:rPr>
            </w:pPr>
            <w:r>
              <w:rPr>
                <w:rFonts w:hint="eastAsia" w:ascii="宋体"/>
                <w:sz w:val="24"/>
                <w:highlight w:val="none"/>
              </w:rPr>
              <w:t>　</w:t>
            </w:r>
          </w:p>
        </w:tc>
        <w:tc>
          <w:tcPr>
            <w:tcW w:w="302" w:type="pct"/>
            <w:noWrap/>
            <w:vAlign w:val="top"/>
          </w:tcPr>
          <w:p w14:paraId="0B392E6C">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26E5C81F">
            <w:pPr>
              <w:tabs>
                <w:tab w:val="left" w:pos="2790"/>
              </w:tabs>
              <w:spacing w:line="220" w:lineRule="exact"/>
              <w:rPr>
                <w:rFonts w:hint="eastAsia" w:ascii="宋体"/>
                <w:sz w:val="24"/>
                <w:highlight w:val="none"/>
              </w:rPr>
            </w:pPr>
            <w:r>
              <w:rPr>
                <w:rFonts w:hint="eastAsia" w:ascii="宋体"/>
                <w:sz w:val="24"/>
                <w:highlight w:val="none"/>
              </w:rPr>
              <w:t>　</w:t>
            </w:r>
          </w:p>
        </w:tc>
        <w:tc>
          <w:tcPr>
            <w:tcW w:w="240" w:type="pct"/>
            <w:noWrap/>
            <w:vAlign w:val="top"/>
          </w:tcPr>
          <w:p w14:paraId="6BFBD977">
            <w:pPr>
              <w:tabs>
                <w:tab w:val="left" w:pos="2790"/>
              </w:tabs>
              <w:spacing w:line="220" w:lineRule="exact"/>
              <w:rPr>
                <w:rFonts w:hint="eastAsia" w:ascii="宋体"/>
                <w:sz w:val="24"/>
                <w:highlight w:val="none"/>
              </w:rPr>
            </w:pPr>
            <w:r>
              <w:rPr>
                <w:rFonts w:hint="eastAsia" w:ascii="宋体"/>
                <w:sz w:val="24"/>
                <w:highlight w:val="none"/>
              </w:rPr>
              <w:t>　</w:t>
            </w:r>
          </w:p>
        </w:tc>
        <w:tc>
          <w:tcPr>
            <w:tcW w:w="364" w:type="pct"/>
            <w:noWrap/>
            <w:vAlign w:val="top"/>
          </w:tcPr>
          <w:p w14:paraId="4BBEED42">
            <w:pPr>
              <w:tabs>
                <w:tab w:val="left" w:pos="2790"/>
              </w:tabs>
              <w:spacing w:line="220" w:lineRule="exact"/>
              <w:rPr>
                <w:rFonts w:hint="eastAsia" w:ascii="宋体"/>
                <w:sz w:val="24"/>
                <w:highlight w:val="none"/>
              </w:rPr>
            </w:pPr>
            <w:r>
              <w:rPr>
                <w:rFonts w:hint="eastAsia" w:ascii="宋体"/>
                <w:sz w:val="24"/>
                <w:highlight w:val="none"/>
              </w:rPr>
              <w:t>　</w:t>
            </w:r>
          </w:p>
        </w:tc>
      </w:tr>
    </w:tbl>
    <w:p w14:paraId="5A8C33F0"/>
    <w:p w14:paraId="44549264"/>
    <w:p w14:paraId="00E9F572">
      <w:pPr>
        <w:pStyle w:val="7"/>
      </w:pPr>
    </w:p>
    <w:p w14:paraId="2D1EAF19">
      <w:pPr>
        <w:pStyle w:val="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48"/>
          <w:szCs w:val="48"/>
          <w:highlight w:val="none"/>
          <w14:textFill>
            <w14:solidFill>
              <w14:schemeClr w14:val="tx1"/>
            </w14:solidFill>
          </w14:textFill>
        </w:rPr>
        <w:br w:type="page"/>
      </w:r>
    </w:p>
    <w:p w14:paraId="256A1437">
      <w:pPr>
        <w:pStyle w:val="9"/>
        <w:rPr>
          <w:rFonts w:ascii="宋体" w:hAnsi="宋体" w:cs="宋体"/>
          <w:color w:val="000000" w:themeColor="text1"/>
          <w:sz w:val="24"/>
          <w:szCs w:val="24"/>
          <w:highlight w:val="none"/>
          <w14:textFill>
            <w14:solidFill>
              <w14:schemeClr w14:val="tx1"/>
            </w14:solidFill>
          </w14:textFill>
        </w:rPr>
      </w:pPr>
    </w:p>
    <w:p w14:paraId="6BE01BBC">
      <w:pPr>
        <w:pStyle w:val="9"/>
        <w:rPr>
          <w:rFonts w:ascii="宋体" w:hAnsi="宋体" w:cs="宋体"/>
          <w:color w:val="000000" w:themeColor="text1"/>
          <w:sz w:val="24"/>
          <w:szCs w:val="24"/>
          <w:highlight w:val="none"/>
          <w14:textFill>
            <w14:solidFill>
              <w14:schemeClr w14:val="tx1"/>
            </w14:solidFill>
          </w14:textFill>
        </w:rPr>
      </w:pPr>
    </w:p>
    <w:p w14:paraId="6BD2B375">
      <w:pPr>
        <w:pStyle w:val="9"/>
        <w:rPr>
          <w:rFonts w:ascii="宋体" w:hAnsi="宋体" w:cs="宋体"/>
          <w:color w:val="000000" w:themeColor="text1"/>
          <w:sz w:val="24"/>
          <w:szCs w:val="24"/>
          <w:highlight w:val="none"/>
          <w14:textFill>
            <w14:solidFill>
              <w14:schemeClr w14:val="tx1"/>
            </w14:solidFill>
          </w14:textFill>
        </w:rPr>
      </w:pPr>
    </w:p>
    <w:p w14:paraId="6C11B77A">
      <w:pPr>
        <w:pStyle w:val="9"/>
        <w:rPr>
          <w:rFonts w:ascii="宋体" w:hAnsi="宋体" w:cs="宋体"/>
          <w:color w:val="000000" w:themeColor="text1"/>
          <w:sz w:val="24"/>
          <w:szCs w:val="24"/>
          <w:highlight w:val="none"/>
          <w14:textFill>
            <w14:solidFill>
              <w14:schemeClr w14:val="tx1"/>
            </w14:solidFill>
          </w14:textFill>
        </w:rPr>
      </w:pPr>
    </w:p>
    <w:p w14:paraId="0F361D92">
      <w:pPr>
        <w:pStyle w:val="9"/>
        <w:rPr>
          <w:rFonts w:ascii="宋体" w:hAnsi="宋体" w:cs="宋体"/>
          <w:color w:val="000000" w:themeColor="text1"/>
          <w:sz w:val="24"/>
          <w:szCs w:val="24"/>
          <w:highlight w:val="none"/>
          <w14:textFill>
            <w14:solidFill>
              <w14:schemeClr w14:val="tx1"/>
            </w14:solidFill>
          </w14:textFill>
        </w:rPr>
      </w:pPr>
    </w:p>
    <w:p w14:paraId="2ECA0856">
      <w:pPr>
        <w:pStyle w:val="9"/>
        <w:rPr>
          <w:rFonts w:ascii="宋体" w:hAnsi="宋体" w:cs="宋体"/>
          <w:color w:val="000000" w:themeColor="text1"/>
          <w:sz w:val="24"/>
          <w:szCs w:val="24"/>
          <w:highlight w:val="none"/>
          <w14:textFill>
            <w14:solidFill>
              <w14:schemeClr w14:val="tx1"/>
            </w14:solidFill>
          </w14:textFill>
        </w:rPr>
      </w:pPr>
    </w:p>
    <w:p w14:paraId="787D5D6B">
      <w:pPr>
        <w:pStyle w:val="9"/>
        <w:rPr>
          <w:rFonts w:ascii="宋体" w:hAnsi="宋体" w:cs="宋体"/>
          <w:color w:val="000000" w:themeColor="text1"/>
          <w:sz w:val="24"/>
          <w:szCs w:val="24"/>
          <w:highlight w:val="none"/>
          <w14:textFill>
            <w14:solidFill>
              <w14:schemeClr w14:val="tx1"/>
            </w14:solidFill>
          </w14:textFill>
        </w:rPr>
      </w:pPr>
    </w:p>
    <w:p w14:paraId="216F8DB5">
      <w:pPr>
        <w:pStyle w:val="9"/>
        <w:rPr>
          <w:rFonts w:ascii="宋体" w:hAnsi="宋体" w:cs="宋体"/>
          <w:color w:val="000000" w:themeColor="text1"/>
          <w:sz w:val="24"/>
          <w:szCs w:val="24"/>
          <w:highlight w:val="none"/>
          <w14:textFill>
            <w14:solidFill>
              <w14:schemeClr w14:val="tx1"/>
            </w14:solidFill>
          </w14:textFill>
        </w:rPr>
      </w:pPr>
    </w:p>
    <w:p w14:paraId="2FE66C1D">
      <w:pPr>
        <w:pStyle w:val="7"/>
        <w:rPr>
          <w:rFonts w:ascii="宋体" w:hAnsi="宋体" w:cs="宋体"/>
          <w:color w:val="000000" w:themeColor="text1"/>
          <w:highlight w:val="none"/>
          <w14:textFill>
            <w14:solidFill>
              <w14:schemeClr w14:val="tx1"/>
            </w14:solidFill>
          </w14:textFill>
        </w:rPr>
      </w:pPr>
    </w:p>
    <w:p w14:paraId="30D4521A">
      <w:pPr>
        <w:pStyle w:val="7"/>
        <w:rPr>
          <w:rFonts w:ascii="宋体" w:hAnsi="宋体" w:cs="宋体"/>
          <w:color w:val="000000" w:themeColor="text1"/>
          <w:highlight w:val="none"/>
          <w14:textFill>
            <w14:solidFill>
              <w14:schemeClr w14:val="tx1"/>
            </w14:solidFill>
          </w14:textFill>
        </w:rPr>
      </w:pPr>
    </w:p>
    <w:p w14:paraId="73D380D3">
      <w:pPr>
        <w:pStyle w:val="7"/>
        <w:rPr>
          <w:rFonts w:ascii="宋体" w:hAnsi="宋体" w:cs="宋体"/>
          <w:color w:val="000000" w:themeColor="text1"/>
          <w:highlight w:val="none"/>
          <w14:textFill>
            <w14:solidFill>
              <w14:schemeClr w14:val="tx1"/>
            </w14:solidFill>
          </w14:textFill>
        </w:rPr>
      </w:pPr>
    </w:p>
    <w:p w14:paraId="6A902721">
      <w:pPr>
        <w:pStyle w:val="7"/>
        <w:rPr>
          <w:rFonts w:ascii="宋体" w:hAnsi="宋体" w:cs="宋体"/>
          <w:color w:val="000000" w:themeColor="text1"/>
          <w:highlight w:val="none"/>
          <w14:textFill>
            <w14:solidFill>
              <w14:schemeClr w14:val="tx1"/>
            </w14:solidFill>
          </w14:textFill>
        </w:rPr>
      </w:pPr>
    </w:p>
    <w:p w14:paraId="3C54CC58">
      <w:pPr>
        <w:pStyle w:val="7"/>
        <w:rPr>
          <w:rFonts w:ascii="宋体" w:hAnsi="宋体" w:cs="宋体"/>
          <w:color w:val="000000" w:themeColor="text1"/>
          <w:highlight w:val="none"/>
          <w14:textFill>
            <w14:solidFill>
              <w14:schemeClr w14:val="tx1"/>
            </w14:solidFill>
          </w14:textFill>
        </w:rPr>
      </w:pPr>
    </w:p>
    <w:p w14:paraId="5FE8B35C">
      <w:pPr>
        <w:pStyle w:val="7"/>
        <w:rPr>
          <w:rFonts w:ascii="宋体" w:hAnsi="宋体" w:cs="宋体"/>
          <w:color w:val="000000" w:themeColor="text1"/>
          <w:highlight w:val="none"/>
          <w14:textFill>
            <w14:solidFill>
              <w14:schemeClr w14:val="tx1"/>
            </w14:solidFill>
          </w14:textFill>
        </w:rPr>
      </w:pPr>
    </w:p>
    <w:p w14:paraId="3552FE28">
      <w:pPr>
        <w:pStyle w:val="7"/>
        <w:spacing w:line="360" w:lineRule="auto"/>
        <w:rPr>
          <w:rFonts w:ascii="宋体" w:hAnsi="宋体" w:cs="宋体"/>
          <w:color w:val="000000" w:themeColor="text1"/>
          <w:sz w:val="48"/>
          <w:szCs w:val="48"/>
          <w:highlight w:val="none"/>
          <w14:textFill>
            <w14:solidFill>
              <w14:schemeClr w14:val="tx1"/>
            </w14:solidFill>
          </w14:textFill>
        </w:rPr>
      </w:pPr>
    </w:p>
    <w:p w14:paraId="1E5BD119">
      <w:pPr>
        <w:pStyle w:val="36"/>
        <w:spacing w:before="260" w:after="260" w:line="700" w:lineRule="exact"/>
        <w:jc w:val="center"/>
        <w:rPr>
          <w:rFonts w:ascii="宋体" w:hAnsi="宋体" w:cs="宋体"/>
          <w:b w:val="0"/>
          <w:color w:val="000000" w:themeColor="text1"/>
          <w:sz w:val="84"/>
          <w:szCs w:val="84"/>
          <w:highlight w:val="none"/>
          <w14:textFill>
            <w14:solidFill>
              <w14:schemeClr w14:val="tx1"/>
            </w14:solidFill>
          </w14:textFill>
        </w:rPr>
      </w:pPr>
      <w:bookmarkStart w:id="1287" w:name="_Toc17927"/>
      <w:bookmarkStart w:id="1288" w:name="_Toc7208"/>
      <w:bookmarkStart w:id="1289" w:name="_Toc381018080"/>
      <w:bookmarkStart w:id="1290" w:name="_Toc19078"/>
      <w:bookmarkStart w:id="1291" w:name="_Toc20584"/>
      <w:bookmarkStart w:id="1292" w:name="_Toc118195906"/>
      <w:bookmarkStart w:id="1293" w:name="_Toc17866"/>
      <w:bookmarkStart w:id="1294" w:name="_Toc1962"/>
      <w:bookmarkStart w:id="1295" w:name="_Toc9511"/>
      <w:bookmarkStart w:id="1296" w:name="_Toc1732"/>
      <w:bookmarkStart w:id="1297" w:name="_Toc6285"/>
      <w:bookmarkStart w:id="1298" w:name="_Toc17686"/>
      <w:bookmarkStart w:id="1299" w:name="_Toc19074"/>
      <w:bookmarkStart w:id="1300" w:name="_Toc98785357"/>
      <w:bookmarkStart w:id="1301" w:name="_Toc415561221"/>
      <w:bookmarkStart w:id="1302" w:name="_Toc28446"/>
      <w:bookmarkStart w:id="1303" w:name="_Toc25271"/>
      <w:bookmarkStart w:id="1304" w:name="_Toc32412"/>
      <w:bookmarkStart w:id="1305" w:name="_Toc120624286"/>
      <w:bookmarkStart w:id="1306" w:name="_Toc20232"/>
      <w:bookmarkStart w:id="1307" w:name="_Toc23614"/>
      <w:bookmarkStart w:id="1308" w:name="_Toc119585547"/>
      <w:r>
        <w:rPr>
          <w:rFonts w:hint="eastAsia" w:ascii="宋体" w:hAnsi="宋体" w:cs="宋体"/>
          <w:b w:val="0"/>
          <w:color w:val="000000" w:themeColor="text1"/>
          <w:sz w:val="84"/>
          <w:szCs w:val="84"/>
          <w:highlight w:val="none"/>
          <w14:textFill>
            <w14:solidFill>
              <w14:schemeClr w14:val="tx1"/>
            </w14:solidFill>
          </w14:textFill>
        </w:rPr>
        <w:t>第二卷</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14:paraId="188AE4D1">
      <w:pPr>
        <w:pStyle w:val="36"/>
        <w:spacing w:before="260" w:after="260" w:line="700" w:lineRule="exact"/>
        <w:jc w:val="center"/>
        <w:outlineLvl w:val="9"/>
        <w:rPr>
          <w:rFonts w:ascii="宋体" w:hAnsi="宋体" w:cs="宋体"/>
          <w:b w:val="0"/>
          <w:color w:val="000000" w:themeColor="text1"/>
          <w:sz w:val="84"/>
          <w:szCs w:val="84"/>
          <w:highlight w:val="none"/>
          <w14:textFill>
            <w14:solidFill>
              <w14:schemeClr w14:val="tx1"/>
            </w14:solidFill>
          </w14:textFill>
        </w:rPr>
      </w:pPr>
      <w:r>
        <w:rPr>
          <w:rFonts w:hint="eastAsia" w:ascii="宋体" w:hAnsi="宋体" w:cs="宋体"/>
          <w:b w:val="0"/>
          <w:color w:val="000000" w:themeColor="text1"/>
          <w:sz w:val="84"/>
          <w:szCs w:val="84"/>
          <w:highlight w:val="none"/>
          <w14:textFill>
            <w14:solidFill>
              <w14:schemeClr w14:val="tx1"/>
            </w14:solidFill>
          </w14:textFill>
        </w:rPr>
        <w:br w:type="page"/>
      </w:r>
    </w:p>
    <w:p w14:paraId="7039C130">
      <w:pPr>
        <w:pStyle w:val="36"/>
        <w:spacing w:before="0" w:after="0" w:line="240" w:lineRule="auto"/>
        <w:outlineLvl w:val="9"/>
        <w:rPr>
          <w:rFonts w:ascii="宋体" w:hAnsi="宋体" w:cs="宋体"/>
          <w:color w:val="000000" w:themeColor="text1"/>
          <w:highlight w:val="none"/>
          <w14:textFill>
            <w14:solidFill>
              <w14:schemeClr w14:val="tx1"/>
            </w14:solidFill>
          </w14:textFill>
        </w:rPr>
      </w:pPr>
    </w:p>
    <w:p w14:paraId="7A92E072">
      <w:pPr>
        <w:pStyle w:val="7"/>
        <w:spacing w:line="360" w:lineRule="auto"/>
        <w:rPr>
          <w:rFonts w:ascii="宋体" w:hAnsi="宋体" w:cs="宋体"/>
          <w:color w:val="000000" w:themeColor="text1"/>
          <w:highlight w:val="none"/>
          <w14:textFill>
            <w14:solidFill>
              <w14:schemeClr w14:val="tx1"/>
            </w14:solidFill>
          </w14:textFill>
        </w:rPr>
      </w:pPr>
    </w:p>
    <w:p w14:paraId="59354393">
      <w:pPr>
        <w:pStyle w:val="7"/>
        <w:spacing w:line="360" w:lineRule="auto"/>
        <w:rPr>
          <w:rFonts w:ascii="宋体" w:hAnsi="宋体" w:cs="宋体"/>
          <w:color w:val="000000" w:themeColor="text1"/>
          <w:highlight w:val="none"/>
          <w14:textFill>
            <w14:solidFill>
              <w14:schemeClr w14:val="tx1"/>
            </w14:solidFill>
          </w14:textFill>
        </w:rPr>
      </w:pPr>
    </w:p>
    <w:p w14:paraId="049A85B2">
      <w:pPr>
        <w:pStyle w:val="7"/>
        <w:spacing w:line="360" w:lineRule="auto"/>
        <w:rPr>
          <w:rFonts w:ascii="宋体" w:hAnsi="宋体" w:cs="宋体"/>
          <w:color w:val="000000" w:themeColor="text1"/>
          <w:highlight w:val="none"/>
          <w14:textFill>
            <w14:solidFill>
              <w14:schemeClr w14:val="tx1"/>
            </w14:solidFill>
          </w14:textFill>
        </w:rPr>
      </w:pPr>
    </w:p>
    <w:p w14:paraId="69AB0E73">
      <w:pPr>
        <w:pStyle w:val="7"/>
        <w:spacing w:line="360" w:lineRule="auto"/>
        <w:rPr>
          <w:rFonts w:ascii="宋体" w:hAnsi="宋体" w:cs="宋体"/>
          <w:color w:val="000000" w:themeColor="text1"/>
          <w:highlight w:val="none"/>
          <w14:textFill>
            <w14:solidFill>
              <w14:schemeClr w14:val="tx1"/>
            </w14:solidFill>
          </w14:textFill>
        </w:rPr>
      </w:pPr>
    </w:p>
    <w:p w14:paraId="7347ACC5">
      <w:pPr>
        <w:pStyle w:val="7"/>
        <w:spacing w:line="360" w:lineRule="auto"/>
        <w:rPr>
          <w:rFonts w:ascii="宋体" w:hAnsi="宋体" w:cs="宋体"/>
          <w:color w:val="000000" w:themeColor="text1"/>
          <w:highlight w:val="none"/>
          <w14:textFill>
            <w14:solidFill>
              <w14:schemeClr w14:val="tx1"/>
            </w14:solidFill>
          </w14:textFill>
        </w:rPr>
      </w:pPr>
    </w:p>
    <w:p w14:paraId="30296DC3">
      <w:pPr>
        <w:pStyle w:val="7"/>
        <w:spacing w:line="360" w:lineRule="auto"/>
        <w:rPr>
          <w:rFonts w:ascii="宋体" w:hAnsi="宋体" w:cs="宋体"/>
          <w:color w:val="000000" w:themeColor="text1"/>
          <w:highlight w:val="none"/>
          <w14:textFill>
            <w14:solidFill>
              <w14:schemeClr w14:val="tx1"/>
            </w14:solidFill>
          </w14:textFill>
        </w:rPr>
      </w:pPr>
    </w:p>
    <w:p w14:paraId="44FC09F7">
      <w:pPr>
        <w:pStyle w:val="7"/>
        <w:spacing w:line="360" w:lineRule="auto"/>
        <w:rPr>
          <w:rFonts w:ascii="宋体" w:hAnsi="宋体" w:cs="宋体"/>
          <w:color w:val="000000" w:themeColor="text1"/>
          <w:highlight w:val="none"/>
          <w14:textFill>
            <w14:solidFill>
              <w14:schemeClr w14:val="tx1"/>
            </w14:solidFill>
          </w14:textFill>
        </w:rPr>
      </w:pPr>
    </w:p>
    <w:p w14:paraId="3F54D7FB">
      <w:pPr>
        <w:pStyle w:val="7"/>
        <w:spacing w:line="360" w:lineRule="auto"/>
        <w:rPr>
          <w:rFonts w:ascii="宋体" w:hAnsi="宋体" w:cs="宋体"/>
          <w:color w:val="000000" w:themeColor="text1"/>
          <w:highlight w:val="none"/>
          <w14:textFill>
            <w14:solidFill>
              <w14:schemeClr w14:val="tx1"/>
            </w14:solidFill>
          </w14:textFill>
        </w:rPr>
      </w:pPr>
    </w:p>
    <w:p w14:paraId="41C66A4C">
      <w:pPr>
        <w:pStyle w:val="7"/>
        <w:spacing w:line="360" w:lineRule="auto"/>
        <w:rPr>
          <w:rFonts w:ascii="宋体" w:hAnsi="宋体" w:cs="宋体"/>
          <w:color w:val="000000" w:themeColor="text1"/>
          <w:highlight w:val="none"/>
          <w14:textFill>
            <w14:solidFill>
              <w14:schemeClr w14:val="tx1"/>
            </w14:solidFill>
          </w14:textFill>
        </w:rPr>
      </w:pPr>
    </w:p>
    <w:p w14:paraId="198810BB">
      <w:pPr>
        <w:pStyle w:val="7"/>
        <w:spacing w:line="360" w:lineRule="auto"/>
        <w:rPr>
          <w:rFonts w:ascii="宋体" w:hAnsi="宋体" w:cs="宋体"/>
          <w:color w:val="000000" w:themeColor="text1"/>
          <w:highlight w:val="none"/>
          <w14:textFill>
            <w14:solidFill>
              <w14:schemeClr w14:val="tx1"/>
            </w14:solidFill>
          </w14:textFill>
        </w:rPr>
      </w:pPr>
    </w:p>
    <w:p w14:paraId="2AA45690">
      <w:pPr>
        <w:pStyle w:val="36"/>
        <w:spacing w:before="260" w:after="260" w:line="500" w:lineRule="exact"/>
        <w:jc w:val="center"/>
        <w:rPr>
          <w:rFonts w:ascii="宋体" w:hAnsi="宋体" w:cs="宋体"/>
          <w:color w:val="000000" w:themeColor="text1"/>
          <w:sz w:val="48"/>
          <w:szCs w:val="48"/>
          <w:highlight w:val="none"/>
          <w14:textFill>
            <w14:solidFill>
              <w14:schemeClr w14:val="tx1"/>
            </w14:solidFill>
          </w14:textFill>
        </w:rPr>
      </w:pPr>
      <w:bookmarkStart w:id="1309" w:name="_Toc98785358"/>
      <w:bookmarkStart w:id="1310" w:name="_Toc26247"/>
      <w:bookmarkStart w:id="1311" w:name="_Toc15903"/>
      <w:bookmarkStart w:id="1312" w:name="_Toc13050"/>
      <w:bookmarkStart w:id="1313" w:name="_Toc118195907"/>
      <w:bookmarkStart w:id="1314" w:name="_Toc12503"/>
      <w:bookmarkStart w:id="1315" w:name="_Toc1476"/>
      <w:bookmarkStart w:id="1316" w:name="_Toc22277"/>
      <w:bookmarkStart w:id="1317" w:name="_Toc19802"/>
      <w:bookmarkStart w:id="1318" w:name="_Toc119585548"/>
      <w:bookmarkStart w:id="1319" w:name="_Toc5976"/>
      <w:bookmarkStart w:id="1320" w:name="_Toc23832"/>
      <w:bookmarkStart w:id="1321" w:name="_Toc11209"/>
      <w:bookmarkStart w:id="1322" w:name="_Toc6184"/>
      <w:bookmarkStart w:id="1323" w:name="_Toc4678"/>
      <w:bookmarkStart w:id="1324" w:name="_Toc22297"/>
      <w:bookmarkStart w:id="1325" w:name="_Toc16255"/>
      <w:bookmarkStart w:id="1326" w:name="_Toc21265"/>
      <w:bookmarkStart w:id="1327" w:name="_Toc14467"/>
      <w:bookmarkStart w:id="1328" w:name="_Toc120624287"/>
      <w:r>
        <w:rPr>
          <w:rFonts w:hint="eastAsia" w:ascii="宋体" w:hAnsi="宋体" w:cs="宋体"/>
          <w:color w:val="000000" w:themeColor="text1"/>
          <w:sz w:val="48"/>
          <w:szCs w:val="48"/>
          <w:highlight w:val="none"/>
          <w14:textFill>
            <w14:solidFill>
              <w14:schemeClr w14:val="tx1"/>
            </w14:solidFill>
          </w14:textFill>
        </w:rPr>
        <w:t>第六章  图纸（另册）</w:t>
      </w:r>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p>
    <w:p w14:paraId="20A785B0">
      <w:pPr>
        <w:pStyle w:val="7"/>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8"/>
          <w:szCs w:val="48"/>
          <w:highlight w:val="none"/>
          <w14:textFill>
            <w14:solidFill>
              <w14:schemeClr w14:val="tx1"/>
            </w14:solidFill>
          </w14:textFill>
        </w:rPr>
        <w:br w:type="page"/>
      </w:r>
    </w:p>
    <w:p w14:paraId="6F41A324">
      <w:pPr>
        <w:pStyle w:val="7"/>
        <w:spacing w:line="360" w:lineRule="auto"/>
        <w:rPr>
          <w:rFonts w:ascii="宋体" w:hAnsi="宋体" w:cs="宋体"/>
          <w:color w:val="000000" w:themeColor="text1"/>
          <w:highlight w:val="none"/>
          <w14:textFill>
            <w14:solidFill>
              <w14:schemeClr w14:val="tx1"/>
            </w14:solidFill>
          </w14:textFill>
        </w:rPr>
      </w:pPr>
    </w:p>
    <w:p w14:paraId="7DA009B2">
      <w:pPr>
        <w:pStyle w:val="7"/>
        <w:spacing w:line="360" w:lineRule="auto"/>
        <w:rPr>
          <w:rFonts w:ascii="宋体" w:hAnsi="宋体" w:cs="宋体"/>
          <w:color w:val="000000" w:themeColor="text1"/>
          <w:highlight w:val="none"/>
          <w14:textFill>
            <w14:solidFill>
              <w14:schemeClr w14:val="tx1"/>
            </w14:solidFill>
          </w14:textFill>
        </w:rPr>
      </w:pPr>
    </w:p>
    <w:p w14:paraId="335C92D7">
      <w:pPr>
        <w:pStyle w:val="7"/>
        <w:spacing w:line="360" w:lineRule="auto"/>
        <w:rPr>
          <w:rFonts w:ascii="宋体" w:hAnsi="宋体" w:cs="宋体"/>
          <w:color w:val="000000" w:themeColor="text1"/>
          <w:highlight w:val="none"/>
          <w14:textFill>
            <w14:solidFill>
              <w14:schemeClr w14:val="tx1"/>
            </w14:solidFill>
          </w14:textFill>
        </w:rPr>
      </w:pPr>
    </w:p>
    <w:p w14:paraId="7BBB50C6">
      <w:pPr>
        <w:pStyle w:val="7"/>
        <w:spacing w:line="360" w:lineRule="auto"/>
        <w:rPr>
          <w:rFonts w:ascii="宋体" w:hAnsi="宋体" w:cs="宋体"/>
          <w:color w:val="000000" w:themeColor="text1"/>
          <w:highlight w:val="none"/>
          <w14:textFill>
            <w14:solidFill>
              <w14:schemeClr w14:val="tx1"/>
            </w14:solidFill>
          </w14:textFill>
        </w:rPr>
      </w:pPr>
    </w:p>
    <w:p w14:paraId="76FA2530">
      <w:pPr>
        <w:pStyle w:val="7"/>
        <w:spacing w:line="360" w:lineRule="auto"/>
        <w:rPr>
          <w:rFonts w:ascii="宋体" w:hAnsi="宋体" w:cs="宋体"/>
          <w:color w:val="000000" w:themeColor="text1"/>
          <w:highlight w:val="none"/>
          <w14:textFill>
            <w14:solidFill>
              <w14:schemeClr w14:val="tx1"/>
            </w14:solidFill>
          </w14:textFill>
        </w:rPr>
      </w:pPr>
    </w:p>
    <w:p w14:paraId="516EA031">
      <w:pPr>
        <w:pStyle w:val="7"/>
        <w:spacing w:line="360" w:lineRule="auto"/>
        <w:rPr>
          <w:rFonts w:ascii="宋体" w:hAnsi="宋体" w:cs="宋体"/>
          <w:color w:val="000000" w:themeColor="text1"/>
          <w:highlight w:val="none"/>
          <w14:textFill>
            <w14:solidFill>
              <w14:schemeClr w14:val="tx1"/>
            </w14:solidFill>
          </w14:textFill>
        </w:rPr>
      </w:pPr>
    </w:p>
    <w:p w14:paraId="1C24C507">
      <w:pPr>
        <w:pStyle w:val="7"/>
        <w:spacing w:line="360" w:lineRule="auto"/>
        <w:rPr>
          <w:rFonts w:ascii="宋体" w:hAnsi="宋体" w:cs="宋体"/>
          <w:color w:val="000000" w:themeColor="text1"/>
          <w:highlight w:val="none"/>
          <w14:textFill>
            <w14:solidFill>
              <w14:schemeClr w14:val="tx1"/>
            </w14:solidFill>
          </w14:textFill>
        </w:rPr>
      </w:pPr>
    </w:p>
    <w:p w14:paraId="0CADB574">
      <w:pPr>
        <w:pStyle w:val="7"/>
        <w:spacing w:line="360" w:lineRule="auto"/>
        <w:rPr>
          <w:rFonts w:ascii="宋体" w:hAnsi="宋体" w:cs="宋体"/>
          <w:color w:val="000000" w:themeColor="text1"/>
          <w:highlight w:val="none"/>
          <w14:textFill>
            <w14:solidFill>
              <w14:schemeClr w14:val="tx1"/>
            </w14:solidFill>
          </w14:textFill>
        </w:rPr>
      </w:pPr>
    </w:p>
    <w:p w14:paraId="354FA879">
      <w:pPr>
        <w:pStyle w:val="7"/>
        <w:spacing w:line="360" w:lineRule="auto"/>
        <w:rPr>
          <w:rFonts w:ascii="宋体" w:hAnsi="宋体" w:cs="宋体"/>
          <w:color w:val="000000" w:themeColor="text1"/>
          <w:highlight w:val="none"/>
          <w14:textFill>
            <w14:solidFill>
              <w14:schemeClr w14:val="tx1"/>
            </w14:solidFill>
          </w14:textFill>
        </w:rPr>
      </w:pPr>
    </w:p>
    <w:p w14:paraId="47C3E3F7">
      <w:pPr>
        <w:pStyle w:val="36"/>
        <w:spacing w:before="260" w:after="260" w:line="700" w:lineRule="exact"/>
        <w:jc w:val="center"/>
        <w:rPr>
          <w:rFonts w:ascii="宋体" w:hAnsi="宋体" w:cs="宋体"/>
          <w:b w:val="0"/>
          <w:color w:val="000000" w:themeColor="text1"/>
          <w:sz w:val="84"/>
          <w:szCs w:val="84"/>
          <w:highlight w:val="none"/>
          <w14:textFill>
            <w14:solidFill>
              <w14:schemeClr w14:val="tx1"/>
            </w14:solidFill>
          </w14:textFill>
        </w:rPr>
      </w:pPr>
      <w:bookmarkStart w:id="1329" w:name="_Toc118195908"/>
      <w:bookmarkStart w:id="1330" w:name="_Toc1761"/>
      <w:bookmarkStart w:id="1331" w:name="_Toc28096"/>
      <w:bookmarkStart w:id="1332" w:name="_Toc19722"/>
      <w:bookmarkStart w:id="1333" w:name="_Toc17451"/>
      <w:bookmarkStart w:id="1334" w:name="_Toc17445"/>
      <w:bookmarkStart w:id="1335" w:name="_Toc27694"/>
      <w:bookmarkStart w:id="1336" w:name="_Toc24808"/>
      <w:bookmarkStart w:id="1337" w:name="_Toc120624288"/>
      <w:bookmarkStart w:id="1338" w:name="_Toc7216"/>
      <w:bookmarkStart w:id="1339" w:name="_Toc119585549"/>
      <w:bookmarkStart w:id="1340" w:name="_Toc98785359"/>
      <w:bookmarkStart w:id="1341" w:name="_Toc24676"/>
      <w:bookmarkStart w:id="1342" w:name="_Toc25953"/>
      <w:bookmarkStart w:id="1343" w:name="_Toc10034"/>
      <w:bookmarkStart w:id="1344" w:name="_Toc18665"/>
      <w:bookmarkStart w:id="1345" w:name="_Toc22480"/>
      <w:bookmarkStart w:id="1346" w:name="_Toc15054"/>
      <w:bookmarkStart w:id="1347" w:name="_Toc29402"/>
      <w:bookmarkStart w:id="1348" w:name="_Toc19973"/>
      <w:r>
        <w:rPr>
          <w:rFonts w:hint="eastAsia" w:ascii="宋体" w:hAnsi="宋体" w:cs="宋体"/>
          <w:b w:val="0"/>
          <w:color w:val="000000" w:themeColor="text1"/>
          <w:sz w:val="84"/>
          <w:szCs w:val="84"/>
          <w:highlight w:val="none"/>
          <w14:textFill>
            <w14:solidFill>
              <w14:schemeClr w14:val="tx1"/>
            </w14:solidFill>
          </w14:textFill>
        </w:rPr>
        <w:t>第三卷</w:t>
      </w:r>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p>
    <w:p w14:paraId="4957B5C1">
      <w:pPr>
        <w:pStyle w:val="7"/>
        <w:spacing w:line="360" w:lineRule="auto"/>
        <w:rPr>
          <w:rFonts w:ascii="宋体" w:hAnsi="宋体" w:cs="宋体"/>
          <w:b/>
          <w:color w:val="000000" w:themeColor="text1"/>
          <w:sz w:val="84"/>
          <w:szCs w:val="84"/>
          <w:highlight w:val="none"/>
          <w14:textFill>
            <w14:solidFill>
              <w14:schemeClr w14:val="tx1"/>
            </w14:solidFill>
          </w14:textFill>
        </w:rPr>
      </w:pPr>
      <w:r>
        <w:rPr>
          <w:rFonts w:hint="eastAsia" w:ascii="宋体" w:hAnsi="宋体" w:cs="宋体"/>
          <w:b/>
          <w:color w:val="000000" w:themeColor="text1"/>
          <w:sz w:val="84"/>
          <w:szCs w:val="84"/>
          <w:highlight w:val="none"/>
          <w14:textFill>
            <w14:solidFill>
              <w14:schemeClr w14:val="tx1"/>
            </w14:solidFill>
          </w14:textFill>
        </w:rPr>
        <w:br w:type="page"/>
      </w:r>
    </w:p>
    <w:p w14:paraId="216F2B7E">
      <w:pPr>
        <w:pStyle w:val="7"/>
        <w:rPr>
          <w:color w:val="000000" w:themeColor="text1"/>
          <w:highlight w:val="none"/>
          <w14:textFill>
            <w14:solidFill>
              <w14:schemeClr w14:val="tx1"/>
            </w14:solidFill>
          </w14:textFill>
        </w:rPr>
      </w:pPr>
    </w:p>
    <w:p w14:paraId="6FFEC55C">
      <w:pPr>
        <w:pStyle w:val="7"/>
        <w:spacing w:line="360" w:lineRule="auto"/>
        <w:rPr>
          <w:rFonts w:ascii="宋体" w:hAnsi="宋体" w:cs="宋体"/>
          <w:color w:val="000000" w:themeColor="text1"/>
          <w:highlight w:val="none"/>
          <w14:textFill>
            <w14:solidFill>
              <w14:schemeClr w14:val="tx1"/>
            </w14:solidFill>
          </w14:textFill>
        </w:rPr>
      </w:pPr>
    </w:p>
    <w:p w14:paraId="166F9B31">
      <w:pPr>
        <w:pStyle w:val="25"/>
        <w:framePr w:wrap="around"/>
        <w:spacing w:before="156" w:after="156"/>
        <w:ind w:firstLine="210"/>
        <w:rPr>
          <w:color w:val="000000" w:themeColor="text1"/>
          <w:highlight w:val="none"/>
          <w14:textFill>
            <w14:solidFill>
              <w14:schemeClr w14:val="tx1"/>
            </w14:solidFill>
          </w14:textFill>
        </w:rPr>
      </w:pPr>
    </w:p>
    <w:p w14:paraId="70F51F91">
      <w:pPr>
        <w:pStyle w:val="25"/>
        <w:framePr w:wrap="around"/>
        <w:spacing w:before="156" w:after="156"/>
        <w:ind w:firstLine="210"/>
        <w:rPr>
          <w:rFonts w:ascii="宋体" w:hAnsi="宋体" w:cs="宋体"/>
          <w:color w:val="000000" w:themeColor="text1"/>
          <w:highlight w:val="none"/>
          <w14:textFill>
            <w14:solidFill>
              <w14:schemeClr w14:val="tx1"/>
            </w14:solidFill>
          </w14:textFill>
        </w:rPr>
      </w:pPr>
    </w:p>
    <w:p w14:paraId="2889B8A7">
      <w:pPr>
        <w:pStyle w:val="20"/>
        <w:rPr>
          <w:color w:val="000000" w:themeColor="text1"/>
          <w:highlight w:val="none"/>
          <w14:textFill>
            <w14:solidFill>
              <w14:schemeClr w14:val="tx1"/>
            </w14:solidFill>
          </w14:textFill>
        </w:rPr>
      </w:pPr>
    </w:p>
    <w:p w14:paraId="2A42D0F2">
      <w:pPr>
        <w:pStyle w:val="7"/>
        <w:rPr>
          <w:color w:val="000000" w:themeColor="text1"/>
          <w:highlight w:val="none"/>
          <w14:textFill>
            <w14:solidFill>
              <w14:schemeClr w14:val="tx1"/>
            </w14:solidFill>
          </w14:textFill>
        </w:rPr>
      </w:pPr>
    </w:p>
    <w:p w14:paraId="6E00A406">
      <w:pPr>
        <w:pStyle w:val="25"/>
        <w:framePr w:wrap="around"/>
        <w:spacing w:before="156" w:after="156"/>
        <w:ind w:firstLine="210"/>
        <w:rPr>
          <w:color w:val="000000" w:themeColor="text1"/>
          <w:highlight w:val="none"/>
          <w14:textFill>
            <w14:solidFill>
              <w14:schemeClr w14:val="tx1"/>
            </w14:solidFill>
          </w14:textFill>
        </w:rPr>
      </w:pPr>
    </w:p>
    <w:p w14:paraId="0D01E966">
      <w:pPr>
        <w:pStyle w:val="20"/>
        <w:rPr>
          <w:color w:val="000000" w:themeColor="text1"/>
          <w:highlight w:val="none"/>
          <w14:textFill>
            <w14:solidFill>
              <w14:schemeClr w14:val="tx1"/>
            </w14:solidFill>
          </w14:textFill>
        </w:rPr>
      </w:pPr>
    </w:p>
    <w:p w14:paraId="03330DE8">
      <w:pPr>
        <w:pStyle w:val="7"/>
        <w:rPr>
          <w:color w:val="000000" w:themeColor="text1"/>
          <w:highlight w:val="none"/>
          <w14:textFill>
            <w14:solidFill>
              <w14:schemeClr w14:val="tx1"/>
            </w14:solidFill>
          </w14:textFill>
        </w:rPr>
      </w:pPr>
    </w:p>
    <w:p w14:paraId="21C52D55">
      <w:pPr>
        <w:pStyle w:val="7"/>
        <w:rPr>
          <w:color w:val="000000" w:themeColor="text1"/>
          <w:highlight w:val="none"/>
          <w14:textFill>
            <w14:solidFill>
              <w14:schemeClr w14:val="tx1"/>
            </w14:solidFill>
          </w14:textFill>
        </w:rPr>
      </w:pPr>
    </w:p>
    <w:p w14:paraId="035B2AAD">
      <w:pPr>
        <w:pStyle w:val="7"/>
        <w:rPr>
          <w:color w:val="000000" w:themeColor="text1"/>
          <w:highlight w:val="none"/>
          <w14:textFill>
            <w14:solidFill>
              <w14:schemeClr w14:val="tx1"/>
            </w14:solidFill>
          </w14:textFill>
        </w:rPr>
      </w:pPr>
    </w:p>
    <w:p w14:paraId="68E21C7A">
      <w:pPr>
        <w:pStyle w:val="7"/>
        <w:rPr>
          <w:color w:val="000000" w:themeColor="text1"/>
          <w:highlight w:val="none"/>
          <w14:textFill>
            <w14:solidFill>
              <w14:schemeClr w14:val="tx1"/>
            </w14:solidFill>
          </w14:textFill>
        </w:rPr>
      </w:pPr>
    </w:p>
    <w:p w14:paraId="60EFB3C3">
      <w:pPr>
        <w:pStyle w:val="7"/>
        <w:rPr>
          <w:color w:val="000000" w:themeColor="text1"/>
          <w:highlight w:val="none"/>
          <w14:textFill>
            <w14:solidFill>
              <w14:schemeClr w14:val="tx1"/>
            </w14:solidFill>
          </w14:textFill>
        </w:rPr>
      </w:pPr>
    </w:p>
    <w:p w14:paraId="19D9CD0B">
      <w:pPr>
        <w:pStyle w:val="7"/>
        <w:rPr>
          <w:color w:val="000000" w:themeColor="text1"/>
          <w:highlight w:val="none"/>
          <w14:textFill>
            <w14:solidFill>
              <w14:schemeClr w14:val="tx1"/>
            </w14:solidFill>
          </w14:textFill>
        </w:rPr>
      </w:pPr>
    </w:p>
    <w:p w14:paraId="2750A7C5">
      <w:pPr>
        <w:pStyle w:val="25"/>
        <w:framePr w:wrap="around"/>
        <w:spacing w:before="156" w:after="156"/>
        <w:ind w:firstLine="210"/>
        <w:rPr>
          <w:color w:val="000000" w:themeColor="text1"/>
          <w:highlight w:val="none"/>
          <w14:textFill>
            <w14:solidFill>
              <w14:schemeClr w14:val="tx1"/>
            </w14:solidFill>
          </w14:textFill>
        </w:rPr>
      </w:pPr>
    </w:p>
    <w:p w14:paraId="1D52DD50">
      <w:pPr>
        <w:pStyle w:val="20"/>
        <w:rPr>
          <w:color w:val="000000" w:themeColor="text1"/>
          <w:highlight w:val="none"/>
          <w14:textFill>
            <w14:solidFill>
              <w14:schemeClr w14:val="tx1"/>
            </w14:solidFill>
          </w14:textFill>
        </w:rPr>
      </w:pPr>
    </w:p>
    <w:p w14:paraId="663E00DF">
      <w:pPr>
        <w:pStyle w:val="7"/>
        <w:rPr>
          <w:color w:val="000000" w:themeColor="text1"/>
          <w:highlight w:val="none"/>
          <w14:textFill>
            <w14:solidFill>
              <w14:schemeClr w14:val="tx1"/>
            </w14:solidFill>
          </w14:textFill>
        </w:rPr>
      </w:pPr>
    </w:p>
    <w:p w14:paraId="0A05B347">
      <w:pPr>
        <w:pStyle w:val="25"/>
        <w:framePr w:wrap="around"/>
        <w:spacing w:before="156" w:after="156"/>
        <w:ind w:firstLine="210"/>
        <w:rPr>
          <w:color w:val="000000" w:themeColor="text1"/>
          <w:highlight w:val="none"/>
          <w14:textFill>
            <w14:solidFill>
              <w14:schemeClr w14:val="tx1"/>
            </w14:solidFill>
          </w14:textFill>
        </w:rPr>
      </w:pPr>
    </w:p>
    <w:p w14:paraId="310A43B2">
      <w:pPr>
        <w:pStyle w:val="20"/>
        <w:rPr>
          <w:color w:val="000000" w:themeColor="text1"/>
          <w:highlight w:val="none"/>
          <w14:textFill>
            <w14:solidFill>
              <w14:schemeClr w14:val="tx1"/>
            </w14:solidFill>
          </w14:textFill>
        </w:rPr>
      </w:pPr>
    </w:p>
    <w:p w14:paraId="1DBDB309">
      <w:pPr>
        <w:pStyle w:val="7"/>
        <w:rPr>
          <w:color w:val="000000" w:themeColor="text1"/>
          <w:highlight w:val="none"/>
          <w14:textFill>
            <w14:solidFill>
              <w14:schemeClr w14:val="tx1"/>
            </w14:solidFill>
          </w14:textFill>
        </w:rPr>
      </w:pPr>
    </w:p>
    <w:p w14:paraId="7BF37B32">
      <w:pPr>
        <w:pStyle w:val="36"/>
        <w:spacing w:before="260" w:after="260" w:line="500" w:lineRule="exact"/>
        <w:jc w:val="center"/>
        <w:rPr>
          <w:rFonts w:hint="eastAsia" w:ascii="宋体" w:hAnsi="宋体" w:cs="宋体"/>
          <w:color w:val="000000" w:themeColor="text1"/>
          <w:sz w:val="48"/>
          <w:szCs w:val="48"/>
          <w:highlight w:val="none"/>
          <w14:textFill>
            <w14:solidFill>
              <w14:schemeClr w14:val="tx1"/>
            </w14:solidFill>
          </w14:textFill>
        </w:rPr>
      </w:pPr>
      <w:bookmarkStart w:id="1349" w:name="_Toc7373"/>
      <w:bookmarkStart w:id="1350" w:name="_Toc4636"/>
      <w:bookmarkStart w:id="1351" w:name="_Toc21207"/>
      <w:bookmarkStart w:id="1352" w:name="_Toc24479"/>
      <w:bookmarkStart w:id="1353" w:name="_Toc2291"/>
      <w:bookmarkStart w:id="1354" w:name="_Toc20445"/>
      <w:bookmarkStart w:id="1355" w:name="_Toc119585550"/>
      <w:bookmarkStart w:id="1356" w:name="_Toc25168"/>
      <w:bookmarkStart w:id="1357" w:name="_Toc27273"/>
      <w:bookmarkStart w:id="1358" w:name="_Toc27477"/>
      <w:bookmarkStart w:id="1359" w:name="_Toc12708"/>
      <w:bookmarkStart w:id="1360" w:name="_Toc8970"/>
      <w:bookmarkStart w:id="1361" w:name="_Toc10382"/>
      <w:bookmarkStart w:id="1362" w:name="_Toc120624289"/>
      <w:bookmarkStart w:id="1363" w:name="_Toc20635"/>
      <w:bookmarkStart w:id="1364" w:name="_Toc9825"/>
      <w:bookmarkStart w:id="1365" w:name="_Toc118195909"/>
      <w:r>
        <w:rPr>
          <w:rFonts w:hint="eastAsia" w:ascii="宋体" w:hAnsi="宋体" w:cs="宋体"/>
          <w:color w:val="000000" w:themeColor="text1"/>
          <w:sz w:val="48"/>
          <w:szCs w:val="48"/>
          <w:highlight w:val="none"/>
          <w14:textFill>
            <w14:solidFill>
              <w14:schemeClr w14:val="tx1"/>
            </w14:solidFill>
          </w14:textFill>
        </w:rPr>
        <w:t>第七章  技术规范</w:t>
      </w:r>
      <w:bookmarkEnd w:id="1349"/>
      <w:bookmarkEnd w:id="1350"/>
    </w:p>
    <w:p w14:paraId="01C4BFC4">
      <w:pPr>
        <w:rPr>
          <w:rFonts w:hint="eastAsia" w:ascii="宋体" w:hAnsi="宋体" w:cs="宋体"/>
          <w:color w:val="000000" w:themeColor="text1"/>
          <w:sz w:val="48"/>
          <w:szCs w:val="48"/>
          <w:highlight w:val="none"/>
          <w14:textFill>
            <w14:solidFill>
              <w14:schemeClr w14:val="tx1"/>
            </w14:solidFill>
          </w14:textFill>
        </w:rPr>
      </w:pPr>
      <w:r>
        <w:rPr>
          <w:rFonts w:hint="eastAsia" w:ascii="宋体" w:hAnsi="宋体" w:cs="宋体"/>
          <w:color w:val="000000" w:themeColor="text1"/>
          <w:sz w:val="48"/>
          <w:szCs w:val="48"/>
          <w:highlight w:val="none"/>
          <w14:textFill>
            <w14:solidFill>
              <w14:schemeClr w14:val="tx1"/>
            </w14:solidFill>
          </w14:textFill>
        </w:rPr>
        <w:br w:type="page"/>
      </w:r>
    </w:p>
    <w:p w14:paraId="360707C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 通用技术规范</w:t>
      </w:r>
    </w:p>
    <w:p w14:paraId="782F3CD3">
      <w:pPr>
        <w:spacing w:line="360" w:lineRule="auto"/>
        <w:rPr>
          <w:rFonts w:hint="eastAsia" w:ascii="宋体" w:hAnsi="宋体" w:cs="宋体"/>
          <w:color w:val="auto"/>
          <w:szCs w:val="21"/>
          <w:highlight w:val="none"/>
        </w:rPr>
      </w:pPr>
    </w:p>
    <w:p w14:paraId="31A7664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“通用技术规范”采用《公路工程标准施工招标文件》（2018版）第七章《技术规范》。</w:t>
      </w:r>
    </w:p>
    <w:p w14:paraId="6C0B1513">
      <w:pPr>
        <w:spacing w:line="360" w:lineRule="auto"/>
        <w:rPr>
          <w:rFonts w:hint="eastAsia" w:ascii="宋体" w:hAnsi="宋体" w:cs="宋体"/>
          <w:color w:val="auto"/>
          <w:szCs w:val="21"/>
          <w:highlight w:val="none"/>
        </w:rPr>
      </w:pPr>
    </w:p>
    <w:p w14:paraId="3E30828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bookmarkStart w:id="1366" w:name="_Toc307474693"/>
      <w:bookmarkStart w:id="1367" w:name="_Toc389219577"/>
      <w:bookmarkStart w:id="1368" w:name="_Toc484590941"/>
      <w:bookmarkStart w:id="1369" w:name="_Toc243305373"/>
      <w:r>
        <w:rPr>
          <w:rFonts w:hint="eastAsia" w:ascii="宋体" w:hAnsi="宋体" w:cs="宋体"/>
          <w:color w:val="auto"/>
          <w:szCs w:val="21"/>
          <w:highlight w:val="none"/>
        </w:rPr>
        <w:t>（二） 项目专用技术规范</w:t>
      </w:r>
      <w:bookmarkEnd w:id="1366"/>
      <w:bookmarkEnd w:id="1367"/>
      <w:bookmarkEnd w:id="1368"/>
      <w:bookmarkEnd w:id="1369"/>
    </w:p>
    <w:p w14:paraId="337D139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项目专用技术规范”是对“通用技术规范”的补充、修改，应对照“通用技术规范”中同一编号的章、节、条、款、项、目一起阅读和理解。本“项目专用技术规范”与“通用技术规范”有矛盾时，以本“项目专用技术规范”的规定为准。</w:t>
      </w:r>
    </w:p>
    <w:p w14:paraId="082E0EB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 本“项目专用技术规范”，在下列章、节对“通用技术规范”进行了补充和修改：</w:t>
      </w:r>
    </w:p>
    <w:p w14:paraId="7DE2808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第100章  总 则</w:t>
      </w:r>
    </w:p>
    <w:p w14:paraId="7C01CA8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第101节  通 则</w:t>
      </w:r>
    </w:p>
    <w:p w14:paraId="10EED88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第102节  工程管理</w:t>
      </w:r>
    </w:p>
    <w:p w14:paraId="36396A8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第103节  临时工程与设施</w:t>
      </w:r>
    </w:p>
    <w:p w14:paraId="5C01CCE9">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第700章  绿化及环境保护设置</w:t>
      </w:r>
    </w:p>
    <w:p w14:paraId="7F0F0E5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01节  通 则</w:t>
      </w:r>
    </w:p>
    <w:p w14:paraId="55473242">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第</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 xml:space="preserve">02节  </w:t>
      </w:r>
      <w:r>
        <w:rPr>
          <w:rFonts w:hint="eastAsia" w:ascii="宋体" w:hAnsi="宋体" w:cs="宋体"/>
          <w:color w:val="auto"/>
          <w:szCs w:val="21"/>
          <w:highlight w:val="none"/>
          <w:lang w:val="en-US" w:eastAsia="zh-CN"/>
        </w:rPr>
        <w:t>铺设表土</w:t>
      </w:r>
    </w:p>
    <w:p w14:paraId="33540789">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第</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 xml:space="preserve">03节 </w:t>
      </w:r>
      <w:r>
        <w:rPr>
          <w:rFonts w:hint="eastAsia" w:ascii="宋体" w:hAnsi="宋体" w:cs="宋体"/>
          <w:color w:val="auto"/>
          <w:szCs w:val="21"/>
          <w:highlight w:val="none"/>
          <w:lang w:val="en-US" w:eastAsia="zh-CN"/>
        </w:rPr>
        <w:t xml:space="preserve"> 撒波草种和铺植草皮</w:t>
      </w:r>
    </w:p>
    <w:p w14:paraId="23CFD2FE">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第704节  种植乔木、灌木和攀援植物</w:t>
      </w:r>
    </w:p>
    <w:p w14:paraId="36A22E85">
      <w:pP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第</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xml:space="preserve">节 </w:t>
      </w:r>
      <w:r>
        <w:rPr>
          <w:rFonts w:hint="eastAsia" w:ascii="宋体" w:hAnsi="宋体" w:cs="宋体"/>
          <w:color w:val="auto"/>
          <w:szCs w:val="21"/>
          <w:highlight w:val="none"/>
          <w:lang w:val="en-US" w:eastAsia="zh-CN"/>
        </w:rPr>
        <w:t xml:space="preserve"> 植物养护与管理</w:t>
      </w:r>
    </w:p>
    <w:p w14:paraId="2866F77E">
      <w:pPr>
        <w:tabs>
          <w:tab w:val="left" w:pos="3120"/>
        </w:tabs>
        <w:jc w:val="left"/>
        <w:outlineLvl w:val="1"/>
        <w:rPr>
          <w:rFonts w:hint="eastAsia" w:ascii="宋体" w:hAnsi="宋体" w:cs="Times New Roman"/>
          <w:color w:val="auto"/>
          <w:sz w:val="32"/>
          <w:highlight w:val="none"/>
        </w:rPr>
      </w:pPr>
      <w:r>
        <w:rPr>
          <w:rFonts w:hint="eastAsia" w:ascii="宋体" w:hAnsi="宋体" w:cs="宋体"/>
          <w:color w:val="auto"/>
          <w:szCs w:val="21"/>
          <w:highlight w:val="none"/>
          <w:lang w:val="en-US" w:eastAsia="zh-CN"/>
        </w:rPr>
        <w:t>第708节  绿化景观工程</w:t>
      </w:r>
      <w:r>
        <w:rPr>
          <w:rFonts w:hint="eastAsia" w:ascii="宋体" w:hAnsi="宋体" w:cs="宋体"/>
          <w:color w:val="auto"/>
          <w:szCs w:val="21"/>
          <w:highlight w:val="none"/>
        </w:rPr>
        <w:br w:type="page"/>
      </w:r>
      <w:r>
        <w:rPr>
          <w:rFonts w:hint="eastAsia" w:ascii="Times New Roman" w:hAnsi="Times New Roman" w:eastAsia="黑体" w:cs="Times New Roman"/>
          <w:color w:val="auto"/>
          <w:sz w:val="44"/>
          <w:highlight w:val="none"/>
        </w:rPr>
        <w:t>第100章</w:t>
      </w:r>
      <w:r>
        <w:rPr>
          <w:rFonts w:hint="eastAsia" w:ascii="Times New Roman" w:hAnsi="Times New Roman" w:eastAsia="黑体" w:cs="Times New Roman"/>
          <w:color w:val="auto"/>
          <w:sz w:val="44"/>
          <w:highlight w:val="none"/>
          <w:lang w:val="en-US" w:eastAsia="zh-CN"/>
        </w:rPr>
        <w:t xml:space="preserve">  总则</w:t>
      </w:r>
    </w:p>
    <w:p w14:paraId="187CF0B8">
      <w:pPr>
        <w:pStyle w:val="5"/>
        <w:jc w:val="center"/>
        <w:rPr>
          <w:rFonts w:hint="eastAsia" w:ascii="宋体" w:hAnsi="宋体" w:cs="Times New Roman"/>
          <w:color w:val="auto"/>
          <w:sz w:val="32"/>
          <w:highlight w:val="none"/>
        </w:rPr>
      </w:pPr>
      <w:r>
        <w:rPr>
          <w:rFonts w:hint="eastAsia" w:ascii="宋体" w:hAnsi="宋体" w:cs="Times New Roman"/>
          <w:color w:val="auto"/>
          <w:sz w:val="32"/>
          <w:highlight w:val="none"/>
        </w:rPr>
        <w:t>第101节  通    则</w:t>
      </w:r>
    </w:p>
    <w:p w14:paraId="092156DF">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101.01范围</w:t>
      </w:r>
    </w:p>
    <w:p w14:paraId="34C145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第1条修改为：</w:t>
      </w:r>
    </w:p>
    <w:p w14:paraId="1127DC69">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本“项目专用技术规范”结合本工程特点编写，连同“通用技术规范”，统称“本规范”,适用于</w:t>
      </w:r>
      <w:r>
        <w:rPr>
          <w:rFonts w:hint="eastAsia" w:ascii="宋体" w:hAnsi="宋体" w:eastAsia="宋体" w:cs="宋体"/>
          <w:color w:val="auto"/>
          <w:szCs w:val="21"/>
          <w:highlight w:val="none"/>
        </w:rPr>
        <w:t>柯桥至诸暨高速公路工程涉03省道综合管线迁改走廊复绿工程，</w:t>
      </w:r>
      <w:r>
        <w:rPr>
          <w:rFonts w:hint="eastAsia" w:ascii="宋体" w:hAnsi="宋体" w:cs="宋体"/>
          <w:color w:val="auto"/>
          <w:szCs w:val="21"/>
          <w:highlight w:val="none"/>
        </w:rPr>
        <w:t>除特别注明外，所有条款共用。</w:t>
      </w:r>
    </w:p>
    <w:p w14:paraId="0F02B0B0">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101.04标准与规范</w:t>
      </w:r>
    </w:p>
    <w:p w14:paraId="390C33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第4条修改为：</w:t>
      </w:r>
    </w:p>
    <w:p w14:paraId="2EFB01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4．当适用于工程的几种标准与规范出现意义不明或不一致时，应由监理人作出解释和校正，并就此向承包人发出指令。若在引用的标准或规范发生分歧时，应按以下顺序优先考虑：</w:t>
      </w:r>
    </w:p>
    <w:p w14:paraId="19A6A8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a．本“项目专用技术规范”。</w:t>
      </w:r>
    </w:p>
    <w:p w14:paraId="3EB312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b．“通用技术规范”（《公路工程标准施工招标文件》（2018版）第七章《技术规范》）。</w:t>
      </w:r>
    </w:p>
    <w:p w14:paraId="0DDD05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c．中华人民共和国国家标准。</w:t>
      </w:r>
    </w:p>
    <w:p w14:paraId="6AAC61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d．有关部门标准与规范。</w:t>
      </w:r>
    </w:p>
    <w:p w14:paraId="5722BD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补充第 5、6、7、8、9 条：</w:t>
      </w:r>
    </w:p>
    <w:p w14:paraId="161D43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5．凡本规程中有关技术标准与施工图设计文件中不一致之处，均应按较高标准执行。</w:t>
      </w:r>
    </w:p>
    <w:p w14:paraId="0CEF1E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6. 凡项目专用技术规范未涉及到的内容按通用技术规范执行。</w:t>
      </w:r>
    </w:p>
    <w:p w14:paraId="5C35B5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7. 凡范本中涉及到的标准或规范，均按现行最新的版本执行。在合同期内，如果国家或省（自治区、直辖市）颁布的法律、法规出现修改或变更，则采用的法律、法规从其修改或变更，因此引起的费用增减不予调整。</w:t>
      </w:r>
    </w:p>
    <w:p w14:paraId="4EE473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8. 承包人为技术创新，提高技术水平，可提出采用其它标准或规范的建议，并将拟采用的标准或规范及其使用理由详细说明，提交监理人批准后方可实施。</w:t>
      </w:r>
    </w:p>
    <w:p w14:paraId="543428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9．承包人在工程建设过程中，须实行临建设施、人员管理、材料管理、现场安全文明施工等过程的标准化管理。</w:t>
      </w:r>
    </w:p>
    <w:p w14:paraId="4D85C3C2">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101.05 承包人的施工机械</w:t>
      </w:r>
    </w:p>
    <w:p w14:paraId="020E4E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1．一般要求</w:t>
      </w:r>
    </w:p>
    <w:p w14:paraId="78F7A1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第 1 款原内容后补充：</w:t>
      </w:r>
    </w:p>
    <w:p w14:paraId="4486E6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特种设备或非定型设备在投入施工前，应进行调试和试运行，以保证投入施工时状态良好，经具有相应资质的单位鉴定或办理安全使用相关手续，接受监督与管理，并经监理人批准后方可使用。</w:t>
      </w:r>
    </w:p>
    <w:p w14:paraId="25E45B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补充第（4）款：</w:t>
      </w:r>
    </w:p>
    <w:p w14:paraId="153C48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开工前，承包人应按照投标文件的承诺和施工组织设计确定的主要施工装备使用计划，编制主要施工装备进场计划，并取得监理人的批准。主要施工装备进场计划中应包括各种施工装备的名称、型号、技术规格、制造单位、出厂年份、数量以及进入现场的日期等。本项目实行设备准入制度，用于工程施工的机械设备在进入现场前，必须经监理人验收合格。</w:t>
      </w:r>
    </w:p>
    <w:p w14:paraId="435C6CA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如规范要求某项作业需由某种施工机械来完成，则必须使用该种施工机械，除非监理人批准使用其他机械。</w:t>
      </w:r>
    </w:p>
    <w:p w14:paraId="28E5B9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2．规范规定的施工机械</w:t>
      </w:r>
    </w:p>
    <w:p w14:paraId="2159A5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补充第（6）、（7）、（8）款：</w:t>
      </w:r>
    </w:p>
    <w:p w14:paraId="597B051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（6）若因承包人所用施工设备或施工工艺不当，造成本工程其它标段向发包人索赔或变更，因此发生的费用由承包人负担。</w:t>
      </w:r>
    </w:p>
    <w:p w14:paraId="0844E2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（7）在本工程施工期间，发包人在必要时将可以租用本标段的部分机械设备用于其他标段的重点工序的突击作业或抢险，对此，承包人不得拒绝。</w:t>
      </w:r>
    </w:p>
    <w:p w14:paraId="25BECF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（8）工程施工所用的其他专用施工机械，应根据工程内容、施工条件和质量要求选用，并应在相关工程的施工组织设计或施工方案中提出具体的要求。</w:t>
      </w:r>
    </w:p>
    <w:p w14:paraId="1770902D">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101.06 图纸</w:t>
      </w:r>
    </w:p>
    <w:p w14:paraId="4C1747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补充第 4 条：</w:t>
      </w:r>
    </w:p>
    <w:p w14:paraId="158021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4．承包人应根据发包人提供的设计图纸进行详细的施工工艺设计，并报监理人批准。</w:t>
      </w:r>
    </w:p>
    <w:p w14:paraId="2F6850D3">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101.08 税金和保险</w:t>
      </w:r>
    </w:p>
    <w:p w14:paraId="55180F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第 3 条内容修改为：</w:t>
      </w:r>
    </w:p>
    <w:p w14:paraId="584F40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3．承包人在整个施工期间（包括缺陷责任期）对其为本工程工作的全体雇员投保人身意外伤害险，单人保险额不得低于</w:t>
      </w:r>
      <w:r>
        <w:rPr>
          <w:rFonts w:hint="eastAsia" w:ascii="宋体" w:hAnsi="宋体" w:cs="宋体"/>
          <w:color w:val="auto"/>
          <w:szCs w:val="21"/>
          <w:highlight w:val="none"/>
          <w:lang w:val="en-US" w:eastAsia="zh-CN"/>
        </w:rPr>
        <w:t>100</w:t>
      </w:r>
      <w:r>
        <w:rPr>
          <w:rFonts w:hint="eastAsia" w:ascii="宋体" w:hAnsi="宋体" w:cs="宋体"/>
          <w:color w:val="auto"/>
          <w:szCs w:val="21"/>
          <w:highlight w:val="none"/>
        </w:rPr>
        <w:t>万元。 在本合同工程的施工和缺陷修复过程中，发包人对承包人雇员的人身死亡或伤残，或财产（设备）的损失或损害不予赔偿；发包人也不对承包人与此有关的索赔、损害、赔偿及诉讼等费用和其他开支承担任何责任。</w:t>
      </w:r>
    </w:p>
    <w:p w14:paraId="518809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补充第 4 条：</w:t>
      </w:r>
    </w:p>
    <w:p w14:paraId="313D17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4．保险替代不了承包人的管理责任，如发生工程事故造成损失，即便发包人为此获得保险赔付，根据事故性质，承包人责任大小，发包人仍有权要求承包人承担保险赔付不足部分及间接损失。</w:t>
      </w:r>
    </w:p>
    <w:p w14:paraId="12076F64">
      <w:pPr>
        <w:pStyle w:val="5"/>
        <w:jc w:val="center"/>
        <w:rPr>
          <w:rFonts w:hint="eastAsia" w:ascii="宋体" w:hAnsi="宋体" w:cs="Times New Roman"/>
          <w:color w:val="auto"/>
          <w:sz w:val="32"/>
          <w:highlight w:val="none"/>
        </w:rPr>
      </w:pPr>
      <w:r>
        <w:rPr>
          <w:rFonts w:hint="eastAsia" w:ascii="宋体" w:hAnsi="宋体" w:cs="Times New Roman"/>
          <w:color w:val="auto"/>
          <w:sz w:val="32"/>
          <w:highlight w:val="none"/>
        </w:rPr>
        <w:t>第102节  工程管理</w:t>
      </w:r>
    </w:p>
    <w:p w14:paraId="593D241B">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102.05施工方法与质量控制</w:t>
      </w:r>
    </w:p>
    <w:p w14:paraId="729F83A6">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补充第1条，原第1、2、3、4条改为第2、3、4、5条：</w:t>
      </w:r>
    </w:p>
    <w:p w14:paraId="144C6387">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w:t>
      </w:r>
      <w:r>
        <w:rPr>
          <w:rFonts w:hint="eastAsia"/>
        </w:rPr>
        <w:t>承包人是工程质量责任的主体，应按照规定落实质量岗位责任制，建立健全施工质量保证体系，实行质量责任登记制度。开工前，项目经理部必须建立</w:t>
      </w:r>
      <w:r>
        <w:t>“</w:t>
      </w:r>
      <w:r>
        <w:rPr>
          <w:rFonts w:hint="eastAsia"/>
        </w:rPr>
        <w:t>横向到边，纵向到底，控制有效</w:t>
      </w:r>
      <w:r>
        <w:t>”</w:t>
      </w:r>
      <w:r>
        <w:rPr>
          <w:rFonts w:hint="eastAsia"/>
        </w:rPr>
        <w:t>的质量自检体系</w:t>
      </w:r>
      <w:r>
        <w:t xml:space="preserve">, </w:t>
      </w:r>
      <w:r>
        <w:rPr>
          <w:rFonts w:hint="eastAsia"/>
        </w:rPr>
        <w:t>严格执行</w:t>
      </w:r>
      <w:r>
        <w:t>“</w:t>
      </w:r>
      <w:r>
        <w:rPr>
          <w:rFonts w:hint="eastAsia"/>
        </w:rPr>
        <w:t>三检</w:t>
      </w:r>
      <w:r>
        <w:t>”</w:t>
      </w:r>
      <w:r>
        <w:rPr>
          <w:rFonts w:hint="eastAsia"/>
        </w:rPr>
        <w:t>（自检、互检、交接检）制度。</w:t>
      </w:r>
    </w:p>
    <w:p w14:paraId="54BD59E0">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补充第 6、7</w:t>
      </w:r>
      <w:r>
        <w:rPr>
          <w:rFonts w:hint="eastAsia" w:ascii="宋体" w:hAnsi="宋体" w:cs="Times New Roman"/>
          <w:color w:val="auto"/>
          <w:kern w:val="2"/>
          <w:sz w:val="21"/>
          <w:szCs w:val="21"/>
          <w:highlight w:val="none"/>
          <w:lang w:val="en-US" w:eastAsia="zh-CN" w:bidi="ar-SA"/>
        </w:rPr>
        <w:t>、8</w:t>
      </w:r>
      <w:r>
        <w:rPr>
          <w:rFonts w:hint="eastAsia" w:ascii="宋体" w:hAnsi="宋体" w:eastAsia="宋体" w:cs="Times New Roman"/>
          <w:color w:val="auto"/>
          <w:kern w:val="2"/>
          <w:sz w:val="21"/>
          <w:szCs w:val="21"/>
          <w:highlight w:val="none"/>
          <w:lang w:val="en-US" w:eastAsia="zh-CN" w:bidi="ar-SA"/>
        </w:rPr>
        <w:t>条：</w:t>
      </w:r>
    </w:p>
    <w:p w14:paraId="52DFDA65">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6．钢筋施工应符合《关于进一步加强钢筋工程施工质量管理的通知》（浙交[2014] 156号）的规定。</w:t>
      </w:r>
    </w:p>
    <w:p w14:paraId="221EF624">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承包人应根据发包人和监理人的指令组织开展必要的工艺试验工作，以指导和验证施工期结构的安全、耐久性，提高施工质量，加快施工速度。承包人为组织开展工艺试验的工作的相关费用不单独计量，含在投标报价中。</w:t>
      </w:r>
    </w:p>
    <w:p w14:paraId="0CB19156">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承包人应建立一个完善且运转有效的自检保证体系，各级自检人员应由富有施工经验、具有相关专业技术职称、熟悉标准规范和图纸、责任心强,并且工作作风优良的技术人员担任。承包人应采取有力措施，确保施工过程中自检人员的稳定，任何新增或替换的人员其资质不得低于原先同级自检人员的资质，并必须获得监理人的批准。对承包人自检人员资质不符、责任心不强、能力不能满足工作需要的，监理人有权提出撤换要求，承包人应立即予以执行。</w:t>
      </w:r>
    </w:p>
    <w:p w14:paraId="71ADC209">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102.08工程记录与竣工文件</w:t>
      </w:r>
    </w:p>
    <w:p w14:paraId="6DAF9C6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第3条修改为：</w:t>
      </w:r>
    </w:p>
    <w:p w14:paraId="4B226E04">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ascii="宋体"/>
          <w:color w:val="000000" w:themeColor="text1"/>
          <w:szCs w:val="21"/>
          <w:highlight w:val="none"/>
          <w14:textFill>
            <w14:solidFill>
              <w14:schemeClr w14:val="tx1"/>
            </w14:solidFill>
          </w14:textFill>
        </w:rPr>
      </w:pPr>
      <w:r>
        <w:rPr>
          <w:rFonts w:hint="eastAsia" w:ascii="宋体" w:hAnsi="宋体" w:eastAsia="宋体" w:cs="Times New Roman"/>
          <w:color w:val="auto"/>
          <w:kern w:val="2"/>
          <w:sz w:val="21"/>
          <w:szCs w:val="21"/>
          <w:highlight w:val="none"/>
          <w:lang w:val="en-US" w:eastAsia="zh-CN" w:bidi="ar-SA"/>
        </w:rPr>
        <w:t>3</w:t>
      </w:r>
      <w:r>
        <w:rPr>
          <w:rFonts w:hint="eastAsia" w:ascii="宋体" w:hAnsi="宋体" w:cs="Times New Roman"/>
          <w:color w:val="auto"/>
          <w:kern w:val="2"/>
          <w:sz w:val="21"/>
          <w:szCs w:val="21"/>
          <w:highlight w:val="none"/>
          <w:lang w:val="en-US" w:eastAsia="zh-CN" w:bidi="ar-SA"/>
        </w:rPr>
        <w:t>.</w:t>
      </w:r>
      <w:r>
        <w:rPr>
          <w:rFonts w:hint="eastAsia" w:ascii="宋体"/>
          <w:color w:val="000000" w:themeColor="text1"/>
          <w:szCs w:val="21"/>
          <w:highlight w:val="none"/>
          <w14:textFill>
            <w14:solidFill>
              <w14:schemeClr w14:val="tx1"/>
            </w14:solidFill>
          </w14:textFill>
        </w:rPr>
        <w:t>交工验收由发包人主持，由发包人、监理人、质监、设计、施工等有关部门代表组成交工验收小组，对本项目的工程质量进行评定，并写出交工验收报告报交通主管部门备案。承包人应按发包人的要求提交工验收资料，完成交工验收准备工作。</w:t>
      </w:r>
    </w:p>
    <w:p w14:paraId="782D3150">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交工验收按交通运输部2004年第3号令《公路工程竣(交)工验收办法》、交通运输部交公路发（2010）65号《公路工程竣(交)工验收办法实施细则》和浙江省交通运输厅浙交〔2019〕184号《浙江省公路工程竣（交）工验收办法》（ZJSP17-2019-0014）、国家安全监管总局（2015）36号《建设项目安全设施“三同时”监督管理办法》、中华人民共和国国务院令第682号《建设项目环境保护管理条例》及发包人的相关规定执行。承包人应按发包人的要求提交资料，完成交工验收准备工作。</w:t>
      </w:r>
    </w:p>
    <w:p w14:paraId="36C1D30C">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组织办理交工验收和签发交工验收证书的费用由承包人承担。</w:t>
      </w:r>
    </w:p>
    <w:p w14:paraId="7DEA099B">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b/>
          <w:bCs/>
          <w:color w:val="auto"/>
          <w:szCs w:val="21"/>
          <w:highlight w:val="none"/>
          <w:lang w:val="en-US" w:eastAsia="zh-CN"/>
        </w:rPr>
      </w:pPr>
      <w:r>
        <w:rPr>
          <w:rFonts w:hint="eastAsia" w:ascii="宋体"/>
          <w:color w:val="000000" w:themeColor="text1"/>
          <w:szCs w:val="21"/>
          <w:highlight w:val="none"/>
          <w14:textFill>
            <w14:solidFill>
              <w14:schemeClr w14:val="tx1"/>
            </w14:solidFill>
          </w14:textFill>
        </w:rPr>
        <w:t>竣（交）工时如出现交工检测和竣工鉴定质量不符合要求</w:t>
      </w:r>
      <w:r>
        <w:rPr>
          <w:rFonts w:ascii="宋体"/>
          <w:color w:val="000000" w:themeColor="text1"/>
          <w:szCs w:val="21"/>
          <w:highlight w:val="none"/>
          <w14:textFill>
            <w14:solidFill>
              <w14:schemeClr w14:val="tx1"/>
            </w14:solidFill>
          </w14:textFill>
        </w:rPr>
        <w:t>的情形，承包人按合同条款</w:t>
      </w:r>
      <w:r>
        <w:rPr>
          <w:rFonts w:hint="eastAsia" w:ascii="宋体"/>
          <w:color w:val="000000" w:themeColor="text1"/>
          <w:szCs w:val="21"/>
          <w:highlight w:val="none"/>
          <w:lang w:val="en-US" w:eastAsia="zh-CN"/>
          <w14:textFill>
            <w14:solidFill>
              <w14:schemeClr w14:val="tx1"/>
            </w14:solidFill>
          </w14:textFill>
        </w:rPr>
        <w:t>约定</w:t>
      </w:r>
      <w:r>
        <w:rPr>
          <w:rFonts w:ascii="宋体"/>
          <w:color w:val="000000" w:themeColor="text1"/>
          <w:szCs w:val="21"/>
          <w:highlight w:val="none"/>
          <w14:textFill>
            <w14:solidFill>
              <w14:schemeClr w14:val="tx1"/>
            </w14:solidFill>
          </w14:textFill>
        </w:rPr>
        <w:t>进行返工重作或进行补救，并承担由此产生的费用。影响工程整体交工验收（含中间交工验收）的，</w:t>
      </w:r>
      <w:r>
        <w:rPr>
          <w:rFonts w:ascii="宋体"/>
          <w:b/>
          <w:color w:val="000000" w:themeColor="text1"/>
          <w:szCs w:val="21"/>
          <w:highlight w:val="none"/>
          <w14:textFill>
            <w14:solidFill>
              <w14:schemeClr w14:val="tx1"/>
            </w14:solidFill>
          </w14:textFill>
        </w:rPr>
        <w:t>按承包人延误工期进行违约处理</w:t>
      </w:r>
      <w:r>
        <w:rPr>
          <w:rFonts w:hint="eastAsia" w:ascii="宋体"/>
          <w:b/>
          <w:color w:val="000000" w:themeColor="text1"/>
          <w:szCs w:val="21"/>
          <w:highlight w:val="none"/>
          <w14:textFill>
            <w14:solidFill>
              <w14:schemeClr w14:val="tx1"/>
            </w14:solidFill>
          </w14:textFill>
        </w:rPr>
        <w:t>。</w:t>
      </w:r>
    </w:p>
    <w:p w14:paraId="1A296E81">
      <w:pPr>
        <w:keepNext w:val="0"/>
        <w:keepLines w:val="0"/>
        <w:pageBreakBefore w:val="0"/>
        <w:widowControl w:val="0"/>
        <w:tabs>
          <w:tab w:val="left" w:pos="2790"/>
        </w:tabs>
        <w:kinsoku/>
        <w:wordWrap/>
        <w:overflowPunct/>
        <w:topLinePunct w:val="0"/>
        <w:autoSpaceDE/>
        <w:autoSpaceDN/>
        <w:bidi w:val="0"/>
        <w:adjustRightInd/>
        <w:snapToGrid/>
        <w:spacing w:line="440" w:lineRule="exact"/>
        <w:ind w:left="0" w:leftChars="0" w:firstLine="420" w:firstLineChars="200"/>
        <w:textAlignment w:val="auto"/>
        <w:rPr>
          <w:rFonts w:ascii="宋体" w:hAnsi="宋体" w:cs="宋体"/>
          <w:color w:val="0000FF"/>
          <w:szCs w:val="21"/>
          <w:highlight w:val="none"/>
        </w:rPr>
      </w:pPr>
      <w:r>
        <w:rPr>
          <w:rFonts w:hint="eastAsia" w:ascii="宋体" w:hAnsi="宋体" w:cs="宋体"/>
          <w:color w:val="auto"/>
          <w:szCs w:val="21"/>
          <w:highlight w:val="none"/>
        </w:rPr>
        <w:t>承包人确保工程施工原始资料与工程进度同步完成，并由专人负责档案管理工作，</w:t>
      </w:r>
      <w:r>
        <w:rPr>
          <w:rFonts w:hint="eastAsia" w:ascii="宋体" w:hAnsi="宋体" w:cs="宋体"/>
          <w:color w:val="auto"/>
          <w:szCs w:val="21"/>
          <w:highlight w:val="none"/>
          <w:lang w:val="en-US" w:eastAsia="zh-CN"/>
        </w:rPr>
        <w:t>同时</w:t>
      </w:r>
      <w:r>
        <w:rPr>
          <w:rFonts w:hint="eastAsia" w:ascii="宋体" w:hAnsi="宋体" w:eastAsia="宋体" w:cs="Times New Roman"/>
          <w:color w:val="auto"/>
          <w:kern w:val="2"/>
          <w:sz w:val="21"/>
          <w:szCs w:val="21"/>
          <w:highlight w:val="none"/>
          <w:lang w:val="en-US" w:eastAsia="zh-CN" w:bidi="ar-SA"/>
        </w:rPr>
        <w:t>应</w:t>
      </w:r>
      <w:r>
        <w:rPr>
          <w:rFonts w:hint="eastAsia" w:ascii="宋体" w:hAnsi="宋体" w:cs="宋体"/>
          <w:color w:val="auto"/>
          <w:szCs w:val="21"/>
          <w:highlight w:val="none"/>
        </w:rPr>
        <w:t>同时按照《中华人民共和国档案法》、交通运输部《关于印发公路建设项目文件材料立卷归档管理办法的通知》、《浙江省公路工程竣工文件编制办法》、《重大建设项目档案验收办法》、《浙江省档案登记备份管理办法》</w:t>
      </w:r>
      <w:r>
        <w:rPr>
          <w:rFonts w:hint="eastAsia" w:ascii="宋体" w:hAnsi="宋体" w:cs="宋体"/>
          <w:color w:val="auto"/>
          <w:szCs w:val="21"/>
          <w:highlight w:val="none"/>
          <w:lang w:eastAsia="zh-CN"/>
        </w:rPr>
        <w:t>、</w:t>
      </w:r>
      <w:r>
        <w:rPr>
          <w:rFonts w:hint="eastAsia"/>
          <w:color w:val="auto"/>
          <w:highlight w:val="none"/>
          <w:lang w:val="en-US" w:eastAsia="zh-CN"/>
        </w:rPr>
        <w:t>《浙江省重点建设项目档案管理办法》</w:t>
      </w:r>
      <w:r>
        <w:rPr>
          <w:rFonts w:hint="eastAsia" w:ascii="宋体" w:hAnsi="宋体" w:cs="宋体"/>
          <w:color w:val="auto"/>
          <w:szCs w:val="21"/>
          <w:highlight w:val="none"/>
        </w:rPr>
        <w:t>以及交通运输部《公路工程竣（交）工验收办法》等有关规定做好工程竣工资料的编制</w:t>
      </w:r>
      <w:r>
        <w:rPr>
          <w:rFonts w:hint="eastAsia" w:ascii="宋体" w:hAnsi="宋体" w:cs="宋体"/>
          <w:color w:val="0000FF"/>
          <w:szCs w:val="21"/>
          <w:highlight w:val="none"/>
        </w:rPr>
        <w:t>。</w:t>
      </w:r>
    </w:p>
    <w:p w14:paraId="31C5D0A3">
      <w:pPr>
        <w:keepNext w:val="0"/>
        <w:keepLines w:val="0"/>
        <w:pageBreakBefore w:val="0"/>
        <w:widowControl w:val="0"/>
        <w:tabs>
          <w:tab w:val="left" w:pos="2790"/>
        </w:tabs>
        <w:kinsoku/>
        <w:wordWrap/>
        <w:overflowPunct/>
        <w:topLinePunct w:val="0"/>
        <w:autoSpaceDE/>
        <w:autoSpaceDN/>
        <w:bidi w:val="0"/>
        <w:adjustRightInd/>
        <w:snapToGrid/>
        <w:spacing w:line="440" w:lineRule="exact"/>
        <w:ind w:left="0" w:leftChars="0"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s="宋体"/>
          <w:color w:val="auto"/>
          <w:szCs w:val="21"/>
          <w:highlight w:val="none"/>
        </w:rPr>
        <w:t>省重点建设项目应按《浙江省重点建设项目档案登记备份办法》做好建设项目档案登记备份工作。</w:t>
      </w:r>
    </w:p>
    <w:p w14:paraId="246DDBB2">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补充第4、5条：</w:t>
      </w:r>
    </w:p>
    <w:p w14:paraId="322E6DEA">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有关本工程的情况，承包人不能以任何手段出版任何资料和刊物。承包人应将合同的所有细节作为保密资料对待，没有发包人的批准，合同的任何部分不应在任何商业或技术文献上刊登或披露，包括工程技术详图。承包人不得用工程照片作宣传，除非事先得到发包人书面同意。</w:t>
      </w:r>
    </w:p>
    <w:p w14:paraId="2D2EF6A0">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承包人所使用的工程表格不能是复印的表格，所使用表格必须是通过有关厂家铅印或直接从激光打印机输出的表格，要确保空白表格的清晰度，否则，承包人应无条件进行返工，由此造成资料滞后或不能顺利移交等后果均由承包人承担。</w:t>
      </w:r>
    </w:p>
    <w:p w14:paraId="70FD7B84">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102.09  关于工程附近建筑物和财产的保护</w:t>
      </w:r>
    </w:p>
    <w:p w14:paraId="51E7E287">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第2条修改为：</w:t>
      </w:r>
    </w:p>
    <w:p w14:paraId="582B0685">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2．工程施工期间，</w:t>
      </w:r>
      <w:r>
        <w:rPr>
          <w:rFonts w:hint="eastAsia" w:ascii="宋体" w:hAnsi="宋体" w:cs="宋体"/>
          <w:color w:val="auto"/>
          <w:szCs w:val="21"/>
          <w:highlight w:val="none"/>
        </w:rPr>
        <w:t>承包人对因建设工程施工可能造成损害的毗邻建筑物、构筑物</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地上或</w:t>
      </w:r>
      <w:r>
        <w:rPr>
          <w:rFonts w:hint="eastAsia" w:ascii="宋体" w:hAnsi="宋体" w:cs="宋体"/>
          <w:color w:val="auto"/>
          <w:szCs w:val="21"/>
          <w:highlight w:val="none"/>
        </w:rPr>
        <w:t>地下管线</w:t>
      </w:r>
      <w:r>
        <w:rPr>
          <w:rFonts w:hint="eastAsia" w:ascii="宋体" w:hAnsi="宋体" w:eastAsia="宋体" w:cs="Times New Roman"/>
          <w:color w:val="auto"/>
          <w:kern w:val="2"/>
          <w:sz w:val="21"/>
          <w:szCs w:val="21"/>
          <w:highlight w:val="none"/>
          <w:lang w:val="en-US" w:eastAsia="zh-CN" w:bidi="ar-SA"/>
        </w:rPr>
        <w:t>（含输气、输油、自来水、排污、光缆、通信、通讯等）</w:t>
      </w:r>
      <w:r>
        <w:rPr>
          <w:rFonts w:hint="eastAsia" w:ascii="宋体" w:hAnsi="宋体" w:cs="Times New Roman"/>
          <w:color w:val="auto"/>
          <w:kern w:val="2"/>
          <w:sz w:val="21"/>
          <w:szCs w:val="21"/>
          <w:highlight w:val="none"/>
          <w:lang w:val="en-US" w:eastAsia="zh-CN" w:bidi="ar-SA"/>
        </w:rPr>
        <w:t>、</w:t>
      </w:r>
      <w:r>
        <w:rPr>
          <w:rFonts w:hint="eastAsia" w:ascii="宋体" w:hAnsi="宋体" w:eastAsia="宋体" w:cs="Times New Roman"/>
          <w:color w:val="auto"/>
          <w:kern w:val="2"/>
          <w:sz w:val="21"/>
          <w:szCs w:val="21"/>
          <w:highlight w:val="none"/>
          <w:lang w:val="en-US" w:eastAsia="zh-CN" w:bidi="ar-SA"/>
        </w:rPr>
        <w:t>水利设施、道路、铁路、河道、树木等</w:t>
      </w:r>
      <w:r>
        <w:rPr>
          <w:rFonts w:hint="eastAsia" w:ascii="宋体" w:hAnsi="宋体" w:cs="宋体"/>
          <w:color w:val="auto"/>
          <w:szCs w:val="21"/>
          <w:highlight w:val="none"/>
        </w:rPr>
        <w:t>应当采取专项防护措施，确保施工和人民财产生命安全</w:t>
      </w:r>
      <w:r>
        <w:rPr>
          <w:rFonts w:hint="eastAsia" w:ascii="宋体" w:hAnsi="宋体" w:cs="宋体"/>
          <w:color w:val="auto"/>
          <w:szCs w:val="21"/>
          <w:highlight w:val="none"/>
          <w:lang w:eastAsia="zh-CN"/>
        </w:rPr>
        <w:t>，</w:t>
      </w:r>
      <w:r>
        <w:rPr>
          <w:rFonts w:hint="eastAsia" w:ascii="宋体" w:hAnsi="宋体" w:eastAsia="宋体" w:cs="Times New Roman"/>
          <w:color w:val="auto"/>
          <w:kern w:val="2"/>
          <w:sz w:val="21"/>
          <w:szCs w:val="21"/>
          <w:highlight w:val="none"/>
          <w:lang w:val="en-US" w:eastAsia="zh-CN" w:bidi="ar-SA"/>
        </w:rPr>
        <w:t>否则，造成损失的责任由承包人自负。</w:t>
      </w:r>
    </w:p>
    <w:p w14:paraId="4944C6BE">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s="宋体"/>
          <w:color w:val="auto"/>
          <w:szCs w:val="21"/>
          <w:highlight w:val="none"/>
        </w:rPr>
        <w:t>承包人应当遵守有关环境保护法律、法规的规定，在施工现场采取措施，防止或者减少粉尘、废气、废水、固体废物、噪声、振动和施工照明对人和环境的危害和污染。</w:t>
      </w:r>
    </w:p>
    <w:p w14:paraId="617C7B41">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当发包人无法提供详尽的地下管线图时，不能免除因承包人原因造成地下管线破坏的所有应承担的责任。</w:t>
      </w:r>
    </w:p>
    <w:p w14:paraId="7E3FCF85">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第6条修改为：</w:t>
      </w:r>
    </w:p>
    <w:p w14:paraId="346F63E8">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承包人在靠近居民区、高压线（杆）、其他建筑物的施工时，应充分做好保护措施，特别是结构物拆除、钻孔桩施工、机械开挖时应考虑尽量采用对周围建筑物及人员影响小的施工方法，如果由于承包人采取的措施不力，由此而引起的不良后果均由承包人承担，由此发生的一切费用视为已包含在相关的报价中，发包人不另行支付。</w:t>
      </w:r>
    </w:p>
    <w:p w14:paraId="58FB2AC9">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102.11 环境保护</w:t>
      </w:r>
    </w:p>
    <w:p w14:paraId="4865086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7．现有公用设施的保护</w:t>
      </w:r>
    </w:p>
    <w:p w14:paraId="115653D8">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补充第（3）款：</w:t>
      </w:r>
    </w:p>
    <w:p w14:paraId="399918FA">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（3）光缆、电缆、油气管道等管线的探测与保护</w:t>
      </w:r>
    </w:p>
    <w:p w14:paraId="3ACF5455">
      <w:pPr>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承包人应在施工前对本工程沿线、交叉或临近的所有的光缆、电缆、输气、输油、自来水、排污、通信、通讯等管线进行探测，设置明显警示标志，并在施工过程中严格予以保护，不得有任何损坏。</w:t>
      </w:r>
    </w:p>
    <w:p w14:paraId="675FB309">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102.13安全保护与事故报告</w:t>
      </w:r>
    </w:p>
    <w:p w14:paraId="00DCFD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3．安全标志</w:t>
      </w:r>
    </w:p>
    <w:p w14:paraId="1A41E3C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补充第（4）款：</w:t>
      </w:r>
    </w:p>
    <w:p w14:paraId="049F7C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承包人应根据浙江省交通运输厅浙交〔2013〕120号《关于在我省政府投资公路水运建设工程中推行安全质量远程视频监控系统的通知》等的相关要求对整个标段配置安全生产所需的施工安全视频监控系统，并应做到施工现场监控无盲点，包括设备的配置、安装、维护、储存、备份管理及网络构筑等一切与此相关的作业。</w:t>
      </w:r>
    </w:p>
    <w:p w14:paraId="76FF05F4">
      <w:pPr>
        <w:pStyle w:val="5"/>
        <w:jc w:val="center"/>
        <w:rPr>
          <w:rFonts w:hint="eastAsia" w:ascii="宋体" w:hAnsi="宋体" w:cs="Times New Roman"/>
          <w:color w:val="auto"/>
          <w:sz w:val="32"/>
          <w:highlight w:val="none"/>
        </w:rPr>
      </w:pPr>
      <w:r>
        <w:rPr>
          <w:rFonts w:hint="eastAsia" w:ascii="宋体" w:hAnsi="宋体" w:cs="Times New Roman"/>
          <w:color w:val="auto"/>
          <w:sz w:val="32"/>
          <w:highlight w:val="none"/>
        </w:rPr>
        <w:t>第103节  临时工程与设施</w:t>
      </w:r>
    </w:p>
    <w:p w14:paraId="047184FD">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103.02 临时设施</w:t>
      </w:r>
    </w:p>
    <w:p w14:paraId="5D36A4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1．供电</w:t>
      </w:r>
    </w:p>
    <w:p w14:paraId="349011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第（5）款修改为：</w:t>
      </w:r>
    </w:p>
    <w:p w14:paraId="74EBA7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（5）承包人在临时用电方案设计及铺设时应按发包人的要求，结合后期永久用电统一考虑。本工程交工时，承包人除发包人要求保留的电线杆外，其他按照要求全部拆除。</w:t>
      </w:r>
    </w:p>
    <w:p w14:paraId="41DA1DAD">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103.03临时道路、桥涵</w:t>
      </w:r>
    </w:p>
    <w:p w14:paraId="6C2AF4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修改为103.03临时道路、桥涵、便桥、码头、施工平台</w:t>
      </w:r>
    </w:p>
    <w:p w14:paraId="0004FA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2．临时道路、桥涵</w:t>
      </w:r>
    </w:p>
    <w:p w14:paraId="4EA289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在第(3)款原内容后补充：</w:t>
      </w:r>
    </w:p>
    <w:p w14:paraId="5A0EC6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施工便道路基应边线顺直、排水顺畅、采用硬化路面、设置相关交通标志，安排专人负责养护并经常洒水降尘，保证路面平整并防止积水、扬尘；</w:t>
      </w:r>
    </w:p>
    <w:p w14:paraId="46875B6F">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103.04临时占地</w:t>
      </w:r>
    </w:p>
    <w:p w14:paraId="1D01BDC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补充第3条：</w:t>
      </w:r>
    </w:p>
    <w:p w14:paraId="56761B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如因承包人撤离后未按要求对临时占地进行恢复或虽进行了恢复但未达到验收标准而与当地发生纠纷，导致发包人发生额外支出时，发包人将从应付给承包人的任何款项内扣除所支出费用。</w:t>
      </w:r>
    </w:p>
    <w:p w14:paraId="58FFC8CB">
      <w:pPr>
        <w:rPr>
          <w:rFonts w:hint="eastAsia" w:ascii="宋体" w:hAnsi="宋体" w:eastAsia="宋体" w:cs="Times New Roman"/>
          <w:b/>
          <w:bCs/>
          <w:color w:val="auto"/>
          <w:kern w:val="2"/>
          <w:sz w:val="32"/>
          <w:szCs w:val="32"/>
          <w:highlight w:val="none"/>
          <w:lang w:val="en-US" w:eastAsia="zh-CN" w:bidi="ar-SA"/>
        </w:rPr>
      </w:pPr>
      <w:r>
        <w:rPr>
          <w:rFonts w:hint="eastAsia" w:ascii="宋体" w:hAnsi="宋体" w:eastAsia="宋体" w:cs="Times New Roman"/>
          <w:b/>
          <w:bCs/>
          <w:color w:val="auto"/>
          <w:kern w:val="2"/>
          <w:sz w:val="32"/>
          <w:szCs w:val="32"/>
          <w:highlight w:val="none"/>
          <w:lang w:val="en-US" w:eastAsia="zh-CN" w:bidi="ar-SA"/>
        </w:rPr>
        <w:br w:type="page"/>
      </w:r>
    </w:p>
    <w:p w14:paraId="7439498B">
      <w:pPr>
        <w:tabs>
          <w:tab w:val="left" w:pos="3120"/>
        </w:tabs>
        <w:jc w:val="center"/>
        <w:outlineLvl w:val="1"/>
        <w:rPr>
          <w:rFonts w:eastAsia="黑体"/>
          <w:color w:val="auto"/>
          <w:sz w:val="44"/>
          <w:highlight w:val="none"/>
        </w:rPr>
      </w:pPr>
      <w:bookmarkStart w:id="1370" w:name="_Toc154675191"/>
      <w:bookmarkStart w:id="1371" w:name="_Toc484679345"/>
      <w:r>
        <w:rPr>
          <w:rFonts w:hint="eastAsia" w:eastAsia="黑体"/>
          <w:color w:val="auto"/>
          <w:sz w:val="44"/>
          <w:highlight w:val="none"/>
        </w:rPr>
        <w:t>第</w:t>
      </w:r>
      <w:r>
        <w:rPr>
          <w:rFonts w:eastAsia="黑体"/>
          <w:color w:val="auto"/>
          <w:sz w:val="44"/>
          <w:highlight w:val="none"/>
        </w:rPr>
        <w:t>700</w:t>
      </w:r>
      <w:r>
        <w:rPr>
          <w:rFonts w:hint="eastAsia" w:eastAsia="黑体"/>
          <w:color w:val="auto"/>
          <w:sz w:val="44"/>
          <w:highlight w:val="none"/>
        </w:rPr>
        <w:t>章绿化及环境保护设施</w:t>
      </w:r>
      <w:bookmarkEnd w:id="1370"/>
      <w:bookmarkEnd w:id="1371"/>
    </w:p>
    <w:p w14:paraId="6D93FF08">
      <w:pPr>
        <w:spacing w:line="460" w:lineRule="exact"/>
        <w:rPr>
          <w:color w:val="auto"/>
          <w:highlight w:val="none"/>
        </w:rPr>
      </w:pPr>
    </w:p>
    <w:p w14:paraId="3A1671A3">
      <w:pPr>
        <w:pStyle w:val="5"/>
        <w:jc w:val="center"/>
        <w:rPr>
          <w:rFonts w:ascii="宋体" w:hAnsi="宋体"/>
          <w:color w:val="auto"/>
          <w:sz w:val="32"/>
          <w:highlight w:val="none"/>
        </w:rPr>
      </w:pPr>
      <w:bookmarkStart w:id="1372" w:name="_Toc154675192"/>
      <w:r>
        <w:rPr>
          <w:rFonts w:hint="eastAsia" w:ascii="宋体" w:hAnsi="宋体"/>
          <w:color w:val="auto"/>
          <w:sz w:val="32"/>
          <w:highlight w:val="none"/>
        </w:rPr>
        <w:t>第</w:t>
      </w:r>
      <w:r>
        <w:rPr>
          <w:rFonts w:ascii="宋体" w:hAnsi="宋体"/>
          <w:color w:val="auto"/>
          <w:sz w:val="32"/>
          <w:highlight w:val="none"/>
        </w:rPr>
        <w:t>701</w:t>
      </w:r>
      <w:r>
        <w:rPr>
          <w:rFonts w:hint="eastAsia" w:ascii="宋体" w:hAnsi="宋体"/>
          <w:color w:val="auto"/>
          <w:sz w:val="32"/>
          <w:highlight w:val="none"/>
        </w:rPr>
        <w:t>节</w:t>
      </w:r>
      <w:r>
        <w:rPr>
          <w:rFonts w:hint="eastAsia" w:ascii="宋体" w:hAnsi="宋体"/>
          <w:color w:val="auto"/>
          <w:sz w:val="32"/>
          <w:highlight w:val="none"/>
          <w:lang w:val="en-US" w:eastAsia="zh-CN"/>
        </w:rPr>
        <w:t xml:space="preserve"> </w:t>
      </w:r>
      <w:r>
        <w:rPr>
          <w:rFonts w:hint="eastAsia" w:ascii="宋体" w:hAnsi="宋体"/>
          <w:color w:val="auto"/>
          <w:sz w:val="32"/>
          <w:highlight w:val="none"/>
        </w:rPr>
        <w:t>通则</w:t>
      </w:r>
      <w:bookmarkEnd w:id="1372"/>
    </w:p>
    <w:p w14:paraId="73F731B0">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701.02  一般规定</w:t>
      </w:r>
    </w:p>
    <w:p w14:paraId="0AE40E99">
      <w:pPr>
        <w:spacing w:line="380" w:lineRule="exact"/>
        <w:ind w:firstLine="405"/>
        <w:rPr>
          <w:color w:val="auto"/>
          <w:highlight w:val="none"/>
        </w:rPr>
      </w:pPr>
      <w:r>
        <w:rPr>
          <w:color w:val="auto"/>
          <w:highlight w:val="none"/>
        </w:rPr>
        <w:t>1.</w:t>
      </w:r>
      <w:r>
        <w:rPr>
          <w:rFonts w:hint="eastAsia"/>
          <w:color w:val="auto"/>
          <w:highlight w:val="none"/>
        </w:rPr>
        <w:t>绿化工程</w:t>
      </w:r>
    </w:p>
    <w:p w14:paraId="194ED647">
      <w:pPr>
        <w:spacing w:line="380" w:lineRule="exact"/>
        <w:ind w:firstLine="405"/>
        <w:rPr>
          <w:color w:val="auto"/>
          <w:highlight w:val="none"/>
        </w:rPr>
      </w:pPr>
      <w:r>
        <w:rPr>
          <w:rFonts w:hint="eastAsia"/>
          <w:color w:val="auto"/>
          <w:highlight w:val="none"/>
        </w:rPr>
        <w:t>补充第（</w:t>
      </w:r>
      <w:r>
        <w:rPr>
          <w:color w:val="auto"/>
          <w:highlight w:val="none"/>
        </w:rPr>
        <w:t>8</w:t>
      </w:r>
      <w:r>
        <w:rPr>
          <w:rFonts w:hint="eastAsia"/>
          <w:color w:val="auto"/>
          <w:highlight w:val="none"/>
        </w:rPr>
        <w:t>）款：</w:t>
      </w:r>
    </w:p>
    <w:p w14:paraId="19E8C211">
      <w:pPr>
        <w:spacing w:line="380" w:lineRule="exact"/>
        <w:ind w:firstLine="405"/>
        <w:rPr>
          <w:color w:val="auto"/>
          <w:highlight w:val="none"/>
        </w:rPr>
      </w:pPr>
      <w:r>
        <w:rPr>
          <w:rFonts w:hint="eastAsia"/>
          <w:color w:val="auto"/>
          <w:highlight w:val="none"/>
        </w:rPr>
        <w:t>（</w:t>
      </w:r>
      <w:r>
        <w:rPr>
          <w:color w:val="auto"/>
          <w:highlight w:val="none"/>
        </w:rPr>
        <w:t>8</w:t>
      </w:r>
      <w:r>
        <w:rPr>
          <w:rFonts w:hint="eastAsia"/>
          <w:color w:val="auto"/>
          <w:highlight w:val="none"/>
        </w:rPr>
        <w:t>）如果承包人预防措施不力，并已对路面结构和邻近区域的环境卫生造成了污染，给当地农民造成损失，或由于扬尘、排污、噪声、材料漏失等对周围居民和环境造成的损失，则由此而引发的一切损失及后果，应由承包人负责。</w:t>
      </w:r>
    </w:p>
    <w:p w14:paraId="51877728">
      <w:pPr>
        <w:spacing w:line="380" w:lineRule="exact"/>
        <w:ind w:firstLine="405"/>
        <w:rPr>
          <w:color w:val="auto"/>
          <w:highlight w:val="none"/>
        </w:rPr>
      </w:pPr>
    </w:p>
    <w:p w14:paraId="5FCF9EAA">
      <w:pPr>
        <w:pStyle w:val="5"/>
        <w:jc w:val="center"/>
        <w:rPr>
          <w:rFonts w:ascii="宋体" w:hAnsi="宋体"/>
          <w:color w:val="auto"/>
          <w:sz w:val="32"/>
          <w:highlight w:val="none"/>
        </w:rPr>
      </w:pPr>
      <w:bookmarkStart w:id="1373" w:name="_Toc154675193"/>
      <w:r>
        <w:rPr>
          <w:rFonts w:hint="eastAsia" w:ascii="宋体" w:hAnsi="宋体"/>
          <w:color w:val="auto"/>
          <w:sz w:val="32"/>
          <w:highlight w:val="none"/>
        </w:rPr>
        <w:t>第</w:t>
      </w:r>
      <w:r>
        <w:rPr>
          <w:rFonts w:ascii="宋体" w:hAnsi="宋体"/>
          <w:color w:val="auto"/>
          <w:sz w:val="32"/>
          <w:highlight w:val="none"/>
        </w:rPr>
        <w:t>702</w:t>
      </w:r>
      <w:r>
        <w:rPr>
          <w:rFonts w:hint="eastAsia" w:ascii="宋体" w:hAnsi="宋体"/>
          <w:color w:val="auto"/>
          <w:sz w:val="32"/>
          <w:highlight w:val="none"/>
        </w:rPr>
        <w:t>节</w:t>
      </w:r>
      <w:r>
        <w:rPr>
          <w:rFonts w:hint="eastAsia" w:ascii="宋体" w:hAnsi="宋体"/>
          <w:color w:val="auto"/>
          <w:sz w:val="32"/>
          <w:highlight w:val="none"/>
          <w:lang w:val="en-US" w:eastAsia="zh-CN"/>
        </w:rPr>
        <w:t xml:space="preserve"> </w:t>
      </w:r>
      <w:r>
        <w:rPr>
          <w:rFonts w:hint="eastAsia" w:ascii="宋体" w:hAnsi="宋体"/>
          <w:color w:val="auto"/>
          <w:sz w:val="32"/>
          <w:highlight w:val="none"/>
        </w:rPr>
        <w:t>铺设表土</w:t>
      </w:r>
      <w:bookmarkEnd w:id="1373"/>
    </w:p>
    <w:p w14:paraId="15E204BE">
      <w:pPr>
        <w:tabs>
          <w:tab w:val="left" w:pos="3120"/>
        </w:tabs>
        <w:spacing w:line="360" w:lineRule="auto"/>
        <w:ind w:firstLine="397"/>
        <w:rPr>
          <w:color w:val="auto"/>
          <w:highlight w:val="none"/>
        </w:rPr>
      </w:pPr>
    </w:p>
    <w:p w14:paraId="47FEEFF2">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702.03  施工要求</w:t>
      </w:r>
    </w:p>
    <w:p w14:paraId="7AD39768">
      <w:pPr>
        <w:spacing w:line="380" w:lineRule="exact"/>
        <w:ind w:firstLine="405"/>
        <w:rPr>
          <w:color w:val="auto"/>
          <w:highlight w:val="none"/>
        </w:rPr>
      </w:pPr>
      <w:r>
        <w:rPr>
          <w:color w:val="auto"/>
          <w:highlight w:val="none"/>
        </w:rPr>
        <w:t>3</w:t>
      </w:r>
      <w:r>
        <w:rPr>
          <w:rFonts w:hint="eastAsia"/>
          <w:color w:val="auto"/>
          <w:highlight w:val="none"/>
        </w:rPr>
        <w:t>．铺设</w:t>
      </w:r>
    </w:p>
    <w:p w14:paraId="7549D6A2">
      <w:pPr>
        <w:spacing w:line="380" w:lineRule="exact"/>
        <w:ind w:firstLine="405"/>
        <w:rPr>
          <w:color w:val="auto"/>
          <w:highlight w:val="none"/>
        </w:rPr>
      </w:pPr>
      <w:r>
        <w:rPr>
          <w:rFonts w:hint="eastAsia"/>
          <w:color w:val="auto"/>
          <w:highlight w:val="none"/>
        </w:rPr>
        <w:t>表</w:t>
      </w:r>
      <w:r>
        <w:rPr>
          <w:color w:val="auto"/>
          <w:highlight w:val="none"/>
        </w:rPr>
        <w:t>702-1</w:t>
      </w:r>
      <w:r>
        <w:rPr>
          <w:rFonts w:hint="eastAsia"/>
          <w:color w:val="auto"/>
          <w:highlight w:val="none"/>
        </w:rPr>
        <w:t>修改为：</w:t>
      </w:r>
    </w:p>
    <w:p w14:paraId="079B0F3F">
      <w:pPr>
        <w:spacing w:beforeLines="50" w:line="380" w:lineRule="exact"/>
        <w:ind w:firstLine="403"/>
        <w:jc w:val="center"/>
        <w:rPr>
          <w:rFonts w:eastAsia="黑体"/>
          <w:color w:val="auto"/>
          <w:highlight w:val="none"/>
        </w:rPr>
      </w:pPr>
      <w:r>
        <w:rPr>
          <w:rFonts w:hint="eastAsia" w:eastAsia="黑体"/>
          <w:color w:val="auto"/>
          <w:highlight w:val="none"/>
        </w:rPr>
        <w:t>植物生长的最小土层厚度</w:t>
      </w:r>
    </w:p>
    <w:p w14:paraId="2E894F17">
      <w:pPr>
        <w:spacing w:line="380" w:lineRule="exact"/>
        <w:ind w:firstLine="405"/>
        <w:jc w:val="right"/>
        <w:rPr>
          <w:rFonts w:eastAsia="黑体"/>
          <w:color w:val="auto"/>
          <w:highlight w:val="none"/>
        </w:rPr>
      </w:pPr>
      <w:r>
        <w:rPr>
          <w:rFonts w:hint="eastAsia" w:eastAsia="黑体"/>
          <w:color w:val="auto"/>
          <w:highlight w:val="none"/>
        </w:rPr>
        <w:t>表</w:t>
      </w:r>
      <w:r>
        <w:rPr>
          <w:rFonts w:eastAsia="黑体"/>
          <w:color w:val="auto"/>
          <w:highlight w:val="none"/>
        </w:rPr>
        <w:t>702-1</w:t>
      </w:r>
    </w:p>
    <w:tbl>
      <w:tblPr>
        <w:tblStyle w:val="28"/>
        <w:tblW w:w="4732" w:type="pct"/>
        <w:tblInd w:w="4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802"/>
        <w:gridCol w:w="4263"/>
      </w:tblGrid>
      <w:tr w14:paraId="2F365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83" w:hRule="atLeast"/>
        </w:trPr>
        <w:tc>
          <w:tcPr>
            <w:tcW w:w="2357" w:type="pct"/>
            <w:vAlign w:val="center"/>
          </w:tcPr>
          <w:p w14:paraId="46290976">
            <w:pPr>
              <w:spacing w:line="380" w:lineRule="exact"/>
              <w:jc w:val="center"/>
              <w:rPr>
                <w:color w:val="auto"/>
                <w:highlight w:val="none"/>
              </w:rPr>
            </w:pPr>
            <w:r>
              <w:rPr>
                <w:rFonts w:hint="eastAsia"/>
                <w:color w:val="auto"/>
                <w:highlight w:val="none"/>
              </w:rPr>
              <w:t>植物种类</w:t>
            </w:r>
          </w:p>
        </w:tc>
        <w:tc>
          <w:tcPr>
            <w:tcW w:w="2643" w:type="pct"/>
            <w:vAlign w:val="center"/>
          </w:tcPr>
          <w:p w14:paraId="1A50D8FC">
            <w:pPr>
              <w:spacing w:line="380" w:lineRule="exact"/>
              <w:jc w:val="center"/>
              <w:rPr>
                <w:color w:val="auto"/>
                <w:highlight w:val="none"/>
              </w:rPr>
            </w:pPr>
            <w:r>
              <w:rPr>
                <w:rFonts w:hint="eastAsia"/>
                <w:color w:val="auto"/>
                <w:highlight w:val="none"/>
              </w:rPr>
              <w:t>植物生长的最小土层厚度（</w:t>
            </w:r>
            <w:r>
              <w:rPr>
                <w:color w:val="auto"/>
                <w:highlight w:val="none"/>
              </w:rPr>
              <w:t>m</w:t>
            </w:r>
            <w:r>
              <w:rPr>
                <w:rFonts w:hint="eastAsia"/>
                <w:color w:val="auto"/>
                <w:highlight w:val="none"/>
              </w:rPr>
              <w:t>）</w:t>
            </w:r>
          </w:p>
        </w:tc>
      </w:tr>
      <w:tr w14:paraId="0288CF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trPr>
        <w:tc>
          <w:tcPr>
            <w:tcW w:w="2357" w:type="pct"/>
            <w:vAlign w:val="center"/>
          </w:tcPr>
          <w:p w14:paraId="28D6E349">
            <w:pPr>
              <w:spacing w:line="380" w:lineRule="exact"/>
              <w:jc w:val="center"/>
              <w:rPr>
                <w:color w:val="auto"/>
                <w:highlight w:val="none"/>
              </w:rPr>
            </w:pPr>
            <w:r>
              <w:rPr>
                <w:rFonts w:hint="eastAsia"/>
                <w:color w:val="auto"/>
                <w:highlight w:val="none"/>
              </w:rPr>
              <w:t>草本花卉、草本植被</w:t>
            </w:r>
          </w:p>
        </w:tc>
        <w:tc>
          <w:tcPr>
            <w:tcW w:w="2643" w:type="pct"/>
            <w:vAlign w:val="center"/>
          </w:tcPr>
          <w:p w14:paraId="694F8E01">
            <w:pPr>
              <w:spacing w:line="380" w:lineRule="exact"/>
              <w:jc w:val="center"/>
              <w:rPr>
                <w:color w:val="auto"/>
                <w:highlight w:val="none"/>
              </w:rPr>
            </w:pPr>
            <w:r>
              <w:rPr>
                <w:color w:val="auto"/>
                <w:highlight w:val="none"/>
              </w:rPr>
              <w:t>0.40</w:t>
            </w:r>
          </w:p>
        </w:tc>
      </w:tr>
      <w:tr w14:paraId="5E11C3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trPr>
        <w:tc>
          <w:tcPr>
            <w:tcW w:w="2357" w:type="pct"/>
            <w:vAlign w:val="center"/>
          </w:tcPr>
          <w:p w14:paraId="13CD351C">
            <w:pPr>
              <w:spacing w:line="380" w:lineRule="exact"/>
              <w:jc w:val="center"/>
              <w:rPr>
                <w:color w:val="auto"/>
                <w:highlight w:val="none"/>
              </w:rPr>
            </w:pPr>
            <w:r>
              <w:rPr>
                <w:rFonts w:hint="eastAsia"/>
                <w:color w:val="auto"/>
                <w:highlight w:val="none"/>
              </w:rPr>
              <w:t>小灌木</w:t>
            </w:r>
          </w:p>
        </w:tc>
        <w:tc>
          <w:tcPr>
            <w:tcW w:w="2643" w:type="pct"/>
            <w:vAlign w:val="center"/>
          </w:tcPr>
          <w:p w14:paraId="533F515D">
            <w:pPr>
              <w:spacing w:line="380" w:lineRule="exact"/>
              <w:jc w:val="center"/>
              <w:rPr>
                <w:color w:val="auto"/>
                <w:highlight w:val="none"/>
              </w:rPr>
            </w:pPr>
            <w:r>
              <w:rPr>
                <w:color w:val="auto"/>
                <w:highlight w:val="none"/>
              </w:rPr>
              <w:t>0.45</w:t>
            </w:r>
          </w:p>
        </w:tc>
      </w:tr>
      <w:tr w14:paraId="17465A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trPr>
        <w:tc>
          <w:tcPr>
            <w:tcW w:w="2357" w:type="pct"/>
            <w:vAlign w:val="center"/>
          </w:tcPr>
          <w:p w14:paraId="32906EE9">
            <w:pPr>
              <w:spacing w:line="380" w:lineRule="exact"/>
              <w:jc w:val="center"/>
              <w:rPr>
                <w:color w:val="auto"/>
                <w:highlight w:val="none"/>
              </w:rPr>
            </w:pPr>
            <w:r>
              <w:rPr>
                <w:rFonts w:hint="eastAsia"/>
                <w:color w:val="auto"/>
                <w:highlight w:val="none"/>
              </w:rPr>
              <w:t>大灌木</w:t>
            </w:r>
          </w:p>
        </w:tc>
        <w:tc>
          <w:tcPr>
            <w:tcW w:w="2643" w:type="pct"/>
            <w:vAlign w:val="center"/>
          </w:tcPr>
          <w:p w14:paraId="04667CAE">
            <w:pPr>
              <w:spacing w:line="380" w:lineRule="exact"/>
              <w:jc w:val="center"/>
              <w:rPr>
                <w:color w:val="auto"/>
                <w:highlight w:val="none"/>
              </w:rPr>
            </w:pPr>
            <w:r>
              <w:rPr>
                <w:color w:val="auto"/>
                <w:highlight w:val="none"/>
              </w:rPr>
              <w:t>0.60</w:t>
            </w:r>
          </w:p>
        </w:tc>
      </w:tr>
      <w:tr w14:paraId="631B8D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trPr>
        <w:tc>
          <w:tcPr>
            <w:tcW w:w="2357" w:type="pct"/>
            <w:vAlign w:val="center"/>
          </w:tcPr>
          <w:p w14:paraId="5E28E311">
            <w:pPr>
              <w:spacing w:line="380" w:lineRule="exact"/>
              <w:jc w:val="center"/>
              <w:rPr>
                <w:color w:val="auto"/>
                <w:highlight w:val="none"/>
              </w:rPr>
            </w:pPr>
            <w:r>
              <w:rPr>
                <w:rFonts w:hint="eastAsia"/>
                <w:color w:val="auto"/>
                <w:highlight w:val="none"/>
              </w:rPr>
              <w:t>浅根乔木</w:t>
            </w:r>
          </w:p>
        </w:tc>
        <w:tc>
          <w:tcPr>
            <w:tcW w:w="2643" w:type="pct"/>
            <w:vAlign w:val="center"/>
          </w:tcPr>
          <w:p w14:paraId="4A366F17">
            <w:pPr>
              <w:spacing w:line="380" w:lineRule="exact"/>
              <w:jc w:val="center"/>
              <w:rPr>
                <w:color w:val="auto"/>
                <w:highlight w:val="none"/>
              </w:rPr>
            </w:pPr>
            <w:r>
              <w:rPr>
                <w:color w:val="auto"/>
                <w:highlight w:val="none"/>
              </w:rPr>
              <w:t>0.90</w:t>
            </w:r>
          </w:p>
        </w:tc>
      </w:tr>
      <w:tr w14:paraId="4D2430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trPr>
        <w:tc>
          <w:tcPr>
            <w:tcW w:w="2357" w:type="pct"/>
            <w:vAlign w:val="center"/>
          </w:tcPr>
          <w:p w14:paraId="7F88AC8A">
            <w:pPr>
              <w:spacing w:line="380" w:lineRule="exact"/>
              <w:jc w:val="center"/>
              <w:rPr>
                <w:color w:val="auto"/>
                <w:highlight w:val="none"/>
              </w:rPr>
            </w:pPr>
            <w:r>
              <w:rPr>
                <w:rFonts w:hint="eastAsia"/>
                <w:color w:val="auto"/>
                <w:highlight w:val="none"/>
              </w:rPr>
              <w:t>深根乔木</w:t>
            </w:r>
          </w:p>
        </w:tc>
        <w:tc>
          <w:tcPr>
            <w:tcW w:w="2643" w:type="pct"/>
            <w:vAlign w:val="center"/>
          </w:tcPr>
          <w:p w14:paraId="3378D601">
            <w:pPr>
              <w:spacing w:line="380" w:lineRule="exact"/>
              <w:jc w:val="center"/>
              <w:rPr>
                <w:color w:val="auto"/>
                <w:highlight w:val="none"/>
              </w:rPr>
            </w:pPr>
            <w:r>
              <w:rPr>
                <w:color w:val="auto"/>
                <w:highlight w:val="none"/>
              </w:rPr>
              <w:t>1.50</w:t>
            </w:r>
          </w:p>
        </w:tc>
      </w:tr>
    </w:tbl>
    <w:p w14:paraId="1109CFF8">
      <w:pPr>
        <w:spacing w:line="380" w:lineRule="exact"/>
        <w:ind w:firstLine="405"/>
        <w:rPr>
          <w:color w:val="auto"/>
          <w:highlight w:val="none"/>
        </w:rPr>
      </w:pPr>
    </w:p>
    <w:p w14:paraId="1EAB37D1">
      <w:pPr>
        <w:pStyle w:val="5"/>
        <w:jc w:val="center"/>
        <w:rPr>
          <w:rFonts w:hint="eastAsia" w:ascii="宋体" w:hAnsi="宋体"/>
          <w:color w:val="auto"/>
          <w:sz w:val="32"/>
          <w:highlight w:val="none"/>
        </w:rPr>
      </w:pPr>
      <w:bookmarkStart w:id="1374" w:name="_Toc154675194"/>
      <w:r>
        <w:rPr>
          <w:rFonts w:hint="eastAsia" w:ascii="宋体" w:hAnsi="宋体"/>
          <w:color w:val="auto"/>
          <w:sz w:val="32"/>
          <w:highlight w:val="none"/>
        </w:rPr>
        <w:t>第703节</w:t>
      </w:r>
      <w:r>
        <w:rPr>
          <w:rFonts w:hint="eastAsia" w:ascii="宋体" w:hAnsi="宋体"/>
          <w:color w:val="auto"/>
          <w:sz w:val="32"/>
          <w:highlight w:val="none"/>
          <w:lang w:val="en-US" w:eastAsia="zh-CN"/>
        </w:rPr>
        <w:t xml:space="preserve"> </w:t>
      </w:r>
      <w:r>
        <w:rPr>
          <w:rFonts w:hint="eastAsia" w:ascii="宋体" w:hAnsi="宋体"/>
          <w:color w:val="auto"/>
          <w:sz w:val="32"/>
          <w:highlight w:val="none"/>
        </w:rPr>
        <w:t>撒播草种和铺植草皮</w:t>
      </w:r>
      <w:bookmarkEnd w:id="1374"/>
    </w:p>
    <w:p w14:paraId="17D0316D">
      <w:pPr>
        <w:spacing w:line="380" w:lineRule="exact"/>
        <w:ind w:firstLine="405"/>
        <w:rPr>
          <w:color w:val="auto"/>
          <w:highlight w:val="none"/>
        </w:rPr>
      </w:pPr>
    </w:p>
    <w:p w14:paraId="5DDCC48E">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703.02  材料</w:t>
      </w:r>
    </w:p>
    <w:p w14:paraId="5B384373">
      <w:pPr>
        <w:spacing w:line="380" w:lineRule="exact"/>
        <w:ind w:firstLine="405"/>
        <w:rPr>
          <w:color w:val="auto"/>
          <w:highlight w:val="none"/>
        </w:rPr>
      </w:pPr>
      <w:r>
        <w:rPr>
          <w:color w:val="auto"/>
          <w:highlight w:val="none"/>
        </w:rPr>
        <w:t xml:space="preserve">2. </w:t>
      </w:r>
      <w:r>
        <w:rPr>
          <w:rFonts w:hint="eastAsia"/>
          <w:color w:val="auto"/>
          <w:highlight w:val="none"/>
        </w:rPr>
        <w:t>草皮</w:t>
      </w:r>
    </w:p>
    <w:p w14:paraId="6599BAA7">
      <w:pPr>
        <w:spacing w:line="380" w:lineRule="exact"/>
        <w:ind w:firstLine="405"/>
        <w:rPr>
          <w:color w:val="auto"/>
          <w:highlight w:val="none"/>
        </w:rPr>
      </w:pPr>
      <w:r>
        <w:rPr>
          <w:rFonts w:hint="eastAsia"/>
          <w:color w:val="auto"/>
          <w:highlight w:val="none"/>
        </w:rPr>
        <w:t>第（</w:t>
      </w:r>
      <w:r>
        <w:rPr>
          <w:color w:val="auto"/>
          <w:highlight w:val="none"/>
        </w:rPr>
        <w:t>3</w:t>
      </w:r>
      <w:r>
        <w:rPr>
          <w:rFonts w:hint="eastAsia"/>
          <w:color w:val="auto"/>
          <w:highlight w:val="none"/>
        </w:rPr>
        <w:t>）款修改为：</w:t>
      </w:r>
    </w:p>
    <w:p w14:paraId="0C02195B">
      <w:pPr>
        <w:numPr>
          <w:ilvl w:val="0"/>
          <w:numId w:val="5"/>
        </w:numPr>
        <w:spacing w:line="380" w:lineRule="exact"/>
        <w:ind w:firstLine="405"/>
        <w:rPr>
          <w:rFonts w:hint="eastAsia"/>
          <w:color w:val="auto"/>
          <w:highlight w:val="none"/>
        </w:rPr>
      </w:pPr>
      <w:r>
        <w:rPr>
          <w:rFonts w:hint="eastAsia"/>
          <w:color w:val="auto"/>
          <w:highlight w:val="none"/>
        </w:rPr>
        <w:t>播种用的草籽、草花、地被植物种子应注明品种、品系、产地、生产单位、采收年份、纯净度及发芽率，不得有病虫害。自外地引进种子应有检疫合格证。发芽率达</w:t>
      </w:r>
      <w:r>
        <w:rPr>
          <w:color w:val="auto"/>
          <w:highlight w:val="none"/>
        </w:rPr>
        <w:t>95</w:t>
      </w:r>
      <w:r>
        <w:rPr>
          <w:rFonts w:hint="eastAsia"/>
          <w:color w:val="auto"/>
          <w:highlight w:val="none"/>
        </w:rPr>
        <w:t>％以上的方可使用。</w:t>
      </w:r>
    </w:p>
    <w:p w14:paraId="50080323">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703.03  施工要求</w:t>
      </w:r>
    </w:p>
    <w:p w14:paraId="48DB1403">
      <w:pPr>
        <w:spacing w:line="380" w:lineRule="exact"/>
        <w:ind w:firstLine="405"/>
        <w:rPr>
          <w:color w:val="auto"/>
          <w:highlight w:val="none"/>
        </w:rPr>
      </w:pPr>
      <w:r>
        <w:rPr>
          <w:color w:val="auto"/>
          <w:highlight w:val="none"/>
        </w:rPr>
        <w:t>1</w:t>
      </w:r>
      <w:r>
        <w:rPr>
          <w:rFonts w:hint="eastAsia"/>
          <w:color w:val="auto"/>
          <w:highlight w:val="none"/>
          <w:lang w:eastAsia="zh-CN"/>
        </w:rPr>
        <w:t>.</w:t>
      </w:r>
      <w:r>
        <w:rPr>
          <w:rFonts w:hint="eastAsia"/>
          <w:color w:val="auto"/>
          <w:highlight w:val="none"/>
        </w:rPr>
        <w:t>撒播草种</w:t>
      </w:r>
    </w:p>
    <w:p w14:paraId="0C290082">
      <w:pPr>
        <w:spacing w:line="380" w:lineRule="exact"/>
        <w:ind w:firstLine="405"/>
        <w:rPr>
          <w:color w:val="auto"/>
          <w:highlight w:val="none"/>
        </w:rPr>
      </w:pPr>
      <w:r>
        <w:rPr>
          <w:rFonts w:hint="eastAsia"/>
          <w:color w:val="auto"/>
          <w:highlight w:val="none"/>
        </w:rPr>
        <w:t>（</w:t>
      </w:r>
      <w:r>
        <w:rPr>
          <w:color w:val="auto"/>
          <w:highlight w:val="none"/>
        </w:rPr>
        <w:t>2</w:t>
      </w:r>
      <w:r>
        <w:rPr>
          <w:rFonts w:hint="eastAsia"/>
          <w:color w:val="auto"/>
          <w:highlight w:val="none"/>
        </w:rPr>
        <w:t>）播种方法及用量</w:t>
      </w:r>
    </w:p>
    <w:p w14:paraId="40423843">
      <w:pPr>
        <w:spacing w:line="380" w:lineRule="exact"/>
        <w:ind w:firstLine="405"/>
        <w:rPr>
          <w:color w:val="auto"/>
          <w:highlight w:val="none"/>
        </w:rPr>
      </w:pPr>
      <w:r>
        <w:rPr>
          <w:rFonts w:hint="eastAsia"/>
          <w:color w:val="auto"/>
          <w:highlight w:val="none"/>
        </w:rPr>
        <w:t>第</w:t>
      </w:r>
      <w:r>
        <w:rPr>
          <w:color w:val="auto"/>
          <w:highlight w:val="none"/>
        </w:rPr>
        <w:t>g</w:t>
      </w:r>
      <w:r>
        <w:rPr>
          <w:rFonts w:hint="eastAsia"/>
          <w:color w:val="auto"/>
          <w:highlight w:val="none"/>
        </w:rPr>
        <w:t>项修改为：</w:t>
      </w:r>
    </w:p>
    <w:p w14:paraId="2245C8B6">
      <w:pPr>
        <w:spacing w:line="380" w:lineRule="exact"/>
        <w:ind w:firstLine="405"/>
        <w:rPr>
          <w:rFonts w:hint="eastAsia" w:ascii="宋体" w:hAnsi="宋体" w:eastAsia="宋体" w:cs="Times New Roman"/>
          <w:color w:val="auto"/>
          <w:sz w:val="32"/>
          <w:highlight w:val="none"/>
        </w:rPr>
      </w:pPr>
      <w:r>
        <w:rPr>
          <w:color w:val="auto"/>
          <w:highlight w:val="none"/>
        </w:rPr>
        <w:t>g</w:t>
      </w:r>
      <w:r>
        <w:rPr>
          <w:rFonts w:hint="eastAsia"/>
          <w:color w:val="auto"/>
          <w:highlight w:val="none"/>
        </w:rPr>
        <w:t>．将采用的草籽和混合肥料拌和，均匀地撒播到已准备好的表土区内。也可在播种前不多于</w:t>
      </w:r>
      <w:r>
        <w:rPr>
          <w:color w:val="auto"/>
          <w:highlight w:val="none"/>
        </w:rPr>
        <w:t>48h</w:t>
      </w:r>
      <w:r>
        <w:rPr>
          <w:rFonts w:hint="eastAsia"/>
          <w:color w:val="auto"/>
          <w:highlight w:val="none"/>
        </w:rPr>
        <w:t>施肥，使肥料深入到表土层内，化肥的施肥量每</w:t>
      </w:r>
      <w:r>
        <w:rPr>
          <w:color w:val="auto"/>
          <w:highlight w:val="none"/>
        </w:rPr>
        <w:t>1000m</w:t>
      </w:r>
      <w:r>
        <w:rPr>
          <w:color w:val="auto"/>
          <w:highlight w:val="none"/>
          <w:vertAlign w:val="superscript"/>
        </w:rPr>
        <w:t>2</w:t>
      </w:r>
      <w:r>
        <w:rPr>
          <w:rFonts w:hint="eastAsia"/>
          <w:color w:val="auto"/>
          <w:highlight w:val="none"/>
        </w:rPr>
        <w:t>不少于</w:t>
      </w:r>
      <w:r>
        <w:rPr>
          <w:color w:val="auto"/>
          <w:highlight w:val="none"/>
        </w:rPr>
        <w:t>70kg</w:t>
      </w:r>
      <w:r>
        <w:rPr>
          <w:rFonts w:hint="eastAsia"/>
          <w:color w:val="auto"/>
          <w:highlight w:val="none"/>
        </w:rPr>
        <w:t>。</w:t>
      </w:r>
      <w:bookmarkStart w:id="1375" w:name="_Toc154675195"/>
    </w:p>
    <w:p w14:paraId="0EECAF8B">
      <w:pPr>
        <w:pStyle w:val="5"/>
        <w:jc w:val="center"/>
        <w:rPr>
          <w:rFonts w:hint="eastAsia" w:ascii="宋体" w:hAnsi="宋体" w:eastAsia="宋体" w:cs="Times New Roman"/>
          <w:color w:val="auto"/>
          <w:sz w:val="32"/>
          <w:highlight w:val="none"/>
        </w:rPr>
      </w:pPr>
      <w:r>
        <w:rPr>
          <w:rFonts w:hint="eastAsia" w:ascii="宋体" w:hAnsi="宋体" w:eastAsia="宋体" w:cs="Times New Roman"/>
          <w:color w:val="auto"/>
          <w:sz w:val="32"/>
          <w:highlight w:val="none"/>
        </w:rPr>
        <w:t>第704节</w:t>
      </w:r>
      <w:r>
        <w:rPr>
          <w:rFonts w:hint="eastAsia" w:ascii="宋体" w:hAnsi="宋体" w:eastAsia="宋体" w:cs="Times New Roman"/>
          <w:color w:val="auto"/>
          <w:sz w:val="32"/>
          <w:highlight w:val="none"/>
          <w:lang w:val="en-US" w:eastAsia="zh-CN"/>
        </w:rPr>
        <w:t xml:space="preserve"> </w:t>
      </w:r>
      <w:r>
        <w:rPr>
          <w:rFonts w:hint="eastAsia" w:ascii="宋体" w:hAnsi="宋体" w:eastAsia="宋体" w:cs="Times New Roman"/>
          <w:color w:val="auto"/>
          <w:sz w:val="32"/>
          <w:highlight w:val="none"/>
        </w:rPr>
        <w:t>种植乔木、灌木和攀缘植物</w:t>
      </w:r>
      <w:bookmarkEnd w:id="1375"/>
    </w:p>
    <w:p w14:paraId="35A92B04">
      <w:pPr>
        <w:spacing w:line="380" w:lineRule="exact"/>
        <w:ind w:firstLine="405"/>
        <w:rPr>
          <w:color w:val="auto"/>
          <w:highlight w:val="none"/>
        </w:rPr>
      </w:pPr>
    </w:p>
    <w:p w14:paraId="448C5E2C">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704.02  材料</w:t>
      </w:r>
    </w:p>
    <w:p w14:paraId="692255E4">
      <w:pPr>
        <w:spacing w:line="380" w:lineRule="exact"/>
        <w:ind w:firstLine="405"/>
        <w:rPr>
          <w:color w:val="auto"/>
          <w:highlight w:val="none"/>
        </w:rPr>
      </w:pPr>
      <w:r>
        <w:rPr>
          <w:color w:val="auto"/>
          <w:highlight w:val="none"/>
        </w:rPr>
        <w:t>2</w:t>
      </w:r>
      <w:r>
        <w:rPr>
          <w:rFonts w:hint="eastAsia"/>
          <w:color w:val="auto"/>
          <w:highlight w:val="none"/>
        </w:rPr>
        <w:t>、植物品种</w:t>
      </w:r>
    </w:p>
    <w:p w14:paraId="24346040">
      <w:pPr>
        <w:spacing w:line="380" w:lineRule="exact"/>
        <w:ind w:firstLine="405"/>
        <w:rPr>
          <w:color w:val="auto"/>
          <w:highlight w:val="none"/>
        </w:rPr>
      </w:pPr>
      <w:r>
        <w:rPr>
          <w:rFonts w:hint="eastAsia"/>
          <w:color w:val="auto"/>
          <w:highlight w:val="none"/>
        </w:rPr>
        <w:t>补充第（</w:t>
      </w:r>
      <w:r>
        <w:rPr>
          <w:color w:val="auto"/>
          <w:highlight w:val="none"/>
        </w:rPr>
        <w:t>5</w:t>
      </w:r>
      <w:r>
        <w:rPr>
          <w:rFonts w:hint="eastAsia"/>
          <w:color w:val="auto"/>
          <w:highlight w:val="none"/>
        </w:rPr>
        <w:t>）款：</w:t>
      </w:r>
    </w:p>
    <w:p w14:paraId="7E240753">
      <w:pPr>
        <w:spacing w:line="380" w:lineRule="exact"/>
        <w:ind w:firstLine="405"/>
        <w:rPr>
          <w:rFonts w:eastAsia="黑体"/>
          <w:color w:val="auto"/>
          <w:highlight w:val="none"/>
        </w:rPr>
      </w:pPr>
      <w:r>
        <w:rPr>
          <w:rFonts w:hint="eastAsia"/>
          <w:color w:val="auto"/>
          <w:highlight w:val="none"/>
        </w:rPr>
        <w:t>（</w:t>
      </w:r>
      <w:r>
        <w:rPr>
          <w:color w:val="auto"/>
          <w:highlight w:val="none"/>
        </w:rPr>
        <w:t>5</w:t>
      </w:r>
      <w:r>
        <w:rPr>
          <w:rFonts w:hint="eastAsia"/>
          <w:color w:val="auto"/>
          <w:highlight w:val="none"/>
        </w:rPr>
        <w:t>）各种苗木的冠幅、径粗应严格按设计规定的规格，并应达到表</w:t>
      </w:r>
      <w:r>
        <w:rPr>
          <w:color w:val="auto"/>
          <w:highlight w:val="none"/>
        </w:rPr>
        <w:t>704-9</w:t>
      </w:r>
      <w:r>
        <w:rPr>
          <w:rFonts w:hint="eastAsia"/>
          <w:color w:val="auto"/>
          <w:highlight w:val="none"/>
        </w:rPr>
        <w:t>所描述的外观要求：</w:t>
      </w:r>
    </w:p>
    <w:p w14:paraId="7B96DF4D">
      <w:pPr>
        <w:spacing w:beforeLines="50" w:line="380" w:lineRule="exact"/>
        <w:ind w:firstLine="840" w:firstLineChars="400"/>
        <w:jc w:val="right"/>
        <w:rPr>
          <w:rFonts w:eastAsia="黑体"/>
          <w:color w:val="auto"/>
          <w:highlight w:val="none"/>
        </w:rPr>
      </w:pPr>
      <w:r>
        <w:rPr>
          <w:rFonts w:hint="eastAsia" w:eastAsia="黑体"/>
          <w:color w:val="auto"/>
          <w:highlight w:val="none"/>
        </w:rPr>
        <w:t>表</w:t>
      </w:r>
      <w:r>
        <w:rPr>
          <w:rFonts w:eastAsia="黑体"/>
          <w:color w:val="auto"/>
          <w:highlight w:val="none"/>
        </w:rPr>
        <w:t>704-9</w:t>
      </w:r>
    </w:p>
    <w:tbl>
      <w:tblPr>
        <w:tblStyle w:val="28"/>
        <w:tblW w:w="8711" w:type="dxa"/>
        <w:tblInd w:w="4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95"/>
        <w:gridCol w:w="1365"/>
        <w:gridCol w:w="3316"/>
        <w:gridCol w:w="1950"/>
        <w:gridCol w:w="1185"/>
      </w:tblGrid>
      <w:tr w14:paraId="543E9F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34" w:hRule="atLeast"/>
        </w:trPr>
        <w:tc>
          <w:tcPr>
            <w:tcW w:w="895" w:type="dxa"/>
            <w:vMerge w:val="restart"/>
            <w:vAlign w:val="center"/>
          </w:tcPr>
          <w:p w14:paraId="39E6FEB5">
            <w:pPr>
              <w:spacing w:line="280" w:lineRule="exact"/>
              <w:jc w:val="center"/>
              <w:rPr>
                <w:color w:val="auto"/>
                <w:highlight w:val="none"/>
              </w:rPr>
            </w:pPr>
            <w:r>
              <w:rPr>
                <w:rFonts w:hint="eastAsia"/>
                <w:color w:val="auto"/>
                <w:highlight w:val="none"/>
              </w:rPr>
              <w:t>乔木类</w:t>
            </w:r>
          </w:p>
        </w:tc>
        <w:tc>
          <w:tcPr>
            <w:tcW w:w="1365" w:type="dxa"/>
            <w:vAlign w:val="center"/>
          </w:tcPr>
          <w:p w14:paraId="1F824BDD">
            <w:pPr>
              <w:spacing w:line="280" w:lineRule="exact"/>
              <w:jc w:val="center"/>
              <w:rPr>
                <w:color w:val="auto"/>
                <w:highlight w:val="none"/>
              </w:rPr>
            </w:pPr>
            <w:r>
              <w:rPr>
                <w:rFonts w:hint="eastAsia"/>
                <w:color w:val="auto"/>
                <w:highlight w:val="none"/>
              </w:rPr>
              <w:t>树干</w:t>
            </w:r>
          </w:p>
        </w:tc>
        <w:tc>
          <w:tcPr>
            <w:tcW w:w="3316" w:type="dxa"/>
            <w:vAlign w:val="center"/>
          </w:tcPr>
          <w:p w14:paraId="28948584">
            <w:pPr>
              <w:spacing w:line="280" w:lineRule="exact"/>
              <w:jc w:val="center"/>
              <w:rPr>
                <w:color w:val="auto"/>
                <w:highlight w:val="none"/>
              </w:rPr>
            </w:pPr>
            <w:r>
              <w:rPr>
                <w:rFonts w:hint="eastAsia"/>
                <w:color w:val="auto"/>
                <w:highlight w:val="none"/>
              </w:rPr>
              <w:t>树冠</w:t>
            </w:r>
          </w:p>
        </w:tc>
        <w:tc>
          <w:tcPr>
            <w:tcW w:w="1950" w:type="dxa"/>
            <w:vAlign w:val="center"/>
          </w:tcPr>
          <w:p w14:paraId="2F46F288">
            <w:pPr>
              <w:spacing w:line="280" w:lineRule="exact"/>
              <w:jc w:val="center"/>
              <w:rPr>
                <w:color w:val="auto"/>
                <w:highlight w:val="none"/>
              </w:rPr>
            </w:pPr>
            <w:r>
              <w:rPr>
                <w:rFonts w:hint="eastAsia"/>
                <w:color w:val="auto"/>
                <w:highlight w:val="none"/>
              </w:rPr>
              <w:t>根系</w:t>
            </w:r>
          </w:p>
        </w:tc>
        <w:tc>
          <w:tcPr>
            <w:tcW w:w="1185" w:type="dxa"/>
            <w:vAlign w:val="center"/>
          </w:tcPr>
          <w:p w14:paraId="003B7EC3">
            <w:pPr>
              <w:spacing w:line="280" w:lineRule="exact"/>
              <w:jc w:val="center"/>
              <w:rPr>
                <w:color w:val="auto"/>
                <w:highlight w:val="none"/>
              </w:rPr>
            </w:pPr>
            <w:r>
              <w:rPr>
                <w:rFonts w:hint="eastAsia"/>
                <w:color w:val="auto"/>
                <w:highlight w:val="none"/>
              </w:rPr>
              <w:t>病虫害</w:t>
            </w:r>
          </w:p>
        </w:tc>
      </w:tr>
      <w:tr w14:paraId="09091A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1" w:hRule="atLeast"/>
        </w:trPr>
        <w:tc>
          <w:tcPr>
            <w:tcW w:w="895" w:type="dxa"/>
            <w:vMerge w:val="continue"/>
            <w:vAlign w:val="center"/>
          </w:tcPr>
          <w:p w14:paraId="52F46171">
            <w:pPr>
              <w:spacing w:line="280" w:lineRule="exact"/>
              <w:jc w:val="center"/>
              <w:rPr>
                <w:color w:val="auto"/>
                <w:highlight w:val="none"/>
              </w:rPr>
            </w:pPr>
          </w:p>
        </w:tc>
        <w:tc>
          <w:tcPr>
            <w:tcW w:w="1365" w:type="dxa"/>
            <w:vAlign w:val="center"/>
          </w:tcPr>
          <w:p w14:paraId="652EC520">
            <w:pPr>
              <w:spacing w:line="280" w:lineRule="exact"/>
              <w:jc w:val="center"/>
              <w:rPr>
                <w:color w:val="auto"/>
                <w:highlight w:val="none"/>
              </w:rPr>
            </w:pPr>
            <w:r>
              <w:rPr>
                <w:rFonts w:hint="eastAsia"/>
                <w:color w:val="auto"/>
                <w:highlight w:val="none"/>
              </w:rPr>
              <w:t>主干挺直</w:t>
            </w:r>
          </w:p>
        </w:tc>
        <w:tc>
          <w:tcPr>
            <w:tcW w:w="3316" w:type="dxa"/>
            <w:vAlign w:val="center"/>
          </w:tcPr>
          <w:p w14:paraId="5024C9B5">
            <w:pPr>
              <w:spacing w:line="280" w:lineRule="exact"/>
              <w:jc w:val="center"/>
              <w:rPr>
                <w:color w:val="auto"/>
                <w:highlight w:val="none"/>
              </w:rPr>
            </w:pPr>
            <w:r>
              <w:rPr>
                <w:rFonts w:hint="eastAsia"/>
                <w:color w:val="auto"/>
                <w:highlight w:val="none"/>
              </w:rPr>
              <w:t>枝叶茂密、层次清晰、冠形丰满</w:t>
            </w:r>
          </w:p>
        </w:tc>
        <w:tc>
          <w:tcPr>
            <w:tcW w:w="1950" w:type="dxa"/>
            <w:vAlign w:val="center"/>
          </w:tcPr>
          <w:p w14:paraId="65C74D2D">
            <w:pPr>
              <w:spacing w:line="280" w:lineRule="exact"/>
              <w:jc w:val="center"/>
              <w:rPr>
                <w:color w:val="auto"/>
                <w:highlight w:val="none"/>
              </w:rPr>
            </w:pPr>
            <w:r>
              <w:rPr>
                <w:rFonts w:hint="eastAsia"/>
                <w:color w:val="auto"/>
                <w:highlight w:val="none"/>
              </w:rPr>
              <w:t>土球符合要求</w:t>
            </w:r>
          </w:p>
        </w:tc>
        <w:tc>
          <w:tcPr>
            <w:tcW w:w="1185" w:type="dxa"/>
            <w:vAlign w:val="center"/>
          </w:tcPr>
          <w:p w14:paraId="434DA8B3">
            <w:pPr>
              <w:spacing w:line="280" w:lineRule="exact"/>
              <w:jc w:val="center"/>
              <w:rPr>
                <w:color w:val="auto"/>
                <w:highlight w:val="none"/>
              </w:rPr>
            </w:pPr>
            <w:r>
              <w:rPr>
                <w:rFonts w:hint="eastAsia"/>
                <w:color w:val="auto"/>
                <w:highlight w:val="none"/>
              </w:rPr>
              <w:t>无</w:t>
            </w:r>
          </w:p>
        </w:tc>
      </w:tr>
      <w:tr w14:paraId="23F80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34" w:hRule="atLeast"/>
        </w:trPr>
        <w:tc>
          <w:tcPr>
            <w:tcW w:w="895" w:type="dxa"/>
            <w:vMerge w:val="restart"/>
            <w:vAlign w:val="center"/>
          </w:tcPr>
          <w:p w14:paraId="66DACD91">
            <w:pPr>
              <w:spacing w:line="280" w:lineRule="exact"/>
              <w:jc w:val="center"/>
              <w:rPr>
                <w:color w:val="auto"/>
                <w:highlight w:val="none"/>
              </w:rPr>
            </w:pPr>
            <w:r>
              <w:rPr>
                <w:rFonts w:hint="eastAsia"/>
                <w:color w:val="auto"/>
                <w:highlight w:val="none"/>
              </w:rPr>
              <w:t>灌木类</w:t>
            </w:r>
          </w:p>
        </w:tc>
        <w:tc>
          <w:tcPr>
            <w:tcW w:w="4681" w:type="dxa"/>
            <w:gridSpan w:val="2"/>
            <w:vAlign w:val="center"/>
          </w:tcPr>
          <w:p w14:paraId="1022C1D4">
            <w:pPr>
              <w:spacing w:line="280" w:lineRule="exact"/>
              <w:jc w:val="center"/>
              <w:rPr>
                <w:color w:val="auto"/>
                <w:highlight w:val="none"/>
              </w:rPr>
            </w:pPr>
            <w:r>
              <w:rPr>
                <w:rFonts w:hint="eastAsia"/>
                <w:color w:val="auto"/>
                <w:highlight w:val="none"/>
              </w:rPr>
              <w:t>自然式</w:t>
            </w:r>
          </w:p>
        </w:tc>
        <w:tc>
          <w:tcPr>
            <w:tcW w:w="3135" w:type="dxa"/>
            <w:gridSpan w:val="2"/>
            <w:vAlign w:val="center"/>
          </w:tcPr>
          <w:p w14:paraId="61FFDF38">
            <w:pPr>
              <w:spacing w:line="280" w:lineRule="exact"/>
              <w:jc w:val="center"/>
              <w:rPr>
                <w:color w:val="auto"/>
                <w:highlight w:val="none"/>
              </w:rPr>
            </w:pPr>
            <w:r>
              <w:rPr>
                <w:rFonts w:hint="eastAsia"/>
                <w:color w:val="auto"/>
                <w:highlight w:val="none"/>
              </w:rPr>
              <w:t>整形式</w:t>
            </w:r>
          </w:p>
        </w:tc>
      </w:tr>
      <w:tr w14:paraId="702FD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78" w:hRule="atLeast"/>
        </w:trPr>
        <w:tc>
          <w:tcPr>
            <w:tcW w:w="895" w:type="dxa"/>
            <w:vMerge w:val="continue"/>
            <w:vAlign w:val="center"/>
          </w:tcPr>
          <w:p w14:paraId="63E965C3">
            <w:pPr>
              <w:spacing w:line="280" w:lineRule="exact"/>
              <w:jc w:val="center"/>
              <w:rPr>
                <w:color w:val="auto"/>
                <w:highlight w:val="none"/>
              </w:rPr>
            </w:pPr>
          </w:p>
        </w:tc>
        <w:tc>
          <w:tcPr>
            <w:tcW w:w="4681" w:type="dxa"/>
            <w:gridSpan w:val="2"/>
            <w:vAlign w:val="center"/>
          </w:tcPr>
          <w:p w14:paraId="7C693D6C">
            <w:pPr>
              <w:spacing w:line="280" w:lineRule="exact"/>
              <w:rPr>
                <w:color w:val="auto"/>
                <w:highlight w:val="none"/>
              </w:rPr>
            </w:pPr>
            <w:r>
              <w:rPr>
                <w:rFonts w:hint="eastAsia"/>
                <w:color w:val="auto"/>
                <w:highlight w:val="none"/>
              </w:rPr>
              <w:t>植株姿态自然优美，生长均匀，无病虫害，枝叶茂盛，根系发达</w:t>
            </w:r>
          </w:p>
        </w:tc>
        <w:tc>
          <w:tcPr>
            <w:tcW w:w="3135" w:type="dxa"/>
            <w:gridSpan w:val="2"/>
            <w:vAlign w:val="center"/>
          </w:tcPr>
          <w:p w14:paraId="41D66660">
            <w:pPr>
              <w:spacing w:line="280" w:lineRule="exact"/>
              <w:rPr>
                <w:color w:val="auto"/>
                <w:highlight w:val="none"/>
              </w:rPr>
            </w:pPr>
            <w:r>
              <w:rPr>
                <w:rFonts w:hint="eastAsia"/>
                <w:color w:val="auto"/>
                <w:highlight w:val="none"/>
              </w:rPr>
              <w:t>冠形规则、饱满、根系发达，土球符合要求</w:t>
            </w:r>
          </w:p>
        </w:tc>
      </w:tr>
      <w:tr w14:paraId="7BA6B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1" w:hRule="atLeast"/>
        </w:trPr>
        <w:tc>
          <w:tcPr>
            <w:tcW w:w="895" w:type="dxa"/>
            <w:vAlign w:val="center"/>
          </w:tcPr>
          <w:p w14:paraId="020EB18B">
            <w:pPr>
              <w:spacing w:line="280" w:lineRule="exact"/>
              <w:jc w:val="center"/>
              <w:rPr>
                <w:color w:val="auto"/>
                <w:highlight w:val="none"/>
              </w:rPr>
            </w:pPr>
            <w:r>
              <w:rPr>
                <w:rFonts w:hint="eastAsia"/>
                <w:color w:val="auto"/>
                <w:highlight w:val="none"/>
              </w:rPr>
              <w:t>地被</w:t>
            </w:r>
          </w:p>
        </w:tc>
        <w:tc>
          <w:tcPr>
            <w:tcW w:w="7816" w:type="dxa"/>
            <w:gridSpan w:val="4"/>
            <w:vAlign w:val="center"/>
          </w:tcPr>
          <w:p w14:paraId="43660BA2">
            <w:pPr>
              <w:spacing w:line="280" w:lineRule="exact"/>
              <w:jc w:val="center"/>
              <w:rPr>
                <w:color w:val="auto"/>
                <w:highlight w:val="none"/>
              </w:rPr>
            </w:pPr>
            <w:r>
              <w:rPr>
                <w:rFonts w:hint="eastAsia"/>
                <w:color w:val="auto"/>
                <w:highlight w:val="none"/>
              </w:rPr>
              <w:t>苗龄</w:t>
            </w:r>
            <w:r>
              <w:rPr>
                <w:color w:val="auto"/>
                <w:highlight w:val="none"/>
              </w:rPr>
              <w:t>1-2</w:t>
            </w:r>
            <w:r>
              <w:rPr>
                <w:rFonts w:hint="eastAsia"/>
                <w:color w:val="auto"/>
                <w:highlight w:val="none"/>
              </w:rPr>
              <w:t>年生、色泽嫩绿、鲜艳，每丛不少于</w:t>
            </w:r>
            <w:r>
              <w:rPr>
                <w:color w:val="auto"/>
                <w:highlight w:val="none"/>
              </w:rPr>
              <w:t>5</w:t>
            </w:r>
            <w:r>
              <w:rPr>
                <w:rFonts w:hint="eastAsia"/>
                <w:color w:val="auto"/>
                <w:highlight w:val="none"/>
              </w:rPr>
              <w:t>支（书带草、葱兰类）</w:t>
            </w:r>
          </w:p>
        </w:tc>
      </w:tr>
    </w:tbl>
    <w:p w14:paraId="468D6A52">
      <w:pPr>
        <w:spacing w:line="380" w:lineRule="exact"/>
        <w:ind w:firstLine="405"/>
        <w:rPr>
          <w:rFonts w:eastAsia="黑体"/>
          <w:color w:val="auto"/>
          <w:sz w:val="28"/>
          <w:szCs w:val="28"/>
          <w:highlight w:val="none"/>
        </w:rPr>
      </w:pPr>
    </w:p>
    <w:p w14:paraId="30798B7A">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704.03  施工要求</w:t>
      </w:r>
    </w:p>
    <w:p w14:paraId="30AEB5CB">
      <w:pPr>
        <w:spacing w:line="380" w:lineRule="exact"/>
        <w:ind w:firstLine="405"/>
        <w:rPr>
          <w:color w:val="auto"/>
          <w:highlight w:val="none"/>
        </w:rPr>
      </w:pPr>
      <w:r>
        <w:rPr>
          <w:color w:val="auto"/>
          <w:highlight w:val="none"/>
        </w:rPr>
        <w:t>6.</w:t>
      </w:r>
      <w:r>
        <w:rPr>
          <w:rFonts w:hint="eastAsia"/>
          <w:color w:val="auto"/>
          <w:highlight w:val="none"/>
        </w:rPr>
        <w:t>栽植</w:t>
      </w:r>
    </w:p>
    <w:p w14:paraId="07AC96DE">
      <w:pPr>
        <w:spacing w:line="380" w:lineRule="exact"/>
        <w:ind w:firstLine="405"/>
        <w:rPr>
          <w:color w:val="auto"/>
          <w:highlight w:val="none"/>
        </w:rPr>
      </w:pPr>
      <w:r>
        <w:rPr>
          <w:rFonts w:hint="eastAsia"/>
          <w:color w:val="auto"/>
          <w:highlight w:val="none"/>
        </w:rPr>
        <w:t>补充第（</w:t>
      </w:r>
      <w:r>
        <w:rPr>
          <w:color w:val="auto"/>
          <w:highlight w:val="none"/>
        </w:rPr>
        <w:t>13</w:t>
      </w:r>
      <w:r>
        <w:rPr>
          <w:rFonts w:hint="eastAsia"/>
          <w:color w:val="auto"/>
          <w:highlight w:val="none"/>
        </w:rPr>
        <w:t>）、（</w:t>
      </w:r>
      <w:r>
        <w:rPr>
          <w:color w:val="auto"/>
          <w:highlight w:val="none"/>
        </w:rPr>
        <w:t>14</w:t>
      </w:r>
      <w:r>
        <w:rPr>
          <w:rFonts w:hint="eastAsia"/>
          <w:color w:val="auto"/>
          <w:highlight w:val="none"/>
        </w:rPr>
        <w:t>）款</w:t>
      </w:r>
    </w:p>
    <w:p w14:paraId="55BEC0B8">
      <w:pPr>
        <w:spacing w:line="380" w:lineRule="exact"/>
        <w:ind w:firstLine="405"/>
        <w:rPr>
          <w:color w:val="auto"/>
          <w:highlight w:val="none"/>
        </w:rPr>
      </w:pPr>
      <w:r>
        <w:rPr>
          <w:rFonts w:hint="eastAsia"/>
          <w:color w:val="auto"/>
          <w:highlight w:val="none"/>
        </w:rPr>
        <w:t>（</w:t>
      </w:r>
      <w:r>
        <w:rPr>
          <w:color w:val="auto"/>
          <w:highlight w:val="none"/>
        </w:rPr>
        <w:t>13</w:t>
      </w:r>
      <w:r>
        <w:rPr>
          <w:rFonts w:hint="eastAsia"/>
          <w:color w:val="auto"/>
          <w:highlight w:val="none"/>
        </w:rPr>
        <w:t>）灌木色块应按设计要求的密度种植，一般每平方米在</w:t>
      </w:r>
      <w:r>
        <w:rPr>
          <w:color w:val="auto"/>
          <w:highlight w:val="none"/>
        </w:rPr>
        <w:t>25-36</w:t>
      </w:r>
      <w:r>
        <w:rPr>
          <w:rFonts w:hint="eastAsia"/>
          <w:color w:val="auto"/>
          <w:highlight w:val="none"/>
        </w:rPr>
        <w:t>株之间。</w:t>
      </w:r>
    </w:p>
    <w:p w14:paraId="64EA0BF9">
      <w:pPr>
        <w:spacing w:line="380" w:lineRule="exact"/>
        <w:ind w:firstLine="405"/>
        <w:rPr>
          <w:rFonts w:hint="eastAsia"/>
          <w:color w:val="auto"/>
          <w:highlight w:val="none"/>
        </w:rPr>
      </w:pPr>
      <w:r>
        <w:rPr>
          <w:rFonts w:hint="eastAsia"/>
          <w:color w:val="auto"/>
          <w:highlight w:val="none"/>
        </w:rPr>
        <w:t>（</w:t>
      </w:r>
      <w:r>
        <w:rPr>
          <w:color w:val="auto"/>
          <w:highlight w:val="none"/>
        </w:rPr>
        <w:t>14</w:t>
      </w:r>
      <w:r>
        <w:rPr>
          <w:rFonts w:hint="eastAsia"/>
          <w:color w:val="auto"/>
          <w:highlight w:val="none"/>
        </w:rPr>
        <w:t>）地被植物如为撒布草籽应在耙松、平整表土后均匀施肥，施肥量</w:t>
      </w:r>
      <w:r>
        <w:rPr>
          <w:color w:val="auto"/>
          <w:highlight w:val="none"/>
        </w:rPr>
        <w:t>1000</w:t>
      </w:r>
      <w:r>
        <w:rPr>
          <w:rFonts w:hint="eastAsia"/>
          <w:color w:val="auto"/>
          <w:highlight w:val="none"/>
        </w:rPr>
        <w:t>ｍ</w:t>
      </w:r>
      <w:r>
        <w:rPr>
          <w:rFonts w:hint="eastAsia"/>
          <w:color w:val="auto"/>
          <w:highlight w:val="none"/>
          <w:vertAlign w:val="superscript"/>
        </w:rPr>
        <w:t>２</w:t>
      </w:r>
      <w:r>
        <w:rPr>
          <w:rFonts w:hint="eastAsia"/>
          <w:color w:val="auto"/>
          <w:highlight w:val="none"/>
        </w:rPr>
        <w:t>不低于</w:t>
      </w:r>
      <w:r>
        <w:rPr>
          <w:color w:val="auto"/>
          <w:highlight w:val="none"/>
        </w:rPr>
        <w:t>70kg</w:t>
      </w:r>
      <w:r>
        <w:rPr>
          <w:rFonts w:hint="eastAsia"/>
          <w:color w:val="auto"/>
          <w:highlight w:val="none"/>
        </w:rPr>
        <w:t>，撒种量平地每</w:t>
      </w:r>
      <w:r>
        <w:rPr>
          <w:color w:val="auto"/>
          <w:highlight w:val="none"/>
        </w:rPr>
        <w:t>1000</w:t>
      </w:r>
      <w:r>
        <w:rPr>
          <w:rFonts w:hint="eastAsia"/>
          <w:color w:val="auto"/>
          <w:highlight w:val="none"/>
        </w:rPr>
        <w:t>ｍ</w:t>
      </w:r>
      <w:r>
        <w:rPr>
          <w:color w:val="auto"/>
          <w:highlight w:val="none"/>
          <w:vertAlign w:val="superscript"/>
        </w:rPr>
        <w:t>2</w:t>
      </w:r>
      <w:r>
        <w:rPr>
          <w:rFonts w:hint="eastAsia"/>
          <w:color w:val="auto"/>
          <w:highlight w:val="none"/>
        </w:rPr>
        <w:t>不低于</w:t>
      </w:r>
      <w:r>
        <w:rPr>
          <w:color w:val="auto"/>
          <w:highlight w:val="none"/>
        </w:rPr>
        <w:t>10kg</w:t>
      </w:r>
      <w:r>
        <w:rPr>
          <w:rFonts w:hint="eastAsia"/>
          <w:color w:val="auto"/>
          <w:highlight w:val="none"/>
        </w:rPr>
        <w:t>，坡面每</w:t>
      </w:r>
      <w:r>
        <w:rPr>
          <w:color w:val="auto"/>
          <w:highlight w:val="none"/>
        </w:rPr>
        <w:t>1000</w:t>
      </w:r>
      <w:r>
        <w:rPr>
          <w:rFonts w:hint="eastAsia"/>
          <w:color w:val="auto"/>
          <w:highlight w:val="none"/>
        </w:rPr>
        <w:t>ｍ</w:t>
      </w:r>
      <w:r>
        <w:rPr>
          <w:rFonts w:hint="eastAsia"/>
          <w:color w:val="auto"/>
          <w:highlight w:val="none"/>
          <w:vertAlign w:val="superscript"/>
        </w:rPr>
        <w:t>２</w:t>
      </w:r>
      <w:r>
        <w:rPr>
          <w:rFonts w:hint="eastAsia"/>
          <w:color w:val="auto"/>
          <w:highlight w:val="none"/>
        </w:rPr>
        <w:t>不低于</w:t>
      </w:r>
      <w:r>
        <w:rPr>
          <w:color w:val="auto"/>
          <w:highlight w:val="none"/>
        </w:rPr>
        <w:t>12kg</w:t>
      </w:r>
      <w:r>
        <w:rPr>
          <w:rFonts w:hint="eastAsia"/>
          <w:color w:val="auto"/>
          <w:highlight w:val="none"/>
        </w:rPr>
        <w:t>。如为铺草皮，应在表土平整后块块均匀错缝铺植，葱兰、书带草一类的丛植地被每平方米不低于</w:t>
      </w:r>
      <w:r>
        <w:rPr>
          <w:color w:val="auto"/>
          <w:highlight w:val="none"/>
        </w:rPr>
        <w:t>36</w:t>
      </w:r>
      <w:r>
        <w:rPr>
          <w:rFonts w:hint="eastAsia"/>
          <w:color w:val="auto"/>
          <w:highlight w:val="none"/>
        </w:rPr>
        <w:t>丛，每丛不少于</w:t>
      </w:r>
      <w:r>
        <w:rPr>
          <w:color w:val="auto"/>
          <w:highlight w:val="none"/>
        </w:rPr>
        <w:t>5</w:t>
      </w:r>
      <w:r>
        <w:rPr>
          <w:rFonts w:hint="eastAsia"/>
          <w:color w:val="auto"/>
          <w:highlight w:val="none"/>
        </w:rPr>
        <w:t>支。</w:t>
      </w:r>
    </w:p>
    <w:p w14:paraId="03BFDBE0">
      <w:pPr>
        <w:pStyle w:val="5"/>
        <w:jc w:val="center"/>
        <w:rPr>
          <w:rFonts w:hint="eastAsia" w:ascii="宋体" w:hAnsi="宋体" w:cs="Times New Roman"/>
          <w:color w:val="auto"/>
          <w:sz w:val="32"/>
          <w:highlight w:val="none"/>
          <w:lang w:val="en-US" w:eastAsia="zh-CN"/>
        </w:rPr>
      </w:pPr>
      <w:r>
        <w:rPr>
          <w:rFonts w:hint="eastAsia" w:ascii="宋体" w:hAnsi="宋体" w:cs="Times New Roman"/>
          <w:color w:val="auto"/>
          <w:sz w:val="32"/>
          <w:highlight w:val="none"/>
        </w:rPr>
        <w:t>第70</w:t>
      </w:r>
      <w:r>
        <w:rPr>
          <w:rFonts w:hint="eastAsia" w:ascii="宋体" w:hAnsi="宋体" w:cs="Times New Roman"/>
          <w:color w:val="auto"/>
          <w:sz w:val="32"/>
          <w:highlight w:val="none"/>
          <w:lang w:val="en-US" w:eastAsia="zh-CN"/>
        </w:rPr>
        <w:t>5</w:t>
      </w:r>
      <w:r>
        <w:rPr>
          <w:rFonts w:hint="eastAsia" w:ascii="宋体" w:hAnsi="宋体" w:cs="Times New Roman"/>
          <w:color w:val="auto"/>
          <w:sz w:val="32"/>
          <w:highlight w:val="none"/>
        </w:rPr>
        <w:t>节</w:t>
      </w:r>
      <w:r>
        <w:rPr>
          <w:rFonts w:hint="eastAsia" w:ascii="宋体" w:hAnsi="宋体" w:cs="Times New Roman"/>
          <w:color w:val="auto"/>
          <w:sz w:val="32"/>
          <w:highlight w:val="none"/>
          <w:lang w:val="en-US" w:eastAsia="zh-CN"/>
        </w:rPr>
        <w:t xml:space="preserve"> 植物养护与管理</w:t>
      </w:r>
    </w:p>
    <w:p w14:paraId="6EA3D5F2">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705.03  施工要求</w:t>
      </w:r>
    </w:p>
    <w:p w14:paraId="2F79399D">
      <w:pPr>
        <w:spacing w:line="380" w:lineRule="exact"/>
        <w:ind w:firstLine="405"/>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3.植物管理及掩护计划应包括以下内容：</w:t>
      </w:r>
    </w:p>
    <w:p w14:paraId="782BEAA7">
      <w:pPr>
        <w:spacing w:line="380" w:lineRule="exact"/>
        <w:ind w:firstLine="405"/>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补充第（9）目</w:t>
      </w:r>
    </w:p>
    <w:p w14:paraId="7282BE0B">
      <w:pPr>
        <w:pStyle w:val="41"/>
        <w:pageBreakBefore w:val="0"/>
        <w:widowControl w:val="0"/>
        <w:numPr>
          <w:ilvl w:val="0"/>
          <w:numId w:val="6"/>
        </w:numPr>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cs="Times New Roman"/>
          <w:b/>
          <w:bCs/>
          <w:color w:val="auto"/>
          <w:kern w:val="2"/>
          <w:sz w:val="21"/>
          <w:szCs w:val="21"/>
          <w:highlight w:val="none"/>
          <w:lang w:val="en-US" w:eastAsia="zh-CN" w:bidi="ar-SA"/>
        </w:rPr>
      </w:pPr>
      <w:r>
        <w:rPr>
          <w:rFonts w:hint="default" w:ascii="宋体" w:hAnsi="宋体" w:eastAsia="宋体" w:cs="Times New Roman"/>
          <w:color w:val="auto"/>
          <w:szCs w:val="21"/>
          <w:highlight w:val="none"/>
          <w:lang w:val="en-US" w:eastAsia="zh-CN"/>
        </w:rPr>
        <w:t>绿化</w:t>
      </w:r>
      <w:r>
        <w:rPr>
          <w:rFonts w:hint="eastAsia" w:ascii="宋体" w:hAnsi="宋体" w:cs="Times New Roman"/>
          <w:color w:val="auto"/>
          <w:szCs w:val="21"/>
          <w:highlight w:val="none"/>
          <w:lang w:val="en-US" w:eastAsia="zh-CN"/>
        </w:rPr>
        <w:t>工程</w:t>
      </w:r>
      <w:r>
        <w:rPr>
          <w:rFonts w:hint="default" w:ascii="宋体" w:hAnsi="宋体" w:eastAsia="宋体" w:cs="Times New Roman"/>
          <w:color w:val="auto"/>
          <w:szCs w:val="21"/>
          <w:highlight w:val="none"/>
          <w:lang w:val="en-US" w:eastAsia="zh-CN"/>
        </w:rPr>
        <w:t>在</w:t>
      </w:r>
      <w:r>
        <w:rPr>
          <w:rFonts w:hint="eastAsia" w:ascii="宋体" w:hAnsi="宋体" w:eastAsia="宋体" w:cs="Times New Roman"/>
          <w:color w:val="auto"/>
          <w:szCs w:val="21"/>
          <w:highlight w:val="none"/>
          <w:lang w:val="en-US" w:eastAsia="zh-CN"/>
        </w:rPr>
        <w:t>施工期、</w:t>
      </w:r>
      <w:r>
        <w:rPr>
          <w:rFonts w:hint="default" w:ascii="宋体" w:hAnsi="宋体" w:eastAsia="宋体" w:cs="Times New Roman"/>
          <w:color w:val="auto"/>
          <w:szCs w:val="21"/>
          <w:highlight w:val="none"/>
          <w:lang w:val="en-US" w:eastAsia="zh-CN"/>
        </w:rPr>
        <w:t>保活期</w:t>
      </w:r>
      <w:r>
        <w:rPr>
          <w:rFonts w:hint="eastAsia" w:ascii="宋体" w:hAnsi="宋体" w:eastAsia="宋体" w:cs="Times New Roman"/>
          <w:color w:val="auto"/>
          <w:szCs w:val="21"/>
          <w:highlight w:val="none"/>
          <w:lang w:val="en-US" w:eastAsia="zh-CN"/>
        </w:rPr>
        <w:t>及</w:t>
      </w:r>
      <w:r>
        <w:rPr>
          <w:rFonts w:hint="default" w:ascii="宋体" w:hAnsi="宋体" w:eastAsia="宋体" w:cs="Times New Roman"/>
          <w:color w:val="auto"/>
          <w:szCs w:val="21"/>
          <w:highlight w:val="none"/>
          <w:lang w:val="en-US" w:eastAsia="zh-CN"/>
        </w:rPr>
        <w:t>缺陷责任期内养护</w:t>
      </w:r>
      <w:r>
        <w:rPr>
          <w:rFonts w:hint="eastAsia" w:ascii="宋体" w:hAnsi="宋体" w:eastAsia="宋体" w:cs="Times New Roman"/>
          <w:color w:val="auto"/>
          <w:szCs w:val="21"/>
          <w:highlight w:val="none"/>
          <w:lang w:val="en-US" w:eastAsia="zh-CN"/>
        </w:rPr>
        <w:t>所需的水、电费用</w:t>
      </w:r>
      <w:r>
        <w:rPr>
          <w:rFonts w:hint="default" w:ascii="宋体" w:hAnsi="宋体" w:eastAsia="宋体" w:cs="Times New Roman"/>
          <w:color w:val="auto"/>
          <w:szCs w:val="21"/>
          <w:highlight w:val="none"/>
          <w:lang w:val="en-US" w:eastAsia="zh-CN"/>
        </w:rPr>
        <w:t>均由</w:t>
      </w:r>
      <w:r>
        <w:rPr>
          <w:rFonts w:hint="eastAsia" w:ascii="宋体" w:hAnsi="宋体" w:cs="Times New Roman"/>
          <w:b/>
          <w:bCs/>
          <w:color w:val="auto"/>
          <w:kern w:val="2"/>
          <w:sz w:val="21"/>
          <w:szCs w:val="21"/>
          <w:highlight w:val="none"/>
          <w:lang w:val="en-US" w:eastAsia="zh-CN" w:bidi="ar-SA"/>
        </w:rPr>
        <w:t>承包人承担。</w:t>
      </w:r>
    </w:p>
    <w:p w14:paraId="599312F3">
      <w:pPr>
        <w:pStyle w:val="41"/>
        <w:pageBreakBefore w:val="0"/>
        <w:widowControl w:val="0"/>
        <w:numPr>
          <w:ilvl w:val="0"/>
          <w:numId w:val="0"/>
        </w:numPr>
        <w:kinsoku/>
        <w:wordWrap/>
        <w:overflowPunct/>
        <w:topLinePunct w:val="0"/>
        <w:autoSpaceDE/>
        <w:autoSpaceDN/>
        <w:bidi w:val="0"/>
        <w:adjustRightInd/>
        <w:snapToGrid/>
        <w:spacing w:line="440" w:lineRule="exact"/>
        <w:textAlignment w:val="auto"/>
        <w:outlineLvl w:val="9"/>
        <w:rPr>
          <w:rFonts w:hint="default" w:ascii="宋体" w:hAnsi="宋体" w:cs="Times New Roman"/>
          <w:b/>
          <w:bCs/>
          <w:color w:val="auto"/>
          <w:kern w:val="2"/>
          <w:sz w:val="21"/>
          <w:szCs w:val="21"/>
          <w:highlight w:val="none"/>
          <w:lang w:val="en-US" w:eastAsia="zh-CN" w:bidi="ar-SA"/>
        </w:rPr>
      </w:pPr>
    </w:p>
    <w:p w14:paraId="04A3D94D">
      <w:pPr>
        <w:pStyle w:val="5"/>
        <w:jc w:val="center"/>
        <w:rPr>
          <w:rFonts w:hint="eastAsia" w:ascii="宋体" w:hAnsi="宋体" w:cs="Times New Roman"/>
          <w:color w:val="auto"/>
          <w:sz w:val="32"/>
          <w:highlight w:val="none"/>
          <w:lang w:val="en-US" w:eastAsia="zh-CN"/>
        </w:rPr>
      </w:pPr>
      <w:r>
        <w:rPr>
          <w:rFonts w:hint="eastAsia" w:ascii="宋体" w:hAnsi="宋体" w:cs="Times New Roman"/>
          <w:color w:val="auto"/>
          <w:sz w:val="32"/>
          <w:highlight w:val="none"/>
          <w:lang w:val="en-US" w:eastAsia="zh-CN"/>
        </w:rPr>
        <w:t>补充</w:t>
      </w:r>
      <w:r>
        <w:rPr>
          <w:rFonts w:hint="eastAsia" w:ascii="宋体" w:hAnsi="宋体" w:cs="Times New Roman"/>
          <w:color w:val="auto"/>
          <w:sz w:val="32"/>
          <w:highlight w:val="none"/>
        </w:rPr>
        <w:t>第70</w:t>
      </w:r>
      <w:r>
        <w:rPr>
          <w:rFonts w:hint="eastAsia" w:ascii="宋体" w:hAnsi="宋体" w:cs="Times New Roman"/>
          <w:color w:val="auto"/>
          <w:sz w:val="32"/>
          <w:highlight w:val="none"/>
          <w:lang w:val="en-US" w:eastAsia="zh-CN"/>
        </w:rPr>
        <w:t>8</w:t>
      </w:r>
      <w:r>
        <w:rPr>
          <w:rFonts w:hint="eastAsia" w:ascii="宋体" w:hAnsi="宋体" w:cs="Times New Roman"/>
          <w:color w:val="auto"/>
          <w:sz w:val="32"/>
          <w:highlight w:val="none"/>
        </w:rPr>
        <w:t>节</w:t>
      </w:r>
      <w:r>
        <w:rPr>
          <w:rFonts w:hint="eastAsia" w:ascii="宋体" w:hAnsi="宋体" w:cs="Times New Roman"/>
          <w:color w:val="auto"/>
          <w:sz w:val="32"/>
          <w:highlight w:val="none"/>
          <w:lang w:val="en-US" w:eastAsia="zh-CN"/>
        </w:rPr>
        <w:t xml:space="preserve"> 绿化景观工程</w:t>
      </w:r>
    </w:p>
    <w:p w14:paraId="5E50C601">
      <w:pPr>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708.01   范围</w:t>
      </w:r>
    </w:p>
    <w:p w14:paraId="411874AF">
      <w:pPr>
        <w:spacing w:line="440" w:lineRule="exact"/>
        <w:ind w:firstLine="403"/>
        <w:rPr>
          <w:rFonts w:ascii="宋体" w:hAnsi="宋体"/>
          <w:b/>
        </w:rPr>
      </w:pPr>
      <w:r>
        <w:rPr>
          <w:rFonts w:hint="eastAsia" w:ascii="Times New Roman" w:hAnsi="Times New Roman"/>
        </w:rPr>
        <w:t>本节内容</w:t>
      </w:r>
      <w:r>
        <w:rPr>
          <w:rFonts w:hint="eastAsia" w:ascii="Times New Roman" w:hAnsi="Times New Roman"/>
          <w:lang w:val="en-US" w:eastAsia="zh-CN"/>
        </w:rPr>
        <w:t>为</w:t>
      </w:r>
      <w:r>
        <w:rPr>
          <w:rFonts w:hint="eastAsia"/>
          <w:lang w:val="en-US" w:eastAsia="zh-CN"/>
        </w:rPr>
        <w:t>绿化景观工程</w:t>
      </w:r>
      <w:r>
        <w:rPr>
          <w:rFonts w:hint="eastAsia" w:ascii="Times New Roman" w:hAnsi="Times New Roman"/>
          <w:lang w:val="en-US" w:eastAsia="zh-CN"/>
        </w:rPr>
        <w:t>（</w:t>
      </w:r>
      <w:r>
        <w:rPr>
          <w:rFonts w:hint="eastAsia"/>
          <w:lang w:val="en-US" w:eastAsia="zh-CN"/>
        </w:rPr>
        <w:t>道路侧石预留、现状保留苗木修剪（复绿工程范围内预留）</w:t>
      </w:r>
      <w:r>
        <w:rPr>
          <w:rFonts w:hint="eastAsia" w:ascii="Times New Roman" w:hAnsi="Times New Roman"/>
          <w:lang w:val="en-US" w:eastAsia="zh-CN"/>
        </w:rPr>
        <w:t>的</w:t>
      </w:r>
      <w:r>
        <w:rPr>
          <w:rFonts w:hint="eastAsia" w:ascii="宋体" w:hAnsi="宋体"/>
          <w:color w:val="000000" w:themeColor="text1"/>
          <w:szCs w:val="21"/>
          <w:highlight w:val="none"/>
          <w14:textFill>
            <w14:solidFill>
              <w14:schemeClr w14:val="tx1"/>
            </w14:solidFill>
          </w14:textFill>
        </w:rPr>
        <w:t>绿化工程的</w:t>
      </w:r>
      <w:r>
        <w:rPr>
          <w:rFonts w:hint="eastAsia" w:ascii="宋体" w:hAnsi="宋体" w:eastAsia="宋体"/>
          <w:color w:val="000000" w:themeColor="text1"/>
          <w:szCs w:val="21"/>
          <w:highlight w:val="none"/>
          <w14:textFill>
            <w14:solidFill>
              <w14:schemeClr w14:val="tx1"/>
            </w14:solidFill>
          </w14:textFill>
        </w:rPr>
        <w:t>实施</w:t>
      </w:r>
      <w:r>
        <w:rPr>
          <w:rFonts w:hint="eastAsia" w:ascii="宋体" w:hAnsi="宋体"/>
          <w:color w:val="000000" w:themeColor="text1"/>
          <w:szCs w:val="21"/>
          <w:highlight w:val="none"/>
          <w14:textFill>
            <w14:solidFill>
              <w14:schemeClr w14:val="tx1"/>
            </w14:solidFill>
          </w14:textFill>
        </w:rPr>
        <w:t>、完成、缺陷责任期缺陷修复及保修期保修责任</w:t>
      </w:r>
      <w:r>
        <w:rPr>
          <w:rFonts w:hint="eastAsia" w:ascii="Times New Roman" w:hAnsi="Times New Roman"/>
        </w:rPr>
        <w:t>。</w:t>
      </w:r>
      <w:r>
        <w:rPr>
          <w:rFonts w:ascii="宋体" w:hAnsi="宋体"/>
          <w:b/>
        </w:rPr>
        <w:t xml:space="preserve">     </w:t>
      </w:r>
    </w:p>
    <w:p w14:paraId="2321502D">
      <w:pPr>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708.02  材料</w:t>
      </w:r>
    </w:p>
    <w:p w14:paraId="1E3BA1C0">
      <w:pPr>
        <w:spacing w:line="440" w:lineRule="exact"/>
        <w:ind w:firstLine="403"/>
        <w:rPr>
          <w:rFonts w:hint="eastAsia" w:ascii="Times New Roman" w:hAnsi="Times New Roman" w:eastAsia="宋体"/>
          <w:lang w:eastAsia="zh-CN"/>
        </w:rPr>
      </w:pPr>
      <w:r>
        <w:rPr>
          <w:rFonts w:hint="eastAsia" w:ascii="Times New Roman" w:hAnsi="Times New Roman"/>
        </w:rPr>
        <w:t>按照图纸要求实施</w:t>
      </w:r>
      <w:r>
        <w:rPr>
          <w:rFonts w:hint="eastAsia"/>
          <w:lang w:eastAsia="zh-CN"/>
        </w:rPr>
        <w:t>。</w:t>
      </w:r>
    </w:p>
    <w:p w14:paraId="5E8AD39D">
      <w:pPr>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708.03施工要求</w:t>
      </w:r>
    </w:p>
    <w:p w14:paraId="2DC1D80A">
      <w:pPr>
        <w:spacing w:line="440" w:lineRule="exact"/>
        <w:ind w:firstLine="420" w:firstLineChars="200"/>
        <w:rPr>
          <w:rFonts w:hint="eastAsia" w:ascii="Times New Roman" w:hAnsi="Times New Roman" w:eastAsia="宋体"/>
          <w:lang w:eastAsia="zh-CN"/>
        </w:rPr>
      </w:pPr>
      <w:r>
        <w:rPr>
          <w:rFonts w:hint="eastAsia" w:ascii="Times New Roman" w:hAnsi="Times New Roman"/>
        </w:rPr>
        <w:t>按照图纸要求施工</w:t>
      </w:r>
      <w:r>
        <w:rPr>
          <w:rFonts w:hint="eastAsia" w:ascii="Times New Roman" w:hAnsi="Times New Roman"/>
          <w:lang w:eastAsia="zh-CN"/>
        </w:rPr>
        <w:t>。</w:t>
      </w:r>
    </w:p>
    <w:p w14:paraId="392649FF">
      <w:pPr>
        <w:spacing w:line="360" w:lineRule="auto"/>
        <w:rPr>
          <w:rFonts w:hint="default" w:ascii="宋体" w:hAnsi="宋体"/>
          <w:b/>
          <w:lang w:val="en-US"/>
        </w:rPr>
      </w:pPr>
      <w:r>
        <w:rPr>
          <w:rFonts w:hint="eastAsia" w:ascii="宋体" w:hAnsi="宋体"/>
          <w:b/>
          <w:lang w:val="en-US" w:eastAsia="zh-CN"/>
        </w:rPr>
        <w:t>708.04 质量检验</w:t>
      </w:r>
    </w:p>
    <w:p w14:paraId="717E588C">
      <w:pPr>
        <w:ind w:firstLine="420" w:firstLineChars="200"/>
        <w:rPr>
          <w:rFonts w:hint="default" w:ascii="Times New Roman" w:hAnsi="Times New Roman" w:eastAsia="宋体"/>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eastAsia="宋体" w:cs="Times New Roman"/>
          <w:lang w:val="en-US" w:eastAsia="zh-CN"/>
        </w:rPr>
        <w:t>符合相关检验标准。</w:t>
      </w:r>
    </w:p>
    <w:p w14:paraId="2E74AD77">
      <w:pPr>
        <w:adjustRightIn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bookmarkStart w:id="1376" w:name="OLE_LINK5"/>
    </w:p>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76"/>
    <w:p w14:paraId="14BB0F58">
      <w:pPr>
        <w:pStyle w:val="7"/>
        <w:spacing w:line="360" w:lineRule="auto"/>
        <w:rPr>
          <w:rFonts w:ascii="宋体" w:hAnsi="宋体" w:cs="宋体"/>
          <w:color w:val="000000" w:themeColor="text1"/>
          <w:highlight w:val="none"/>
          <w14:textFill>
            <w14:solidFill>
              <w14:schemeClr w14:val="tx1"/>
            </w14:solidFill>
          </w14:textFill>
        </w:rPr>
      </w:pPr>
    </w:p>
    <w:p w14:paraId="5CC9F507">
      <w:pPr>
        <w:pStyle w:val="7"/>
        <w:spacing w:line="360" w:lineRule="auto"/>
        <w:rPr>
          <w:rFonts w:ascii="宋体" w:hAnsi="宋体" w:cs="宋体"/>
          <w:color w:val="000000" w:themeColor="text1"/>
          <w:highlight w:val="none"/>
          <w14:textFill>
            <w14:solidFill>
              <w14:schemeClr w14:val="tx1"/>
            </w14:solidFill>
          </w14:textFill>
        </w:rPr>
      </w:pPr>
    </w:p>
    <w:p w14:paraId="4DD72DB3">
      <w:pPr>
        <w:pStyle w:val="7"/>
        <w:spacing w:line="360" w:lineRule="auto"/>
        <w:rPr>
          <w:rFonts w:ascii="宋体" w:hAnsi="宋体" w:cs="宋体"/>
          <w:color w:val="000000" w:themeColor="text1"/>
          <w:highlight w:val="none"/>
          <w14:textFill>
            <w14:solidFill>
              <w14:schemeClr w14:val="tx1"/>
            </w14:solidFill>
          </w14:textFill>
        </w:rPr>
      </w:pPr>
    </w:p>
    <w:p w14:paraId="2360A499">
      <w:pPr>
        <w:pStyle w:val="34"/>
        <w:ind w:firstLine="420"/>
        <w:rPr>
          <w:rFonts w:hAnsi="宋体" w:cs="宋体"/>
          <w:color w:val="000000" w:themeColor="text1"/>
          <w:highlight w:val="none"/>
          <w14:textFill>
            <w14:solidFill>
              <w14:schemeClr w14:val="tx1"/>
            </w14:solidFill>
          </w14:textFill>
        </w:rPr>
      </w:pPr>
    </w:p>
    <w:p w14:paraId="5F2B0CA1">
      <w:pPr>
        <w:rPr>
          <w:rFonts w:ascii="宋体" w:hAnsi="宋体" w:cs="宋体"/>
          <w:color w:val="000000" w:themeColor="text1"/>
          <w:highlight w:val="none"/>
          <w14:textFill>
            <w14:solidFill>
              <w14:schemeClr w14:val="tx1"/>
            </w14:solidFill>
          </w14:textFill>
        </w:rPr>
      </w:pPr>
    </w:p>
    <w:p w14:paraId="2002FD6D">
      <w:pPr>
        <w:pStyle w:val="11"/>
        <w:rPr>
          <w:rFonts w:ascii="宋体" w:hAnsi="宋体" w:cs="宋体"/>
          <w:color w:val="000000" w:themeColor="text1"/>
          <w:highlight w:val="none"/>
          <w14:textFill>
            <w14:solidFill>
              <w14:schemeClr w14:val="tx1"/>
            </w14:solidFill>
          </w14:textFill>
        </w:rPr>
      </w:pPr>
    </w:p>
    <w:p w14:paraId="3CE995CE">
      <w:pPr>
        <w:pStyle w:val="11"/>
        <w:rPr>
          <w:rFonts w:ascii="宋体" w:hAnsi="宋体" w:cs="宋体"/>
          <w:color w:val="000000" w:themeColor="text1"/>
          <w:highlight w:val="none"/>
          <w14:textFill>
            <w14:solidFill>
              <w14:schemeClr w14:val="tx1"/>
            </w14:solidFill>
          </w14:textFill>
        </w:rPr>
      </w:pPr>
    </w:p>
    <w:p w14:paraId="167FA9A0">
      <w:pPr>
        <w:pStyle w:val="11"/>
        <w:rPr>
          <w:rFonts w:ascii="宋体" w:hAnsi="宋体" w:cs="宋体"/>
          <w:color w:val="000000" w:themeColor="text1"/>
          <w:highlight w:val="none"/>
          <w14:textFill>
            <w14:solidFill>
              <w14:schemeClr w14:val="tx1"/>
            </w14:solidFill>
          </w14:textFill>
        </w:rPr>
      </w:pPr>
    </w:p>
    <w:p w14:paraId="68693F89">
      <w:pPr>
        <w:pStyle w:val="11"/>
        <w:rPr>
          <w:rFonts w:ascii="宋体" w:hAnsi="宋体" w:cs="宋体"/>
          <w:color w:val="000000" w:themeColor="text1"/>
          <w:highlight w:val="none"/>
          <w14:textFill>
            <w14:solidFill>
              <w14:schemeClr w14:val="tx1"/>
            </w14:solidFill>
          </w14:textFill>
        </w:rPr>
      </w:pPr>
    </w:p>
    <w:p w14:paraId="4671436E">
      <w:pPr>
        <w:pStyle w:val="11"/>
        <w:rPr>
          <w:rFonts w:ascii="宋体" w:hAnsi="宋体" w:cs="宋体"/>
          <w:color w:val="000000" w:themeColor="text1"/>
          <w:highlight w:val="none"/>
          <w14:textFill>
            <w14:solidFill>
              <w14:schemeClr w14:val="tx1"/>
            </w14:solidFill>
          </w14:textFill>
        </w:rPr>
      </w:pPr>
    </w:p>
    <w:p w14:paraId="3695B0FE">
      <w:pPr>
        <w:pStyle w:val="11"/>
        <w:rPr>
          <w:rFonts w:ascii="宋体" w:hAnsi="宋体" w:cs="宋体"/>
          <w:color w:val="000000" w:themeColor="text1"/>
          <w:highlight w:val="none"/>
          <w14:textFill>
            <w14:solidFill>
              <w14:schemeClr w14:val="tx1"/>
            </w14:solidFill>
          </w14:textFill>
        </w:rPr>
      </w:pPr>
    </w:p>
    <w:p w14:paraId="40AAE8D4">
      <w:pPr>
        <w:pStyle w:val="11"/>
        <w:rPr>
          <w:rFonts w:ascii="宋体" w:hAnsi="宋体" w:cs="宋体"/>
          <w:color w:val="000000" w:themeColor="text1"/>
          <w:highlight w:val="none"/>
          <w14:textFill>
            <w14:solidFill>
              <w14:schemeClr w14:val="tx1"/>
            </w14:solidFill>
          </w14:textFill>
        </w:rPr>
      </w:pPr>
    </w:p>
    <w:p w14:paraId="0DEF07CF">
      <w:pPr>
        <w:pStyle w:val="11"/>
        <w:rPr>
          <w:rFonts w:ascii="宋体" w:hAnsi="宋体" w:cs="宋体"/>
          <w:color w:val="000000" w:themeColor="text1"/>
          <w:highlight w:val="none"/>
          <w14:textFill>
            <w14:solidFill>
              <w14:schemeClr w14:val="tx1"/>
            </w14:solidFill>
          </w14:textFill>
        </w:rPr>
      </w:pPr>
    </w:p>
    <w:p w14:paraId="740F88DA">
      <w:pPr>
        <w:pStyle w:val="36"/>
        <w:spacing w:before="260" w:after="260" w:line="500" w:lineRule="exact"/>
        <w:jc w:val="center"/>
        <w:rPr>
          <w:rFonts w:hint="eastAsia" w:ascii="宋体" w:hAnsi="宋体" w:cs="宋体"/>
          <w:color w:val="000000" w:themeColor="text1"/>
          <w:sz w:val="48"/>
          <w:szCs w:val="48"/>
          <w:highlight w:val="none"/>
          <w14:textFill>
            <w14:solidFill>
              <w14:schemeClr w14:val="tx1"/>
            </w14:solidFill>
          </w14:textFill>
        </w:rPr>
      </w:pPr>
      <w:bookmarkStart w:id="1377" w:name="_Toc25023"/>
      <w:bookmarkStart w:id="1378" w:name="_Toc1532"/>
      <w:bookmarkStart w:id="1379" w:name="_Toc14659"/>
      <w:bookmarkStart w:id="1380" w:name="_Toc98785402"/>
      <w:bookmarkStart w:id="1381" w:name="_Toc883"/>
      <w:bookmarkStart w:id="1382" w:name="_Toc3734"/>
      <w:bookmarkStart w:id="1383" w:name="_Toc18003"/>
      <w:bookmarkStart w:id="1384" w:name="_Toc12898"/>
      <w:bookmarkStart w:id="1385" w:name="_Toc27427"/>
      <w:bookmarkStart w:id="1386" w:name="_Toc118195910"/>
      <w:bookmarkStart w:id="1387" w:name="_Toc119585551"/>
      <w:bookmarkStart w:id="1388" w:name="_Toc10193"/>
      <w:bookmarkStart w:id="1389" w:name="_Toc28819"/>
      <w:bookmarkStart w:id="1390" w:name="_Toc3350"/>
      <w:bookmarkStart w:id="1391" w:name="_Toc120624290"/>
      <w:bookmarkStart w:id="1392" w:name="_Toc6338"/>
      <w:bookmarkStart w:id="1393" w:name="_Toc2515"/>
      <w:bookmarkStart w:id="1394" w:name="_Toc24322"/>
      <w:bookmarkStart w:id="1395" w:name="_Toc31941"/>
      <w:bookmarkStart w:id="1396" w:name="_Toc12407"/>
      <w:r>
        <w:rPr>
          <w:rFonts w:hint="eastAsia" w:ascii="宋体" w:hAnsi="宋体" w:cs="宋体"/>
          <w:color w:val="000000" w:themeColor="text1"/>
          <w:sz w:val="48"/>
          <w:szCs w:val="48"/>
          <w:highlight w:val="none"/>
          <w14:textFill>
            <w14:solidFill>
              <w14:schemeClr w14:val="tx1"/>
            </w14:solidFill>
          </w14:textFill>
        </w:rPr>
        <w:t>第八章 工程量清单计量规则</w:t>
      </w:r>
      <w:bookmarkEnd w:id="1377"/>
      <w:bookmarkEnd w:id="1378"/>
      <w:bookmarkEnd w:id="1379"/>
      <w:bookmarkEnd w:id="1380"/>
      <w:bookmarkEnd w:id="1381"/>
    </w:p>
    <w:p w14:paraId="1957003E">
      <w:pPr>
        <w:rPr>
          <w:rFonts w:hint="eastAsia" w:ascii="宋体" w:hAnsi="宋体" w:cs="宋体"/>
          <w:color w:val="000000" w:themeColor="text1"/>
          <w:sz w:val="48"/>
          <w:szCs w:val="48"/>
          <w:highlight w:val="none"/>
          <w14:textFill>
            <w14:solidFill>
              <w14:schemeClr w14:val="tx1"/>
            </w14:solidFill>
          </w14:textFill>
        </w:rPr>
      </w:pPr>
      <w:r>
        <w:rPr>
          <w:rFonts w:hint="eastAsia" w:ascii="宋体" w:hAnsi="宋体" w:cs="宋体"/>
          <w:color w:val="000000" w:themeColor="text1"/>
          <w:sz w:val="48"/>
          <w:szCs w:val="48"/>
          <w:highlight w:val="none"/>
          <w14:textFill>
            <w14:solidFill>
              <w14:schemeClr w14:val="tx1"/>
            </w14:solidFill>
          </w14:textFill>
        </w:rPr>
        <w:br w:type="page"/>
      </w:r>
    </w:p>
    <w:p w14:paraId="1FFF6161">
      <w:pPr>
        <w:tabs>
          <w:tab w:val="left" w:pos="3120"/>
        </w:tabs>
        <w:spacing w:line="360" w:lineRule="auto"/>
        <w:ind w:firstLine="420" w:firstLineChars="200"/>
        <w:jc w:val="left"/>
        <w:rPr>
          <w:rFonts w:hint="eastAsia" w:ascii="宋体" w:hAnsi="宋体"/>
          <w:szCs w:val="21"/>
        </w:rPr>
      </w:pPr>
      <w:r>
        <w:rPr>
          <w:rFonts w:hint="eastAsia" w:ascii="宋体" w:hAnsi="宋体"/>
          <w:szCs w:val="21"/>
        </w:rPr>
        <w:t>本工程工程量清单计量规则按DB33/T 628.1</w:t>
      </w:r>
      <w:r>
        <w:rPr>
          <w:rFonts w:hAnsi="宋体"/>
          <w:szCs w:val="21"/>
        </w:rPr>
        <w:t xml:space="preserve">-2021 </w:t>
      </w:r>
      <w:r>
        <w:rPr>
          <w:rFonts w:ascii="宋体" w:hAnsi="宋体"/>
          <w:szCs w:val="21"/>
        </w:rPr>
        <w:t>《</w:t>
      </w:r>
      <w:r>
        <w:rPr>
          <w:rFonts w:hint="eastAsia" w:ascii="宋体" w:hAnsi="宋体"/>
          <w:szCs w:val="21"/>
        </w:rPr>
        <w:t>交通建设工程工程量清单计价规范</w:t>
      </w:r>
      <w:r>
        <w:rPr>
          <w:rFonts w:ascii="宋体" w:hAnsi="宋体"/>
          <w:szCs w:val="21"/>
        </w:rPr>
        <w:t xml:space="preserve">  </w:t>
      </w:r>
      <w:r>
        <w:rPr>
          <w:rFonts w:hint="eastAsia" w:ascii="宋体" w:hAnsi="宋体"/>
          <w:szCs w:val="21"/>
        </w:rPr>
        <w:t>第</w:t>
      </w:r>
      <w:r>
        <w:rPr>
          <w:rFonts w:ascii="宋体" w:hAnsi="宋体"/>
          <w:szCs w:val="21"/>
        </w:rPr>
        <w:t>1部分：公路工程》</w:t>
      </w:r>
      <w:r>
        <w:rPr>
          <w:rFonts w:hint="eastAsia" w:ascii="宋体" w:hAnsi="宋体"/>
          <w:szCs w:val="21"/>
        </w:rPr>
        <w:t>执行。根据项目实际，</w:t>
      </w:r>
      <w:r>
        <w:rPr>
          <w:rFonts w:hint="eastAsia" w:hAnsi="宋体"/>
          <w:szCs w:val="21"/>
        </w:rPr>
        <w:t>对</w:t>
      </w:r>
      <w:r>
        <w:rPr>
          <w:rFonts w:hAnsi="宋体"/>
          <w:szCs w:val="21"/>
        </w:rPr>
        <w:t>《</w:t>
      </w:r>
      <w:r>
        <w:rPr>
          <w:rFonts w:hint="eastAsia" w:hAnsi="宋体"/>
          <w:szCs w:val="21"/>
        </w:rPr>
        <w:t>交通建设工程工程量清单计价规范</w:t>
      </w:r>
      <w:r>
        <w:rPr>
          <w:rFonts w:hAnsi="宋体"/>
          <w:szCs w:val="21"/>
        </w:rPr>
        <w:t xml:space="preserve">  </w:t>
      </w:r>
      <w:r>
        <w:rPr>
          <w:rFonts w:hint="eastAsia" w:hAnsi="宋体"/>
          <w:szCs w:val="21"/>
        </w:rPr>
        <w:t>第</w:t>
      </w:r>
      <w:r>
        <w:rPr>
          <w:rFonts w:hAnsi="宋体"/>
          <w:szCs w:val="21"/>
        </w:rPr>
        <w:t>1部分：公路工程》</w:t>
      </w:r>
      <w:r>
        <w:rPr>
          <w:rFonts w:hint="eastAsia" w:hAnsi="宋体"/>
          <w:szCs w:val="21"/>
        </w:rPr>
        <w:t>的计价规则、计量规则作补充和修改，与</w:t>
      </w:r>
      <w:r>
        <w:rPr>
          <w:rFonts w:hAnsi="宋体"/>
          <w:szCs w:val="21"/>
        </w:rPr>
        <w:t>《</w:t>
      </w:r>
      <w:r>
        <w:rPr>
          <w:rFonts w:hint="eastAsia" w:hAnsi="宋体"/>
          <w:szCs w:val="21"/>
        </w:rPr>
        <w:t>交通建设工程工程量清单计价规范</w:t>
      </w:r>
      <w:r>
        <w:rPr>
          <w:rFonts w:hAnsi="宋体"/>
          <w:szCs w:val="21"/>
        </w:rPr>
        <w:t xml:space="preserve">  </w:t>
      </w:r>
      <w:r>
        <w:rPr>
          <w:rFonts w:hint="eastAsia" w:hAnsi="宋体"/>
          <w:szCs w:val="21"/>
        </w:rPr>
        <w:t>第</w:t>
      </w:r>
      <w:r>
        <w:rPr>
          <w:rFonts w:hAnsi="宋体"/>
          <w:szCs w:val="21"/>
        </w:rPr>
        <w:t>1部分：公路工程》</w:t>
      </w:r>
      <w:r>
        <w:rPr>
          <w:rFonts w:hint="eastAsia" w:hAnsi="宋体"/>
          <w:szCs w:val="21"/>
        </w:rPr>
        <w:t>中不一致的，以补充和修改的内容为准。</w:t>
      </w:r>
    </w:p>
    <w:p w14:paraId="3551B535">
      <w:pPr>
        <w:pStyle w:val="34"/>
        <w:numPr>
          <w:ilvl w:val="0"/>
          <w:numId w:val="7"/>
        </w:numPr>
        <w:spacing w:line="360" w:lineRule="auto"/>
        <w:ind w:firstLine="420"/>
        <w:rPr>
          <w:rFonts w:hint="eastAsia" w:ascii="宋体" w:hAnsi="宋体" w:eastAsia="宋体" w:cs="宋体"/>
          <w:lang w:val="en-US" w:eastAsia="zh-CN"/>
        </w:rPr>
      </w:pPr>
      <w:r>
        <w:rPr>
          <w:rFonts w:hint="eastAsia" w:hAnsi="宋体"/>
          <w:szCs w:val="21"/>
        </w:rPr>
        <w:t>对</w:t>
      </w:r>
      <w:r>
        <w:rPr>
          <w:rFonts w:hAnsi="宋体"/>
          <w:szCs w:val="21"/>
        </w:rPr>
        <w:t>《</w:t>
      </w:r>
      <w:r>
        <w:rPr>
          <w:rFonts w:hint="eastAsia" w:hAnsi="宋体"/>
          <w:szCs w:val="21"/>
        </w:rPr>
        <w:t>交通建设工程工程量清单计价规范</w:t>
      </w:r>
      <w:r>
        <w:rPr>
          <w:rFonts w:hAnsi="宋体"/>
          <w:szCs w:val="21"/>
        </w:rPr>
        <w:t xml:space="preserve">  </w:t>
      </w:r>
      <w:r>
        <w:rPr>
          <w:rFonts w:hint="eastAsia" w:hAnsi="宋体"/>
          <w:szCs w:val="21"/>
        </w:rPr>
        <w:t>第</w:t>
      </w:r>
      <w:r>
        <w:rPr>
          <w:rFonts w:hAnsi="宋体"/>
          <w:szCs w:val="21"/>
        </w:rPr>
        <w:t>1部分：公路工程》</w:t>
      </w:r>
      <w:r>
        <w:rPr>
          <w:rFonts w:hint="eastAsia" w:hAnsi="宋体"/>
          <w:szCs w:val="21"/>
        </w:rPr>
        <w:t>附录的计量规则补充和修改如下：</w:t>
      </w:r>
      <w:r>
        <w:rPr>
          <w:rFonts w:hAnsi="宋体"/>
          <w:szCs w:val="21"/>
        </w:rPr>
        <w:t xml:space="preserve"> </w:t>
      </w:r>
      <w:bookmarkStart w:id="1397" w:name="_Toc14925"/>
      <w:bookmarkStart w:id="1398" w:name="_Toc16978"/>
      <w:r>
        <w:rPr>
          <w:rFonts w:hint="eastAsia" w:ascii="宋体" w:hAnsi="宋体" w:eastAsia="宋体" w:cs="宋体"/>
          <w:color w:val="000000"/>
          <w:kern w:val="0"/>
          <w:sz w:val="21"/>
          <w:szCs w:val="21"/>
          <w:lang w:val="en-US" w:eastAsia="zh-CN" w:bidi="ar"/>
        </w:rPr>
        <w:t xml:space="preserve"> </w:t>
      </w:r>
    </w:p>
    <w:bookmarkEnd w:id="1397"/>
    <w:bookmarkEnd w:id="1398"/>
    <w:p w14:paraId="6BF12719">
      <w:pPr>
        <w:pStyle w:val="34"/>
        <w:ind w:firstLine="0" w:firstLineChars="0"/>
        <w:jc w:val="center"/>
        <w:rPr>
          <w:rFonts w:ascii="Times New Roman"/>
          <w:sz w:val="18"/>
          <w:szCs w:val="18"/>
        </w:rPr>
      </w:pPr>
    </w:p>
    <w:p w14:paraId="0845D945">
      <w:pPr>
        <w:pStyle w:val="23"/>
        <w:tabs>
          <w:tab w:val="center" w:pos="4201"/>
          <w:tab w:val="right" w:leader="dot" w:pos="9298"/>
        </w:tabs>
        <w:autoSpaceDE w:val="0"/>
        <w:autoSpaceDN w:val="0"/>
        <w:spacing w:before="0" w:beforeAutospacing="0" w:after="0" w:afterAutospacing="0"/>
        <w:jc w:val="center"/>
        <w:outlineLvl w:val="9"/>
        <w:rPr>
          <w:rFonts w:hint="eastAsia" w:ascii="黑体" w:hAnsi="宋体" w:eastAsia="黑体" w:cs="黑体"/>
        </w:rPr>
      </w:pPr>
      <w:r>
        <w:rPr>
          <w:rFonts w:hint="eastAsia" w:ascii="黑体" w:hAnsi="黑体" w:eastAsia="黑体"/>
          <w:sz w:val="21"/>
          <w:szCs w:val="18"/>
        </w:rPr>
        <w:t>第100章 工程量清单项目分项计量规则 总则</w:t>
      </w:r>
    </w:p>
    <w:tbl>
      <w:tblPr>
        <w:tblStyle w:val="28"/>
        <w:tblW w:w="941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1882"/>
        <w:gridCol w:w="924"/>
        <w:gridCol w:w="2585"/>
        <w:gridCol w:w="2585"/>
      </w:tblGrid>
      <w:tr w14:paraId="47F35F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28" w:hRule="atLeast"/>
          <w:jc w:val="center"/>
        </w:trPr>
        <w:tc>
          <w:tcPr>
            <w:tcW w:w="1442" w:type="dxa"/>
            <w:tcBorders>
              <w:top w:val="single" w:color="000000" w:sz="12" w:space="0"/>
              <w:left w:val="single" w:color="000000" w:sz="12" w:space="0"/>
              <w:bottom w:val="single" w:color="000000" w:sz="6" w:space="0"/>
              <w:right w:val="single" w:color="000000" w:sz="6" w:space="0"/>
            </w:tcBorders>
            <w:noWrap w:val="0"/>
            <w:vAlign w:val="center"/>
          </w:tcPr>
          <w:p w14:paraId="3E5FCA94">
            <w:pPr>
              <w:pStyle w:val="23"/>
              <w:spacing w:before="0" w:beforeAutospacing="0" w:after="0" w:afterAutospacing="0"/>
              <w:jc w:val="center"/>
              <w:rPr>
                <w:kern w:val="2"/>
                <w:sz w:val="18"/>
                <w:szCs w:val="18"/>
              </w:rPr>
            </w:pPr>
            <w:r>
              <w:rPr>
                <w:rFonts w:hint="eastAsia" w:hAnsi="宋体"/>
                <w:kern w:val="2"/>
                <w:sz w:val="18"/>
                <w:szCs w:val="18"/>
                <w:lang w:bidi="ar"/>
              </w:rPr>
              <w:t>清单子目编码</w:t>
            </w:r>
          </w:p>
        </w:tc>
        <w:tc>
          <w:tcPr>
            <w:tcW w:w="1882" w:type="dxa"/>
            <w:tcBorders>
              <w:top w:val="single" w:color="000000" w:sz="12" w:space="0"/>
              <w:left w:val="single" w:color="000000" w:sz="6" w:space="0"/>
              <w:bottom w:val="single" w:color="000000" w:sz="6" w:space="0"/>
              <w:right w:val="single" w:color="000000" w:sz="6" w:space="0"/>
            </w:tcBorders>
            <w:noWrap w:val="0"/>
            <w:vAlign w:val="center"/>
          </w:tcPr>
          <w:p w14:paraId="74E5A79C">
            <w:pPr>
              <w:pStyle w:val="23"/>
              <w:spacing w:before="0" w:beforeAutospacing="0" w:after="0" w:afterAutospacing="0"/>
              <w:jc w:val="center"/>
              <w:rPr>
                <w:kern w:val="2"/>
                <w:sz w:val="18"/>
                <w:szCs w:val="18"/>
              </w:rPr>
            </w:pPr>
            <w:r>
              <w:rPr>
                <w:rFonts w:hint="eastAsia" w:hAnsi="宋体"/>
                <w:kern w:val="2"/>
                <w:sz w:val="18"/>
                <w:szCs w:val="18"/>
                <w:lang w:bidi="ar"/>
              </w:rPr>
              <w:t>清单子目名称</w:t>
            </w:r>
          </w:p>
        </w:tc>
        <w:tc>
          <w:tcPr>
            <w:tcW w:w="924" w:type="dxa"/>
            <w:tcBorders>
              <w:top w:val="single" w:color="000000" w:sz="12" w:space="0"/>
              <w:left w:val="single" w:color="000000" w:sz="6" w:space="0"/>
              <w:bottom w:val="single" w:color="000000" w:sz="6" w:space="0"/>
              <w:right w:val="single" w:color="000000" w:sz="6" w:space="0"/>
            </w:tcBorders>
            <w:noWrap w:val="0"/>
            <w:vAlign w:val="center"/>
          </w:tcPr>
          <w:p w14:paraId="450F3CF5">
            <w:pPr>
              <w:pStyle w:val="23"/>
              <w:spacing w:before="0" w:beforeAutospacing="0" w:after="0" w:afterAutospacing="0"/>
              <w:ind w:right="305"/>
              <w:jc w:val="center"/>
              <w:rPr>
                <w:kern w:val="2"/>
                <w:sz w:val="18"/>
                <w:szCs w:val="18"/>
              </w:rPr>
            </w:pPr>
            <w:r>
              <w:rPr>
                <w:rFonts w:hint="eastAsia" w:hAnsi="宋体"/>
                <w:kern w:val="2"/>
                <w:sz w:val="18"/>
                <w:szCs w:val="18"/>
                <w:lang w:bidi="ar"/>
              </w:rPr>
              <w:t>单位</w:t>
            </w:r>
          </w:p>
        </w:tc>
        <w:tc>
          <w:tcPr>
            <w:tcW w:w="2585" w:type="dxa"/>
            <w:tcBorders>
              <w:top w:val="single" w:color="000000" w:sz="12" w:space="0"/>
              <w:left w:val="single" w:color="000000" w:sz="6" w:space="0"/>
              <w:bottom w:val="single" w:color="000000" w:sz="6" w:space="0"/>
              <w:right w:val="single" w:color="000000" w:sz="6" w:space="0"/>
            </w:tcBorders>
            <w:noWrap w:val="0"/>
            <w:vAlign w:val="center"/>
          </w:tcPr>
          <w:p w14:paraId="0EF2BC04">
            <w:pPr>
              <w:pStyle w:val="23"/>
              <w:spacing w:before="0" w:beforeAutospacing="0" w:after="0" w:afterAutospacing="0"/>
              <w:jc w:val="center"/>
              <w:rPr>
                <w:kern w:val="2"/>
                <w:sz w:val="18"/>
                <w:szCs w:val="18"/>
              </w:rPr>
            </w:pPr>
            <w:r>
              <w:rPr>
                <w:rFonts w:hint="eastAsia" w:hAnsi="宋体"/>
                <w:kern w:val="2"/>
                <w:sz w:val="18"/>
                <w:szCs w:val="18"/>
                <w:lang w:bidi="ar"/>
              </w:rPr>
              <w:t>工程量计量</w:t>
            </w:r>
          </w:p>
        </w:tc>
        <w:tc>
          <w:tcPr>
            <w:tcW w:w="2585" w:type="dxa"/>
            <w:tcBorders>
              <w:top w:val="single" w:color="000000" w:sz="12" w:space="0"/>
              <w:left w:val="single" w:color="000000" w:sz="6" w:space="0"/>
              <w:bottom w:val="single" w:color="000000" w:sz="6" w:space="0"/>
              <w:right w:val="single" w:color="000000" w:sz="12" w:space="0"/>
            </w:tcBorders>
            <w:noWrap w:val="0"/>
            <w:vAlign w:val="center"/>
          </w:tcPr>
          <w:p w14:paraId="68E2BD03">
            <w:pPr>
              <w:pStyle w:val="23"/>
              <w:spacing w:before="0" w:beforeAutospacing="0" w:after="0" w:afterAutospacing="0"/>
              <w:jc w:val="center"/>
              <w:rPr>
                <w:kern w:val="2"/>
                <w:sz w:val="18"/>
                <w:szCs w:val="18"/>
              </w:rPr>
            </w:pPr>
            <w:r>
              <w:rPr>
                <w:rFonts w:hint="eastAsia" w:hAnsi="宋体"/>
                <w:kern w:val="2"/>
                <w:sz w:val="18"/>
                <w:szCs w:val="18"/>
                <w:lang w:bidi="ar"/>
              </w:rPr>
              <w:t>工程内容</w:t>
            </w:r>
          </w:p>
        </w:tc>
      </w:tr>
      <w:tr w14:paraId="1D3B61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42" w:type="dxa"/>
            <w:tcBorders>
              <w:top w:val="single" w:color="000000" w:sz="6" w:space="0"/>
              <w:left w:val="single" w:color="000000" w:sz="12" w:space="0"/>
              <w:bottom w:val="single" w:color="000000" w:sz="6" w:space="0"/>
              <w:right w:val="single" w:color="000000" w:sz="6" w:space="0"/>
            </w:tcBorders>
            <w:noWrap w:val="0"/>
            <w:vAlign w:val="center"/>
          </w:tcPr>
          <w:p w14:paraId="1BF037D6">
            <w:pPr>
              <w:pStyle w:val="58"/>
              <w:jc w:val="center"/>
              <w:rPr>
                <w:rFonts w:hint="eastAsia" w:ascii="宋体" w:hAnsi="宋体" w:eastAsia="宋体" w:cs="宋体"/>
                <w:kern w:val="0"/>
                <w:sz w:val="18"/>
                <w:szCs w:val="18"/>
                <w:lang w:val="en-US" w:eastAsia="zh-CN" w:bidi="ar-SA"/>
              </w:rPr>
            </w:pPr>
            <w:r>
              <w:rPr>
                <w:sz w:val="18"/>
                <w:szCs w:val="18"/>
              </w:rPr>
              <w:t>101</w:t>
            </w:r>
          </w:p>
        </w:tc>
        <w:tc>
          <w:tcPr>
            <w:tcW w:w="1882" w:type="dxa"/>
            <w:tcBorders>
              <w:top w:val="single" w:color="000000" w:sz="6" w:space="0"/>
              <w:left w:val="single" w:color="000000" w:sz="6" w:space="0"/>
              <w:bottom w:val="single" w:color="000000" w:sz="6" w:space="0"/>
              <w:right w:val="single" w:color="000000" w:sz="6" w:space="0"/>
            </w:tcBorders>
            <w:noWrap w:val="0"/>
            <w:vAlign w:val="center"/>
          </w:tcPr>
          <w:p w14:paraId="5F7EBD9C">
            <w:pPr>
              <w:pStyle w:val="58"/>
              <w:rPr>
                <w:rFonts w:hint="eastAsia" w:ascii="宋体" w:hAnsi="宋体" w:eastAsia="宋体" w:cs="宋体"/>
                <w:kern w:val="0"/>
                <w:sz w:val="18"/>
                <w:szCs w:val="18"/>
                <w:lang w:val="en-US" w:eastAsia="zh-CN" w:bidi="ar-SA"/>
              </w:rPr>
            </w:pPr>
            <w:r>
              <w:rPr>
                <w:rFonts w:hint="eastAsia"/>
                <w:sz w:val="18"/>
                <w:szCs w:val="18"/>
                <w:lang w:eastAsia="zh-CN"/>
              </w:rPr>
              <w:t>工程保险费</w:t>
            </w:r>
          </w:p>
        </w:tc>
        <w:tc>
          <w:tcPr>
            <w:tcW w:w="924" w:type="dxa"/>
            <w:tcBorders>
              <w:top w:val="single" w:color="000000" w:sz="6" w:space="0"/>
              <w:left w:val="single" w:color="000000" w:sz="6" w:space="0"/>
              <w:bottom w:val="single" w:color="000000" w:sz="6" w:space="0"/>
              <w:right w:val="single" w:color="000000" w:sz="6" w:space="0"/>
            </w:tcBorders>
            <w:noWrap w:val="0"/>
            <w:vAlign w:val="center"/>
          </w:tcPr>
          <w:p w14:paraId="4FD5FD67">
            <w:pPr>
              <w:pStyle w:val="58"/>
              <w:jc w:val="center"/>
              <w:rPr>
                <w:rFonts w:hint="eastAsia" w:ascii="宋体" w:hAnsi="宋体" w:eastAsia="宋体" w:cs="宋体"/>
                <w:kern w:val="0"/>
                <w:sz w:val="18"/>
                <w:szCs w:val="18"/>
                <w:lang w:val="en-US" w:eastAsia="zh-CN" w:bidi="ar-SA"/>
              </w:rPr>
            </w:pP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5E483E16">
            <w:pPr>
              <w:pStyle w:val="23"/>
              <w:spacing w:before="0" w:beforeAutospacing="0" w:after="0" w:afterAutospacing="0"/>
              <w:ind w:left="111"/>
              <w:jc w:val="left"/>
              <w:rPr>
                <w:rFonts w:hint="eastAsia" w:ascii="宋体" w:hAnsi="宋体" w:eastAsia="宋体" w:cs="宋体"/>
                <w:kern w:val="0"/>
                <w:sz w:val="18"/>
                <w:szCs w:val="18"/>
                <w:lang w:val="en-US" w:eastAsia="zh-CN" w:bidi="ar-SA"/>
              </w:rPr>
            </w:pPr>
          </w:p>
        </w:tc>
        <w:tc>
          <w:tcPr>
            <w:tcW w:w="2585" w:type="dxa"/>
            <w:tcBorders>
              <w:top w:val="single" w:color="000000" w:sz="6" w:space="0"/>
              <w:left w:val="single" w:color="000000" w:sz="6" w:space="0"/>
              <w:bottom w:val="single" w:color="000000" w:sz="6" w:space="0"/>
              <w:right w:val="single" w:color="000000" w:sz="12" w:space="0"/>
            </w:tcBorders>
            <w:noWrap w:val="0"/>
            <w:vAlign w:val="center"/>
          </w:tcPr>
          <w:p w14:paraId="07DE6EC2">
            <w:pPr>
              <w:pStyle w:val="23"/>
              <w:tabs>
                <w:tab w:val="left" w:pos="297"/>
              </w:tabs>
              <w:spacing w:before="0" w:beforeAutospacing="0" w:after="0" w:afterAutospacing="0"/>
              <w:ind w:left="105" w:leftChars="50" w:right="105" w:rightChars="50"/>
              <w:jc w:val="both"/>
              <w:rPr>
                <w:rFonts w:hint="eastAsia" w:hAnsi="宋体" w:eastAsia="宋体"/>
                <w:kern w:val="2"/>
                <w:sz w:val="18"/>
                <w:szCs w:val="18"/>
                <w:lang w:val="en-US" w:eastAsia="zh-CN" w:bidi="ar"/>
              </w:rPr>
            </w:pPr>
          </w:p>
        </w:tc>
      </w:tr>
      <w:tr w14:paraId="6DFFFC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442" w:type="dxa"/>
            <w:tcBorders>
              <w:top w:val="single" w:color="000000" w:sz="6" w:space="0"/>
              <w:left w:val="single" w:color="000000" w:sz="12" w:space="0"/>
              <w:bottom w:val="single" w:color="000000" w:sz="6" w:space="0"/>
              <w:right w:val="single" w:color="000000" w:sz="6" w:space="0"/>
            </w:tcBorders>
            <w:noWrap w:val="0"/>
            <w:vAlign w:val="center"/>
          </w:tcPr>
          <w:p w14:paraId="1C29FB7C">
            <w:pPr>
              <w:pStyle w:val="58"/>
              <w:jc w:val="center"/>
              <w:rPr>
                <w:sz w:val="18"/>
                <w:szCs w:val="18"/>
              </w:rPr>
            </w:pPr>
            <w:r>
              <w:rPr>
                <w:sz w:val="18"/>
                <w:szCs w:val="18"/>
              </w:rPr>
              <w:t>102</w:t>
            </w:r>
          </w:p>
        </w:tc>
        <w:tc>
          <w:tcPr>
            <w:tcW w:w="1882" w:type="dxa"/>
            <w:tcBorders>
              <w:top w:val="single" w:color="000000" w:sz="6" w:space="0"/>
              <w:left w:val="single" w:color="000000" w:sz="6" w:space="0"/>
              <w:bottom w:val="single" w:color="000000" w:sz="6" w:space="0"/>
              <w:right w:val="single" w:color="000000" w:sz="6" w:space="0"/>
            </w:tcBorders>
            <w:noWrap w:val="0"/>
            <w:vAlign w:val="center"/>
          </w:tcPr>
          <w:p w14:paraId="31B9D0B4">
            <w:pPr>
              <w:pStyle w:val="58"/>
              <w:rPr>
                <w:sz w:val="18"/>
                <w:szCs w:val="18"/>
                <w:lang w:eastAsia="zh-CN"/>
              </w:rPr>
            </w:pPr>
            <w:r>
              <w:rPr>
                <w:sz w:val="18"/>
                <w:szCs w:val="18"/>
              </w:rPr>
              <w:t>工程管理</w:t>
            </w:r>
          </w:p>
        </w:tc>
        <w:tc>
          <w:tcPr>
            <w:tcW w:w="924" w:type="dxa"/>
            <w:tcBorders>
              <w:top w:val="single" w:color="000000" w:sz="6" w:space="0"/>
              <w:left w:val="single" w:color="000000" w:sz="6" w:space="0"/>
              <w:bottom w:val="single" w:color="000000" w:sz="6" w:space="0"/>
              <w:right w:val="single" w:color="000000" w:sz="6" w:space="0"/>
            </w:tcBorders>
            <w:noWrap w:val="0"/>
            <w:vAlign w:val="center"/>
          </w:tcPr>
          <w:p w14:paraId="55D232B5">
            <w:pPr>
              <w:pStyle w:val="58"/>
              <w:jc w:val="center"/>
              <w:rPr>
                <w:sz w:val="18"/>
                <w:szCs w:val="18"/>
              </w:rPr>
            </w:pP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18234CAC">
            <w:pPr>
              <w:rPr>
                <w:rFonts w:hint="eastAsia" w:ascii="宋体" w:hAnsi="宋体"/>
                <w:sz w:val="18"/>
                <w:szCs w:val="18"/>
                <w:lang w:val="en-US" w:eastAsia="zh-CN"/>
              </w:rPr>
            </w:pPr>
          </w:p>
        </w:tc>
        <w:tc>
          <w:tcPr>
            <w:tcW w:w="2585" w:type="dxa"/>
            <w:tcBorders>
              <w:top w:val="single" w:color="000000" w:sz="6" w:space="0"/>
              <w:left w:val="single" w:color="000000" w:sz="6" w:space="0"/>
              <w:bottom w:val="single" w:color="000000" w:sz="6" w:space="0"/>
              <w:right w:val="single" w:color="000000" w:sz="12" w:space="0"/>
            </w:tcBorders>
            <w:noWrap w:val="0"/>
            <w:vAlign w:val="center"/>
          </w:tcPr>
          <w:p w14:paraId="7CBB17B2">
            <w:pPr>
              <w:pStyle w:val="58"/>
              <w:rPr>
                <w:sz w:val="18"/>
                <w:szCs w:val="18"/>
                <w:lang w:eastAsia="zh-CN"/>
              </w:rPr>
            </w:pPr>
          </w:p>
        </w:tc>
      </w:tr>
      <w:tr w14:paraId="167258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442" w:type="dxa"/>
            <w:tcBorders>
              <w:top w:val="single" w:color="000000" w:sz="6" w:space="0"/>
              <w:left w:val="single" w:color="000000" w:sz="12" w:space="0"/>
              <w:bottom w:val="single" w:color="000000" w:sz="6" w:space="0"/>
              <w:right w:val="single" w:color="000000" w:sz="6" w:space="0"/>
            </w:tcBorders>
            <w:noWrap w:val="0"/>
            <w:vAlign w:val="center"/>
          </w:tcPr>
          <w:p w14:paraId="5B59CE82">
            <w:pPr>
              <w:pStyle w:val="58"/>
              <w:jc w:val="center"/>
              <w:rPr>
                <w:sz w:val="18"/>
                <w:szCs w:val="18"/>
              </w:rPr>
            </w:pPr>
            <w:r>
              <w:rPr>
                <w:sz w:val="18"/>
                <w:szCs w:val="18"/>
              </w:rPr>
              <w:t>102-3</w:t>
            </w:r>
          </w:p>
        </w:tc>
        <w:tc>
          <w:tcPr>
            <w:tcW w:w="1882" w:type="dxa"/>
            <w:tcBorders>
              <w:top w:val="single" w:color="000000" w:sz="6" w:space="0"/>
              <w:left w:val="single" w:color="000000" w:sz="6" w:space="0"/>
              <w:bottom w:val="single" w:color="000000" w:sz="6" w:space="0"/>
              <w:right w:val="single" w:color="000000" w:sz="6" w:space="0"/>
            </w:tcBorders>
            <w:noWrap w:val="0"/>
            <w:vAlign w:val="center"/>
          </w:tcPr>
          <w:p w14:paraId="0A5CC8B1">
            <w:pPr>
              <w:pStyle w:val="58"/>
              <w:rPr>
                <w:sz w:val="18"/>
                <w:szCs w:val="18"/>
                <w:lang w:eastAsia="zh-CN"/>
              </w:rPr>
            </w:pPr>
            <w:r>
              <w:rPr>
                <w:sz w:val="18"/>
                <w:szCs w:val="18"/>
              </w:rPr>
              <w:t>安全生产费</w:t>
            </w:r>
          </w:p>
        </w:tc>
        <w:tc>
          <w:tcPr>
            <w:tcW w:w="924" w:type="dxa"/>
            <w:tcBorders>
              <w:top w:val="single" w:color="000000" w:sz="6" w:space="0"/>
              <w:left w:val="single" w:color="000000" w:sz="6" w:space="0"/>
              <w:bottom w:val="single" w:color="000000" w:sz="6" w:space="0"/>
              <w:right w:val="single" w:color="000000" w:sz="6" w:space="0"/>
            </w:tcBorders>
            <w:noWrap w:val="0"/>
            <w:vAlign w:val="center"/>
          </w:tcPr>
          <w:p w14:paraId="1C64D00E">
            <w:pPr>
              <w:pStyle w:val="58"/>
              <w:jc w:val="center"/>
              <w:rPr>
                <w:sz w:val="18"/>
                <w:szCs w:val="18"/>
              </w:rPr>
            </w:pPr>
            <w:r>
              <w:rPr>
                <w:sz w:val="18"/>
                <w:szCs w:val="18"/>
              </w:rPr>
              <w:t>总额</w:t>
            </w: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6E740C5A">
            <w:pPr>
              <w:ind w:left="105" w:leftChars="50" w:right="105" w:rightChars="50"/>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1.按合同价费用以总额为单位计量</w:t>
            </w:r>
          </w:p>
          <w:p w14:paraId="5EAFCA90">
            <w:pPr>
              <w:ind w:left="105" w:leftChars="50" w:right="105" w:rightChars="50"/>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2.由发包人根据监理人对工程安全生产情况的签字确认进行支付</w:t>
            </w:r>
          </w:p>
          <w:p w14:paraId="762976B6">
            <w:pPr>
              <w:ind w:left="105" w:leftChars="50" w:right="105" w:rightChars="50"/>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3.已列入102-5节专项费用的安全生产有关费用不应在本子目计量</w:t>
            </w:r>
          </w:p>
        </w:tc>
        <w:tc>
          <w:tcPr>
            <w:tcW w:w="2585" w:type="dxa"/>
            <w:tcBorders>
              <w:top w:val="single" w:color="000000" w:sz="6" w:space="0"/>
              <w:left w:val="single" w:color="000000" w:sz="6" w:space="0"/>
              <w:bottom w:val="single" w:color="000000" w:sz="6" w:space="0"/>
              <w:right w:val="single" w:color="000000" w:sz="12" w:space="0"/>
            </w:tcBorders>
            <w:noWrap w:val="0"/>
            <w:vAlign w:val="center"/>
          </w:tcPr>
          <w:p w14:paraId="179F2C82">
            <w:pPr>
              <w:ind w:left="105" w:leftChars="50" w:right="105" w:rightChars="50"/>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1.按照浙交（2021)12号省交通运输厅关于印发《浙江省文通建设工程安全生产费用管理办法》通知的规定及浙交（2022)116号《省交通运输厅关于加强公路水运工程疫情防控和安全生产费用保障的指导意见》规定执行</w:t>
            </w:r>
          </w:p>
          <w:p w14:paraId="46DC3C38">
            <w:pPr>
              <w:ind w:left="105" w:leftChars="50" w:right="105" w:rightChars="50"/>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lang w:val="en-US" w:eastAsia="zh-CN" w:bidi="ar-SA"/>
              </w:rPr>
              <w:t>安全生产责任保险费（含第三方责任险）包含在相关工程清单子目综合单价中，不单独计量。</w:t>
            </w:r>
          </w:p>
        </w:tc>
      </w:tr>
      <w:tr w14:paraId="6C6FEB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442" w:type="dxa"/>
            <w:tcBorders>
              <w:top w:val="single" w:color="000000" w:sz="6" w:space="0"/>
              <w:left w:val="single" w:color="000000" w:sz="12" w:space="0"/>
              <w:bottom w:val="single" w:color="000000" w:sz="6" w:space="0"/>
              <w:right w:val="single" w:color="000000" w:sz="6" w:space="0"/>
            </w:tcBorders>
            <w:noWrap w:val="0"/>
            <w:vAlign w:val="center"/>
          </w:tcPr>
          <w:p w14:paraId="2FDC04B0">
            <w:pPr>
              <w:pStyle w:val="58"/>
              <w:jc w:val="center"/>
              <w:rPr>
                <w:rFonts w:hint="eastAsia"/>
                <w:sz w:val="18"/>
                <w:szCs w:val="18"/>
              </w:rPr>
            </w:pPr>
            <w:r>
              <w:rPr>
                <w:rFonts w:hint="eastAsia"/>
                <w:sz w:val="18"/>
                <w:szCs w:val="18"/>
              </w:rPr>
              <w:t>102-</w:t>
            </w:r>
            <w:r>
              <w:rPr>
                <w:rFonts w:hint="eastAsia"/>
                <w:sz w:val="18"/>
                <w:szCs w:val="18"/>
                <w:lang w:val="en-US" w:eastAsia="zh-CN"/>
              </w:rPr>
              <w:t>6</w:t>
            </w:r>
          </w:p>
        </w:tc>
        <w:tc>
          <w:tcPr>
            <w:tcW w:w="1882" w:type="dxa"/>
            <w:tcBorders>
              <w:top w:val="single" w:color="000000" w:sz="6" w:space="0"/>
              <w:left w:val="single" w:color="000000" w:sz="6" w:space="0"/>
              <w:bottom w:val="single" w:color="000000" w:sz="6" w:space="0"/>
              <w:right w:val="single" w:color="000000" w:sz="6" w:space="0"/>
            </w:tcBorders>
            <w:noWrap w:val="0"/>
            <w:vAlign w:val="center"/>
          </w:tcPr>
          <w:p w14:paraId="6839A810">
            <w:pPr>
              <w:pStyle w:val="58"/>
              <w:rPr>
                <w:rFonts w:hint="eastAsia"/>
                <w:sz w:val="18"/>
                <w:szCs w:val="18"/>
              </w:rPr>
            </w:pPr>
            <w:r>
              <w:rPr>
                <w:rFonts w:hint="eastAsia"/>
                <w:sz w:val="18"/>
                <w:szCs w:val="18"/>
              </w:rPr>
              <w:t>招标代理服务</w:t>
            </w:r>
          </w:p>
        </w:tc>
        <w:tc>
          <w:tcPr>
            <w:tcW w:w="924" w:type="dxa"/>
            <w:tcBorders>
              <w:top w:val="single" w:color="000000" w:sz="6" w:space="0"/>
              <w:left w:val="single" w:color="000000" w:sz="6" w:space="0"/>
              <w:bottom w:val="single" w:color="000000" w:sz="6" w:space="0"/>
              <w:right w:val="single" w:color="000000" w:sz="6" w:space="0"/>
            </w:tcBorders>
            <w:noWrap w:val="0"/>
            <w:vAlign w:val="center"/>
          </w:tcPr>
          <w:p w14:paraId="1FC61E0B">
            <w:pPr>
              <w:pStyle w:val="58"/>
              <w:jc w:val="center"/>
              <w:rPr>
                <w:sz w:val="18"/>
                <w:szCs w:val="18"/>
              </w:rPr>
            </w:pPr>
          </w:p>
        </w:tc>
        <w:tc>
          <w:tcPr>
            <w:tcW w:w="2585" w:type="dxa"/>
            <w:tcBorders>
              <w:top w:val="single" w:color="000000" w:sz="6" w:space="0"/>
              <w:left w:val="single" w:color="000000" w:sz="6" w:space="0"/>
              <w:bottom w:val="single" w:color="000000" w:sz="6" w:space="0"/>
              <w:right w:val="single" w:color="000000" w:sz="6" w:space="0"/>
            </w:tcBorders>
            <w:noWrap w:val="0"/>
            <w:vAlign w:val="center"/>
          </w:tcPr>
          <w:p w14:paraId="17D05BFA">
            <w:pPr>
              <w:ind w:left="105" w:leftChars="50" w:right="105" w:rightChars="50"/>
              <w:rPr>
                <w:rFonts w:hint="eastAsia" w:ascii="宋体" w:hAnsi="宋体" w:eastAsia="宋体" w:cs="宋体"/>
                <w:kern w:val="0"/>
                <w:sz w:val="18"/>
                <w:szCs w:val="18"/>
                <w:lang w:val="en-US" w:eastAsia="zh-CN" w:bidi="ar-SA"/>
              </w:rPr>
            </w:pPr>
          </w:p>
        </w:tc>
        <w:tc>
          <w:tcPr>
            <w:tcW w:w="2585" w:type="dxa"/>
            <w:tcBorders>
              <w:top w:val="single" w:color="000000" w:sz="6" w:space="0"/>
              <w:left w:val="single" w:color="000000" w:sz="6" w:space="0"/>
              <w:bottom w:val="single" w:color="000000" w:sz="6" w:space="0"/>
              <w:right w:val="single" w:color="000000" w:sz="12" w:space="0"/>
            </w:tcBorders>
            <w:noWrap w:val="0"/>
            <w:vAlign w:val="center"/>
          </w:tcPr>
          <w:p w14:paraId="39C87BE7">
            <w:pPr>
              <w:ind w:left="105" w:leftChars="50" w:right="105" w:rightChars="50"/>
              <w:rPr>
                <w:rFonts w:hint="eastAsia" w:ascii="宋体" w:hAnsi="宋体" w:eastAsia="宋体" w:cs="宋体"/>
                <w:kern w:val="0"/>
                <w:sz w:val="18"/>
                <w:szCs w:val="18"/>
                <w:lang w:val="en-US" w:eastAsia="zh-CN" w:bidi="ar-SA"/>
              </w:rPr>
            </w:pPr>
          </w:p>
        </w:tc>
      </w:tr>
      <w:tr w14:paraId="5AFD68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442" w:type="dxa"/>
            <w:tcBorders>
              <w:top w:val="single" w:color="000000" w:sz="6" w:space="0"/>
              <w:left w:val="single" w:color="000000" w:sz="12" w:space="0"/>
              <w:bottom w:val="single" w:color="000000" w:sz="6" w:space="0"/>
              <w:right w:val="single" w:color="000000" w:sz="6" w:space="0"/>
            </w:tcBorders>
            <w:noWrap w:val="0"/>
            <w:vAlign w:val="center"/>
          </w:tcPr>
          <w:p w14:paraId="025B187C">
            <w:pPr>
              <w:pStyle w:val="58"/>
              <w:jc w:val="center"/>
              <w:rPr>
                <w:rFonts w:hint="default"/>
                <w:sz w:val="18"/>
                <w:szCs w:val="18"/>
                <w:lang w:val="en-US"/>
              </w:rPr>
            </w:pPr>
            <w:r>
              <w:rPr>
                <w:rFonts w:hint="eastAsia"/>
                <w:sz w:val="18"/>
                <w:szCs w:val="18"/>
              </w:rPr>
              <w:t>102-</w:t>
            </w:r>
            <w:r>
              <w:rPr>
                <w:rFonts w:hint="eastAsia"/>
                <w:sz w:val="18"/>
                <w:szCs w:val="18"/>
                <w:lang w:val="en-US" w:eastAsia="zh-CN"/>
              </w:rPr>
              <w:t>6-1</w:t>
            </w:r>
          </w:p>
        </w:tc>
        <w:tc>
          <w:tcPr>
            <w:tcW w:w="1882" w:type="dxa"/>
            <w:tcBorders>
              <w:top w:val="single" w:color="000000" w:sz="6" w:space="0"/>
              <w:left w:val="single" w:color="000000" w:sz="6" w:space="0"/>
              <w:bottom w:val="single" w:color="000000" w:sz="6" w:space="0"/>
              <w:right w:val="single" w:color="000000" w:sz="6" w:space="0"/>
            </w:tcBorders>
            <w:noWrap w:val="0"/>
            <w:vAlign w:val="center"/>
          </w:tcPr>
          <w:p w14:paraId="62DBA9C3">
            <w:pPr>
              <w:pStyle w:val="58"/>
              <w:rPr>
                <w:rFonts w:hint="eastAsia"/>
                <w:sz w:val="18"/>
                <w:szCs w:val="18"/>
              </w:rPr>
            </w:pPr>
            <w:r>
              <w:rPr>
                <w:rFonts w:hint="eastAsia"/>
                <w:sz w:val="18"/>
                <w:szCs w:val="18"/>
              </w:rPr>
              <w:t>招标代理服务费</w:t>
            </w:r>
          </w:p>
        </w:tc>
        <w:tc>
          <w:tcPr>
            <w:tcW w:w="924" w:type="dxa"/>
            <w:tcBorders>
              <w:top w:val="single" w:color="000000" w:sz="6" w:space="0"/>
              <w:left w:val="single" w:color="000000" w:sz="6" w:space="0"/>
              <w:bottom w:val="single" w:color="000000" w:sz="6" w:space="0"/>
              <w:right w:val="single" w:color="000000" w:sz="6" w:space="0"/>
            </w:tcBorders>
            <w:noWrap w:val="0"/>
            <w:vAlign w:val="center"/>
          </w:tcPr>
          <w:p w14:paraId="3FF44C3C">
            <w:pPr>
              <w:pStyle w:val="58"/>
              <w:jc w:val="center"/>
              <w:rPr>
                <w:sz w:val="18"/>
                <w:szCs w:val="18"/>
              </w:rPr>
            </w:pPr>
            <w:r>
              <w:rPr>
                <w:sz w:val="18"/>
                <w:szCs w:val="18"/>
              </w:rPr>
              <w:t>总额</w:t>
            </w:r>
          </w:p>
        </w:tc>
        <w:tc>
          <w:tcPr>
            <w:tcW w:w="2585" w:type="dxa"/>
            <w:vMerge w:val="restart"/>
            <w:tcBorders>
              <w:top w:val="single" w:color="000000" w:sz="6" w:space="0"/>
              <w:left w:val="single" w:color="000000" w:sz="6" w:space="0"/>
              <w:bottom w:val="nil"/>
              <w:right w:val="single" w:color="000000" w:sz="6" w:space="0"/>
            </w:tcBorders>
            <w:noWrap w:val="0"/>
            <w:vAlign w:val="center"/>
          </w:tcPr>
          <w:p w14:paraId="62698D31">
            <w:pPr>
              <w:ind w:left="105" w:leftChars="50" w:right="105" w:rightChars="50"/>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1.以总额为单位计量</w:t>
            </w:r>
          </w:p>
          <w:p w14:paraId="1B1A9DBD">
            <w:pPr>
              <w:ind w:left="105" w:leftChars="50" w:right="105" w:rightChars="50"/>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2.中标人应在收到中标通知书之前将招标代理费和造价编制费一次性支付给招标代理单位。</w:t>
            </w:r>
          </w:p>
        </w:tc>
        <w:tc>
          <w:tcPr>
            <w:tcW w:w="2585" w:type="dxa"/>
            <w:vMerge w:val="restart"/>
            <w:tcBorders>
              <w:top w:val="single" w:color="000000" w:sz="6" w:space="0"/>
              <w:left w:val="single" w:color="000000" w:sz="6" w:space="0"/>
              <w:bottom w:val="nil"/>
              <w:right w:val="single" w:color="000000" w:sz="12" w:space="0"/>
            </w:tcBorders>
            <w:noWrap w:val="0"/>
            <w:vAlign w:val="center"/>
          </w:tcPr>
          <w:p w14:paraId="61B25EAF">
            <w:pPr>
              <w:ind w:left="105" w:leftChars="50" w:right="105" w:rightChars="50"/>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按合同条款规定</w:t>
            </w:r>
          </w:p>
        </w:tc>
      </w:tr>
      <w:tr w14:paraId="4F0C9D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442" w:type="dxa"/>
            <w:tcBorders>
              <w:top w:val="single" w:color="000000" w:sz="6" w:space="0"/>
              <w:left w:val="single" w:color="000000" w:sz="12" w:space="0"/>
              <w:bottom w:val="single" w:color="000000" w:sz="12" w:space="0"/>
              <w:right w:val="single" w:color="000000" w:sz="6" w:space="0"/>
            </w:tcBorders>
            <w:noWrap w:val="0"/>
            <w:vAlign w:val="center"/>
          </w:tcPr>
          <w:p w14:paraId="2048399F">
            <w:pPr>
              <w:pStyle w:val="58"/>
              <w:jc w:val="center"/>
              <w:rPr>
                <w:rFonts w:hint="default" w:eastAsia="宋体"/>
                <w:sz w:val="18"/>
                <w:szCs w:val="18"/>
                <w:lang w:val="en-US" w:eastAsia="zh-CN"/>
              </w:rPr>
            </w:pPr>
            <w:r>
              <w:rPr>
                <w:rFonts w:hint="eastAsia"/>
                <w:sz w:val="18"/>
                <w:szCs w:val="18"/>
              </w:rPr>
              <w:t>102-</w:t>
            </w:r>
            <w:r>
              <w:rPr>
                <w:rFonts w:hint="eastAsia"/>
                <w:sz w:val="18"/>
                <w:szCs w:val="18"/>
                <w:lang w:val="en-US" w:eastAsia="zh-CN"/>
              </w:rPr>
              <w:t>6-2</w:t>
            </w:r>
          </w:p>
        </w:tc>
        <w:tc>
          <w:tcPr>
            <w:tcW w:w="1882" w:type="dxa"/>
            <w:tcBorders>
              <w:top w:val="single" w:color="000000" w:sz="6" w:space="0"/>
              <w:left w:val="single" w:color="000000" w:sz="6" w:space="0"/>
              <w:bottom w:val="single" w:color="000000" w:sz="12" w:space="0"/>
              <w:right w:val="single" w:color="000000" w:sz="6" w:space="0"/>
            </w:tcBorders>
            <w:noWrap w:val="0"/>
            <w:vAlign w:val="center"/>
          </w:tcPr>
          <w:p w14:paraId="7265F9C5">
            <w:pPr>
              <w:pStyle w:val="58"/>
              <w:rPr>
                <w:sz w:val="18"/>
                <w:szCs w:val="18"/>
              </w:rPr>
            </w:pPr>
            <w:r>
              <w:rPr>
                <w:rFonts w:hint="eastAsia"/>
                <w:sz w:val="18"/>
                <w:szCs w:val="18"/>
              </w:rPr>
              <w:t>工程造价咨询费</w:t>
            </w:r>
          </w:p>
        </w:tc>
        <w:tc>
          <w:tcPr>
            <w:tcW w:w="924" w:type="dxa"/>
            <w:tcBorders>
              <w:top w:val="single" w:color="000000" w:sz="6" w:space="0"/>
              <w:left w:val="single" w:color="000000" w:sz="6" w:space="0"/>
              <w:bottom w:val="single" w:color="000000" w:sz="12" w:space="0"/>
              <w:right w:val="single" w:color="000000" w:sz="6" w:space="0"/>
            </w:tcBorders>
            <w:noWrap w:val="0"/>
            <w:vAlign w:val="center"/>
          </w:tcPr>
          <w:p w14:paraId="74D8A3A3">
            <w:pPr>
              <w:pStyle w:val="58"/>
              <w:jc w:val="center"/>
              <w:rPr>
                <w:sz w:val="18"/>
                <w:szCs w:val="18"/>
              </w:rPr>
            </w:pPr>
            <w:r>
              <w:rPr>
                <w:sz w:val="18"/>
                <w:szCs w:val="18"/>
              </w:rPr>
              <w:t>总额</w:t>
            </w:r>
          </w:p>
        </w:tc>
        <w:tc>
          <w:tcPr>
            <w:tcW w:w="2585" w:type="dxa"/>
            <w:vMerge w:val="continue"/>
            <w:tcBorders>
              <w:top w:val="nil"/>
              <w:left w:val="single" w:color="000000" w:sz="6" w:space="0"/>
              <w:bottom w:val="single" w:color="000000" w:sz="12" w:space="0"/>
              <w:right w:val="single" w:color="000000" w:sz="6" w:space="0"/>
            </w:tcBorders>
            <w:noWrap w:val="0"/>
            <w:vAlign w:val="center"/>
          </w:tcPr>
          <w:p w14:paraId="60EC71A5">
            <w:pPr>
              <w:ind w:left="105" w:leftChars="50" w:right="105" w:rightChars="50"/>
              <w:rPr>
                <w:rFonts w:hint="eastAsia" w:ascii="宋体" w:hAnsi="宋体" w:eastAsia="宋体" w:cs="宋体"/>
                <w:kern w:val="0"/>
                <w:sz w:val="18"/>
                <w:szCs w:val="18"/>
                <w:lang w:val="en-US" w:eastAsia="zh-CN" w:bidi="ar-SA"/>
              </w:rPr>
            </w:pPr>
          </w:p>
        </w:tc>
        <w:tc>
          <w:tcPr>
            <w:tcW w:w="2585" w:type="dxa"/>
            <w:vMerge w:val="continue"/>
            <w:tcBorders>
              <w:top w:val="nil"/>
              <w:left w:val="single" w:color="000000" w:sz="6" w:space="0"/>
              <w:bottom w:val="single" w:color="000000" w:sz="12" w:space="0"/>
              <w:right w:val="single" w:color="000000" w:sz="12" w:space="0"/>
            </w:tcBorders>
            <w:noWrap w:val="0"/>
            <w:vAlign w:val="center"/>
          </w:tcPr>
          <w:p w14:paraId="604037A4">
            <w:pPr>
              <w:ind w:left="105" w:leftChars="50" w:right="105" w:rightChars="50"/>
              <w:rPr>
                <w:rFonts w:hint="eastAsia" w:ascii="宋体" w:hAnsi="宋体" w:eastAsia="宋体" w:cs="宋体"/>
                <w:kern w:val="0"/>
                <w:sz w:val="18"/>
                <w:szCs w:val="18"/>
                <w:lang w:val="en-US" w:eastAsia="zh-CN" w:bidi="ar-SA"/>
              </w:rPr>
            </w:pPr>
          </w:p>
        </w:tc>
      </w:tr>
    </w:tbl>
    <w:p w14:paraId="5EF14425">
      <w:pPr>
        <w:pStyle w:val="23"/>
        <w:tabs>
          <w:tab w:val="center" w:pos="4201"/>
          <w:tab w:val="right" w:leader="dot" w:pos="9298"/>
        </w:tabs>
        <w:autoSpaceDE w:val="0"/>
        <w:autoSpaceDN w:val="0"/>
        <w:spacing w:before="0" w:beforeAutospacing="0" w:after="0" w:afterAutospacing="0"/>
        <w:jc w:val="center"/>
        <w:outlineLvl w:val="9"/>
      </w:pPr>
      <w:r>
        <w:rPr>
          <w:rFonts w:hint="eastAsia" w:ascii="黑体" w:hAnsi="宋体" w:eastAsia="黑体" w:cs="黑体"/>
          <w:sz w:val="21"/>
          <w:szCs w:val="20"/>
          <w:lang w:bidi="ar"/>
        </w:rPr>
        <w:br w:type="page"/>
      </w:r>
      <w:r>
        <w:rPr>
          <w:rFonts w:hint="eastAsia" w:ascii="黑体" w:hAnsi="宋体" w:eastAsia="黑体" w:cs="黑体"/>
          <w:sz w:val="21"/>
          <w:szCs w:val="20"/>
          <w:lang w:bidi="ar"/>
        </w:rPr>
        <w:t>第700章 工程量清单项目分项计量规则 绿化及环境保护工程</w:t>
      </w:r>
    </w:p>
    <w:tbl>
      <w:tblPr>
        <w:tblStyle w:val="28"/>
        <w:tblW w:w="941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1882"/>
        <w:gridCol w:w="924"/>
        <w:gridCol w:w="2585"/>
        <w:gridCol w:w="2585"/>
      </w:tblGrid>
      <w:tr w14:paraId="2C53C5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42" w:type="dxa"/>
            <w:tcBorders>
              <w:tl2br w:val="nil"/>
              <w:tr2bl w:val="nil"/>
            </w:tcBorders>
            <w:noWrap w:val="0"/>
            <w:vAlign w:val="center"/>
          </w:tcPr>
          <w:p w14:paraId="52AFFA1A">
            <w:pPr>
              <w:widowControl/>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702</w:t>
            </w:r>
          </w:p>
        </w:tc>
        <w:tc>
          <w:tcPr>
            <w:tcW w:w="1882" w:type="dxa"/>
            <w:tcBorders>
              <w:tl2br w:val="nil"/>
              <w:tr2bl w:val="nil"/>
            </w:tcBorders>
            <w:noWrap w:val="0"/>
            <w:vAlign w:val="center"/>
          </w:tcPr>
          <w:p w14:paraId="60D1E5B9">
            <w:pPr>
              <w:widowControl/>
              <w:jc w:val="both"/>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铺设表土</w:t>
            </w:r>
          </w:p>
        </w:tc>
        <w:tc>
          <w:tcPr>
            <w:tcW w:w="924" w:type="dxa"/>
            <w:tcBorders>
              <w:tl2br w:val="nil"/>
              <w:tr2bl w:val="nil"/>
            </w:tcBorders>
            <w:noWrap w:val="0"/>
            <w:vAlign w:val="center"/>
          </w:tcPr>
          <w:p w14:paraId="4FA88D0A">
            <w:pPr>
              <w:jc w:val="center"/>
              <w:rPr>
                <w:rFonts w:hint="eastAsia" w:ascii="宋体" w:hAnsi="宋体" w:eastAsia="宋体" w:cs="宋体"/>
                <w:kern w:val="0"/>
                <w:sz w:val="18"/>
                <w:szCs w:val="18"/>
                <w:lang w:val="en-US" w:eastAsia="zh-CN" w:bidi="ar-SA"/>
              </w:rPr>
            </w:pPr>
          </w:p>
        </w:tc>
        <w:tc>
          <w:tcPr>
            <w:tcW w:w="2585" w:type="dxa"/>
            <w:tcBorders>
              <w:tl2br w:val="nil"/>
              <w:tr2bl w:val="nil"/>
            </w:tcBorders>
            <w:noWrap w:val="0"/>
            <w:vAlign w:val="center"/>
          </w:tcPr>
          <w:p w14:paraId="51829701">
            <w:pPr>
              <w:pStyle w:val="23"/>
              <w:spacing w:before="0" w:beforeAutospacing="0" w:after="0" w:afterAutospacing="0"/>
              <w:ind w:left="111"/>
              <w:jc w:val="left"/>
              <w:rPr>
                <w:rFonts w:hint="eastAsia" w:ascii="宋体" w:hAnsi="宋体" w:eastAsia="宋体" w:cs="宋体"/>
                <w:kern w:val="0"/>
                <w:sz w:val="18"/>
                <w:szCs w:val="18"/>
                <w:lang w:val="en-US" w:eastAsia="zh-CN" w:bidi="ar-SA"/>
              </w:rPr>
            </w:pPr>
          </w:p>
        </w:tc>
        <w:tc>
          <w:tcPr>
            <w:tcW w:w="2585" w:type="dxa"/>
            <w:tcBorders>
              <w:tl2br w:val="nil"/>
              <w:tr2bl w:val="nil"/>
            </w:tcBorders>
            <w:noWrap w:val="0"/>
            <w:vAlign w:val="center"/>
          </w:tcPr>
          <w:p w14:paraId="222B19CA">
            <w:pPr>
              <w:pStyle w:val="23"/>
              <w:tabs>
                <w:tab w:val="left" w:pos="297"/>
              </w:tabs>
              <w:spacing w:before="0" w:beforeAutospacing="0" w:after="0" w:afterAutospacing="0"/>
              <w:ind w:left="105" w:leftChars="50" w:right="105" w:rightChars="50"/>
              <w:jc w:val="both"/>
              <w:rPr>
                <w:rFonts w:hint="eastAsia" w:hAnsi="宋体" w:eastAsia="宋体"/>
                <w:kern w:val="2"/>
                <w:sz w:val="18"/>
                <w:szCs w:val="18"/>
                <w:lang w:val="en-US" w:eastAsia="zh-CN" w:bidi="ar"/>
              </w:rPr>
            </w:pPr>
          </w:p>
        </w:tc>
      </w:tr>
      <w:tr w14:paraId="29D860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42" w:type="dxa"/>
            <w:tcBorders>
              <w:tl2br w:val="nil"/>
              <w:tr2bl w:val="nil"/>
            </w:tcBorders>
            <w:noWrap w:val="0"/>
            <w:vAlign w:val="center"/>
          </w:tcPr>
          <w:p w14:paraId="76D19128">
            <w:pPr>
              <w:widowControl/>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702-1</w:t>
            </w:r>
          </w:p>
        </w:tc>
        <w:tc>
          <w:tcPr>
            <w:tcW w:w="1882" w:type="dxa"/>
            <w:tcBorders>
              <w:tl2br w:val="nil"/>
              <w:tr2bl w:val="nil"/>
            </w:tcBorders>
            <w:noWrap w:val="0"/>
            <w:vAlign w:val="center"/>
          </w:tcPr>
          <w:p w14:paraId="499406A5">
            <w:pPr>
              <w:widowControl/>
              <w:jc w:val="both"/>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开挖并铺设表土</w:t>
            </w:r>
          </w:p>
        </w:tc>
        <w:tc>
          <w:tcPr>
            <w:tcW w:w="924" w:type="dxa"/>
            <w:tcBorders>
              <w:tl2br w:val="nil"/>
              <w:tr2bl w:val="nil"/>
            </w:tcBorders>
            <w:noWrap w:val="0"/>
            <w:vAlign w:val="center"/>
          </w:tcPr>
          <w:p w14:paraId="6CA88D2D">
            <w:pPr>
              <w:jc w:val="center"/>
              <w:rPr>
                <w:rFonts w:hint="eastAsia" w:ascii="宋体" w:hAnsi="宋体" w:eastAsia="宋体" w:cs="宋体"/>
                <w:kern w:val="0"/>
                <w:sz w:val="18"/>
                <w:szCs w:val="18"/>
                <w:lang w:val="en-US" w:eastAsia="zh-CN" w:bidi="ar-SA"/>
              </w:rPr>
            </w:pPr>
          </w:p>
        </w:tc>
        <w:tc>
          <w:tcPr>
            <w:tcW w:w="2585" w:type="dxa"/>
            <w:tcBorders>
              <w:tl2br w:val="nil"/>
              <w:tr2bl w:val="nil"/>
            </w:tcBorders>
            <w:noWrap w:val="0"/>
            <w:vAlign w:val="center"/>
          </w:tcPr>
          <w:p w14:paraId="48493EC9">
            <w:pPr>
              <w:pStyle w:val="23"/>
              <w:spacing w:before="0" w:beforeAutospacing="0" w:after="0" w:afterAutospacing="0"/>
              <w:ind w:left="111"/>
              <w:jc w:val="left"/>
              <w:rPr>
                <w:rFonts w:hint="eastAsia" w:ascii="宋体" w:hAnsi="宋体" w:eastAsia="宋体" w:cs="宋体"/>
                <w:kern w:val="0"/>
                <w:sz w:val="18"/>
                <w:szCs w:val="18"/>
                <w:lang w:val="en-US" w:eastAsia="zh-CN" w:bidi="ar-SA"/>
              </w:rPr>
            </w:pPr>
          </w:p>
        </w:tc>
        <w:tc>
          <w:tcPr>
            <w:tcW w:w="2585" w:type="dxa"/>
            <w:tcBorders>
              <w:tl2br w:val="nil"/>
              <w:tr2bl w:val="nil"/>
            </w:tcBorders>
            <w:noWrap w:val="0"/>
            <w:vAlign w:val="center"/>
          </w:tcPr>
          <w:p w14:paraId="59418BD0">
            <w:pPr>
              <w:pStyle w:val="23"/>
              <w:tabs>
                <w:tab w:val="left" w:pos="297"/>
              </w:tabs>
              <w:spacing w:before="0" w:beforeAutospacing="0" w:after="0" w:afterAutospacing="0"/>
              <w:ind w:left="105" w:leftChars="50" w:right="105" w:rightChars="50"/>
              <w:jc w:val="both"/>
              <w:rPr>
                <w:rFonts w:hint="eastAsia" w:hAnsi="宋体" w:eastAsia="宋体"/>
                <w:kern w:val="2"/>
                <w:sz w:val="18"/>
                <w:szCs w:val="18"/>
                <w:lang w:val="en-US" w:eastAsia="zh-CN" w:bidi="ar"/>
              </w:rPr>
            </w:pPr>
          </w:p>
        </w:tc>
      </w:tr>
      <w:tr w14:paraId="2CF8A8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88" w:hRule="atLeast"/>
          <w:jc w:val="center"/>
        </w:trPr>
        <w:tc>
          <w:tcPr>
            <w:tcW w:w="1442" w:type="dxa"/>
            <w:tcBorders>
              <w:tl2br w:val="nil"/>
              <w:tr2bl w:val="nil"/>
            </w:tcBorders>
            <w:noWrap w:val="0"/>
            <w:vAlign w:val="center"/>
          </w:tcPr>
          <w:p w14:paraId="0244D2C6">
            <w:pPr>
              <w:widowControl/>
              <w:jc w:val="center"/>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bidi="ar-SA"/>
              </w:rPr>
              <w:t>702-1-2</w:t>
            </w:r>
          </w:p>
        </w:tc>
        <w:tc>
          <w:tcPr>
            <w:tcW w:w="1882" w:type="dxa"/>
            <w:tcBorders>
              <w:tl2br w:val="nil"/>
              <w:tr2bl w:val="nil"/>
            </w:tcBorders>
            <w:noWrap w:val="0"/>
            <w:vAlign w:val="center"/>
          </w:tcPr>
          <w:p w14:paraId="025C65AB">
            <w:pPr>
              <w:widowControl/>
              <w:jc w:val="both"/>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bidi="ar-SA"/>
              </w:rPr>
              <w:t>种植土</w:t>
            </w:r>
          </w:p>
        </w:tc>
        <w:tc>
          <w:tcPr>
            <w:tcW w:w="924" w:type="dxa"/>
            <w:tcBorders>
              <w:tl2br w:val="nil"/>
              <w:tr2bl w:val="nil"/>
            </w:tcBorders>
            <w:noWrap w:val="0"/>
            <w:vAlign w:val="center"/>
          </w:tcPr>
          <w:p w14:paraId="0E5B3690">
            <w:pPr>
              <w:jc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bidi="ar-SA"/>
              </w:rPr>
              <w:t>m</w:t>
            </w:r>
            <w:r>
              <w:rPr>
                <w:rFonts w:hint="eastAsia" w:ascii="宋体" w:hAnsi="宋体" w:eastAsia="宋体" w:cs="宋体"/>
                <w:color w:val="auto"/>
                <w:kern w:val="0"/>
                <w:sz w:val="18"/>
                <w:szCs w:val="18"/>
                <w:vertAlign w:val="superscript"/>
                <w:lang w:val="en-US" w:eastAsia="zh-CN" w:bidi="ar-SA"/>
              </w:rPr>
              <w:t>3</w:t>
            </w:r>
          </w:p>
        </w:tc>
        <w:tc>
          <w:tcPr>
            <w:tcW w:w="2585" w:type="dxa"/>
            <w:tcBorders>
              <w:tl2br w:val="nil"/>
              <w:tr2bl w:val="nil"/>
            </w:tcBorders>
            <w:noWrap w:val="0"/>
            <w:vAlign w:val="center"/>
          </w:tcPr>
          <w:p w14:paraId="08B44286">
            <w:pPr>
              <w:pStyle w:val="58"/>
              <w:ind w:left="111" w:leftChars="0"/>
              <w:jc w:val="left"/>
              <w:rPr>
                <w:rFonts w:hint="eastAsia" w:ascii="宋体" w:hAnsi="宋体" w:eastAsia="宋体" w:cs="宋体"/>
                <w:color w:val="auto"/>
                <w:kern w:val="0"/>
                <w:sz w:val="18"/>
                <w:szCs w:val="18"/>
                <w:lang w:val="en-US" w:eastAsia="zh-CN" w:bidi="ar-SA"/>
              </w:rPr>
            </w:pPr>
            <w:r>
              <w:rPr>
                <w:rFonts w:hint="eastAsia"/>
                <w:color w:val="auto"/>
                <w:sz w:val="18"/>
                <w:szCs w:val="18"/>
                <w:lang w:eastAsia="zh-CN"/>
              </w:rPr>
              <w:t>依据图纸所示位置和断面尺寸，按铺设利用的</w:t>
            </w:r>
            <w:r>
              <w:rPr>
                <w:rFonts w:hint="eastAsia"/>
                <w:color w:val="auto"/>
                <w:sz w:val="18"/>
                <w:szCs w:val="18"/>
                <w:lang w:val="en-US" w:eastAsia="zh-CN"/>
              </w:rPr>
              <w:t>种植</w:t>
            </w:r>
            <w:r>
              <w:rPr>
                <w:rFonts w:hint="eastAsia"/>
                <w:color w:val="auto"/>
                <w:sz w:val="18"/>
                <w:szCs w:val="18"/>
                <w:lang w:eastAsia="zh-CN"/>
              </w:rPr>
              <w:t>土体积以立方米为单位计量</w:t>
            </w:r>
          </w:p>
        </w:tc>
        <w:tc>
          <w:tcPr>
            <w:tcW w:w="2585" w:type="dxa"/>
            <w:vMerge w:val="restart"/>
            <w:tcBorders>
              <w:tl2br w:val="nil"/>
              <w:tr2bl w:val="nil"/>
            </w:tcBorders>
            <w:noWrap w:val="0"/>
            <w:vAlign w:val="center"/>
          </w:tcPr>
          <w:p w14:paraId="42C7CF26">
            <w:pPr>
              <w:pStyle w:val="58"/>
              <w:ind w:left="111"/>
              <w:rPr>
                <w:sz w:val="18"/>
                <w:szCs w:val="18"/>
                <w:lang w:eastAsia="zh-CN"/>
              </w:rPr>
            </w:pPr>
            <w:r>
              <w:rPr>
                <w:sz w:val="18"/>
                <w:szCs w:val="18"/>
                <w:lang w:eastAsia="zh-CN"/>
              </w:rPr>
              <w:t>1.填前场地清理</w:t>
            </w:r>
          </w:p>
          <w:p w14:paraId="4DE4B78B">
            <w:pPr>
              <w:pStyle w:val="58"/>
              <w:ind w:left="111"/>
              <w:rPr>
                <w:sz w:val="18"/>
                <w:szCs w:val="18"/>
                <w:lang w:eastAsia="zh-CN"/>
              </w:rPr>
            </w:pPr>
            <w:r>
              <w:rPr>
                <w:sz w:val="18"/>
                <w:szCs w:val="18"/>
                <w:lang w:eastAsia="zh-CN"/>
              </w:rPr>
              <w:t>2.回填种植土、清除杂物、拍实、耙细整平、找坡、沉降后补填</w:t>
            </w:r>
            <w:r>
              <w:rPr>
                <w:rFonts w:hint="eastAsia"/>
                <w:sz w:val="18"/>
                <w:szCs w:val="18"/>
                <w:lang w:eastAsia="zh-CN"/>
              </w:rPr>
              <w:t>、</w:t>
            </w:r>
            <w:r>
              <w:rPr>
                <w:sz w:val="18"/>
                <w:szCs w:val="18"/>
                <w:lang w:eastAsia="zh-CN"/>
              </w:rPr>
              <w:t>造型</w:t>
            </w:r>
          </w:p>
          <w:p w14:paraId="3003377F">
            <w:pPr>
              <w:pStyle w:val="23"/>
              <w:tabs>
                <w:tab w:val="left" w:pos="297"/>
              </w:tabs>
              <w:spacing w:before="0" w:beforeAutospacing="0" w:after="0" w:afterAutospacing="0"/>
              <w:ind w:left="105" w:leftChars="50" w:right="105" w:rightChars="50"/>
              <w:jc w:val="both"/>
              <w:rPr>
                <w:rFonts w:hint="eastAsia" w:hAnsi="宋体" w:eastAsia="宋体"/>
                <w:kern w:val="2"/>
                <w:sz w:val="18"/>
                <w:szCs w:val="18"/>
                <w:lang w:val="en-US" w:eastAsia="zh-CN" w:bidi="ar"/>
              </w:rPr>
            </w:pPr>
            <w:r>
              <w:rPr>
                <w:sz w:val="18"/>
                <w:szCs w:val="18"/>
                <w:lang w:eastAsia="zh-CN"/>
              </w:rPr>
              <w:t>3.路面清洁保护，场地清理，</w:t>
            </w:r>
            <w:r>
              <w:rPr>
                <w:rFonts w:hint="eastAsia"/>
                <w:sz w:val="18"/>
                <w:szCs w:val="18"/>
                <w:lang w:eastAsia="zh-CN"/>
              </w:rPr>
              <w:t>废弃物装卸运输</w:t>
            </w:r>
          </w:p>
        </w:tc>
      </w:tr>
      <w:tr w14:paraId="50CBFA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42" w:type="dxa"/>
            <w:tcBorders>
              <w:tl2br w:val="nil"/>
              <w:tr2bl w:val="nil"/>
            </w:tcBorders>
            <w:noWrap w:val="0"/>
            <w:vAlign w:val="center"/>
          </w:tcPr>
          <w:p w14:paraId="14DDFE0F">
            <w:pPr>
              <w:widowControl/>
              <w:jc w:val="center"/>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bidi="ar-SA"/>
              </w:rPr>
              <w:t>702-1-3</w:t>
            </w:r>
          </w:p>
        </w:tc>
        <w:tc>
          <w:tcPr>
            <w:tcW w:w="1882" w:type="dxa"/>
            <w:tcBorders>
              <w:tl2br w:val="nil"/>
              <w:tr2bl w:val="nil"/>
            </w:tcBorders>
            <w:noWrap w:val="0"/>
            <w:vAlign w:val="center"/>
          </w:tcPr>
          <w:p w14:paraId="7FB88400">
            <w:pPr>
              <w:widowControl/>
              <w:jc w:val="both"/>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bidi="ar-SA"/>
              </w:rPr>
              <w:t>场地平整</w:t>
            </w:r>
          </w:p>
        </w:tc>
        <w:tc>
          <w:tcPr>
            <w:tcW w:w="924" w:type="dxa"/>
            <w:tcBorders>
              <w:tl2br w:val="nil"/>
              <w:tr2bl w:val="nil"/>
            </w:tcBorders>
            <w:noWrap w:val="0"/>
            <w:vAlign w:val="center"/>
          </w:tcPr>
          <w:p w14:paraId="482C7EB6">
            <w:pPr>
              <w:jc w:val="center"/>
              <w:rPr>
                <w:rFonts w:hint="eastAsia" w:ascii="宋体" w:hAnsi="宋体" w:eastAsia="宋体" w:cs="宋体"/>
                <w:color w:val="auto"/>
                <w:kern w:val="0"/>
                <w:sz w:val="18"/>
                <w:szCs w:val="18"/>
                <w:lang w:val="en-US" w:eastAsia="zh-CN" w:bidi="ar-SA"/>
              </w:rPr>
            </w:pPr>
            <w:r>
              <w:rPr>
                <w:rFonts w:hint="eastAsia" w:ascii="宋体" w:hAnsi="宋体" w:eastAsia="宋体" w:cs="宋体"/>
                <w:i w:val="0"/>
                <w:iCs w:val="0"/>
                <w:color w:val="auto"/>
                <w:kern w:val="0"/>
                <w:sz w:val="18"/>
                <w:szCs w:val="18"/>
                <w:u w:val="none"/>
                <w:lang w:val="en-US" w:eastAsia="zh-CN" w:bidi="ar"/>
              </w:rPr>
              <w:t>m</w:t>
            </w:r>
            <w:r>
              <w:rPr>
                <w:rFonts w:hint="eastAsia" w:ascii="宋体" w:hAnsi="宋体" w:eastAsia="宋体" w:cs="宋体"/>
                <w:i w:val="0"/>
                <w:iCs w:val="0"/>
                <w:color w:val="auto"/>
                <w:kern w:val="0"/>
                <w:sz w:val="18"/>
                <w:szCs w:val="18"/>
                <w:u w:val="none"/>
                <w:vertAlign w:val="superscript"/>
                <w:lang w:val="en-US" w:eastAsia="zh-CN" w:bidi="ar"/>
              </w:rPr>
              <w:t>2</w:t>
            </w:r>
          </w:p>
        </w:tc>
        <w:tc>
          <w:tcPr>
            <w:tcW w:w="2585" w:type="dxa"/>
            <w:tcBorders>
              <w:tl2br w:val="nil"/>
              <w:tr2bl w:val="nil"/>
            </w:tcBorders>
            <w:noWrap w:val="0"/>
            <w:vAlign w:val="center"/>
          </w:tcPr>
          <w:p w14:paraId="637511A7">
            <w:pPr>
              <w:pStyle w:val="58"/>
              <w:ind w:left="111" w:leftChars="0"/>
              <w:jc w:val="left"/>
              <w:rPr>
                <w:rFonts w:hint="eastAsia"/>
                <w:color w:val="auto"/>
                <w:sz w:val="18"/>
                <w:szCs w:val="18"/>
                <w:lang w:eastAsia="zh-CN"/>
              </w:rPr>
            </w:pPr>
            <w:r>
              <w:rPr>
                <w:rFonts w:hint="eastAsia"/>
                <w:color w:val="auto"/>
                <w:sz w:val="18"/>
                <w:szCs w:val="18"/>
                <w:lang w:eastAsia="zh-CN"/>
              </w:rPr>
              <w:t>依据图纸所示位置和断面尺寸，按</w:t>
            </w:r>
            <w:r>
              <w:rPr>
                <w:rFonts w:hint="eastAsia"/>
                <w:color w:val="auto"/>
                <w:sz w:val="18"/>
                <w:szCs w:val="18"/>
                <w:lang w:val="en-US" w:eastAsia="zh-CN"/>
              </w:rPr>
              <w:t>平整面积</w:t>
            </w:r>
            <w:r>
              <w:rPr>
                <w:rFonts w:hint="eastAsia"/>
                <w:color w:val="auto"/>
                <w:sz w:val="18"/>
                <w:szCs w:val="18"/>
                <w:lang w:eastAsia="zh-CN"/>
              </w:rPr>
              <w:t>以</w:t>
            </w:r>
            <w:r>
              <w:rPr>
                <w:rFonts w:hint="eastAsia"/>
                <w:color w:val="auto"/>
                <w:sz w:val="18"/>
                <w:szCs w:val="18"/>
                <w:lang w:val="en-US" w:eastAsia="zh-CN"/>
              </w:rPr>
              <w:t>平方</w:t>
            </w:r>
            <w:r>
              <w:rPr>
                <w:rFonts w:hint="eastAsia"/>
                <w:color w:val="auto"/>
                <w:sz w:val="18"/>
                <w:szCs w:val="18"/>
                <w:lang w:eastAsia="zh-CN"/>
              </w:rPr>
              <w:t>米为单位计量</w:t>
            </w:r>
          </w:p>
        </w:tc>
        <w:tc>
          <w:tcPr>
            <w:tcW w:w="2585" w:type="dxa"/>
            <w:tcBorders>
              <w:tl2br w:val="nil"/>
              <w:tr2bl w:val="nil"/>
            </w:tcBorders>
            <w:noWrap w:val="0"/>
            <w:vAlign w:val="center"/>
          </w:tcPr>
          <w:p w14:paraId="2F5B2495">
            <w:pPr>
              <w:pStyle w:val="58"/>
              <w:ind w:left="111"/>
              <w:rPr>
                <w:sz w:val="18"/>
                <w:szCs w:val="18"/>
                <w:lang w:eastAsia="zh-CN"/>
              </w:rPr>
            </w:pPr>
            <w:r>
              <w:rPr>
                <w:sz w:val="18"/>
                <w:szCs w:val="18"/>
                <w:lang w:eastAsia="zh-CN"/>
              </w:rPr>
              <w:t>1.填前场地清理</w:t>
            </w:r>
          </w:p>
          <w:p w14:paraId="43FE3C7B">
            <w:pPr>
              <w:pStyle w:val="58"/>
              <w:ind w:left="111"/>
              <w:rPr>
                <w:sz w:val="18"/>
                <w:szCs w:val="18"/>
                <w:lang w:eastAsia="zh-CN"/>
              </w:rPr>
            </w:pPr>
            <w:r>
              <w:rPr>
                <w:sz w:val="18"/>
                <w:szCs w:val="18"/>
                <w:lang w:eastAsia="zh-CN"/>
              </w:rPr>
              <w:t>2.清除杂物、拍实、耙细整平、找坡、沉降后造型</w:t>
            </w:r>
          </w:p>
          <w:p w14:paraId="4639E834">
            <w:pPr>
              <w:pStyle w:val="23"/>
              <w:tabs>
                <w:tab w:val="left" w:pos="297"/>
              </w:tabs>
              <w:spacing w:before="0" w:beforeAutospacing="0" w:after="0" w:afterAutospacing="0"/>
              <w:ind w:left="105" w:leftChars="50" w:right="105" w:rightChars="50"/>
              <w:jc w:val="both"/>
              <w:rPr>
                <w:sz w:val="18"/>
                <w:szCs w:val="18"/>
                <w:lang w:eastAsia="zh-CN"/>
              </w:rPr>
            </w:pPr>
            <w:r>
              <w:rPr>
                <w:sz w:val="18"/>
                <w:szCs w:val="18"/>
                <w:lang w:eastAsia="zh-CN"/>
              </w:rPr>
              <w:t>3.路面清洁保护，场地清理，</w:t>
            </w:r>
            <w:r>
              <w:rPr>
                <w:rFonts w:hint="eastAsia"/>
                <w:sz w:val="18"/>
                <w:szCs w:val="18"/>
                <w:lang w:eastAsia="zh-CN"/>
              </w:rPr>
              <w:t>废弃物装卸运输</w:t>
            </w:r>
          </w:p>
        </w:tc>
      </w:tr>
      <w:tr w14:paraId="25243E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42" w:type="dxa"/>
            <w:tcBorders>
              <w:tl2br w:val="nil"/>
              <w:tr2bl w:val="nil"/>
            </w:tcBorders>
            <w:noWrap w:val="0"/>
            <w:vAlign w:val="center"/>
          </w:tcPr>
          <w:p w14:paraId="49491E34">
            <w:pPr>
              <w:widowControl/>
              <w:jc w:val="center"/>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bidi="ar-SA"/>
              </w:rPr>
              <w:t>708</w:t>
            </w:r>
          </w:p>
        </w:tc>
        <w:tc>
          <w:tcPr>
            <w:tcW w:w="1882" w:type="dxa"/>
            <w:tcBorders>
              <w:tl2br w:val="nil"/>
              <w:tr2bl w:val="nil"/>
            </w:tcBorders>
            <w:noWrap w:val="0"/>
            <w:vAlign w:val="center"/>
          </w:tcPr>
          <w:p w14:paraId="0EAB7E35">
            <w:pPr>
              <w:widowControl/>
              <w:jc w:val="both"/>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bidi="ar-SA"/>
              </w:rPr>
              <w:t xml:space="preserve">绿化景观工程 </w:t>
            </w:r>
          </w:p>
        </w:tc>
        <w:tc>
          <w:tcPr>
            <w:tcW w:w="924" w:type="dxa"/>
            <w:tcBorders>
              <w:tl2br w:val="nil"/>
              <w:tr2bl w:val="nil"/>
            </w:tcBorders>
            <w:noWrap w:val="0"/>
            <w:vAlign w:val="center"/>
          </w:tcPr>
          <w:p w14:paraId="6ECBD609">
            <w:pPr>
              <w:widowControl/>
              <w:jc w:val="center"/>
              <w:textAlignment w:val="center"/>
              <w:rPr>
                <w:rFonts w:hint="eastAsia" w:ascii="宋体" w:hAnsi="宋体" w:eastAsia="宋体" w:cs="宋体"/>
                <w:color w:val="auto"/>
                <w:kern w:val="0"/>
                <w:sz w:val="18"/>
                <w:szCs w:val="18"/>
                <w:lang w:val="en-US" w:eastAsia="zh-CN" w:bidi="ar-SA"/>
              </w:rPr>
            </w:pPr>
          </w:p>
        </w:tc>
        <w:tc>
          <w:tcPr>
            <w:tcW w:w="2585" w:type="dxa"/>
            <w:tcBorders>
              <w:tl2br w:val="nil"/>
              <w:tr2bl w:val="nil"/>
            </w:tcBorders>
            <w:noWrap w:val="0"/>
            <w:vAlign w:val="center"/>
          </w:tcPr>
          <w:p w14:paraId="3CB8DAB8">
            <w:pPr>
              <w:pStyle w:val="23"/>
              <w:spacing w:before="0" w:beforeAutospacing="0" w:after="0" w:afterAutospacing="0"/>
              <w:ind w:left="111"/>
              <w:jc w:val="left"/>
              <w:rPr>
                <w:rFonts w:hint="eastAsia" w:ascii="宋体" w:hAnsi="宋体" w:eastAsia="宋体" w:cs="宋体"/>
                <w:color w:val="auto"/>
                <w:kern w:val="0"/>
                <w:sz w:val="18"/>
                <w:szCs w:val="18"/>
                <w:lang w:val="en-US" w:eastAsia="zh-CN" w:bidi="ar-SA"/>
              </w:rPr>
            </w:pPr>
          </w:p>
        </w:tc>
        <w:tc>
          <w:tcPr>
            <w:tcW w:w="2585" w:type="dxa"/>
            <w:tcBorders>
              <w:tl2br w:val="nil"/>
              <w:tr2bl w:val="nil"/>
            </w:tcBorders>
            <w:noWrap w:val="0"/>
            <w:vAlign w:val="center"/>
          </w:tcPr>
          <w:p w14:paraId="0746E236">
            <w:pPr>
              <w:pStyle w:val="23"/>
              <w:tabs>
                <w:tab w:val="left" w:pos="297"/>
              </w:tabs>
              <w:spacing w:before="0" w:beforeAutospacing="0" w:after="0" w:afterAutospacing="0"/>
              <w:ind w:left="105" w:leftChars="50" w:right="105" w:rightChars="50"/>
              <w:jc w:val="both"/>
              <w:rPr>
                <w:rFonts w:hint="eastAsia" w:hAnsi="宋体" w:eastAsia="宋体"/>
                <w:kern w:val="2"/>
                <w:sz w:val="18"/>
                <w:szCs w:val="18"/>
                <w:lang w:val="en-US" w:eastAsia="zh-CN" w:bidi="ar"/>
              </w:rPr>
            </w:pPr>
          </w:p>
        </w:tc>
      </w:tr>
      <w:tr w14:paraId="1F493C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1442" w:type="dxa"/>
            <w:tcBorders>
              <w:tl2br w:val="nil"/>
              <w:tr2bl w:val="nil"/>
            </w:tcBorders>
            <w:noWrap w:val="0"/>
            <w:vAlign w:val="center"/>
          </w:tcPr>
          <w:p w14:paraId="59537DF6">
            <w:pPr>
              <w:keepNext w:val="0"/>
              <w:keepLines w:val="0"/>
              <w:widowControl/>
              <w:suppressLineNumbers w:val="0"/>
              <w:jc w:val="center"/>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i w:val="0"/>
                <w:iCs w:val="0"/>
                <w:color w:val="auto"/>
                <w:kern w:val="0"/>
                <w:sz w:val="18"/>
                <w:szCs w:val="18"/>
                <w:u w:val="none"/>
                <w:lang w:val="en-US" w:eastAsia="zh-CN" w:bidi="ar"/>
              </w:rPr>
              <w:t>708-3</w:t>
            </w:r>
          </w:p>
        </w:tc>
        <w:tc>
          <w:tcPr>
            <w:tcW w:w="1882" w:type="dxa"/>
            <w:tcBorders>
              <w:tl2br w:val="nil"/>
              <w:tr2bl w:val="nil"/>
            </w:tcBorders>
            <w:noWrap w:val="0"/>
            <w:vAlign w:val="center"/>
          </w:tcPr>
          <w:p w14:paraId="10EBB3FC">
            <w:pPr>
              <w:keepNext w:val="0"/>
              <w:keepLines w:val="0"/>
              <w:widowControl/>
              <w:suppressLineNumbers w:val="0"/>
              <w:jc w:val="both"/>
              <w:textAlignment w:val="center"/>
              <w:rPr>
                <w:rFonts w:hint="default" w:ascii="宋体" w:hAnsi="宋体" w:eastAsia="宋体" w:cs="宋体"/>
                <w:color w:val="auto"/>
                <w:kern w:val="0"/>
                <w:sz w:val="18"/>
                <w:szCs w:val="18"/>
                <w:lang w:val="en-US" w:eastAsia="zh-CN" w:bidi="ar-SA"/>
              </w:rPr>
            </w:pPr>
            <w:r>
              <w:rPr>
                <w:rFonts w:hint="eastAsia" w:ascii="宋体" w:hAnsi="宋体" w:eastAsia="宋体" w:cs="宋体"/>
                <w:i w:val="0"/>
                <w:iCs w:val="0"/>
                <w:color w:val="auto"/>
                <w:kern w:val="0"/>
                <w:sz w:val="18"/>
                <w:szCs w:val="18"/>
                <w:u w:val="none"/>
                <w:lang w:val="en-US" w:eastAsia="zh-CN" w:bidi="ar"/>
              </w:rPr>
              <w:t>道路侧石(预留)</w:t>
            </w:r>
          </w:p>
        </w:tc>
        <w:tc>
          <w:tcPr>
            <w:tcW w:w="924" w:type="dxa"/>
            <w:tcBorders>
              <w:tl2br w:val="nil"/>
              <w:tr2bl w:val="nil"/>
            </w:tcBorders>
            <w:noWrap w:val="0"/>
            <w:vAlign w:val="center"/>
          </w:tcPr>
          <w:p w14:paraId="12DA650A">
            <w:pPr>
              <w:keepNext w:val="0"/>
              <w:keepLines w:val="0"/>
              <w:widowControl/>
              <w:suppressLineNumbers w:val="0"/>
              <w:jc w:val="center"/>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i w:val="0"/>
                <w:iCs w:val="0"/>
                <w:color w:val="auto"/>
                <w:kern w:val="0"/>
                <w:sz w:val="18"/>
                <w:szCs w:val="18"/>
                <w:u w:val="none"/>
                <w:lang w:val="en-US" w:eastAsia="zh-CN" w:bidi="ar"/>
              </w:rPr>
              <w:t>m</w:t>
            </w:r>
          </w:p>
        </w:tc>
        <w:tc>
          <w:tcPr>
            <w:tcW w:w="2585" w:type="dxa"/>
            <w:tcBorders>
              <w:tl2br w:val="nil"/>
              <w:tr2bl w:val="nil"/>
            </w:tcBorders>
            <w:noWrap w:val="0"/>
            <w:vAlign w:val="center"/>
          </w:tcPr>
          <w:p w14:paraId="1B5CEA2F">
            <w:pPr>
              <w:pStyle w:val="58"/>
              <w:ind w:left="105" w:leftChars="50" w:right="105" w:rightChars="50"/>
              <w:rPr>
                <w:rFonts w:hint="eastAsia" w:ascii="宋体" w:hAnsi="宋体" w:eastAsia="宋体" w:cs="宋体"/>
                <w:color w:val="auto"/>
                <w:kern w:val="0"/>
                <w:sz w:val="18"/>
                <w:szCs w:val="18"/>
                <w:lang w:val="en-US" w:eastAsia="zh-CN" w:bidi="ar-SA"/>
              </w:rPr>
            </w:pPr>
            <w:r>
              <w:rPr>
                <w:rFonts w:hint="eastAsia"/>
                <w:color w:val="auto"/>
                <w:sz w:val="18"/>
                <w:szCs w:val="18"/>
                <w:lang w:eastAsia="zh-CN"/>
              </w:rPr>
              <w:t>依据图纸所示断面尺寸和不同材质，按照</w:t>
            </w:r>
            <w:r>
              <w:rPr>
                <w:rFonts w:hint="eastAsia"/>
                <w:color w:val="auto"/>
                <w:sz w:val="18"/>
                <w:szCs w:val="18"/>
                <w:lang w:val="en-US" w:eastAsia="zh-CN"/>
              </w:rPr>
              <w:t>侧石（含平石）长度</w:t>
            </w:r>
            <w:r>
              <w:rPr>
                <w:rFonts w:hint="eastAsia"/>
                <w:color w:val="auto"/>
                <w:sz w:val="18"/>
                <w:szCs w:val="18"/>
                <w:lang w:eastAsia="zh-CN"/>
              </w:rPr>
              <w:t>以米为单位</w:t>
            </w:r>
          </w:p>
        </w:tc>
        <w:tc>
          <w:tcPr>
            <w:tcW w:w="2585" w:type="dxa"/>
            <w:tcBorders>
              <w:tl2br w:val="nil"/>
              <w:tr2bl w:val="nil"/>
            </w:tcBorders>
            <w:noWrap w:val="0"/>
            <w:vAlign w:val="center"/>
          </w:tcPr>
          <w:p w14:paraId="12337506">
            <w:pPr>
              <w:pStyle w:val="58"/>
              <w:ind w:left="105" w:leftChars="50" w:right="105" w:rightChars="50"/>
              <w:rPr>
                <w:sz w:val="18"/>
                <w:szCs w:val="18"/>
                <w:lang w:eastAsia="zh-CN"/>
              </w:rPr>
            </w:pPr>
            <w:r>
              <w:rPr>
                <w:sz w:val="18"/>
                <w:szCs w:val="18"/>
                <w:lang w:eastAsia="zh-CN"/>
              </w:rPr>
              <w:t>1.</w:t>
            </w:r>
            <w:r>
              <w:rPr>
                <w:rFonts w:hint="eastAsia"/>
                <w:sz w:val="18"/>
                <w:szCs w:val="18"/>
                <w:lang w:eastAsia="zh-CN"/>
              </w:rPr>
              <w:t>加工场地平整，硬化处理</w:t>
            </w:r>
          </w:p>
          <w:p w14:paraId="2C29E4E4">
            <w:pPr>
              <w:pStyle w:val="58"/>
              <w:ind w:left="105" w:leftChars="50" w:right="105" w:rightChars="50"/>
              <w:rPr>
                <w:sz w:val="18"/>
                <w:szCs w:val="18"/>
                <w:lang w:eastAsia="zh-CN"/>
              </w:rPr>
            </w:pPr>
            <w:r>
              <w:rPr>
                <w:sz w:val="18"/>
                <w:szCs w:val="18"/>
                <w:lang w:eastAsia="zh-CN"/>
              </w:rPr>
              <w:t>2.</w:t>
            </w:r>
            <w:r>
              <w:rPr>
                <w:rFonts w:hint="eastAsia"/>
                <w:sz w:val="18"/>
                <w:szCs w:val="18"/>
                <w:lang w:eastAsia="zh-CN"/>
              </w:rPr>
              <w:t>路缘石（</w:t>
            </w:r>
            <w:r>
              <w:rPr>
                <w:rFonts w:hint="eastAsia"/>
                <w:sz w:val="18"/>
                <w:szCs w:val="18"/>
                <w:lang w:val="en-US" w:eastAsia="zh-CN"/>
              </w:rPr>
              <w:t>含侧石、平石</w:t>
            </w:r>
            <w:r>
              <w:rPr>
                <w:rFonts w:hint="eastAsia"/>
                <w:sz w:val="18"/>
                <w:szCs w:val="18"/>
                <w:lang w:eastAsia="zh-CN"/>
              </w:rPr>
              <w:t>）加工、装运</w:t>
            </w:r>
          </w:p>
          <w:p w14:paraId="026C3A22">
            <w:pPr>
              <w:pStyle w:val="58"/>
              <w:ind w:left="105" w:leftChars="50" w:right="105" w:rightChars="50"/>
              <w:rPr>
                <w:sz w:val="18"/>
                <w:szCs w:val="18"/>
                <w:lang w:eastAsia="zh-CN"/>
              </w:rPr>
            </w:pPr>
            <w:r>
              <w:rPr>
                <w:sz w:val="18"/>
                <w:szCs w:val="18"/>
                <w:lang w:eastAsia="zh-CN"/>
              </w:rPr>
              <w:t>3.</w:t>
            </w:r>
            <w:r>
              <w:rPr>
                <w:rFonts w:hint="eastAsia"/>
                <w:sz w:val="18"/>
                <w:szCs w:val="18"/>
                <w:lang w:eastAsia="zh-CN"/>
              </w:rPr>
              <w:t>路基整修、基槽开挖与回填，废方弃运</w:t>
            </w:r>
          </w:p>
          <w:p w14:paraId="6D18F0DA">
            <w:pPr>
              <w:pStyle w:val="58"/>
              <w:ind w:left="105" w:leftChars="50" w:right="105" w:rightChars="50"/>
              <w:rPr>
                <w:sz w:val="18"/>
                <w:szCs w:val="18"/>
                <w:lang w:eastAsia="zh-CN"/>
              </w:rPr>
            </w:pPr>
            <w:r>
              <w:rPr>
                <w:sz w:val="18"/>
                <w:szCs w:val="18"/>
                <w:lang w:eastAsia="zh-CN"/>
              </w:rPr>
              <w:t>4.</w:t>
            </w:r>
            <w:r>
              <w:rPr>
                <w:rFonts w:hint="eastAsia"/>
                <w:sz w:val="18"/>
                <w:szCs w:val="18"/>
                <w:lang w:eastAsia="zh-CN"/>
              </w:rPr>
              <w:t>基槽夯实</w:t>
            </w:r>
          </w:p>
          <w:p w14:paraId="3A753C34">
            <w:pPr>
              <w:pStyle w:val="58"/>
              <w:ind w:left="105" w:leftChars="50" w:right="105" w:rightChars="50"/>
              <w:rPr>
                <w:sz w:val="18"/>
                <w:szCs w:val="18"/>
                <w:lang w:eastAsia="zh-CN"/>
              </w:rPr>
            </w:pPr>
            <w:r>
              <w:rPr>
                <w:sz w:val="18"/>
                <w:szCs w:val="18"/>
                <w:lang w:eastAsia="zh-CN"/>
              </w:rPr>
              <w:t>5.</w:t>
            </w:r>
            <w:r>
              <w:rPr>
                <w:rFonts w:hint="eastAsia"/>
                <w:sz w:val="18"/>
                <w:szCs w:val="18"/>
                <w:lang w:eastAsia="zh-CN"/>
              </w:rPr>
              <w:t>路缘石铺砌、勾缝</w:t>
            </w:r>
          </w:p>
          <w:p w14:paraId="29C9BC3D">
            <w:pPr>
              <w:pStyle w:val="58"/>
              <w:ind w:left="105" w:leftChars="50" w:right="105" w:rightChars="50"/>
              <w:rPr>
                <w:rFonts w:hint="eastAsia" w:hAnsi="宋体" w:eastAsia="宋体"/>
                <w:kern w:val="2"/>
                <w:sz w:val="18"/>
                <w:szCs w:val="18"/>
                <w:lang w:val="en-US" w:eastAsia="zh-CN" w:bidi="ar"/>
              </w:rPr>
            </w:pPr>
            <w:r>
              <w:rPr>
                <w:sz w:val="18"/>
                <w:szCs w:val="18"/>
                <w:lang w:eastAsia="zh-CN"/>
              </w:rPr>
              <w:t>6.</w:t>
            </w:r>
            <w:r>
              <w:rPr>
                <w:rFonts w:hint="eastAsia"/>
                <w:sz w:val="18"/>
                <w:szCs w:val="18"/>
                <w:lang w:eastAsia="zh-CN"/>
              </w:rPr>
              <w:t>路缘石后背回填夯实</w:t>
            </w:r>
          </w:p>
        </w:tc>
      </w:tr>
      <w:tr w14:paraId="135C42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442" w:type="dxa"/>
            <w:tcBorders>
              <w:tl2br w:val="nil"/>
              <w:tr2bl w:val="nil"/>
            </w:tcBorders>
            <w:noWrap w:val="0"/>
            <w:vAlign w:val="center"/>
          </w:tcPr>
          <w:p w14:paraId="1924FB09">
            <w:pPr>
              <w:keepNext w:val="0"/>
              <w:keepLines w:val="0"/>
              <w:widowControl/>
              <w:suppressLineNumbers w:val="0"/>
              <w:jc w:val="center"/>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i w:val="0"/>
                <w:iCs w:val="0"/>
                <w:color w:val="auto"/>
                <w:kern w:val="0"/>
                <w:sz w:val="18"/>
                <w:szCs w:val="18"/>
                <w:u w:val="none"/>
                <w:lang w:val="en-US" w:eastAsia="zh-CN" w:bidi="ar"/>
              </w:rPr>
              <w:t>708-4</w:t>
            </w:r>
          </w:p>
        </w:tc>
        <w:tc>
          <w:tcPr>
            <w:tcW w:w="1882" w:type="dxa"/>
            <w:tcBorders>
              <w:tl2br w:val="nil"/>
              <w:tr2bl w:val="nil"/>
            </w:tcBorders>
            <w:noWrap w:val="0"/>
            <w:vAlign w:val="center"/>
          </w:tcPr>
          <w:p w14:paraId="48AEAF09">
            <w:pPr>
              <w:keepNext w:val="0"/>
              <w:keepLines w:val="0"/>
              <w:widowControl/>
              <w:suppressLineNumbers w:val="0"/>
              <w:jc w:val="both"/>
              <w:textAlignment w:val="center"/>
              <w:rPr>
                <w:rFonts w:hint="eastAsia" w:ascii="宋体" w:hAnsi="宋体" w:eastAsia="宋体" w:cs="宋体"/>
                <w:color w:val="auto"/>
                <w:kern w:val="0"/>
                <w:sz w:val="18"/>
                <w:szCs w:val="18"/>
                <w:lang w:val="en-US" w:eastAsia="zh-CN" w:bidi="ar-SA"/>
              </w:rPr>
            </w:pPr>
            <w:r>
              <w:rPr>
                <w:rFonts w:hint="eastAsia" w:ascii="宋体" w:hAnsi="宋体" w:eastAsia="宋体" w:cs="宋体"/>
                <w:i w:val="0"/>
                <w:iCs w:val="0"/>
                <w:color w:val="auto"/>
                <w:kern w:val="0"/>
                <w:sz w:val="18"/>
                <w:szCs w:val="18"/>
                <w:u w:val="none"/>
                <w:lang w:val="en-US" w:eastAsia="zh-CN" w:bidi="ar"/>
              </w:rPr>
              <w:t>现状保留苗木修剪（复绿工程范围内预留）</w:t>
            </w:r>
          </w:p>
        </w:tc>
        <w:tc>
          <w:tcPr>
            <w:tcW w:w="924" w:type="dxa"/>
            <w:tcBorders>
              <w:tl2br w:val="nil"/>
              <w:tr2bl w:val="nil"/>
            </w:tcBorders>
            <w:noWrap w:val="0"/>
            <w:vAlign w:val="center"/>
          </w:tcPr>
          <w:p w14:paraId="7439D266">
            <w:pPr>
              <w:keepNext w:val="0"/>
              <w:keepLines w:val="0"/>
              <w:widowControl/>
              <w:suppressLineNumbers w:val="0"/>
              <w:jc w:val="center"/>
              <w:textAlignment w:val="center"/>
              <w:rPr>
                <w:rFonts w:hint="eastAsia" w:ascii="宋体" w:hAnsi="宋体" w:eastAsia="宋体" w:cs="宋体"/>
                <w:color w:val="auto"/>
                <w:kern w:val="0"/>
                <w:sz w:val="18"/>
                <w:szCs w:val="18"/>
                <w:lang w:val="en-US" w:eastAsia="zh-CN" w:bidi="ar-SA"/>
              </w:rPr>
            </w:pPr>
          </w:p>
        </w:tc>
        <w:tc>
          <w:tcPr>
            <w:tcW w:w="2585" w:type="dxa"/>
            <w:tcBorders>
              <w:tl2br w:val="nil"/>
              <w:tr2bl w:val="nil"/>
            </w:tcBorders>
            <w:noWrap w:val="0"/>
            <w:vAlign w:val="center"/>
          </w:tcPr>
          <w:p w14:paraId="17710723">
            <w:pPr>
              <w:pStyle w:val="23"/>
              <w:tabs>
                <w:tab w:val="left" w:pos="297"/>
              </w:tabs>
              <w:spacing w:before="0" w:beforeAutospacing="0" w:after="0" w:afterAutospacing="0"/>
              <w:ind w:left="105" w:leftChars="50" w:right="105" w:rightChars="50"/>
              <w:jc w:val="both"/>
              <w:rPr>
                <w:rFonts w:hint="eastAsia" w:hAnsi="宋体" w:eastAsia="宋体"/>
                <w:color w:val="auto"/>
                <w:kern w:val="2"/>
                <w:sz w:val="18"/>
                <w:szCs w:val="18"/>
                <w:lang w:val="en-US" w:eastAsia="zh-CN" w:bidi="ar"/>
              </w:rPr>
            </w:pPr>
          </w:p>
        </w:tc>
        <w:tc>
          <w:tcPr>
            <w:tcW w:w="2585" w:type="dxa"/>
            <w:tcBorders>
              <w:tl2br w:val="nil"/>
              <w:tr2bl w:val="nil"/>
            </w:tcBorders>
            <w:noWrap w:val="0"/>
            <w:vAlign w:val="center"/>
          </w:tcPr>
          <w:p w14:paraId="59B4F10D">
            <w:pPr>
              <w:pStyle w:val="23"/>
              <w:tabs>
                <w:tab w:val="left" w:pos="297"/>
              </w:tabs>
              <w:spacing w:before="0" w:beforeAutospacing="0" w:after="0" w:afterAutospacing="0"/>
              <w:ind w:left="105" w:leftChars="50" w:right="105" w:rightChars="50"/>
              <w:jc w:val="both"/>
              <w:rPr>
                <w:rFonts w:hint="eastAsia" w:hAnsi="宋体" w:eastAsia="宋体"/>
                <w:kern w:val="2"/>
                <w:sz w:val="18"/>
                <w:szCs w:val="18"/>
                <w:lang w:val="en-US" w:eastAsia="zh-CN" w:bidi="ar"/>
              </w:rPr>
            </w:pPr>
          </w:p>
        </w:tc>
      </w:tr>
      <w:tr w14:paraId="38C2EC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442" w:type="dxa"/>
            <w:tcBorders>
              <w:tl2br w:val="nil"/>
              <w:tr2bl w:val="nil"/>
            </w:tcBorders>
            <w:noWrap w:val="0"/>
            <w:vAlign w:val="center"/>
          </w:tcPr>
          <w:p w14:paraId="7C848858">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708-4-1</w:t>
            </w:r>
          </w:p>
        </w:tc>
        <w:tc>
          <w:tcPr>
            <w:tcW w:w="1882" w:type="dxa"/>
            <w:tcBorders>
              <w:tl2br w:val="nil"/>
              <w:tr2bl w:val="nil"/>
            </w:tcBorders>
            <w:noWrap w:val="0"/>
            <w:vAlign w:val="center"/>
          </w:tcPr>
          <w:p w14:paraId="61FAF7BA">
            <w:pPr>
              <w:keepNext w:val="0"/>
              <w:keepLines w:val="0"/>
              <w:widowControl/>
              <w:suppressLineNumbers w:val="0"/>
              <w:jc w:val="both"/>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乔木（修剪2次）</w:t>
            </w:r>
          </w:p>
        </w:tc>
        <w:tc>
          <w:tcPr>
            <w:tcW w:w="924" w:type="dxa"/>
            <w:tcBorders>
              <w:tl2br w:val="nil"/>
              <w:tr2bl w:val="nil"/>
            </w:tcBorders>
            <w:noWrap w:val="0"/>
            <w:vAlign w:val="center"/>
          </w:tcPr>
          <w:p w14:paraId="51FE8D9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株</w:t>
            </w:r>
          </w:p>
        </w:tc>
        <w:tc>
          <w:tcPr>
            <w:tcW w:w="2585" w:type="dxa"/>
            <w:tcBorders>
              <w:tl2br w:val="nil"/>
              <w:tr2bl w:val="nil"/>
            </w:tcBorders>
            <w:noWrap w:val="0"/>
            <w:vAlign w:val="center"/>
          </w:tcPr>
          <w:p w14:paraId="2305E432">
            <w:pPr>
              <w:pStyle w:val="23"/>
              <w:tabs>
                <w:tab w:val="left" w:pos="297"/>
              </w:tabs>
              <w:spacing w:before="0" w:beforeAutospacing="0" w:after="0" w:afterAutospacing="0"/>
              <w:ind w:left="105" w:leftChars="50" w:right="105" w:rightChars="50"/>
              <w:jc w:val="both"/>
              <w:rPr>
                <w:rFonts w:hint="default" w:hAnsi="宋体" w:eastAsia="宋体"/>
                <w:color w:val="auto"/>
                <w:kern w:val="2"/>
                <w:sz w:val="18"/>
                <w:szCs w:val="18"/>
                <w:lang w:val="en-US" w:eastAsia="zh-CN" w:bidi="ar"/>
              </w:rPr>
            </w:pPr>
            <w:r>
              <w:rPr>
                <w:rFonts w:hint="eastAsia" w:hAnsi="宋体" w:eastAsia="宋体"/>
                <w:color w:val="auto"/>
                <w:kern w:val="2"/>
                <w:sz w:val="18"/>
                <w:szCs w:val="18"/>
                <w:lang w:val="en-US" w:eastAsia="zh-CN" w:bidi="ar"/>
              </w:rPr>
              <w:t>依据图纸所示位置，按</w:t>
            </w:r>
            <w:r>
              <w:rPr>
                <w:rFonts w:hint="eastAsia" w:ascii="宋体" w:hAnsi="宋体" w:eastAsia="宋体" w:cs="宋体"/>
                <w:i w:val="0"/>
                <w:iCs w:val="0"/>
                <w:color w:val="auto"/>
                <w:kern w:val="0"/>
                <w:sz w:val="18"/>
                <w:szCs w:val="18"/>
                <w:u w:val="none"/>
                <w:lang w:val="en-US" w:eastAsia="zh-CN" w:bidi="ar"/>
              </w:rPr>
              <w:t>现状保留</w:t>
            </w:r>
            <w:r>
              <w:rPr>
                <w:rFonts w:hint="eastAsia" w:hAnsi="宋体" w:eastAsia="宋体"/>
                <w:color w:val="auto"/>
                <w:kern w:val="2"/>
                <w:sz w:val="18"/>
                <w:szCs w:val="18"/>
                <w:lang w:val="en-US" w:eastAsia="zh-CN" w:bidi="ar"/>
              </w:rPr>
              <w:t>的</w:t>
            </w:r>
            <w:r>
              <w:rPr>
                <w:color w:val="auto"/>
                <w:sz w:val="18"/>
                <w:szCs w:val="18"/>
                <w:lang w:eastAsia="zh-CN"/>
              </w:rPr>
              <w:t>乔木数量</w:t>
            </w:r>
            <w:r>
              <w:rPr>
                <w:rFonts w:hint="eastAsia"/>
                <w:color w:val="auto"/>
                <w:sz w:val="18"/>
                <w:szCs w:val="18"/>
                <w:lang w:eastAsia="zh-CN"/>
              </w:rPr>
              <w:t>计算（</w:t>
            </w:r>
            <w:r>
              <w:rPr>
                <w:rFonts w:hint="eastAsia" w:hAnsi="宋体" w:eastAsia="宋体"/>
                <w:color w:val="auto"/>
                <w:kern w:val="2"/>
                <w:sz w:val="18"/>
                <w:szCs w:val="18"/>
                <w:lang w:val="en-US" w:eastAsia="zh-CN" w:bidi="ar"/>
              </w:rPr>
              <w:t>不区分规格</w:t>
            </w:r>
            <w:r>
              <w:rPr>
                <w:rFonts w:hint="eastAsia"/>
                <w:color w:val="auto"/>
                <w:sz w:val="18"/>
                <w:szCs w:val="18"/>
                <w:lang w:eastAsia="zh-CN"/>
              </w:rPr>
              <w:t>），以</w:t>
            </w:r>
            <w:r>
              <w:rPr>
                <w:rFonts w:hint="eastAsia"/>
                <w:color w:val="auto"/>
                <w:sz w:val="18"/>
                <w:szCs w:val="18"/>
                <w:lang w:val="en-US" w:eastAsia="zh-CN"/>
              </w:rPr>
              <w:t>株</w:t>
            </w:r>
            <w:r>
              <w:rPr>
                <w:rFonts w:hint="eastAsia"/>
                <w:color w:val="auto"/>
                <w:sz w:val="18"/>
                <w:szCs w:val="18"/>
                <w:lang w:eastAsia="zh-CN"/>
              </w:rPr>
              <w:t>为单位</w:t>
            </w:r>
            <w:r>
              <w:rPr>
                <w:rFonts w:hint="eastAsia"/>
                <w:color w:val="auto"/>
                <w:sz w:val="18"/>
                <w:szCs w:val="18"/>
                <w:lang w:val="en-US" w:eastAsia="zh-CN"/>
              </w:rPr>
              <w:t>计量</w:t>
            </w:r>
          </w:p>
        </w:tc>
        <w:tc>
          <w:tcPr>
            <w:tcW w:w="2585" w:type="dxa"/>
            <w:vMerge w:val="restart"/>
            <w:tcBorders>
              <w:tl2br w:val="nil"/>
              <w:tr2bl w:val="nil"/>
            </w:tcBorders>
            <w:noWrap w:val="0"/>
            <w:vAlign w:val="center"/>
          </w:tcPr>
          <w:p w14:paraId="47122208">
            <w:pPr>
              <w:pStyle w:val="58"/>
              <w:ind w:left="111" w:right="-15"/>
              <w:rPr>
                <w:sz w:val="18"/>
                <w:szCs w:val="18"/>
                <w:lang w:eastAsia="zh-CN"/>
              </w:rPr>
            </w:pPr>
            <w:r>
              <w:rPr>
                <w:rFonts w:hint="eastAsia"/>
                <w:sz w:val="18"/>
                <w:szCs w:val="18"/>
                <w:lang w:val="en-US" w:eastAsia="zh-CN"/>
              </w:rPr>
              <w:t>1</w:t>
            </w:r>
            <w:r>
              <w:rPr>
                <w:sz w:val="18"/>
                <w:szCs w:val="18"/>
                <w:lang w:eastAsia="zh-CN"/>
              </w:rPr>
              <w:t>.植物保护</w:t>
            </w:r>
          </w:p>
          <w:p w14:paraId="3C6A4B11">
            <w:pPr>
              <w:pStyle w:val="58"/>
              <w:ind w:left="111"/>
              <w:rPr>
                <w:rFonts w:hint="default"/>
                <w:sz w:val="18"/>
                <w:szCs w:val="18"/>
                <w:lang w:val="en-US" w:eastAsia="zh-CN"/>
              </w:rPr>
            </w:pPr>
            <w:r>
              <w:rPr>
                <w:rFonts w:hint="eastAsia"/>
                <w:sz w:val="18"/>
                <w:szCs w:val="18"/>
                <w:lang w:val="en-US" w:eastAsia="zh-CN"/>
              </w:rPr>
              <w:t>2</w:t>
            </w:r>
            <w:r>
              <w:rPr>
                <w:sz w:val="18"/>
                <w:szCs w:val="18"/>
                <w:lang w:eastAsia="zh-CN"/>
              </w:rPr>
              <w:t>.</w:t>
            </w:r>
            <w:r>
              <w:rPr>
                <w:rFonts w:hint="eastAsia"/>
                <w:sz w:val="18"/>
                <w:szCs w:val="18"/>
                <w:lang w:val="en-US" w:eastAsia="zh-CN"/>
              </w:rPr>
              <w:t>修剪2次</w:t>
            </w:r>
          </w:p>
          <w:p w14:paraId="746B3EA0">
            <w:pPr>
              <w:pStyle w:val="23"/>
              <w:tabs>
                <w:tab w:val="left" w:pos="297"/>
              </w:tabs>
              <w:spacing w:before="0" w:beforeAutospacing="0" w:after="0" w:afterAutospacing="0"/>
              <w:ind w:left="105" w:leftChars="50" w:right="105" w:rightChars="50"/>
              <w:jc w:val="both"/>
              <w:rPr>
                <w:rFonts w:hint="eastAsia"/>
                <w:sz w:val="18"/>
                <w:szCs w:val="18"/>
                <w:lang w:val="en-US" w:eastAsia="zh-CN"/>
              </w:rPr>
            </w:pPr>
            <w:r>
              <w:rPr>
                <w:rFonts w:hint="eastAsia"/>
                <w:sz w:val="18"/>
                <w:szCs w:val="18"/>
                <w:lang w:val="en-US" w:eastAsia="zh-CN"/>
              </w:rPr>
              <w:t>3</w:t>
            </w:r>
            <w:r>
              <w:rPr>
                <w:sz w:val="18"/>
                <w:szCs w:val="18"/>
                <w:lang w:eastAsia="zh-CN"/>
              </w:rPr>
              <w:t>.场地清理</w:t>
            </w:r>
          </w:p>
        </w:tc>
      </w:tr>
      <w:tr w14:paraId="478F18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442" w:type="dxa"/>
            <w:tcBorders>
              <w:tl2br w:val="nil"/>
              <w:tr2bl w:val="nil"/>
            </w:tcBorders>
            <w:noWrap w:val="0"/>
            <w:vAlign w:val="center"/>
          </w:tcPr>
          <w:p w14:paraId="0E7C5AB3">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708-4-2</w:t>
            </w:r>
          </w:p>
        </w:tc>
        <w:tc>
          <w:tcPr>
            <w:tcW w:w="1882" w:type="dxa"/>
            <w:tcBorders>
              <w:tl2br w:val="nil"/>
              <w:tr2bl w:val="nil"/>
            </w:tcBorders>
            <w:noWrap w:val="0"/>
            <w:vAlign w:val="center"/>
          </w:tcPr>
          <w:p w14:paraId="61CC4159">
            <w:pPr>
              <w:keepNext w:val="0"/>
              <w:keepLines w:val="0"/>
              <w:widowControl/>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灌木（修剪2次）</w:t>
            </w:r>
          </w:p>
        </w:tc>
        <w:tc>
          <w:tcPr>
            <w:tcW w:w="924" w:type="dxa"/>
            <w:tcBorders>
              <w:tl2br w:val="nil"/>
              <w:tr2bl w:val="nil"/>
            </w:tcBorders>
            <w:noWrap w:val="0"/>
            <w:vAlign w:val="center"/>
          </w:tcPr>
          <w:p w14:paraId="0201859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m</w:t>
            </w:r>
            <w:r>
              <w:rPr>
                <w:rFonts w:hint="eastAsia" w:ascii="宋体" w:hAnsi="宋体" w:eastAsia="宋体" w:cs="宋体"/>
                <w:i w:val="0"/>
                <w:iCs w:val="0"/>
                <w:color w:val="auto"/>
                <w:kern w:val="0"/>
                <w:sz w:val="18"/>
                <w:szCs w:val="18"/>
                <w:u w:val="none"/>
                <w:vertAlign w:val="superscript"/>
                <w:lang w:val="en-US" w:eastAsia="zh-CN" w:bidi="ar"/>
              </w:rPr>
              <w:t>2</w:t>
            </w:r>
          </w:p>
        </w:tc>
        <w:tc>
          <w:tcPr>
            <w:tcW w:w="2585" w:type="dxa"/>
            <w:tcBorders>
              <w:tl2br w:val="nil"/>
              <w:tr2bl w:val="nil"/>
            </w:tcBorders>
            <w:noWrap w:val="0"/>
            <w:vAlign w:val="center"/>
          </w:tcPr>
          <w:p w14:paraId="5AB5E1CC">
            <w:pPr>
              <w:pStyle w:val="23"/>
              <w:tabs>
                <w:tab w:val="left" w:pos="297"/>
              </w:tabs>
              <w:spacing w:before="0" w:beforeAutospacing="0" w:after="0" w:afterAutospacing="0"/>
              <w:ind w:left="105" w:leftChars="50" w:right="105" w:rightChars="50"/>
              <w:jc w:val="both"/>
              <w:rPr>
                <w:rFonts w:hint="default" w:hAnsi="宋体" w:eastAsia="宋体"/>
                <w:color w:val="auto"/>
                <w:kern w:val="2"/>
                <w:sz w:val="18"/>
                <w:szCs w:val="18"/>
                <w:lang w:val="en-US" w:eastAsia="zh-CN" w:bidi="ar"/>
              </w:rPr>
            </w:pPr>
            <w:r>
              <w:rPr>
                <w:rFonts w:hint="eastAsia" w:hAnsi="宋体" w:eastAsia="宋体"/>
                <w:color w:val="auto"/>
                <w:kern w:val="2"/>
                <w:sz w:val="18"/>
                <w:szCs w:val="18"/>
                <w:lang w:val="en-US" w:eastAsia="zh-CN" w:bidi="ar"/>
              </w:rPr>
              <w:t>依据图纸所示位置，按</w:t>
            </w:r>
            <w:r>
              <w:rPr>
                <w:rFonts w:hint="eastAsia" w:ascii="宋体" w:hAnsi="宋体" w:eastAsia="宋体" w:cs="宋体"/>
                <w:i w:val="0"/>
                <w:iCs w:val="0"/>
                <w:color w:val="auto"/>
                <w:kern w:val="0"/>
                <w:sz w:val="18"/>
                <w:szCs w:val="18"/>
                <w:u w:val="none"/>
                <w:lang w:val="en-US" w:eastAsia="zh-CN" w:bidi="ar"/>
              </w:rPr>
              <w:t>现状保留的</w:t>
            </w:r>
            <w:r>
              <w:rPr>
                <w:rFonts w:hint="eastAsia"/>
                <w:color w:val="auto"/>
                <w:sz w:val="18"/>
                <w:szCs w:val="18"/>
                <w:lang w:val="en-US" w:eastAsia="zh-CN"/>
              </w:rPr>
              <w:t>灌木面积</w:t>
            </w:r>
            <w:r>
              <w:rPr>
                <w:rFonts w:hint="eastAsia"/>
                <w:color w:val="auto"/>
                <w:sz w:val="18"/>
                <w:szCs w:val="18"/>
                <w:lang w:eastAsia="zh-CN"/>
              </w:rPr>
              <w:t>计算（</w:t>
            </w:r>
            <w:r>
              <w:rPr>
                <w:rFonts w:hint="eastAsia" w:hAnsi="宋体" w:eastAsia="宋体"/>
                <w:color w:val="auto"/>
                <w:kern w:val="2"/>
                <w:sz w:val="18"/>
                <w:szCs w:val="18"/>
                <w:lang w:val="en-US" w:eastAsia="zh-CN" w:bidi="ar"/>
              </w:rPr>
              <w:t>不区分规格</w:t>
            </w:r>
            <w:r>
              <w:rPr>
                <w:rFonts w:hint="eastAsia"/>
                <w:color w:val="auto"/>
                <w:sz w:val="18"/>
                <w:szCs w:val="18"/>
                <w:lang w:eastAsia="zh-CN"/>
              </w:rPr>
              <w:t>）</w:t>
            </w:r>
            <w:r>
              <w:rPr>
                <w:rFonts w:hint="eastAsia" w:hAnsi="宋体" w:eastAsia="宋体"/>
                <w:color w:val="auto"/>
                <w:kern w:val="2"/>
                <w:sz w:val="18"/>
                <w:szCs w:val="18"/>
                <w:lang w:val="en-US" w:eastAsia="zh-CN" w:bidi="ar"/>
              </w:rPr>
              <w:t>，</w:t>
            </w:r>
            <w:r>
              <w:rPr>
                <w:rFonts w:hint="eastAsia"/>
                <w:color w:val="auto"/>
                <w:sz w:val="18"/>
                <w:szCs w:val="18"/>
                <w:lang w:eastAsia="zh-CN"/>
              </w:rPr>
              <w:t>以</w:t>
            </w:r>
            <w:r>
              <w:rPr>
                <w:rFonts w:hint="eastAsia"/>
                <w:color w:val="auto"/>
                <w:sz w:val="18"/>
                <w:szCs w:val="18"/>
                <w:lang w:val="en-US" w:eastAsia="zh-CN"/>
              </w:rPr>
              <w:t>平方米</w:t>
            </w:r>
            <w:r>
              <w:rPr>
                <w:rFonts w:hint="eastAsia"/>
                <w:color w:val="auto"/>
                <w:sz w:val="18"/>
                <w:szCs w:val="18"/>
                <w:lang w:eastAsia="zh-CN"/>
              </w:rPr>
              <w:t>为单位</w:t>
            </w:r>
            <w:r>
              <w:rPr>
                <w:rFonts w:hint="eastAsia"/>
                <w:color w:val="auto"/>
                <w:sz w:val="18"/>
                <w:szCs w:val="18"/>
                <w:lang w:val="en-US" w:eastAsia="zh-CN"/>
              </w:rPr>
              <w:t>计量</w:t>
            </w:r>
          </w:p>
        </w:tc>
        <w:tc>
          <w:tcPr>
            <w:tcW w:w="2585" w:type="dxa"/>
            <w:vMerge w:val="continue"/>
            <w:tcBorders>
              <w:tl2br w:val="nil"/>
              <w:tr2bl w:val="nil"/>
            </w:tcBorders>
            <w:noWrap w:val="0"/>
            <w:vAlign w:val="center"/>
          </w:tcPr>
          <w:p w14:paraId="2ABE3EED">
            <w:pPr>
              <w:pStyle w:val="23"/>
              <w:tabs>
                <w:tab w:val="left" w:pos="297"/>
              </w:tabs>
              <w:spacing w:before="0" w:beforeAutospacing="0" w:after="0" w:afterAutospacing="0"/>
              <w:ind w:left="105" w:leftChars="50" w:right="105" w:rightChars="50"/>
              <w:jc w:val="both"/>
              <w:rPr>
                <w:rFonts w:hint="eastAsia"/>
                <w:sz w:val="18"/>
                <w:szCs w:val="18"/>
                <w:lang w:val="en-US" w:eastAsia="zh-CN"/>
              </w:rPr>
            </w:pPr>
          </w:p>
        </w:tc>
      </w:tr>
      <w:tr w14:paraId="45A11C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442" w:type="dxa"/>
            <w:tcBorders>
              <w:tl2br w:val="nil"/>
              <w:tr2bl w:val="nil"/>
            </w:tcBorders>
            <w:noWrap w:val="0"/>
            <w:vAlign w:val="center"/>
          </w:tcPr>
          <w:p w14:paraId="54D1E19E">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708-4-3</w:t>
            </w:r>
          </w:p>
        </w:tc>
        <w:tc>
          <w:tcPr>
            <w:tcW w:w="1882" w:type="dxa"/>
            <w:tcBorders>
              <w:tl2br w:val="nil"/>
              <w:tr2bl w:val="nil"/>
            </w:tcBorders>
            <w:noWrap w:val="0"/>
            <w:vAlign w:val="center"/>
          </w:tcPr>
          <w:p w14:paraId="7CA38C88">
            <w:pPr>
              <w:keepNext w:val="0"/>
              <w:keepLines w:val="0"/>
              <w:widowControl/>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草皮（修剪2次）</w:t>
            </w:r>
          </w:p>
        </w:tc>
        <w:tc>
          <w:tcPr>
            <w:tcW w:w="924" w:type="dxa"/>
            <w:tcBorders>
              <w:tl2br w:val="nil"/>
              <w:tr2bl w:val="nil"/>
            </w:tcBorders>
            <w:noWrap w:val="0"/>
            <w:vAlign w:val="center"/>
          </w:tcPr>
          <w:p w14:paraId="091F654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m</w:t>
            </w:r>
            <w:r>
              <w:rPr>
                <w:rFonts w:hint="eastAsia" w:ascii="宋体" w:hAnsi="宋体" w:eastAsia="宋体" w:cs="宋体"/>
                <w:i w:val="0"/>
                <w:iCs w:val="0"/>
                <w:color w:val="auto"/>
                <w:kern w:val="0"/>
                <w:sz w:val="18"/>
                <w:szCs w:val="18"/>
                <w:u w:val="none"/>
                <w:vertAlign w:val="superscript"/>
                <w:lang w:val="en-US" w:eastAsia="zh-CN" w:bidi="ar"/>
              </w:rPr>
              <w:t>2</w:t>
            </w:r>
          </w:p>
        </w:tc>
        <w:tc>
          <w:tcPr>
            <w:tcW w:w="2585" w:type="dxa"/>
            <w:tcBorders>
              <w:tl2br w:val="nil"/>
              <w:tr2bl w:val="nil"/>
            </w:tcBorders>
            <w:noWrap w:val="0"/>
            <w:vAlign w:val="center"/>
          </w:tcPr>
          <w:p w14:paraId="088D8618">
            <w:pPr>
              <w:pStyle w:val="23"/>
              <w:tabs>
                <w:tab w:val="left" w:pos="297"/>
              </w:tabs>
              <w:spacing w:before="0" w:beforeAutospacing="0" w:after="0" w:afterAutospacing="0"/>
              <w:ind w:left="105" w:leftChars="50" w:right="105" w:rightChars="50"/>
              <w:jc w:val="both"/>
              <w:rPr>
                <w:rFonts w:hint="default" w:hAnsi="宋体" w:eastAsia="宋体"/>
                <w:color w:val="auto"/>
                <w:kern w:val="2"/>
                <w:sz w:val="18"/>
                <w:szCs w:val="18"/>
                <w:lang w:val="en-US" w:eastAsia="zh-CN" w:bidi="ar"/>
              </w:rPr>
            </w:pPr>
            <w:r>
              <w:rPr>
                <w:rFonts w:hint="eastAsia" w:hAnsi="宋体" w:eastAsia="宋体"/>
                <w:color w:val="auto"/>
                <w:kern w:val="2"/>
                <w:sz w:val="18"/>
                <w:szCs w:val="18"/>
                <w:lang w:val="en-US" w:eastAsia="zh-CN" w:bidi="ar"/>
              </w:rPr>
              <w:t>依据图纸所示位置，按</w:t>
            </w:r>
            <w:r>
              <w:rPr>
                <w:rFonts w:hint="eastAsia" w:ascii="宋体" w:hAnsi="宋体" w:eastAsia="宋体" w:cs="宋体"/>
                <w:i w:val="0"/>
                <w:iCs w:val="0"/>
                <w:color w:val="auto"/>
                <w:kern w:val="0"/>
                <w:sz w:val="18"/>
                <w:szCs w:val="18"/>
                <w:u w:val="none"/>
                <w:lang w:val="en-US" w:eastAsia="zh-CN" w:bidi="ar"/>
              </w:rPr>
              <w:t>现状保留的</w:t>
            </w:r>
            <w:r>
              <w:rPr>
                <w:rFonts w:hint="eastAsia"/>
                <w:color w:val="auto"/>
                <w:sz w:val="18"/>
                <w:szCs w:val="18"/>
                <w:lang w:val="en-US" w:eastAsia="zh-CN"/>
              </w:rPr>
              <w:t>草皮面积</w:t>
            </w:r>
            <w:r>
              <w:rPr>
                <w:rFonts w:hint="eastAsia"/>
                <w:color w:val="auto"/>
                <w:sz w:val="18"/>
                <w:szCs w:val="18"/>
                <w:lang w:eastAsia="zh-CN"/>
              </w:rPr>
              <w:t>计算（</w:t>
            </w:r>
            <w:r>
              <w:rPr>
                <w:rFonts w:hint="eastAsia" w:hAnsi="宋体" w:eastAsia="宋体"/>
                <w:color w:val="auto"/>
                <w:kern w:val="2"/>
                <w:sz w:val="18"/>
                <w:szCs w:val="18"/>
                <w:lang w:val="en-US" w:eastAsia="zh-CN" w:bidi="ar"/>
              </w:rPr>
              <w:t>不区分规格</w:t>
            </w:r>
            <w:r>
              <w:rPr>
                <w:rFonts w:hint="eastAsia"/>
                <w:color w:val="auto"/>
                <w:sz w:val="18"/>
                <w:szCs w:val="18"/>
                <w:lang w:eastAsia="zh-CN"/>
              </w:rPr>
              <w:t>），以</w:t>
            </w:r>
            <w:r>
              <w:rPr>
                <w:rFonts w:hint="eastAsia"/>
                <w:color w:val="auto"/>
                <w:sz w:val="18"/>
                <w:szCs w:val="18"/>
                <w:lang w:val="en-US" w:eastAsia="zh-CN"/>
              </w:rPr>
              <w:t>平方米</w:t>
            </w:r>
            <w:r>
              <w:rPr>
                <w:rFonts w:hint="eastAsia"/>
                <w:color w:val="auto"/>
                <w:sz w:val="18"/>
                <w:szCs w:val="18"/>
                <w:lang w:eastAsia="zh-CN"/>
              </w:rPr>
              <w:t>为单位</w:t>
            </w:r>
            <w:r>
              <w:rPr>
                <w:rFonts w:hint="eastAsia"/>
                <w:color w:val="auto"/>
                <w:sz w:val="18"/>
                <w:szCs w:val="18"/>
                <w:lang w:val="en-US" w:eastAsia="zh-CN"/>
              </w:rPr>
              <w:t>计量</w:t>
            </w:r>
          </w:p>
        </w:tc>
        <w:tc>
          <w:tcPr>
            <w:tcW w:w="2585" w:type="dxa"/>
            <w:vMerge w:val="continue"/>
            <w:tcBorders>
              <w:tl2br w:val="nil"/>
              <w:tr2bl w:val="nil"/>
            </w:tcBorders>
            <w:noWrap w:val="0"/>
            <w:vAlign w:val="center"/>
          </w:tcPr>
          <w:p w14:paraId="377100B1">
            <w:pPr>
              <w:pStyle w:val="23"/>
              <w:tabs>
                <w:tab w:val="left" w:pos="297"/>
              </w:tabs>
              <w:spacing w:before="0" w:beforeAutospacing="0" w:after="0" w:afterAutospacing="0"/>
              <w:ind w:left="105" w:leftChars="50" w:right="105" w:rightChars="50"/>
              <w:jc w:val="both"/>
              <w:rPr>
                <w:rFonts w:hint="eastAsia"/>
                <w:sz w:val="18"/>
                <w:szCs w:val="18"/>
                <w:lang w:val="en-US" w:eastAsia="zh-CN"/>
              </w:rPr>
            </w:pPr>
          </w:p>
        </w:tc>
      </w:tr>
    </w:tbl>
    <w:p w14:paraId="45E6B1C0">
      <w:pPr>
        <w:pStyle w:val="7"/>
      </w:pPr>
    </w:p>
    <w:p w14:paraId="0CFB26B0">
      <w:pPr>
        <w:pStyle w:val="7"/>
        <w:rPr>
          <w:rFonts w:ascii="宋体" w:hAnsi="宋体" w:cs="宋体"/>
          <w:color w:val="000000" w:themeColor="text1"/>
          <w:sz w:val="48"/>
          <w:szCs w:val="48"/>
          <w:highlight w:val="none"/>
          <w14:textFill>
            <w14:solidFill>
              <w14:schemeClr w14:val="tx1"/>
            </w14:solidFill>
          </w14:textFill>
        </w:rPr>
      </w:pPr>
    </w:p>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p w14:paraId="2922755E">
      <w:pPr>
        <w:pStyle w:val="7"/>
        <w:spacing w:line="360" w:lineRule="auto"/>
        <w:rPr>
          <w:rFonts w:ascii="宋体" w:hAnsi="宋体" w:cs="宋体"/>
          <w:color w:val="000000" w:themeColor="text1"/>
          <w:szCs w:val="21"/>
          <w:highlight w:val="none"/>
          <w14:textFill>
            <w14:solidFill>
              <w14:schemeClr w14:val="tx1"/>
            </w14:solidFill>
          </w14:textFill>
        </w:rPr>
      </w:pPr>
    </w:p>
    <w:p w14:paraId="44E5420B">
      <w:pPr>
        <w:pStyle w:val="7"/>
        <w:spacing w:line="360" w:lineRule="auto"/>
        <w:rPr>
          <w:rFonts w:ascii="宋体" w:hAnsi="宋体" w:cs="宋体"/>
          <w:color w:val="000000" w:themeColor="text1"/>
          <w:sz w:val="18"/>
          <w:highlight w:val="none"/>
          <w14:textFill>
            <w14:solidFill>
              <w14:schemeClr w14:val="tx1"/>
            </w14:solidFill>
          </w14:textFill>
        </w:rPr>
      </w:pPr>
    </w:p>
    <w:p w14:paraId="2A3C7B48">
      <w:pPr>
        <w:pStyle w:val="34"/>
        <w:ind w:firstLine="420"/>
        <w:rPr>
          <w:color w:val="000000" w:themeColor="text1"/>
          <w:highlight w:val="none"/>
          <w14:textFill>
            <w14:solidFill>
              <w14:schemeClr w14:val="tx1"/>
            </w14:solidFill>
          </w14:textFill>
        </w:rPr>
      </w:pPr>
    </w:p>
    <w:p w14:paraId="3F95D2DF">
      <w:pPr>
        <w:pStyle w:val="7"/>
        <w:spacing w:line="360" w:lineRule="auto"/>
        <w:rPr>
          <w:rFonts w:ascii="宋体" w:hAnsi="宋体" w:cs="宋体"/>
          <w:color w:val="000000" w:themeColor="text1"/>
          <w:szCs w:val="21"/>
          <w:highlight w:val="none"/>
          <w14:textFill>
            <w14:solidFill>
              <w14:schemeClr w14:val="tx1"/>
            </w14:solidFill>
          </w14:textFill>
        </w:rPr>
      </w:pPr>
    </w:p>
    <w:p w14:paraId="3747B3C6">
      <w:pPr>
        <w:pStyle w:val="7"/>
        <w:spacing w:line="360" w:lineRule="auto"/>
        <w:rPr>
          <w:rFonts w:ascii="宋体" w:hAnsi="宋体" w:cs="宋体"/>
          <w:color w:val="000000" w:themeColor="text1"/>
          <w:szCs w:val="21"/>
          <w:highlight w:val="none"/>
          <w14:textFill>
            <w14:solidFill>
              <w14:schemeClr w14:val="tx1"/>
            </w14:solidFill>
          </w14:textFill>
        </w:rPr>
      </w:pPr>
    </w:p>
    <w:p w14:paraId="03EE3EEA">
      <w:pPr>
        <w:pStyle w:val="7"/>
        <w:spacing w:line="360" w:lineRule="auto"/>
        <w:rPr>
          <w:rFonts w:ascii="宋体" w:hAnsi="宋体" w:cs="宋体"/>
          <w:color w:val="000000" w:themeColor="text1"/>
          <w:szCs w:val="21"/>
          <w:highlight w:val="none"/>
          <w14:textFill>
            <w14:solidFill>
              <w14:schemeClr w14:val="tx1"/>
            </w14:solidFill>
          </w14:textFill>
        </w:rPr>
      </w:pPr>
    </w:p>
    <w:p w14:paraId="441762EF">
      <w:pPr>
        <w:pStyle w:val="7"/>
        <w:spacing w:line="360" w:lineRule="auto"/>
        <w:rPr>
          <w:rFonts w:ascii="宋体" w:hAnsi="宋体" w:cs="宋体"/>
          <w:color w:val="000000" w:themeColor="text1"/>
          <w:szCs w:val="21"/>
          <w:highlight w:val="none"/>
          <w14:textFill>
            <w14:solidFill>
              <w14:schemeClr w14:val="tx1"/>
            </w14:solidFill>
          </w14:textFill>
        </w:rPr>
      </w:pPr>
    </w:p>
    <w:p w14:paraId="09D86360">
      <w:pPr>
        <w:pStyle w:val="7"/>
        <w:spacing w:line="360" w:lineRule="auto"/>
        <w:rPr>
          <w:rFonts w:ascii="宋体" w:hAnsi="宋体" w:cs="宋体"/>
          <w:color w:val="000000" w:themeColor="text1"/>
          <w:szCs w:val="21"/>
          <w:highlight w:val="none"/>
          <w14:textFill>
            <w14:solidFill>
              <w14:schemeClr w14:val="tx1"/>
            </w14:solidFill>
          </w14:textFill>
        </w:rPr>
      </w:pPr>
    </w:p>
    <w:p w14:paraId="3EA2B92E">
      <w:pPr>
        <w:pStyle w:val="7"/>
        <w:spacing w:line="360" w:lineRule="auto"/>
        <w:rPr>
          <w:rFonts w:ascii="宋体" w:hAnsi="宋体" w:cs="宋体"/>
          <w:color w:val="000000" w:themeColor="text1"/>
          <w:szCs w:val="21"/>
          <w:highlight w:val="none"/>
          <w14:textFill>
            <w14:solidFill>
              <w14:schemeClr w14:val="tx1"/>
            </w14:solidFill>
          </w14:textFill>
        </w:rPr>
      </w:pPr>
    </w:p>
    <w:p w14:paraId="11D49619">
      <w:pPr>
        <w:pStyle w:val="36"/>
        <w:spacing w:before="260" w:after="260" w:line="700" w:lineRule="exact"/>
        <w:jc w:val="center"/>
        <w:rPr>
          <w:rFonts w:ascii="宋体" w:hAnsi="宋体" w:cs="宋体"/>
          <w:b w:val="0"/>
          <w:color w:val="000000" w:themeColor="text1"/>
          <w:sz w:val="84"/>
          <w:szCs w:val="84"/>
          <w:highlight w:val="none"/>
          <w14:textFill>
            <w14:solidFill>
              <w14:schemeClr w14:val="tx1"/>
            </w14:solidFill>
          </w14:textFill>
        </w:rPr>
      </w:pPr>
      <w:bookmarkStart w:id="1399" w:name="_Toc415561234"/>
      <w:bookmarkStart w:id="1400" w:name="_Toc18452"/>
      <w:bookmarkStart w:id="1401" w:name="_Toc118195911"/>
      <w:bookmarkStart w:id="1402" w:name="_Toc98785403"/>
      <w:bookmarkStart w:id="1403" w:name="_Toc374"/>
      <w:bookmarkStart w:id="1404" w:name="_Toc119585552"/>
      <w:bookmarkStart w:id="1405" w:name="_Toc7705"/>
      <w:bookmarkStart w:id="1406" w:name="_Toc120624291"/>
      <w:bookmarkStart w:id="1407" w:name="_Toc21607"/>
      <w:bookmarkStart w:id="1408" w:name="_Toc381018093"/>
      <w:bookmarkStart w:id="1409" w:name="_Toc16434"/>
      <w:bookmarkStart w:id="1410" w:name="_Toc29395"/>
      <w:bookmarkStart w:id="1411" w:name="_Toc8837"/>
      <w:bookmarkStart w:id="1412" w:name="_Toc29738"/>
      <w:bookmarkStart w:id="1413" w:name="_Toc983"/>
      <w:bookmarkStart w:id="1414" w:name="_Toc25286"/>
      <w:bookmarkStart w:id="1415" w:name="_Toc3118"/>
      <w:bookmarkStart w:id="1416" w:name="_Toc4471"/>
      <w:bookmarkStart w:id="1417" w:name="_Toc8020"/>
      <w:bookmarkStart w:id="1418" w:name="_Toc5262"/>
      <w:bookmarkStart w:id="1419" w:name="_Toc5142"/>
      <w:bookmarkStart w:id="1420" w:name="_Toc7316"/>
      <w:r>
        <w:rPr>
          <w:rFonts w:hint="eastAsia" w:ascii="宋体" w:hAnsi="宋体" w:cs="宋体"/>
          <w:b w:val="0"/>
          <w:color w:val="000000" w:themeColor="text1"/>
          <w:sz w:val="84"/>
          <w:szCs w:val="84"/>
          <w:highlight w:val="none"/>
          <w14:textFill>
            <w14:solidFill>
              <w14:schemeClr w14:val="tx1"/>
            </w14:solidFill>
          </w14:textFill>
        </w:rPr>
        <w:t>第四卷</w:t>
      </w:r>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p>
    <w:p w14:paraId="318A3963">
      <w:pPr>
        <w:pStyle w:val="7"/>
        <w:spacing w:line="500" w:lineRule="exact"/>
        <w:rPr>
          <w:rFonts w:ascii="宋体" w:hAnsi="宋体" w:cs="宋体"/>
          <w:b/>
          <w:color w:val="000000" w:themeColor="text1"/>
          <w:sz w:val="84"/>
          <w:szCs w:val="84"/>
          <w:highlight w:val="none"/>
          <w14:textFill>
            <w14:solidFill>
              <w14:schemeClr w14:val="tx1"/>
            </w14:solidFill>
          </w14:textFill>
        </w:rPr>
      </w:pPr>
      <w:r>
        <w:rPr>
          <w:rFonts w:hint="eastAsia" w:ascii="宋体" w:hAnsi="宋体" w:cs="宋体"/>
          <w:b/>
          <w:color w:val="000000" w:themeColor="text1"/>
          <w:sz w:val="84"/>
          <w:szCs w:val="84"/>
          <w:highlight w:val="none"/>
          <w14:textFill>
            <w14:solidFill>
              <w14:schemeClr w14:val="tx1"/>
            </w14:solidFill>
          </w14:textFill>
        </w:rPr>
        <w:br w:type="page"/>
      </w:r>
    </w:p>
    <w:p w14:paraId="5EBC6A94">
      <w:pPr>
        <w:pStyle w:val="7"/>
        <w:spacing w:line="360" w:lineRule="auto"/>
        <w:rPr>
          <w:rFonts w:ascii="宋体" w:hAnsi="宋体" w:cs="宋体"/>
          <w:color w:val="000000" w:themeColor="text1"/>
          <w:highlight w:val="none"/>
          <w14:textFill>
            <w14:solidFill>
              <w14:schemeClr w14:val="tx1"/>
            </w14:solidFill>
          </w14:textFill>
        </w:rPr>
      </w:pPr>
    </w:p>
    <w:p w14:paraId="74FCB51C">
      <w:pPr>
        <w:pStyle w:val="7"/>
        <w:spacing w:line="360" w:lineRule="auto"/>
        <w:rPr>
          <w:rFonts w:ascii="宋体" w:hAnsi="宋体" w:cs="宋体"/>
          <w:color w:val="000000" w:themeColor="text1"/>
          <w:highlight w:val="none"/>
          <w14:textFill>
            <w14:solidFill>
              <w14:schemeClr w14:val="tx1"/>
            </w14:solidFill>
          </w14:textFill>
        </w:rPr>
      </w:pPr>
    </w:p>
    <w:p w14:paraId="4FA033C7">
      <w:pPr>
        <w:pStyle w:val="7"/>
        <w:spacing w:line="360" w:lineRule="auto"/>
        <w:rPr>
          <w:rFonts w:ascii="宋体" w:hAnsi="宋体" w:cs="宋体"/>
          <w:color w:val="000000" w:themeColor="text1"/>
          <w:highlight w:val="none"/>
          <w14:textFill>
            <w14:solidFill>
              <w14:schemeClr w14:val="tx1"/>
            </w14:solidFill>
          </w14:textFill>
        </w:rPr>
      </w:pPr>
    </w:p>
    <w:p w14:paraId="72728D59">
      <w:pPr>
        <w:pStyle w:val="7"/>
        <w:spacing w:line="360" w:lineRule="auto"/>
        <w:rPr>
          <w:rFonts w:ascii="宋体" w:hAnsi="宋体" w:cs="宋体"/>
          <w:color w:val="000000" w:themeColor="text1"/>
          <w:highlight w:val="none"/>
          <w14:textFill>
            <w14:solidFill>
              <w14:schemeClr w14:val="tx1"/>
            </w14:solidFill>
          </w14:textFill>
        </w:rPr>
      </w:pPr>
    </w:p>
    <w:p w14:paraId="54CAC081">
      <w:pPr>
        <w:pStyle w:val="36"/>
        <w:spacing w:before="260" w:after="260" w:line="500" w:lineRule="exact"/>
        <w:jc w:val="center"/>
        <w:rPr>
          <w:rFonts w:ascii="宋体" w:hAnsi="宋体" w:cs="宋体"/>
          <w:color w:val="000000" w:themeColor="text1"/>
          <w:sz w:val="48"/>
          <w:szCs w:val="48"/>
          <w:highlight w:val="none"/>
          <w14:textFill>
            <w14:solidFill>
              <w14:schemeClr w14:val="tx1"/>
            </w14:solidFill>
          </w14:textFill>
        </w:rPr>
      </w:pPr>
      <w:bookmarkStart w:id="1421" w:name="_Toc25794"/>
      <w:bookmarkStart w:id="1422" w:name="_Toc31949"/>
      <w:bookmarkStart w:id="1423" w:name="_Toc26133"/>
      <w:bookmarkStart w:id="1424" w:name="_Toc2846"/>
      <w:bookmarkStart w:id="1425" w:name="_Toc120624292"/>
      <w:bookmarkStart w:id="1426" w:name="_Toc6994"/>
      <w:bookmarkStart w:id="1427" w:name="_Toc12265"/>
      <w:bookmarkStart w:id="1428" w:name="_Toc17221"/>
      <w:bookmarkStart w:id="1429" w:name="_Toc119585553"/>
      <w:bookmarkStart w:id="1430" w:name="_Toc23475"/>
      <w:bookmarkStart w:id="1431" w:name="_Toc30306"/>
      <w:bookmarkStart w:id="1432" w:name="_Toc118195912"/>
      <w:bookmarkStart w:id="1433" w:name="_Toc18307"/>
      <w:bookmarkStart w:id="1434" w:name="_Toc27918"/>
      <w:bookmarkStart w:id="1435" w:name="_Toc5369"/>
      <w:bookmarkStart w:id="1436" w:name="_Toc98785404"/>
      <w:bookmarkStart w:id="1437" w:name="_Toc1199"/>
      <w:bookmarkStart w:id="1438" w:name="_Toc18769"/>
      <w:bookmarkStart w:id="1439" w:name="_Toc7335"/>
      <w:bookmarkStart w:id="1440" w:name="_Toc17089"/>
      <w:r>
        <w:rPr>
          <w:rFonts w:hint="eastAsia" w:ascii="宋体" w:hAnsi="宋体" w:cs="宋体"/>
          <w:color w:val="000000" w:themeColor="text1"/>
          <w:sz w:val="48"/>
          <w:szCs w:val="48"/>
          <w:highlight w:val="none"/>
          <w14:textFill>
            <w14:solidFill>
              <w14:schemeClr w14:val="tx1"/>
            </w14:solidFill>
          </w14:textFill>
        </w:rPr>
        <w:t>第九章 投标文件格式</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p>
    <w:p w14:paraId="1A4A7D6F">
      <w:pPr>
        <w:pStyle w:val="7"/>
        <w:spacing w:line="360" w:lineRule="auto"/>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48"/>
          <w:szCs w:val="48"/>
          <w:highlight w:val="none"/>
          <w14:textFill>
            <w14:solidFill>
              <w14:schemeClr w14:val="tx1"/>
            </w14:solidFill>
          </w14:textFill>
        </w:rPr>
        <w:br w:type="page"/>
      </w:r>
    </w:p>
    <w:p w14:paraId="52C9A5F3">
      <w:pPr>
        <w:pStyle w:val="7"/>
        <w:spacing w:line="360" w:lineRule="auto"/>
        <w:rPr>
          <w:rFonts w:ascii="宋体" w:hAnsi="宋体" w:cs="宋体"/>
          <w:color w:val="000000" w:themeColor="text1"/>
          <w:sz w:val="20"/>
          <w:szCs w:val="20"/>
          <w:highlight w:val="none"/>
          <w14:textFill>
            <w14:solidFill>
              <w14:schemeClr w14:val="tx1"/>
            </w14:solidFill>
          </w14:textFill>
        </w:rPr>
      </w:pPr>
    </w:p>
    <w:p w14:paraId="1F402FD3">
      <w:pPr>
        <w:pStyle w:val="7"/>
        <w:spacing w:line="360" w:lineRule="auto"/>
        <w:jc w:val="center"/>
        <w:rPr>
          <w:rFonts w:ascii="宋体" w:hAnsi="宋体" w:cs="宋体"/>
          <w:b/>
          <w:bCs/>
          <w:color w:val="000000" w:themeColor="text1"/>
          <w:sz w:val="40"/>
          <w:szCs w:val="40"/>
          <w:highlight w:val="none"/>
          <w14:textFill>
            <w14:solidFill>
              <w14:schemeClr w14:val="tx1"/>
            </w14:solidFill>
          </w14:textFill>
        </w:rPr>
      </w:pPr>
      <w:r>
        <w:rPr>
          <w:rFonts w:hint="eastAsia" w:ascii="宋体" w:hAnsi="宋体" w:cs="宋体"/>
          <w:b/>
          <w:bCs/>
          <w:color w:val="000000" w:themeColor="text1"/>
          <w:sz w:val="40"/>
          <w:szCs w:val="40"/>
          <w:highlight w:val="none"/>
          <w14:textFill>
            <w14:solidFill>
              <w14:schemeClr w14:val="tx1"/>
            </w14:solidFill>
          </w14:textFill>
        </w:rPr>
        <w:t>浙</w:t>
      </w:r>
      <w:r>
        <w:rPr>
          <w:rFonts w:ascii="宋体" w:hAnsi="宋体" w:cs="宋体"/>
          <w:b/>
          <w:bCs/>
          <w:color w:val="000000" w:themeColor="text1"/>
          <w:sz w:val="40"/>
          <w:szCs w:val="40"/>
          <w:highlight w:val="none"/>
          <w14:textFill>
            <w14:solidFill>
              <w14:schemeClr w14:val="tx1"/>
            </w14:solidFill>
          </w14:textFill>
        </w:rPr>
        <w:t xml:space="preserve"> </w:t>
      </w:r>
      <w:r>
        <w:rPr>
          <w:rFonts w:hint="eastAsia" w:ascii="宋体" w:hAnsi="宋体" w:cs="宋体"/>
          <w:b/>
          <w:bCs/>
          <w:color w:val="000000" w:themeColor="text1"/>
          <w:sz w:val="40"/>
          <w:szCs w:val="40"/>
          <w:highlight w:val="none"/>
          <w14:textFill>
            <w14:solidFill>
              <w14:schemeClr w14:val="tx1"/>
            </w14:solidFill>
          </w14:textFill>
        </w:rPr>
        <w:t>江</w:t>
      </w:r>
      <w:r>
        <w:rPr>
          <w:rFonts w:ascii="宋体" w:hAnsi="宋体" w:cs="宋体"/>
          <w:b/>
          <w:bCs/>
          <w:color w:val="000000" w:themeColor="text1"/>
          <w:sz w:val="40"/>
          <w:szCs w:val="40"/>
          <w:highlight w:val="none"/>
          <w14:textFill>
            <w14:solidFill>
              <w14:schemeClr w14:val="tx1"/>
            </w14:solidFill>
          </w14:textFill>
        </w:rPr>
        <w:t xml:space="preserve"> </w:t>
      </w:r>
      <w:r>
        <w:rPr>
          <w:rFonts w:hint="eastAsia" w:ascii="宋体" w:hAnsi="宋体" w:cs="宋体"/>
          <w:b/>
          <w:bCs/>
          <w:color w:val="000000" w:themeColor="text1"/>
          <w:sz w:val="40"/>
          <w:szCs w:val="40"/>
          <w:highlight w:val="none"/>
          <w14:textFill>
            <w14:solidFill>
              <w14:schemeClr w14:val="tx1"/>
            </w14:solidFill>
          </w14:textFill>
        </w:rPr>
        <w:t>省</w:t>
      </w:r>
    </w:p>
    <w:p w14:paraId="7B472A93">
      <w:pPr>
        <w:pStyle w:val="7"/>
        <w:spacing w:line="360" w:lineRule="auto"/>
        <w:rPr>
          <w:rFonts w:ascii="宋体" w:hAnsi="宋体" w:cs="宋体"/>
          <w:color w:val="000000" w:themeColor="text1"/>
          <w:sz w:val="36"/>
          <w:szCs w:val="36"/>
          <w:highlight w:val="none"/>
          <w14:textFill>
            <w14:solidFill>
              <w14:schemeClr w14:val="tx1"/>
            </w14:solidFill>
          </w14:textFill>
        </w:rPr>
      </w:pPr>
    </w:p>
    <w:p w14:paraId="506D6433">
      <w:pPr>
        <w:pStyle w:val="7"/>
        <w:spacing w:line="360" w:lineRule="auto"/>
        <w:jc w:val="center"/>
        <w:rPr>
          <w:rFonts w:eastAsia="黑体"/>
          <w:b/>
          <w:bCs/>
          <w:color w:val="000000" w:themeColor="text1"/>
          <w:sz w:val="36"/>
          <w:szCs w:val="36"/>
          <w:highlight w:val="none"/>
          <w14:textFill>
            <w14:solidFill>
              <w14:schemeClr w14:val="tx1"/>
            </w14:solidFill>
          </w14:textFill>
        </w:rPr>
      </w:pPr>
      <w:r>
        <w:rPr>
          <w:rFonts w:eastAsia="黑体"/>
          <w:b/>
          <w:bCs/>
          <w:color w:val="000000" w:themeColor="text1"/>
          <w:sz w:val="36"/>
          <w:szCs w:val="36"/>
          <w:highlight w:val="none"/>
          <w:u w:val="single"/>
          <w14:textFill>
            <w14:solidFill>
              <w14:schemeClr w14:val="tx1"/>
            </w14:solidFill>
          </w14:textFill>
        </w:rPr>
        <w:t xml:space="preserve">            </w:t>
      </w:r>
      <w:r>
        <w:rPr>
          <w:rFonts w:hint="eastAsia" w:eastAsia="黑体"/>
          <w:b/>
          <w:bCs/>
          <w:color w:val="000000" w:themeColor="text1"/>
          <w:sz w:val="36"/>
          <w:szCs w:val="36"/>
          <w:highlight w:val="none"/>
          <w14:textFill>
            <w14:solidFill>
              <w14:schemeClr w14:val="tx1"/>
            </w14:solidFill>
          </w14:textFill>
        </w:rPr>
        <w:t>（项目名称）</w:t>
      </w:r>
      <w:r>
        <w:rPr>
          <w:rFonts w:eastAsia="黑体"/>
          <w:b/>
          <w:bCs/>
          <w:color w:val="000000" w:themeColor="text1"/>
          <w:sz w:val="36"/>
          <w:szCs w:val="36"/>
          <w:highlight w:val="none"/>
          <w:u w:val="single"/>
          <w14:textFill>
            <w14:solidFill>
              <w14:schemeClr w14:val="tx1"/>
            </w14:solidFill>
          </w14:textFill>
        </w:rPr>
        <w:t xml:space="preserve">            </w:t>
      </w:r>
      <w:r>
        <w:rPr>
          <w:rFonts w:hint="eastAsia" w:eastAsia="黑体"/>
          <w:b/>
          <w:bCs/>
          <w:color w:val="000000" w:themeColor="text1"/>
          <w:sz w:val="36"/>
          <w:szCs w:val="36"/>
          <w:highlight w:val="none"/>
          <w14:textFill>
            <w14:solidFill>
              <w14:schemeClr w14:val="tx1"/>
            </w14:solidFill>
          </w14:textFill>
        </w:rPr>
        <w:t>标段施工</w:t>
      </w:r>
    </w:p>
    <w:p w14:paraId="7F7D6EEA">
      <w:pPr>
        <w:pStyle w:val="7"/>
        <w:spacing w:line="360" w:lineRule="auto"/>
        <w:jc w:val="center"/>
        <w:rPr>
          <w:rFonts w:eastAsia="黑体"/>
          <w:b/>
          <w:bCs/>
          <w:color w:val="000000" w:themeColor="text1"/>
          <w:sz w:val="36"/>
          <w:szCs w:val="36"/>
          <w:highlight w:val="none"/>
          <w14:textFill>
            <w14:solidFill>
              <w14:schemeClr w14:val="tx1"/>
            </w14:solidFill>
          </w14:textFill>
        </w:rPr>
      </w:pPr>
      <w:r>
        <w:rPr>
          <w:rFonts w:hint="eastAsia" w:eastAsia="黑体"/>
          <w:b/>
          <w:bCs/>
          <w:color w:val="000000" w:themeColor="text1"/>
          <w:sz w:val="36"/>
          <w:szCs w:val="36"/>
          <w:highlight w:val="none"/>
          <w14:textFill>
            <w14:solidFill>
              <w14:schemeClr w14:val="tx1"/>
            </w14:solidFill>
          </w14:textFill>
        </w:rPr>
        <w:t>招标</w:t>
      </w:r>
    </w:p>
    <w:p w14:paraId="08129F54">
      <w:pPr>
        <w:pStyle w:val="7"/>
        <w:spacing w:line="360" w:lineRule="auto"/>
        <w:jc w:val="center"/>
        <w:rPr>
          <w:rFonts w:ascii="宋体" w:hAnsi="宋体" w:cs="宋体"/>
          <w:color w:val="000000" w:themeColor="text1"/>
          <w:sz w:val="36"/>
          <w:szCs w:val="36"/>
          <w:highlight w:val="none"/>
          <w14:textFill>
            <w14:solidFill>
              <w14:schemeClr w14:val="tx1"/>
            </w14:solidFill>
          </w14:textFill>
        </w:rPr>
      </w:pPr>
    </w:p>
    <w:p w14:paraId="367E20DF">
      <w:pPr>
        <w:pStyle w:val="7"/>
        <w:spacing w:line="360" w:lineRule="auto"/>
        <w:rPr>
          <w:rFonts w:ascii="宋体" w:hAnsi="宋体" w:cs="宋体"/>
          <w:color w:val="000000" w:themeColor="text1"/>
          <w:sz w:val="20"/>
          <w:szCs w:val="20"/>
          <w:highlight w:val="none"/>
          <w14:textFill>
            <w14:solidFill>
              <w14:schemeClr w14:val="tx1"/>
            </w14:solidFill>
          </w14:textFill>
        </w:rPr>
      </w:pPr>
    </w:p>
    <w:p w14:paraId="6C5261E6">
      <w:pPr>
        <w:pStyle w:val="7"/>
        <w:spacing w:line="360" w:lineRule="auto"/>
        <w:rPr>
          <w:rFonts w:ascii="宋体" w:hAnsi="宋体" w:cs="宋体"/>
          <w:color w:val="000000" w:themeColor="text1"/>
          <w:sz w:val="20"/>
          <w:szCs w:val="20"/>
          <w:highlight w:val="none"/>
          <w14:textFill>
            <w14:solidFill>
              <w14:schemeClr w14:val="tx1"/>
            </w14:solidFill>
          </w14:textFill>
        </w:rPr>
      </w:pPr>
    </w:p>
    <w:p w14:paraId="58A3AD30">
      <w:pPr>
        <w:pStyle w:val="7"/>
        <w:spacing w:line="360" w:lineRule="auto"/>
        <w:rPr>
          <w:rFonts w:ascii="宋体" w:hAnsi="宋体" w:cs="宋体"/>
          <w:color w:val="000000" w:themeColor="text1"/>
          <w:sz w:val="20"/>
          <w:szCs w:val="20"/>
          <w:highlight w:val="none"/>
          <w14:textFill>
            <w14:solidFill>
              <w14:schemeClr w14:val="tx1"/>
            </w14:solidFill>
          </w14:textFill>
        </w:rPr>
      </w:pPr>
    </w:p>
    <w:p w14:paraId="7408968A">
      <w:pPr>
        <w:pStyle w:val="7"/>
        <w:spacing w:line="360" w:lineRule="auto"/>
        <w:jc w:val="center"/>
        <w:rPr>
          <w:rFonts w:ascii="宋体" w:hAnsi="宋体" w:cs="宋体"/>
          <w:color w:val="000000" w:themeColor="text1"/>
          <w:sz w:val="84"/>
          <w:szCs w:val="84"/>
          <w:highlight w:val="none"/>
          <w14:textFill>
            <w14:solidFill>
              <w14:schemeClr w14:val="tx1"/>
            </w14:solidFill>
          </w14:textFill>
        </w:rPr>
      </w:pPr>
      <w:r>
        <w:rPr>
          <w:rFonts w:hint="eastAsia" w:ascii="宋体" w:hAnsi="宋体" w:cs="宋体"/>
          <w:color w:val="000000" w:themeColor="text1"/>
          <w:sz w:val="84"/>
          <w:szCs w:val="84"/>
          <w:highlight w:val="none"/>
          <w14:textFill>
            <w14:solidFill>
              <w14:schemeClr w14:val="tx1"/>
            </w14:solidFill>
          </w14:textFill>
        </w:rPr>
        <w:t>投</w:t>
      </w:r>
      <w:r>
        <w:rPr>
          <w:rFonts w:ascii="宋体" w:hAnsi="宋体" w:cs="宋体"/>
          <w:color w:val="000000" w:themeColor="text1"/>
          <w:sz w:val="84"/>
          <w:szCs w:val="84"/>
          <w:highlight w:val="none"/>
          <w14:textFill>
            <w14:solidFill>
              <w14:schemeClr w14:val="tx1"/>
            </w14:solidFill>
          </w14:textFill>
        </w:rPr>
        <w:t xml:space="preserve"> </w:t>
      </w:r>
      <w:r>
        <w:rPr>
          <w:rFonts w:hint="eastAsia" w:ascii="宋体" w:hAnsi="宋体" w:cs="宋体"/>
          <w:color w:val="000000" w:themeColor="text1"/>
          <w:sz w:val="84"/>
          <w:szCs w:val="84"/>
          <w:highlight w:val="none"/>
          <w14:textFill>
            <w14:solidFill>
              <w14:schemeClr w14:val="tx1"/>
            </w14:solidFill>
          </w14:textFill>
        </w:rPr>
        <w:t>标</w:t>
      </w:r>
      <w:r>
        <w:rPr>
          <w:rFonts w:ascii="宋体" w:hAnsi="宋体" w:cs="宋体"/>
          <w:color w:val="000000" w:themeColor="text1"/>
          <w:sz w:val="84"/>
          <w:szCs w:val="84"/>
          <w:highlight w:val="none"/>
          <w14:textFill>
            <w14:solidFill>
              <w14:schemeClr w14:val="tx1"/>
            </w14:solidFill>
          </w14:textFill>
        </w:rPr>
        <w:t xml:space="preserve"> </w:t>
      </w:r>
      <w:r>
        <w:rPr>
          <w:rFonts w:hint="eastAsia" w:ascii="宋体" w:hAnsi="宋体" w:cs="宋体"/>
          <w:color w:val="000000" w:themeColor="text1"/>
          <w:sz w:val="84"/>
          <w:szCs w:val="84"/>
          <w:highlight w:val="none"/>
          <w14:textFill>
            <w14:solidFill>
              <w14:schemeClr w14:val="tx1"/>
            </w14:solidFill>
          </w14:textFill>
        </w:rPr>
        <w:t>文</w:t>
      </w:r>
      <w:r>
        <w:rPr>
          <w:rFonts w:ascii="宋体" w:hAnsi="宋体" w:cs="宋体"/>
          <w:color w:val="000000" w:themeColor="text1"/>
          <w:sz w:val="84"/>
          <w:szCs w:val="84"/>
          <w:highlight w:val="none"/>
          <w14:textFill>
            <w14:solidFill>
              <w14:schemeClr w14:val="tx1"/>
            </w14:solidFill>
          </w14:textFill>
        </w:rPr>
        <w:t xml:space="preserve"> </w:t>
      </w:r>
      <w:r>
        <w:rPr>
          <w:rFonts w:hint="eastAsia" w:ascii="宋体" w:hAnsi="宋体" w:cs="宋体"/>
          <w:color w:val="000000" w:themeColor="text1"/>
          <w:sz w:val="84"/>
          <w:szCs w:val="84"/>
          <w:highlight w:val="none"/>
          <w14:textFill>
            <w14:solidFill>
              <w14:schemeClr w14:val="tx1"/>
            </w14:solidFill>
          </w14:textFill>
        </w:rPr>
        <w:t>件</w:t>
      </w:r>
    </w:p>
    <w:p w14:paraId="311CF33C">
      <w:pPr>
        <w:pStyle w:val="7"/>
        <w:spacing w:line="360" w:lineRule="auto"/>
        <w:rPr>
          <w:rFonts w:ascii="宋体" w:hAnsi="宋体" w:cs="宋体"/>
          <w:color w:val="000000" w:themeColor="text1"/>
          <w:sz w:val="28"/>
          <w:szCs w:val="28"/>
          <w:highlight w:val="none"/>
          <w14:textFill>
            <w14:solidFill>
              <w14:schemeClr w14:val="tx1"/>
            </w14:solidFill>
          </w14:textFill>
        </w:rPr>
      </w:pPr>
    </w:p>
    <w:p w14:paraId="5102B1D6">
      <w:pPr>
        <w:pStyle w:val="7"/>
        <w:spacing w:before="260" w:after="260" w:line="700" w:lineRule="exact"/>
        <w:jc w:val="center"/>
        <w:outlineLvl w:val="1"/>
        <w:rPr>
          <w:rFonts w:ascii="宋体" w:hAnsi="宋体" w:cs="宋体"/>
          <w:b/>
          <w:bCs/>
          <w:color w:val="000000" w:themeColor="text1"/>
          <w:sz w:val="36"/>
          <w:szCs w:val="36"/>
          <w:highlight w:val="none"/>
          <w14:textFill>
            <w14:solidFill>
              <w14:schemeClr w14:val="tx1"/>
            </w14:solidFill>
          </w14:textFill>
        </w:rPr>
      </w:pPr>
      <w:bookmarkStart w:id="1441" w:name="_Toc4056"/>
      <w:bookmarkStart w:id="1442" w:name="_Toc23831"/>
      <w:bookmarkStart w:id="1443" w:name="_Toc98785405"/>
      <w:bookmarkStart w:id="1444" w:name="_Toc24064"/>
      <w:r>
        <w:rPr>
          <w:rFonts w:hint="eastAsia" w:ascii="宋体" w:hAnsi="宋体" w:cs="宋体"/>
          <w:b/>
          <w:bCs/>
          <w:color w:val="000000" w:themeColor="text1"/>
          <w:sz w:val="36"/>
          <w:szCs w:val="36"/>
          <w:highlight w:val="none"/>
          <w14:textFill>
            <w14:solidFill>
              <w14:schemeClr w14:val="tx1"/>
            </w14:solidFill>
          </w14:textFill>
        </w:rPr>
        <w:t>第一个信封（商务及技术文件）</w:t>
      </w:r>
      <w:bookmarkEnd w:id="1441"/>
      <w:bookmarkEnd w:id="1442"/>
      <w:bookmarkEnd w:id="1443"/>
      <w:bookmarkEnd w:id="1444"/>
    </w:p>
    <w:p w14:paraId="2DE3A7E1">
      <w:pPr>
        <w:pStyle w:val="7"/>
        <w:spacing w:line="360" w:lineRule="auto"/>
        <w:jc w:val="center"/>
        <w:rPr>
          <w:rFonts w:ascii="宋体" w:hAnsi="宋体" w:cs="宋体"/>
          <w:color w:val="000000" w:themeColor="text1"/>
          <w:sz w:val="28"/>
          <w:szCs w:val="28"/>
          <w:highlight w:val="none"/>
          <w14:textFill>
            <w14:solidFill>
              <w14:schemeClr w14:val="tx1"/>
            </w14:solidFill>
          </w14:textFill>
        </w:rPr>
      </w:pPr>
    </w:p>
    <w:p w14:paraId="6D83505C">
      <w:pPr>
        <w:pStyle w:val="7"/>
        <w:spacing w:line="360" w:lineRule="auto"/>
        <w:rPr>
          <w:rFonts w:ascii="宋体" w:hAnsi="宋体" w:cs="宋体"/>
          <w:color w:val="000000" w:themeColor="text1"/>
          <w:sz w:val="28"/>
          <w:szCs w:val="28"/>
          <w:highlight w:val="none"/>
          <w14:textFill>
            <w14:solidFill>
              <w14:schemeClr w14:val="tx1"/>
            </w14:solidFill>
          </w14:textFill>
        </w:rPr>
      </w:pPr>
    </w:p>
    <w:p w14:paraId="6F24B4D5">
      <w:pPr>
        <w:pStyle w:val="7"/>
        <w:spacing w:line="360" w:lineRule="auto"/>
        <w:rPr>
          <w:rFonts w:ascii="宋体" w:hAnsi="宋体" w:cs="宋体"/>
          <w:color w:val="000000" w:themeColor="text1"/>
          <w:sz w:val="28"/>
          <w:szCs w:val="28"/>
          <w:highlight w:val="none"/>
          <w14:textFill>
            <w14:solidFill>
              <w14:schemeClr w14:val="tx1"/>
            </w14:solidFill>
          </w14:textFill>
        </w:rPr>
      </w:pPr>
    </w:p>
    <w:p w14:paraId="43A10FF9">
      <w:pPr>
        <w:pStyle w:val="7"/>
        <w:spacing w:line="360" w:lineRule="auto"/>
        <w:rPr>
          <w:rFonts w:ascii="宋体" w:hAnsi="宋体" w:cs="宋体"/>
          <w:color w:val="000000" w:themeColor="text1"/>
          <w:sz w:val="28"/>
          <w:szCs w:val="28"/>
          <w:highlight w:val="none"/>
          <w14:textFill>
            <w14:solidFill>
              <w14:schemeClr w14:val="tx1"/>
            </w14:solidFill>
          </w14:textFill>
        </w:rPr>
      </w:pPr>
    </w:p>
    <w:p w14:paraId="2F931444">
      <w:pPr>
        <w:pStyle w:val="7"/>
        <w:spacing w:line="360" w:lineRule="auto"/>
        <w:rPr>
          <w:rFonts w:ascii="宋体" w:hAnsi="宋体" w:cs="宋体"/>
          <w:color w:val="000000" w:themeColor="text1"/>
          <w:sz w:val="28"/>
          <w:szCs w:val="28"/>
          <w:highlight w:val="none"/>
          <w14:textFill>
            <w14:solidFill>
              <w14:schemeClr w14:val="tx1"/>
            </w14:solidFill>
          </w14:textFill>
        </w:rPr>
      </w:pPr>
    </w:p>
    <w:p w14:paraId="0B00059F">
      <w:pPr>
        <w:pStyle w:val="7"/>
        <w:spacing w:line="500" w:lineRule="exact"/>
        <w:jc w:val="center"/>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投标人：</w:t>
      </w:r>
      <w:r>
        <w:rPr>
          <w:rFonts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（盖单位公章）</w:t>
      </w:r>
    </w:p>
    <w:p w14:paraId="76C6AB83">
      <w:pPr>
        <w:pStyle w:val="7"/>
        <w:spacing w:line="500" w:lineRule="exact"/>
        <w:jc w:val="center"/>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u w:val="single"/>
          <w14:textFill>
            <w14:solidFill>
              <w14:schemeClr w14:val="tx1"/>
            </w14:solidFill>
          </w14:textFill>
        </w:rPr>
        <w:t xml:space="preserve">        </w:t>
      </w:r>
      <w:r>
        <w:rPr>
          <w:rFonts w:hint="eastAsia" w:eastAsia="黑体"/>
          <w:color w:val="000000" w:themeColor="text1"/>
          <w:sz w:val="28"/>
          <w:szCs w:val="28"/>
          <w:highlight w:val="none"/>
          <w14:textFill>
            <w14:solidFill>
              <w14:schemeClr w14:val="tx1"/>
            </w14:solidFill>
          </w14:textFill>
        </w:rPr>
        <w:t>年</w:t>
      </w:r>
      <w:r>
        <w:rPr>
          <w:rFonts w:eastAsia="黑体"/>
          <w:color w:val="000000" w:themeColor="text1"/>
          <w:sz w:val="28"/>
          <w:szCs w:val="28"/>
          <w:highlight w:val="none"/>
          <w:u w:val="single"/>
          <w14:textFill>
            <w14:solidFill>
              <w14:schemeClr w14:val="tx1"/>
            </w14:solidFill>
          </w14:textFill>
        </w:rPr>
        <w:t xml:space="preserve">        </w:t>
      </w:r>
      <w:r>
        <w:rPr>
          <w:rFonts w:hint="eastAsia" w:eastAsia="黑体"/>
          <w:color w:val="000000" w:themeColor="text1"/>
          <w:sz w:val="28"/>
          <w:szCs w:val="28"/>
          <w:highlight w:val="none"/>
          <w14:textFill>
            <w14:solidFill>
              <w14:schemeClr w14:val="tx1"/>
            </w14:solidFill>
          </w14:textFill>
        </w:rPr>
        <w:t>月</w:t>
      </w:r>
      <w:r>
        <w:rPr>
          <w:rFonts w:eastAsia="黑体"/>
          <w:color w:val="000000" w:themeColor="text1"/>
          <w:sz w:val="28"/>
          <w:szCs w:val="28"/>
          <w:highlight w:val="none"/>
          <w:u w:val="single"/>
          <w14:textFill>
            <w14:solidFill>
              <w14:schemeClr w14:val="tx1"/>
            </w14:solidFill>
          </w14:textFill>
        </w:rPr>
        <w:t xml:space="preserve">        </w:t>
      </w:r>
      <w:r>
        <w:rPr>
          <w:rFonts w:hint="eastAsia" w:eastAsia="黑体"/>
          <w:color w:val="000000" w:themeColor="text1"/>
          <w:sz w:val="28"/>
          <w:szCs w:val="28"/>
          <w:highlight w:val="none"/>
          <w14:textFill>
            <w14:solidFill>
              <w14:schemeClr w14:val="tx1"/>
            </w14:solidFill>
          </w14:textFill>
        </w:rPr>
        <w:t>日</w:t>
      </w:r>
    </w:p>
    <w:p w14:paraId="044E5B9A">
      <w:pPr>
        <w:pStyle w:val="7"/>
        <w:spacing w:line="360" w:lineRule="auto"/>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bookmarkStart w:id="1445" w:name="_Toc98785406"/>
      <w:bookmarkStart w:id="1446" w:name="_Toc18948"/>
      <w:bookmarkStart w:id="1447" w:name="_Toc32586"/>
    </w:p>
    <w:p w14:paraId="209674A5">
      <w:pPr>
        <w:pStyle w:val="7"/>
        <w:spacing w:line="360" w:lineRule="auto"/>
        <w:jc w:val="center"/>
        <w:rPr>
          <w:rFonts w:ascii="宋体" w:hAnsi="宋体" w:cs="宋体"/>
          <w:color w:val="000000" w:themeColor="text1"/>
          <w:highlight w:val="none"/>
          <w14:textFill>
            <w14:solidFill>
              <w14:schemeClr w14:val="tx1"/>
            </w14:solidFill>
          </w14:textFill>
        </w:rPr>
      </w:pPr>
    </w:p>
    <w:p w14:paraId="222C10EC">
      <w:pPr>
        <w:pStyle w:val="7"/>
        <w:spacing w:line="360" w:lineRule="auto"/>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目  录</w:t>
      </w:r>
      <w:bookmarkEnd w:id="1445"/>
      <w:bookmarkEnd w:id="1446"/>
      <w:bookmarkEnd w:id="1447"/>
    </w:p>
    <w:p w14:paraId="47A3233F">
      <w:pPr>
        <w:pStyle w:val="7"/>
        <w:spacing w:line="360" w:lineRule="auto"/>
        <w:rPr>
          <w:rFonts w:ascii="宋体" w:hAnsi="宋体" w:cs="宋体"/>
          <w:color w:val="000000" w:themeColor="text1"/>
          <w:highlight w:val="none"/>
          <w14:textFill>
            <w14:solidFill>
              <w14:schemeClr w14:val="tx1"/>
            </w14:solidFill>
          </w14:textFill>
        </w:rPr>
      </w:pPr>
    </w:p>
    <w:p w14:paraId="6CBEC630">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一、投标函</w:t>
      </w:r>
    </w:p>
    <w:p w14:paraId="51A0D8A3">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二、授权委托书或法定代表人身份证明</w:t>
      </w:r>
    </w:p>
    <w:p w14:paraId="3A7B473C">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三、投标保证金</w:t>
      </w:r>
    </w:p>
    <w:p w14:paraId="30686216">
      <w:pPr>
        <w:pStyle w:val="7"/>
        <w:spacing w:line="5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四、施工组织设计</w:t>
      </w:r>
    </w:p>
    <w:p w14:paraId="022C6E38">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五</w:t>
      </w:r>
      <w:r>
        <w:rPr>
          <w:rFonts w:hint="eastAsia" w:ascii="宋体" w:hAnsi="宋体" w:cs="宋体"/>
          <w:color w:val="000000" w:themeColor="text1"/>
          <w:highlight w:val="none"/>
          <w14:textFill>
            <w14:solidFill>
              <w14:schemeClr w14:val="tx1"/>
            </w14:solidFill>
          </w14:textFill>
        </w:rPr>
        <w:t>、项目管理机构</w:t>
      </w:r>
    </w:p>
    <w:p w14:paraId="6E8761C3">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cs="宋体"/>
          <w:color w:val="000000" w:themeColor="text1"/>
          <w:highlight w:val="none"/>
          <w14:textFill>
            <w14:solidFill>
              <w14:schemeClr w14:val="tx1"/>
            </w14:solidFill>
          </w14:textFill>
        </w:rPr>
        <w:t>、资格审查资料</w:t>
      </w:r>
    </w:p>
    <w:p w14:paraId="1FF2759A">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七</w:t>
      </w:r>
      <w:r>
        <w:rPr>
          <w:rFonts w:hint="eastAsia" w:ascii="宋体" w:hAnsi="宋体" w:cs="宋体"/>
          <w:color w:val="000000" w:themeColor="text1"/>
          <w:highlight w:val="none"/>
          <w14:textFill>
            <w14:solidFill>
              <w14:schemeClr w14:val="tx1"/>
            </w14:solidFill>
          </w14:textFill>
        </w:rPr>
        <w:t>、承诺函</w:t>
      </w:r>
    </w:p>
    <w:p w14:paraId="7C98E4B7">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八</w:t>
      </w:r>
      <w:r>
        <w:rPr>
          <w:rFonts w:hint="eastAsia" w:ascii="宋体" w:hAnsi="宋体" w:cs="宋体"/>
          <w:color w:val="000000" w:themeColor="text1"/>
          <w:highlight w:val="none"/>
          <w14:textFill>
            <w14:solidFill>
              <w14:schemeClr w14:val="tx1"/>
            </w14:solidFill>
          </w14:textFill>
        </w:rPr>
        <w:t>、其他材料</w:t>
      </w:r>
    </w:p>
    <w:p w14:paraId="661D5D71">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bookmarkStart w:id="1448" w:name="_Toc26268"/>
      <w:r>
        <w:rPr>
          <w:rFonts w:hint="eastAsia" w:ascii="宋体" w:hAnsi="宋体"/>
          <w:b/>
          <w:bCs/>
          <w:color w:val="000000" w:themeColor="text1"/>
          <w:sz w:val="32"/>
          <w:szCs w:val="32"/>
          <w:highlight w:val="none"/>
          <w14:textFill>
            <w14:solidFill>
              <w14:schemeClr w14:val="tx1"/>
            </w14:solidFill>
          </w14:textFill>
        </w:rPr>
        <w:t>一、投标函</w:t>
      </w:r>
      <w:bookmarkEnd w:id="1448"/>
    </w:p>
    <w:p w14:paraId="1319795E">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449" w:name="_Toc98785408"/>
      <w:bookmarkStart w:id="1450" w:name="_Toc2207"/>
      <w:bookmarkStart w:id="1451" w:name="_Toc24101"/>
      <w:bookmarkStart w:id="1452" w:name="_Toc11225"/>
      <w:bookmarkStart w:id="1453" w:name="_Toc28665"/>
      <w:bookmarkStart w:id="1454" w:name="_Toc32507"/>
      <w:bookmarkStart w:id="1455" w:name="_Toc25072"/>
      <w:bookmarkStart w:id="1456" w:name="_Toc27392"/>
      <w:bookmarkStart w:id="1457" w:name="_Toc19453"/>
      <w:bookmarkStart w:id="1458" w:name="_Toc119585555"/>
      <w:bookmarkStart w:id="1459" w:name="_Toc7248"/>
      <w:bookmarkStart w:id="1460" w:name="_Toc19716"/>
      <w:bookmarkStart w:id="1461" w:name="_Toc23377"/>
      <w:bookmarkStart w:id="1462" w:name="_Toc22666"/>
      <w:bookmarkStart w:id="1463" w:name="_Toc120624294"/>
      <w:bookmarkStart w:id="1464" w:name="_Toc27788"/>
      <w:bookmarkStart w:id="1465" w:name="_Toc6183"/>
      <w:bookmarkStart w:id="1466" w:name="_Toc4278"/>
      <w:bookmarkStart w:id="1467" w:name="_Toc27230"/>
      <w:bookmarkStart w:id="1468" w:name="_Toc19777"/>
      <w:bookmarkStart w:id="1469" w:name="_Toc118195914"/>
      <w:r>
        <w:rPr>
          <w:rFonts w:hint="eastAsia" w:ascii="宋体" w:hAnsi="宋体" w:eastAsia="宋体"/>
          <w:b/>
          <w:bCs/>
          <w:color w:val="000000" w:themeColor="text1"/>
          <w:sz w:val="24"/>
          <w:szCs w:val="24"/>
          <w:highlight w:val="none"/>
          <w14:textFill>
            <w14:solidFill>
              <w14:schemeClr w14:val="tx1"/>
            </w14:solidFill>
          </w14:textFill>
        </w:rPr>
        <w:t>（一）投标函</w:t>
      </w:r>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p>
    <w:p w14:paraId="1BB5636B">
      <w:pPr>
        <w:pStyle w:val="7"/>
        <w:spacing w:line="44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（招标人名称）：</w:t>
      </w:r>
    </w:p>
    <w:p w14:paraId="11670C8E">
      <w:pPr>
        <w:pStyle w:val="7"/>
        <w:spacing w:line="44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1．我方已仔细研究了</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（项目名称）</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标段施工招标文件的全部内容（含补遗书第____号至第____号），愿意以第二个信封（报价文件）中的投标总报价（或根据招标文件规定修正核实后确定的另一金额），按合同约定实施和完成承包工程，修补工程中的任何缺陷。</w:t>
      </w:r>
    </w:p>
    <w:p w14:paraId="3D33A2F9">
      <w:pPr>
        <w:pStyle w:val="7"/>
        <w:spacing w:line="44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2．我方承诺在招标文件规定的投标有效期内不撤销投标文件。</w:t>
      </w:r>
    </w:p>
    <w:p w14:paraId="63900206">
      <w:pPr>
        <w:pStyle w:val="7"/>
        <w:spacing w:line="440" w:lineRule="exact"/>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 </w:t>
      </w:r>
      <w:r>
        <w:rPr>
          <w:rFonts w:hint="eastAsia"/>
          <w:color w:val="000000" w:themeColor="text1"/>
          <w:szCs w:val="21"/>
          <w:highlight w:val="none"/>
          <w14:textFill>
            <w14:solidFill>
              <w14:schemeClr w14:val="tx1"/>
            </w14:solidFill>
          </w14:textFill>
        </w:rPr>
        <w:t>工程质量达到标段工程交工验收的质量评定：____________。安全目标：______________；工期：______日历天；拟委任项目经理：___________；项目技术负责人：________________；</w:t>
      </w:r>
    </w:p>
    <w:p w14:paraId="51EA9DA3">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4．如我方中标，我方承诺：</w:t>
      </w:r>
    </w:p>
    <w:p w14:paraId="64FC4D9D">
      <w:pPr>
        <w:pStyle w:val="7"/>
        <w:spacing w:line="440" w:lineRule="exact"/>
        <w:ind w:firstLine="718" w:firstLineChars="3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1）在收到中标通知书后，在中标通知书规定的期限内与你方签订合同；</w:t>
      </w:r>
    </w:p>
    <w:p w14:paraId="63DBD8D9">
      <w:pPr>
        <w:pStyle w:val="7"/>
        <w:spacing w:line="440" w:lineRule="exact"/>
        <w:ind w:firstLine="718" w:firstLineChars="3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2）在签订合同时不向你方提出条件；</w:t>
      </w:r>
    </w:p>
    <w:p w14:paraId="2C1E4585">
      <w:pPr>
        <w:pStyle w:val="7"/>
        <w:spacing w:line="440" w:lineRule="exact"/>
        <w:ind w:firstLine="718" w:firstLineChars="3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3）按照招标文件要求向你方递交履约保证金；</w:t>
      </w:r>
    </w:p>
    <w:p w14:paraId="7577123C">
      <w:pPr>
        <w:pStyle w:val="7"/>
        <w:spacing w:line="440" w:lineRule="exact"/>
        <w:ind w:firstLine="718" w:firstLineChars="34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4）在合同约定的期限内完成合同规定的全部义务。</w:t>
      </w:r>
    </w:p>
    <w:p w14:paraId="74874534">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我方在此声明，所递交的投标文件及有关资料内容完整、真实和准确，且不存在招标文件第二章“投标人须知”第</w:t>
      </w:r>
      <w:r>
        <w:rPr>
          <w:rFonts w:ascii="宋体" w:hAnsi="宋体" w:cs="宋体"/>
          <w:color w:val="000000" w:themeColor="text1"/>
          <w:highlight w:val="none"/>
          <w14:textFill>
            <w14:solidFill>
              <w14:schemeClr w14:val="tx1"/>
            </w14:solidFill>
          </w14:textFill>
        </w:rPr>
        <w:t>1.4.3项和1.4.4项规定的任何一种情形。</w:t>
      </w:r>
    </w:p>
    <w:p w14:paraId="3B483567">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6．在合同协议书正式签署生效之前，本投标函连同你方的中标通知书将构成我们双方之间共同遵守的文件，对双方具有约束力。</w:t>
      </w:r>
    </w:p>
    <w:p w14:paraId="4C6862B1">
      <w:pPr>
        <w:pStyle w:val="7"/>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 </w:t>
      </w:r>
      <w:r>
        <w:rPr>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（其他补充说明）。</w:t>
      </w:r>
    </w:p>
    <w:p w14:paraId="3E55C371">
      <w:pPr>
        <w:pStyle w:val="7"/>
        <w:spacing w:line="440" w:lineRule="exact"/>
        <w:ind w:firstLine="3675" w:firstLineChars="1750"/>
        <w:rPr>
          <w:rFonts w:ascii="宋体" w:hAnsi="宋体" w:cs="宋体"/>
          <w:color w:val="000000" w:themeColor="text1"/>
          <w:szCs w:val="21"/>
          <w:highlight w:val="none"/>
          <w14:textFill>
            <w14:solidFill>
              <w14:schemeClr w14:val="tx1"/>
            </w14:solidFill>
          </w14:textFill>
        </w:rPr>
      </w:pPr>
    </w:p>
    <w:p w14:paraId="5F7DDDDB">
      <w:pPr>
        <w:pStyle w:val="7"/>
        <w:spacing w:line="440" w:lineRule="exact"/>
        <w:ind w:firstLine="3675" w:firstLineChars="1750"/>
        <w:rPr>
          <w:color w:val="000000" w:themeColor="text1"/>
          <w:szCs w:val="21"/>
          <w:highlight w:val="none"/>
          <w14:textFill>
            <w14:solidFill>
              <w14:schemeClr w14:val="tx1"/>
            </w14:solidFill>
          </w14:textFill>
        </w:rPr>
      </w:pPr>
    </w:p>
    <w:p w14:paraId="607321EA">
      <w:pPr>
        <w:pStyle w:val="7"/>
        <w:spacing w:line="440" w:lineRule="exact"/>
        <w:ind w:firstLine="2940" w:firstLineChars="1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标</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（盖单位公章）</w:t>
      </w:r>
    </w:p>
    <w:p w14:paraId="6C221E34">
      <w:pPr>
        <w:pStyle w:val="7"/>
        <w:spacing w:line="440" w:lineRule="exact"/>
        <w:ind w:firstLine="2940" w:firstLineChars="1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法定代表人或其委托代理人：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w:t>
      </w:r>
    </w:p>
    <w:p w14:paraId="66FF9867">
      <w:pPr>
        <w:pStyle w:val="7"/>
        <w:spacing w:line="440" w:lineRule="exact"/>
        <w:ind w:firstLine="2940" w:firstLineChars="1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地址：</w:t>
      </w:r>
      <w:r>
        <w:rPr>
          <w:color w:val="000000" w:themeColor="text1"/>
          <w:szCs w:val="21"/>
          <w:highlight w:val="none"/>
          <w:u w:val="single"/>
          <w14:textFill>
            <w14:solidFill>
              <w14:schemeClr w14:val="tx1"/>
            </w14:solidFill>
          </w14:textFill>
        </w:rPr>
        <w:t xml:space="preserve">                                     </w:t>
      </w:r>
    </w:p>
    <w:p w14:paraId="185EC0C2">
      <w:pPr>
        <w:pStyle w:val="7"/>
        <w:spacing w:line="440" w:lineRule="exact"/>
        <w:ind w:firstLine="2940" w:firstLineChars="1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电话：</w:t>
      </w:r>
      <w:r>
        <w:rPr>
          <w:color w:val="000000" w:themeColor="text1"/>
          <w:szCs w:val="21"/>
          <w:highlight w:val="none"/>
          <w:u w:val="single"/>
          <w14:textFill>
            <w14:solidFill>
              <w14:schemeClr w14:val="tx1"/>
            </w14:solidFill>
          </w14:textFill>
        </w:rPr>
        <w:t xml:space="preserve">                                     </w:t>
      </w:r>
    </w:p>
    <w:p w14:paraId="06895F21">
      <w:pPr>
        <w:pStyle w:val="7"/>
        <w:spacing w:line="440" w:lineRule="exact"/>
        <w:ind w:firstLine="2940" w:firstLineChars="1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传真：</w:t>
      </w:r>
      <w:r>
        <w:rPr>
          <w:color w:val="000000" w:themeColor="text1"/>
          <w:szCs w:val="21"/>
          <w:highlight w:val="none"/>
          <w:u w:val="single"/>
          <w14:textFill>
            <w14:solidFill>
              <w14:schemeClr w14:val="tx1"/>
            </w14:solidFill>
          </w14:textFill>
        </w:rPr>
        <w:t xml:space="preserve">                                     </w:t>
      </w:r>
    </w:p>
    <w:p w14:paraId="1BE0D3C1">
      <w:pPr>
        <w:pStyle w:val="7"/>
        <w:spacing w:line="440" w:lineRule="exact"/>
        <w:ind w:firstLine="2940" w:firstLineChars="1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邮政编码：</w:t>
      </w:r>
      <w:r>
        <w:rPr>
          <w:color w:val="000000" w:themeColor="text1"/>
          <w:szCs w:val="21"/>
          <w:highlight w:val="none"/>
          <w:u w:val="single"/>
          <w14:textFill>
            <w14:solidFill>
              <w14:schemeClr w14:val="tx1"/>
            </w14:solidFill>
          </w14:textFill>
        </w:rPr>
        <w:t xml:space="preserve">                                 </w:t>
      </w:r>
    </w:p>
    <w:p w14:paraId="11FB9C1D">
      <w:pPr>
        <w:pStyle w:val="7"/>
        <w:spacing w:line="440" w:lineRule="exact"/>
        <w:ind w:firstLine="2940" w:firstLineChars="1400"/>
        <w:rPr>
          <w:rFonts w:ascii="宋体" w:hAnsi="宋体" w:cs="宋体"/>
          <w:color w:val="000000" w:themeColor="text1"/>
          <w:sz w:val="20"/>
          <w:szCs w:val="20"/>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14:paraId="13039A96">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bookmarkStart w:id="1470" w:name="_Toc21644"/>
      <w:bookmarkStart w:id="1471" w:name="_Toc1764"/>
      <w:bookmarkStart w:id="1472" w:name="_Toc15832"/>
      <w:bookmarkStart w:id="1473" w:name="_Toc23218"/>
      <w:bookmarkStart w:id="1474" w:name="_Toc119585557"/>
      <w:bookmarkStart w:id="1475" w:name="_Toc118195916"/>
      <w:bookmarkStart w:id="1476" w:name="_Toc98785410"/>
      <w:bookmarkStart w:id="1477" w:name="_Toc29105"/>
      <w:bookmarkStart w:id="1478" w:name="_Toc9293"/>
      <w:bookmarkStart w:id="1479" w:name="_Toc10491"/>
      <w:bookmarkStart w:id="1480" w:name="_Toc23564"/>
      <w:bookmarkStart w:id="1481" w:name="_Toc21646"/>
      <w:bookmarkStart w:id="1482" w:name="_Toc120624296"/>
      <w:bookmarkStart w:id="1483" w:name="_Toc18194"/>
      <w:bookmarkStart w:id="1484" w:name="_Toc24609"/>
      <w:bookmarkStart w:id="1485" w:name="_Toc11113"/>
      <w:bookmarkStart w:id="1486" w:name="_Toc20932"/>
      <w:bookmarkStart w:id="1487" w:name="_Toc16477"/>
      <w:bookmarkStart w:id="1488" w:name="_Toc19577"/>
      <w:r>
        <w:rPr>
          <w:rFonts w:hint="eastAsia" w:ascii="宋体" w:hAnsi="宋体"/>
          <w:b/>
          <w:bCs/>
          <w:color w:val="000000" w:themeColor="text1"/>
          <w:sz w:val="32"/>
          <w:szCs w:val="32"/>
          <w:highlight w:val="none"/>
          <w14:textFill>
            <w14:solidFill>
              <w14:schemeClr w14:val="tx1"/>
            </w14:solidFill>
          </w14:textFill>
        </w:rPr>
        <w:t>二、授权委托书或法定代表人身份证明</w:t>
      </w:r>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p>
    <w:p w14:paraId="3B3AE9A1">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489" w:name="_Toc5952"/>
      <w:bookmarkStart w:id="1490" w:name="_Toc22413"/>
      <w:bookmarkStart w:id="1491" w:name="_Toc11371"/>
      <w:bookmarkStart w:id="1492" w:name="_Toc13093"/>
      <w:bookmarkStart w:id="1493" w:name="_Toc31937"/>
      <w:bookmarkStart w:id="1494" w:name="_Toc20724"/>
      <w:bookmarkStart w:id="1495" w:name="_Toc5053"/>
      <w:bookmarkStart w:id="1496" w:name="_Toc21541"/>
      <w:bookmarkStart w:id="1497" w:name="_Toc3352"/>
      <w:bookmarkStart w:id="1498" w:name="_Toc27979"/>
      <w:bookmarkStart w:id="1499" w:name="_Toc120624297"/>
      <w:bookmarkStart w:id="1500" w:name="_Toc6396"/>
      <w:bookmarkStart w:id="1501" w:name="_Toc22452"/>
      <w:bookmarkStart w:id="1502" w:name="_Toc98785411"/>
      <w:bookmarkStart w:id="1503" w:name="_Toc19951"/>
      <w:bookmarkStart w:id="1504" w:name="_Toc8360"/>
      <w:bookmarkStart w:id="1505" w:name="_Toc118195917"/>
      <w:bookmarkStart w:id="1506" w:name="_Toc4414"/>
      <w:bookmarkStart w:id="1507" w:name="_Toc27196"/>
      <w:bookmarkStart w:id="1508" w:name="_Toc119585558"/>
      <w:bookmarkStart w:id="1509" w:name="_Toc20261"/>
      <w:r>
        <w:rPr>
          <w:rFonts w:hint="eastAsia" w:ascii="宋体" w:hAnsi="宋体" w:eastAsia="宋体"/>
          <w:b/>
          <w:bCs/>
          <w:color w:val="000000" w:themeColor="text1"/>
          <w:sz w:val="24"/>
          <w:szCs w:val="24"/>
          <w:highlight w:val="none"/>
          <w14:textFill>
            <w14:solidFill>
              <w14:schemeClr w14:val="tx1"/>
            </w14:solidFill>
          </w14:textFill>
        </w:rPr>
        <w:t>（一）授权委托书</w:t>
      </w:r>
      <w:r>
        <w:rPr>
          <w:rFonts w:hint="eastAsia" w:ascii="宋体" w:hAnsi="宋体" w:eastAsia="宋体"/>
          <w:b/>
          <w:bCs/>
          <w:color w:val="000000" w:themeColor="text1"/>
          <w:sz w:val="24"/>
          <w:szCs w:val="24"/>
          <w:highlight w:val="none"/>
          <w:vertAlign w:val="superscript"/>
          <w14:textFill>
            <w14:solidFill>
              <w14:schemeClr w14:val="tx1"/>
            </w14:solidFill>
          </w14:textFill>
        </w:rPr>
        <w:footnoteReference w:id="11"/>
      </w:r>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p>
    <w:p w14:paraId="6EEB6137">
      <w:pPr>
        <w:pStyle w:val="7"/>
        <w:topLinePunct/>
        <w:spacing w:line="50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（姓名）系</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（投标人名称）的法定代表人，现委托</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（姓名）为我方代理人。代理人根据授权，以我方名义签署、澄清确认、递交、撤回、修改</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（项目名称）</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标段施工投标文件、签订合同和处理有关事宜，其法律后果由我方承担。</w:t>
      </w:r>
    </w:p>
    <w:p w14:paraId="3A64C28A">
      <w:pPr>
        <w:pStyle w:val="7"/>
        <w:spacing w:line="50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委托期限：自本委托书签署之日起至投标有效期期满。</w:t>
      </w:r>
    </w:p>
    <w:p w14:paraId="7F9ECCFA">
      <w:pPr>
        <w:pStyle w:val="7"/>
        <w:spacing w:line="50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代理人无转委托权。</w:t>
      </w:r>
    </w:p>
    <w:tbl>
      <w:tblPr>
        <w:tblStyle w:val="28"/>
        <w:tblpPr w:leftFromText="180" w:rightFromText="180" w:vertAnchor="text" w:horzAnchor="page" w:tblpX="2481" w:tblpY="891"/>
        <w:tblOverlap w:val="never"/>
        <w:tblW w:w="0" w:type="auto"/>
        <w:tblInd w:w="0" w:type="dxa"/>
        <w:tblLayout w:type="fixed"/>
        <w:tblCellMar>
          <w:top w:w="0" w:type="dxa"/>
          <w:left w:w="108" w:type="dxa"/>
          <w:bottom w:w="0" w:type="dxa"/>
          <w:right w:w="108" w:type="dxa"/>
        </w:tblCellMar>
      </w:tblPr>
      <w:tblGrid>
        <w:gridCol w:w="5886"/>
      </w:tblGrid>
      <w:tr w14:paraId="0558CE61">
        <w:tblPrEx>
          <w:tblCellMar>
            <w:top w:w="0" w:type="dxa"/>
            <w:left w:w="108" w:type="dxa"/>
            <w:bottom w:w="0" w:type="dxa"/>
            <w:right w:w="108" w:type="dxa"/>
          </w:tblCellMar>
        </w:tblPrEx>
        <w:trPr>
          <w:trHeight w:val="2686" w:hRule="atLeast"/>
        </w:trPr>
        <w:tc>
          <w:tcPr>
            <w:tcW w:w="5886" w:type="dxa"/>
            <w:tcBorders>
              <w:top w:val="single" w:color="auto" w:sz="4" w:space="0"/>
              <w:left w:val="single" w:color="auto" w:sz="4" w:space="0"/>
              <w:bottom w:val="single" w:color="auto" w:sz="4" w:space="0"/>
              <w:right w:val="single" w:color="auto" w:sz="4" w:space="0"/>
            </w:tcBorders>
          </w:tcPr>
          <w:p w14:paraId="354BAA88">
            <w:pPr>
              <w:pStyle w:val="52"/>
              <w:adjustRightInd w:val="0"/>
              <w:snapToGrid w:val="0"/>
              <w:spacing w:line="360" w:lineRule="auto"/>
              <w:ind w:left="5250" w:firstLine="420" w:firstLineChars="200"/>
              <w:rPr>
                <w:rFonts w:ascii="宋体" w:hAnsi="宋体" w:cs="宋体"/>
                <w:color w:val="000000" w:themeColor="text1"/>
                <w:szCs w:val="21"/>
                <w:highlight w:val="none"/>
                <w14:textFill>
                  <w14:solidFill>
                    <w14:schemeClr w14:val="tx1"/>
                  </w14:solidFill>
                </w14:textFill>
              </w:rPr>
            </w:pPr>
          </w:p>
          <w:p w14:paraId="18AF3338">
            <w:pPr>
              <w:pStyle w:val="52"/>
              <w:adjustRightInd w:val="0"/>
              <w:snapToGrid w:val="0"/>
              <w:spacing w:line="360" w:lineRule="auto"/>
              <w:ind w:firstLine="210"/>
              <w:jc w:val="center"/>
              <w:rPr>
                <w:rFonts w:ascii="宋体" w:hAnsi="宋体" w:cs="宋体"/>
                <w:color w:val="000000" w:themeColor="text1"/>
                <w:szCs w:val="21"/>
                <w:highlight w:val="none"/>
                <w14:textFill>
                  <w14:solidFill>
                    <w14:schemeClr w14:val="tx1"/>
                  </w14:solidFill>
                </w14:textFill>
              </w:rPr>
            </w:pPr>
          </w:p>
          <w:p w14:paraId="1992792A">
            <w:pPr>
              <w:pStyle w:val="52"/>
              <w:adjustRightInd w:val="0"/>
              <w:snapToGrid w:val="0"/>
              <w:spacing w:line="360" w:lineRule="auto"/>
              <w:ind w:firstLine="21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法定代表人身份证复制件及委托代理人身份证复制件</w:t>
            </w:r>
          </w:p>
          <w:p w14:paraId="2BA81E75">
            <w:pPr>
              <w:pStyle w:val="52"/>
              <w:adjustRightInd w:val="0"/>
              <w:snapToGrid w:val="0"/>
              <w:spacing w:line="360" w:lineRule="auto"/>
              <w:ind w:left="5250" w:firstLine="420" w:firstLineChars="200"/>
              <w:rPr>
                <w:rFonts w:ascii="宋体" w:hAnsi="宋体" w:cs="宋体"/>
                <w:color w:val="000000" w:themeColor="text1"/>
                <w:szCs w:val="21"/>
                <w:highlight w:val="none"/>
                <w14:textFill>
                  <w14:solidFill>
                    <w14:schemeClr w14:val="tx1"/>
                  </w14:solidFill>
                </w14:textFill>
              </w:rPr>
            </w:pPr>
          </w:p>
          <w:p w14:paraId="69AD5DD6">
            <w:pPr>
              <w:pStyle w:val="52"/>
              <w:adjustRightInd w:val="0"/>
              <w:snapToGrid w:val="0"/>
              <w:spacing w:line="360" w:lineRule="auto"/>
              <w:ind w:left="5250" w:firstLine="420" w:firstLineChars="200"/>
              <w:rPr>
                <w:rFonts w:ascii="宋体" w:hAnsi="宋体" w:cs="宋体"/>
                <w:color w:val="000000" w:themeColor="text1"/>
                <w:szCs w:val="21"/>
                <w:highlight w:val="none"/>
                <w14:textFill>
                  <w14:solidFill>
                    <w14:schemeClr w14:val="tx1"/>
                  </w14:solidFill>
                </w14:textFill>
              </w:rPr>
            </w:pPr>
          </w:p>
        </w:tc>
      </w:tr>
    </w:tbl>
    <w:p w14:paraId="19C74593">
      <w:pPr>
        <w:pStyle w:val="7"/>
        <w:spacing w:line="500" w:lineRule="exact"/>
        <w:ind w:firstLine="420" w:firstLineChars="200"/>
        <w:rPr>
          <w:color w:val="000000" w:themeColor="text1"/>
          <w:szCs w:val="21"/>
          <w:highlight w:val="none"/>
          <w14:textFill>
            <w14:solidFill>
              <w14:schemeClr w14:val="tx1"/>
            </w14:solidFill>
          </w14:textFill>
        </w:rPr>
      </w:pPr>
    </w:p>
    <w:p w14:paraId="072690E2">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p>
    <w:p w14:paraId="14784BC1">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p>
    <w:p w14:paraId="00296803">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p>
    <w:p w14:paraId="7F94E72A">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p>
    <w:p w14:paraId="317692CF">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p>
    <w:p w14:paraId="66DDC4D1">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p>
    <w:p w14:paraId="111EB749">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p>
    <w:p w14:paraId="6FDF7337">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附：法定代表人身份证明、法定代表人身份证复制件及委托代理人身份证复制件（正反双面）。</w:t>
      </w:r>
    </w:p>
    <w:p w14:paraId="34827A5E">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p>
    <w:p w14:paraId="0486F266">
      <w:pPr>
        <w:pStyle w:val="7"/>
        <w:spacing w:line="460" w:lineRule="exact"/>
        <w:ind w:firstLine="2520" w:firstLineChars="1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（盖单位公章）</w:t>
      </w:r>
    </w:p>
    <w:p w14:paraId="3276E856">
      <w:pPr>
        <w:pStyle w:val="7"/>
        <w:spacing w:line="460" w:lineRule="exact"/>
        <w:ind w:firstLine="2520" w:firstLineChars="1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w:t>
      </w:r>
    </w:p>
    <w:p w14:paraId="6B06EC08">
      <w:pPr>
        <w:pStyle w:val="7"/>
        <w:spacing w:line="460" w:lineRule="exact"/>
        <w:ind w:firstLine="2520" w:firstLineChars="1200"/>
        <w:rPr>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t>身份证</w:t>
      </w:r>
      <w:r>
        <w:rPr>
          <w:rFonts w:hint="eastAsia"/>
          <w:color w:val="000000" w:themeColor="text1"/>
          <w:szCs w:val="21"/>
          <w:highlight w:val="none"/>
          <w14:textFill>
            <w14:solidFill>
              <w14:schemeClr w14:val="tx1"/>
            </w14:solidFill>
          </w14:textFill>
        </w:rPr>
        <w:t>号码：</w:t>
      </w:r>
      <w:r>
        <w:rPr>
          <w:color w:val="000000" w:themeColor="text1"/>
          <w:szCs w:val="21"/>
          <w:highlight w:val="none"/>
          <w:u w:val="single"/>
          <w14:textFill>
            <w14:solidFill>
              <w14:schemeClr w14:val="tx1"/>
            </w14:solidFill>
          </w14:textFill>
        </w:rPr>
        <w:t xml:space="preserve">                                     </w:t>
      </w:r>
    </w:p>
    <w:p w14:paraId="0B060567">
      <w:pPr>
        <w:pStyle w:val="7"/>
        <w:spacing w:line="460" w:lineRule="exact"/>
        <w:rPr>
          <w:color w:val="000000" w:themeColor="text1"/>
          <w:szCs w:val="21"/>
          <w:highlight w:val="none"/>
          <w:u w:val="single"/>
          <w14:textFill>
            <w14:solidFill>
              <w14:schemeClr w14:val="tx1"/>
            </w14:solidFill>
          </w14:textFill>
        </w:rPr>
      </w:pPr>
    </w:p>
    <w:p w14:paraId="12B5755F">
      <w:pPr>
        <w:pStyle w:val="7"/>
        <w:spacing w:line="460" w:lineRule="exact"/>
        <w:ind w:firstLine="2520" w:firstLineChars="1200"/>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14:paraId="5FB8894E">
      <w:pPr>
        <w:spacing w:line="360" w:lineRule="auto"/>
        <w:ind w:firstLine="420" w:firstLineChars="200"/>
        <w:rPr>
          <w:color w:val="000000" w:themeColor="text1"/>
          <w:szCs w:val="21"/>
          <w:highlight w:val="none"/>
          <w14:textFill>
            <w14:solidFill>
              <w14:schemeClr w14:val="tx1"/>
            </w14:solidFill>
          </w14:textFill>
        </w:rPr>
      </w:pPr>
    </w:p>
    <w:p w14:paraId="7ADD449E">
      <w:pPr>
        <w:pStyle w:val="51"/>
        <w:spacing w:line="240" w:lineRule="exact"/>
        <w:outlineLvl w:val="9"/>
        <w:rPr>
          <w:rFonts w:ascii="宋体" w:hAnsi="宋体" w:eastAsia="宋体"/>
          <w:b/>
          <w:bCs/>
          <w:color w:val="000000" w:themeColor="text1"/>
          <w:sz w:val="24"/>
          <w:szCs w:val="24"/>
          <w:highlight w:val="none"/>
          <w14:textFill>
            <w14:solidFill>
              <w14:schemeClr w14:val="tx1"/>
            </w14:solidFill>
          </w14:textFill>
        </w:rPr>
      </w:pPr>
      <w:bookmarkStart w:id="1510" w:name="_Toc16512"/>
      <w:bookmarkStart w:id="1511" w:name="_Toc6206"/>
      <w:bookmarkStart w:id="1512" w:name="_Toc29951"/>
      <w:bookmarkStart w:id="1513" w:name="_Toc98785412"/>
      <w:bookmarkStart w:id="1514" w:name="_Toc11636"/>
      <w:bookmarkStart w:id="1515" w:name="_Toc18385"/>
      <w:bookmarkStart w:id="1516" w:name="_Toc23271"/>
      <w:bookmarkStart w:id="1517" w:name="_Toc11034"/>
      <w:bookmarkStart w:id="1518" w:name="_Toc18946"/>
      <w:bookmarkStart w:id="1519" w:name="_Toc892"/>
      <w:bookmarkStart w:id="1520" w:name="_Toc119585559"/>
      <w:bookmarkStart w:id="1521" w:name="_Toc10022"/>
      <w:bookmarkStart w:id="1522" w:name="_Toc118195918"/>
      <w:bookmarkStart w:id="1523" w:name="_Toc27797"/>
      <w:bookmarkStart w:id="1524" w:name="_Toc4393"/>
      <w:bookmarkStart w:id="1525" w:name="_Toc1340"/>
      <w:bookmarkStart w:id="1526" w:name="_Toc29888"/>
      <w:bookmarkStart w:id="1527" w:name="_Toc20736"/>
      <w:bookmarkStart w:id="1528" w:name="_Toc120624298"/>
      <w:bookmarkStart w:id="1529" w:name="_Toc27711"/>
    </w:p>
    <w:p w14:paraId="260633E8">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530" w:name="_Toc28552"/>
      <w:r>
        <w:rPr>
          <w:rFonts w:hint="eastAsia" w:ascii="宋体" w:hAnsi="宋体" w:eastAsia="宋体"/>
          <w:b/>
          <w:bCs/>
          <w:color w:val="000000" w:themeColor="text1"/>
          <w:sz w:val="24"/>
          <w:szCs w:val="24"/>
          <w:highlight w:val="none"/>
          <w14:textFill>
            <w14:solidFill>
              <w14:schemeClr w14:val="tx1"/>
            </w14:solidFill>
          </w14:textFill>
        </w:rPr>
        <w:t>（二）法定代表人身份证明</w:t>
      </w:r>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p>
    <w:p w14:paraId="5269E6A9">
      <w:pPr>
        <w:pStyle w:val="7"/>
        <w:spacing w:line="460" w:lineRule="exact"/>
        <w:rPr>
          <w:rFonts w:ascii="宋体" w:hAnsi="宋体" w:cs="宋体"/>
          <w:color w:val="000000" w:themeColor="text1"/>
          <w:szCs w:val="21"/>
          <w:highlight w:val="none"/>
          <w14:textFill>
            <w14:solidFill>
              <w14:schemeClr w14:val="tx1"/>
            </w14:solidFill>
          </w14:textFill>
        </w:rPr>
      </w:pPr>
    </w:p>
    <w:p w14:paraId="6FBD1FE1">
      <w:pPr>
        <w:pStyle w:val="7"/>
        <w:spacing w:line="5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w:t>
      </w:r>
    </w:p>
    <w:p w14:paraId="0F4C284A">
      <w:pPr>
        <w:pStyle w:val="7"/>
        <w:spacing w:line="5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姓名：</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性别：</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年龄：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职务：</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系</w:t>
      </w:r>
      <w:r>
        <w:rPr>
          <w:rFonts w:hint="eastAsia"/>
          <w:color w:val="000000" w:themeColor="text1"/>
          <w:szCs w:val="21"/>
          <w:highlight w:val="none"/>
          <w:u w:val="single"/>
          <w14:textFill>
            <w14:solidFill>
              <w14:schemeClr w14:val="tx1"/>
            </w14:solidFill>
          </w14:textFill>
        </w:rPr>
        <w:t xml:space="preserve">  （投标人名称）</w:t>
      </w:r>
      <w:r>
        <w:rPr>
          <w:rFonts w:hint="eastAsia"/>
          <w:color w:val="000000" w:themeColor="text1"/>
          <w:szCs w:val="21"/>
          <w:highlight w:val="none"/>
          <w14:textFill>
            <w14:solidFill>
              <w14:schemeClr w14:val="tx1"/>
            </w14:solidFill>
          </w14:textFill>
        </w:rPr>
        <w:t>的法定代表人。</w:t>
      </w:r>
    </w:p>
    <w:p w14:paraId="77E06C94">
      <w:pPr>
        <w:pStyle w:val="7"/>
        <w:spacing w:line="50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特此证明。</w:t>
      </w:r>
    </w:p>
    <w:p w14:paraId="58873F65">
      <w:pPr>
        <w:pStyle w:val="7"/>
        <w:spacing w:line="500" w:lineRule="exact"/>
        <w:rPr>
          <w:color w:val="000000" w:themeColor="text1"/>
          <w:szCs w:val="21"/>
          <w:highlight w:val="none"/>
          <w14:textFill>
            <w14:solidFill>
              <w14:schemeClr w14:val="tx1"/>
            </w14:solidFill>
          </w14:textFill>
        </w:rPr>
      </w:pPr>
    </w:p>
    <w:p w14:paraId="2E45DC1A">
      <w:pPr>
        <w:pStyle w:val="7"/>
        <w:spacing w:line="5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附：法定代表人身份证复制件（正反双面）。</w:t>
      </w:r>
    </w:p>
    <w:p w14:paraId="2DB4914B">
      <w:pPr>
        <w:pStyle w:val="7"/>
        <w:spacing w:line="460" w:lineRule="exact"/>
        <w:rPr>
          <w:color w:val="000000" w:themeColor="text1"/>
          <w:szCs w:val="21"/>
          <w:highlight w:val="none"/>
          <w14:textFill>
            <w14:solidFill>
              <w14:schemeClr w14:val="tx1"/>
            </w14:solidFill>
          </w14:textFill>
        </w:rPr>
      </w:pPr>
    </w:p>
    <w:p w14:paraId="2112112A">
      <w:pPr>
        <w:pStyle w:val="52"/>
        <w:spacing w:line="460" w:lineRule="exact"/>
        <w:ind w:firstLine="21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投标人：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（盖单位公章）</w:t>
      </w:r>
    </w:p>
    <w:p w14:paraId="6620F813">
      <w:pPr>
        <w:pStyle w:val="52"/>
        <w:spacing w:line="460" w:lineRule="exact"/>
        <w:ind w:firstLine="2520" w:firstLineChars="1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w:t>
      </w:r>
    </w:p>
    <w:p w14:paraId="74D5D03E">
      <w:pPr>
        <w:pStyle w:val="52"/>
        <w:spacing w:line="460" w:lineRule="exact"/>
        <w:ind w:firstLine="21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日         </w:t>
      </w:r>
    </w:p>
    <w:p w14:paraId="4671EBD8">
      <w:pPr>
        <w:pStyle w:val="52"/>
        <w:spacing w:line="360" w:lineRule="auto"/>
        <w:ind w:firstLine="210"/>
        <w:rPr>
          <w:color w:val="000000" w:themeColor="text1"/>
          <w:szCs w:val="21"/>
          <w:highlight w:val="none"/>
          <w14:textFill>
            <w14:solidFill>
              <w14:schemeClr w14:val="tx1"/>
            </w14:solidFill>
          </w14:textFill>
        </w:rPr>
      </w:pPr>
    </w:p>
    <w:tbl>
      <w:tblPr>
        <w:tblStyle w:val="28"/>
        <w:tblW w:w="0" w:type="auto"/>
        <w:tblInd w:w="2088" w:type="dxa"/>
        <w:tblLayout w:type="fixed"/>
        <w:tblCellMar>
          <w:top w:w="0" w:type="dxa"/>
          <w:left w:w="108" w:type="dxa"/>
          <w:bottom w:w="0" w:type="dxa"/>
          <w:right w:w="108" w:type="dxa"/>
        </w:tblCellMar>
      </w:tblPr>
      <w:tblGrid>
        <w:gridCol w:w="5886"/>
      </w:tblGrid>
      <w:tr w14:paraId="2D97E155">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14:paraId="7E283AC0">
            <w:pPr>
              <w:pStyle w:val="52"/>
              <w:adjustRightInd w:val="0"/>
              <w:snapToGrid w:val="0"/>
              <w:spacing w:line="360" w:lineRule="auto"/>
              <w:ind w:left="5250"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p>
          <w:p w14:paraId="2AD52B5E">
            <w:pPr>
              <w:pStyle w:val="52"/>
              <w:adjustRightInd w:val="0"/>
              <w:snapToGrid w:val="0"/>
              <w:spacing w:line="360" w:lineRule="auto"/>
              <w:ind w:firstLine="21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法定代表人身份证复制件</w:t>
            </w:r>
          </w:p>
          <w:p w14:paraId="57E40821">
            <w:pPr>
              <w:pStyle w:val="52"/>
              <w:adjustRightInd w:val="0"/>
              <w:snapToGrid w:val="0"/>
              <w:spacing w:line="360" w:lineRule="auto"/>
              <w:ind w:left="5250" w:firstLine="420" w:firstLineChars="200"/>
              <w:rPr>
                <w:color w:val="000000" w:themeColor="text1"/>
                <w:szCs w:val="21"/>
                <w:highlight w:val="none"/>
                <w14:textFill>
                  <w14:solidFill>
                    <w14:schemeClr w14:val="tx1"/>
                  </w14:solidFill>
                </w14:textFill>
              </w:rPr>
            </w:pPr>
          </w:p>
          <w:p w14:paraId="614AB25D">
            <w:pPr>
              <w:pStyle w:val="52"/>
              <w:adjustRightInd w:val="0"/>
              <w:snapToGrid w:val="0"/>
              <w:spacing w:line="360" w:lineRule="auto"/>
              <w:ind w:left="5250" w:firstLine="420" w:firstLineChars="200"/>
              <w:rPr>
                <w:color w:val="000000" w:themeColor="text1"/>
                <w:szCs w:val="21"/>
                <w:highlight w:val="none"/>
                <w14:textFill>
                  <w14:solidFill>
                    <w14:schemeClr w14:val="tx1"/>
                  </w14:solidFill>
                </w14:textFill>
              </w:rPr>
            </w:pPr>
          </w:p>
          <w:p w14:paraId="19F1E77A">
            <w:pPr>
              <w:pStyle w:val="52"/>
              <w:adjustRightInd w:val="0"/>
              <w:snapToGrid w:val="0"/>
              <w:spacing w:line="360" w:lineRule="auto"/>
              <w:ind w:left="5250" w:firstLine="420" w:firstLineChars="200"/>
              <w:rPr>
                <w:color w:val="000000" w:themeColor="text1"/>
                <w:szCs w:val="21"/>
                <w:highlight w:val="none"/>
                <w14:textFill>
                  <w14:solidFill>
                    <w14:schemeClr w14:val="tx1"/>
                  </w14:solidFill>
                </w14:textFill>
              </w:rPr>
            </w:pPr>
          </w:p>
          <w:p w14:paraId="1D9D4E3B">
            <w:pPr>
              <w:pStyle w:val="52"/>
              <w:adjustRightInd w:val="0"/>
              <w:snapToGrid w:val="0"/>
              <w:spacing w:line="360" w:lineRule="auto"/>
              <w:ind w:left="5250" w:firstLine="420" w:firstLineChars="200"/>
              <w:rPr>
                <w:color w:val="000000" w:themeColor="text1"/>
                <w:szCs w:val="21"/>
                <w:highlight w:val="none"/>
                <w14:textFill>
                  <w14:solidFill>
                    <w14:schemeClr w14:val="tx1"/>
                  </w14:solidFill>
                </w14:textFill>
              </w:rPr>
            </w:pPr>
          </w:p>
        </w:tc>
      </w:tr>
    </w:tbl>
    <w:p w14:paraId="4C9B61B2">
      <w:pPr>
        <w:pStyle w:val="52"/>
        <w:spacing w:line="360" w:lineRule="auto"/>
        <w:rPr>
          <w:rFonts w:ascii="宋体" w:hAnsi="宋体" w:cs="宋体"/>
          <w:color w:val="000000" w:themeColor="text1"/>
          <w:sz w:val="20"/>
          <w:szCs w:val="20"/>
          <w:highlight w:val="none"/>
          <w14:textFill>
            <w14:solidFill>
              <w14:schemeClr w14:val="tx1"/>
            </w14:solidFill>
          </w14:textFill>
        </w:rPr>
      </w:pPr>
    </w:p>
    <w:p w14:paraId="68A7C0DD">
      <w:pPr>
        <w:pStyle w:val="7"/>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7B2655B7">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bookmarkStart w:id="1531" w:name="_Toc98785414"/>
      <w:bookmarkStart w:id="1532" w:name="_Toc120624300"/>
      <w:bookmarkStart w:id="1533" w:name="_Toc118195920"/>
      <w:bookmarkStart w:id="1534" w:name="_Toc10789"/>
      <w:bookmarkStart w:id="1535" w:name="_Toc119585561"/>
      <w:bookmarkStart w:id="1536" w:name="_Toc28305"/>
      <w:bookmarkStart w:id="1537" w:name="_Toc26840"/>
      <w:bookmarkStart w:id="1538" w:name="_Toc16201"/>
      <w:bookmarkStart w:id="1539" w:name="_Toc19264"/>
      <w:bookmarkStart w:id="1540" w:name="_Toc8645"/>
      <w:bookmarkStart w:id="1541" w:name="_Toc15540"/>
      <w:bookmarkStart w:id="1542" w:name="_Toc16026"/>
      <w:bookmarkStart w:id="1543" w:name="_Toc24323"/>
      <w:bookmarkStart w:id="1544" w:name="_Toc13743"/>
      <w:bookmarkStart w:id="1545" w:name="_Toc31898"/>
      <w:bookmarkStart w:id="1546" w:name="_Toc2143"/>
      <w:bookmarkStart w:id="1547" w:name="_Toc15848"/>
      <w:bookmarkStart w:id="1548" w:name="_Toc20810"/>
      <w:bookmarkStart w:id="1549" w:name="_Toc3210"/>
      <w:r>
        <w:rPr>
          <w:rFonts w:hint="eastAsia" w:ascii="宋体" w:hAnsi="宋体"/>
          <w:b/>
          <w:bCs/>
          <w:color w:val="000000" w:themeColor="text1"/>
          <w:sz w:val="32"/>
          <w:szCs w:val="32"/>
          <w:highlight w:val="none"/>
          <w14:textFill>
            <w14:solidFill>
              <w14:schemeClr w14:val="tx1"/>
            </w14:solidFill>
          </w14:textFill>
        </w:rPr>
        <w:t>三、投标保证金</w:t>
      </w:r>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p>
    <w:p w14:paraId="25141544">
      <w:pPr>
        <w:pStyle w:val="7"/>
        <w:spacing w:line="240" w:lineRule="exact"/>
        <w:rPr>
          <w:rFonts w:ascii="宋体" w:hAnsi="宋体" w:cs="宋体"/>
          <w:color w:val="000000" w:themeColor="text1"/>
          <w:szCs w:val="21"/>
          <w:highlight w:val="none"/>
          <w14:textFill>
            <w14:solidFill>
              <w14:schemeClr w14:val="tx1"/>
            </w14:solidFill>
          </w14:textFill>
        </w:rPr>
      </w:pPr>
    </w:p>
    <w:p w14:paraId="3239CF7E">
      <w:pPr>
        <w:pStyle w:val="50"/>
        <w:spacing w:before="0" w:line="240" w:lineRule="exact"/>
        <w:jc w:val="center"/>
        <w:outlineLvl w:val="9"/>
        <w:rPr>
          <w:rFonts w:ascii="宋体" w:hAnsi="宋体"/>
          <w:color w:val="000000" w:themeColor="text1"/>
          <w:sz w:val="36"/>
          <w:szCs w:val="36"/>
          <w:highlight w:val="none"/>
          <w14:textFill>
            <w14:solidFill>
              <w14:schemeClr w14:val="tx1"/>
            </w14:solidFill>
          </w14:textFill>
        </w:rPr>
      </w:pPr>
      <w:bookmarkStart w:id="1550" w:name="_Toc7867"/>
      <w:bookmarkStart w:id="1551" w:name="_Toc21890"/>
      <w:bookmarkStart w:id="1552" w:name="_Toc16225"/>
      <w:bookmarkStart w:id="1553" w:name="_Toc15797"/>
      <w:bookmarkStart w:id="1554" w:name="_Toc119585562"/>
      <w:bookmarkStart w:id="1555" w:name="_Toc118195921"/>
      <w:bookmarkStart w:id="1556" w:name="_Toc12146"/>
      <w:bookmarkStart w:id="1557" w:name="_Toc18846"/>
      <w:bookmarkStart w:id="1558" w:name="_Toc445"/>
      <w:bookmarkStart w:id="1559" w:name="_Toc10799"/>
      <w:bookmarkStart w:id="1560" w:name="_Toc120624301"/>
      <w:bookmarkStart w:id="1561" w:name="_Toc5937"/>
      <w:bookmarkStart w:id="1562" w:name="_Toc31869"/>
      <w:bookmarkStart w:id="1563" w:name="_Toc352"/>
      <w:bookmarkStart w:id="1564" w:name="_Toc24669"/>
      <w:bookmarkStart w:id="1565" w:name="_Toc1885"/>
    </w:p>
    <w:p w14:paraId="2EB8B789">
      <w:pPr>
        <w:widowControl/>
        <w:spacing w:line="360" w:lineRule="auto"/>
        <w:ind w:firstLine="210" w:firstLineChars="100"/>
        <w:jc w:val="left"/>
        <w:rPr>
          <w:rFonts w:hint="eastAsia"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t>1.</w:t>
      </w:r>
      <w:r>
        <w:rPr>
          <w:rFonts w:hint="eastAsia" w:ascii="Calibri" w:hAnsi="Calibri"/>
          <w:color w:val="000000" w:themeColor="text1"/>
          <w:szCs w:val="21"/>
          <w:highlight w:val="none"/>
          <w14:textFill>
            <w14:solidFill>
              <w14:schemeClr w14:val="tx1"/>
            </w14:solidFill>
          </w14:textFill>
        </w:rPr>
        <w:t xml:space="preserve">投标人按招标文件投标人须知第 </w:t>
      </w:r>
      <w:r>
        <w:rPr>
          <w:rFonts w:ascii="Calibri" w:hAnsi="Calibri"/>
          <w:color w:val="000000" w:themeColor="text1"/>
          <w:szCs w:val="21"/>
          <w:highlight w:val="none"/>
          <w14:textFill>
            <w14:solidFill>
              <w14:schemeClr w14:val="tx1"/>
            </w14:solidFill>
          </w14:textFill>
        </w:rPr>
        <w:t xml:space="preserve">3.4 </w:t>
      </w:r>
      <w:r>
        <w:rPr>
          <w:rFonts w:hint="eastAsia" w:ascii="Calibri" w:hAnsi="Calibri"/>
          <w:color w:val="000000" w:themeColor="text1"/>
          <w:szCs w:val="21"/>
          <w:highlight w:val="none"/>
          <w14:textFill>
            <w14:solidFill>
              <w14:schemeClr w14:val="tx1"/>
            </w14:solidFill>
          </w14:textFill>
        </w:rPr>
        <w:t xml:space="preserve">款规定缴纳投标保证金。 </w:t>
      </w:r>
    </w:p>
    <w:p w14:paraId="496959C0">
      <w:pPr>
        <w:rPr>
          <w:rFonts w:hint="eastAsia" w:ascii="Calibri" w:hAnsi="Calibri"/>
          <w:color w:val="000000" w:themeColor="text1"/>
          <w:szCs w:val="21"/>
          <w:highlight w:val="none"/>
          <w14:textFill>
            <w14:solidFill>
              <w14:schemeClr w14:val="tx1"/>
            </w14:solidFill>
          </w14:textFill>
        </w:rPr>
      </w:pPr>
      <w:r>
        <w:rPr>
          <w:rFonts w:hint="eastAsia" w:ascii="Calibri" w:hAnsi="Calibri"/>
          <w:color w:val="000000" w:themeColor="text1"/>
          <w:szCs w:val="21"/>
          <w:highlight w:val="none"/>
          <w14:textFill>
            <w14:solidFill>
              <w14:schemeClr w14:val="tx1"/>
            </w14:solidFill>
          </w14:textFill>
        </w:rPr>
        <w:br w:type="page"/>
      </w:r>
    </w:p>
    <w:p w14:paraId="5B77F1AD">
      <w:pPr>
        <w:pStyle w:val="50"/>
        <w:spacing w:before="0" w:line="240" w:lineRule="exact"/>
        <w:jc w:val="center"/>
        <w:outlineLvl w:val="9"/>
        <w:rPr>
          <w:rFonts w:hint="eastAsia" w:ascii="宋体" w:hAnsi="宋体"/>
          <w:b/>
          <w:bCs/>
          <w:color w:val="000000" w:themeColor="text1"/>
          <w:sz w:val="32"/>
          <w:szCs w:val="32"/>
          <w:highlight w:val="none"/>
          <w14:textFill>
            <w14:solidFill>
              <w14:schemeClr w14:val="tx1"/>
            </w14:solidFill>
          </w14:textFill>
        </w:rPr>
      </w:pPr>
    </w:p>
    <w:p w14:paraId="46D9B5D7">
      <w:pPr>
        <w:pStyle w:val="50"/>
        <w:numPr>
          <w:ilvl w:val="0"/>
          <w:numId w:val="0"/>
        </w:numPr>
        <w:spacing w:before="60" w:after="60" w:line="460" w:lineRule="exact"/>
        <w:jc w:val="center"/>
        <w:outlineLvl w:val="2"/>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kern w:val="0"/>
          <w:sz w:val="32"/>
          <w:szCs w:val="32"/>
          <w:lang w:val="en-US" w:eastAsia="zh-CN" w:bidi="ar-SA"/>
          <w14:textFill>
            <w14:solidFill>
              <w14:schemeClr w14:val="tx1"/>
            </w14:solidFill>
          </w14:textFill>
        </w:rPr>
        <w:t>四、</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施工组织设计</w:t>
      </w:r>
    </w:p>
    <w:p w14:paraId="66D76A74">
      <w:pPr>
        <w:pStyle w:val="50"/>
        <w:numPr>
          <w:ilvl w:val="0"/>
          <w:numId w:val="0"/>
        </w:numPr>
        <w:spacing w:before="60" w:after="60" w:line="460" w:lineRule="exact"/>
        <w:ind w:firstLine="420" w:firstLineChars="200"/>
        <w:jc w:val="both"/>
        <w:outlineLvl w:val="9"/>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p>
    <w:p w14:paraId="1C1A0CB8">
      <w:pPr>
        <w:pStyle w:val="50"/>
        <w:numPr>
          <w:ilvl w:val="0"/>
          <w:numId w:val="0"/>
        </w:numPr>
        <w:spacing w:before="60" w:after="60" w:line="460" w:lineRule="exact"/>
        <w:ind w:firstLine="420" w:firstLineChars="200"/>
        <w:jc w:val="both"/>
        <w:outlineLvl w:val="9"/>
        <w:rPr>
          <w:rFonts w:ascii="宋体" w:hAnsi="宋体"/>
          <w:color w:val="000000" w:themeColor="text1"/>
          <w:sz w:val="36"/>
          <w:szCs w:val="36"/>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由投标人自行填写。</w:t>
      </w:r>
      <w:r>
        <w:rPr>
          <w:rFonts w:hint="eastAsia" w:ascii="宋体" w:hAnsi="宋体"/>
          <w:color w:val="000000" w:themeColor="text1"/>
          <w:sz w:val="36"/>
          <w:szCs w:val="36"/>
          <w:highlight w:val="none"/>
          <w14:textFill>
            <w14:solidFill>
              <w14:schemeClr w14:val="tx1"/>
            </w14:solidFill>
          </w14:textFill>
        </w:rPr>
        <w:br w:type="page"/>
      </w:r>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Start w:id="1566" w:name="_Toc120624310"/>
      <w:bookmarkStart w:id="1567" w:name="_Toc7953"/>
      <w:bookmarkStart w:id="1568" w:name="_Toc29583"/>
      <w:bookmarkStart w:id="1569" w:name="_Toc26894"/>
      <w:bookmarkStart w:id="1570" w:name="_Toc98785424"/>
      <w:bookmarkStart w:id="1571" w:name="_Toc30730"/>
      <w:bookmarkStart w:id="1572" w:name="_Toc31054"/>
      <w:bookmarkStart w:id="1573" w:name="_Toc26226"/>
      <w:bookmarkStart w:id="1574" w:name="_Toc15529"/>
      <w:bookmarkStart w:id="1575" w:name="_Toc16725"/>
      <w:bookmarkStart w:id="1576" w:name="_Toc8136"/>
      <w:bookmarkStart w:id="1577" w:name="_Toc118195930"/>
      <w:bookmarkStart w:id="1578" w:name="_Toc8222"/>
      <w:bookmarkStart w:id="1579" w:name="_Toc21921"/>
      <w:bookmarkStart w:id="1580" w:name="_Toc6115"/>
      <w:bookmarkStart w:id="1581" w:name="_Toc11798"/>
      <w:bookmarkStart w:id="1582" w:name="_Toc119585571"/>
      <w:bookmarkStart w:id="1583" w:name="_Toc31662"/>
      <w:bookmarkStart w:id="1584" w:name="_Toc13327"/>
    </w:p>
    <w:p w14:paraId="18BDC5C1">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bookmarkStart w:id="1585" w:name="_Toc4091"/>
      <w:r>
        <w:rPr>
          <w:rFonts w:hint="eastAsia" w:ascii="宋体" w:hAnsi="宋体"/>
          <w:b/>
          <w:bCs/>
          <w:color w:val="000000" w:themeColor="text1"/>
          <w:sz w:val="32"/>
          <w:szCs w:val="32"/>
          <w:highlight w:val="none"/>
          <w:lang w:val="en-US" w:eastAsia="zh-CN"/>
          <w14:textFill>
            <w14:solidFill>
              <w14:schemeClr w14:val="tx1"/>
            </w14:solidFill>
          </w14:textFill>
        </w:rPr>
        <w:t>五</w:t>
      </w:r>
      <w:r>
        <w:rPr>
          <w:rFonts w:hint="eastAsia" w:ascii="宋体" w:hAnsi="宋体"/>
          <w:b/>
          <w:bCs/>
          <w:color w:val="000000" w:themeColor="text1"/>
          <w:sz w:val="32"/>
          <w:szCs w:val="32"/>
          <w:highlight w:val="none"/>
          <w14:textFill>
            <w14:solidFill>
              <w14:schemeClr w14:val="tx1"/>
            </w14:solidFill>
          </w14:textFill>
        </w:rPr>
        <w:t>、项目管理机构</w:t>
      </w:r>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p>
    <w:p w14:paraId="79A41C3B">
      <w:pPr>
        <w:pStyle w:val="50"/>
        <w:spacing w:before="0" w:line="240" w:lineRule="exact"/>
        <w:outlineLvl w:val="9"/>
        <w:rPr>
          <w:rFonts w:ascii="宋体" w:hAnsi="宋体"/>
          <w:color w:val="000000" w:themeColor="text1"/>
          <w:sz w:val="36"/>
          <w:szCs w:val="36"/>
          <w:highlight w:val="none"/>
          <w14:textFill>
            <w14:solidFill>
              <w14:schemeClr w14:val="tx1"/>
            </w14:solidFill>
          </w14:textFill>
        </w:rPr>
      </w:pPr>
    </w:p>
    <w:tbl>
      <w:tblPr>
        <w:tblStyle w:val="28"/>
        <w:tblW w:w="494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20"/>
      </w:tblGrid>
      <w:tr w14:paraId="3609CE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7910" w:hRule="atLeast"/>
        </w:trPr>
        <w:tc>
          <w:tcPr>
            <w:tcW w:w="5000" w:type="pct"/>
          </w:tcPr>
          <w:p w14:paraId="1E221C9B">
            <w:pPr>
              <w:pStyle w:val="7"/>
              <w:spacing w:line="360" w:lineRule="auto"/>
              <w:rPr>
                <w:rFonts w:ascii="宋体" w:hAnsi="宋体" w:cs="宋体"/>
                <w:color w:val="000000" w:themeColor="text1"/>
                <w:szCs w:val="21"/>
                <w:highlight w:val="none"/>
                <w14:textFill>
                  <w14:solidFill>
                    <w14:schemeClr w14:val="tx1"/>
                  </w14:solidFill>
                </w14:textFill>
              </w:rPr>
            </w:pPr>
          </w:p>
          <w:p w14:paraId="01A49985">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拟为承包本标段工程设立的组织机构以框图方式表示。</w:t>
            </w:r>
          </w:p>
        </w:tc>
      </w:tr>
      <w:tr w14:paraId="1D0D91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1" w:hRule="atLeast"/>
        </w:trPr>
        <w:tc>
          <w:tcPr>
            <w:tcW w:w="5000" w:type="pct"/>
          </w:tcPr>
          <w:p w14:paraId="3447EE90">
            <w:pPr>
              <w:pStyle w:val="7"/>
              <w:spacing w:line="360" w:lineRule="auto"/>
              <w:rPr>
                <w:rFonts w:ascii="宋体" w:hAnsi="宋体" w:cs="宋体"/>
                <w:color w:val="000000" w:themeColor="text1"/>
                <w:szCs w:val="21"/>
                <w:highlight w:val="none"/>
                <w14:textFill>
                  <w14:solidFill>
                    <w14:schemeClr w14:val="tx1"/>
                  </w14:solidFill>
                </w14:textFill>
              </w:rPr>
            </w:pPr>
          </w:p>
          <w:p w14:paraId="3415EA82">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w:t>
            </w:r>
          </w:p>
        </w:tc>
      </w:tr>
    </w:tbl>
    <w:p w14:paraId="6B3B6595">
      <w:pPr>
        <w:pStyle w:val="7"/>
        <w:topLinePunct/>
        <w:spacing w:line="360" w:lineRule="auto"/>
        <w:rPr>
          <w:rFonts w:ascii="宋体" w:hAnsi="宋体" w:cs="宋体"/>
          <w:color w:val="000000" w:themeColor="text1"/>
          <w:highlight w:val="none"/>
          <w14:textFill>
            <w14:solidFill>
              <w14:schemeClr w14:val="tx1"/>
            </w14:solidFill>
          </w14:textFill>
        </w:rPr>
      </w:pPr>
    </w:p>
    <w:p w14:paraId="4068B5F2">
      <w:pPr>
        <w:pStyle w:val="50"/>
        <w:spacing w:before="0" w:line="240" w:lineRule="exact"/>
        <w:jc w:val="center"/>
        <w:outlineLvl w:val="9"/>
        <w:rPr>
          <w:rFonts w:ascii="宋体" w:hAnsi="宋体"/>
          <w:color w:val="000000" w:themeColor="text1"/>
          <w:sz w:val="36"/>
          <w:szCs w:val="36"/>
          <w:highlight w:val="none"/>
          <w14:textFill>
            <w14:solidFill>
              <w14:schemeClr w14:val="tx1"/>
            </w14:solidFill>
          </w14:textFill>
        </w:rPr>
      </w:pPr>
      <w:bookmarkStart w:id="1586" w:name="_Toc23885"/>
      <w:bookmarkStart w:id="1587" w:name="_Toc120624311"/>
      <w:bookmarkStart w:id="1588" w:name="_Toc950"/>
      <w:bookmarkStart w:id="1589" w:name="_Toc98785425"/>
      <w:bookmarkStart w:id="1590" w:name="_Toc13709"/>
      <w:bookmarkStart w:id="1591" w:name="_Toc23472"/>
      <w:bookmarkStart w:id="1592" w:name="_Toc12272"/>
      <w:bookmarkStart w:id="1593" w:name="_Toc119585572"/>
      <w:bookmarkStart w:id="1594" w:name="_Toc15701"/>
      <w:bookmarkStart w:id="1595" w:name="_Toc7933"/>
      <w:bookmarkStart w:id="1596" w:name="_Toc29374"/>
      <w:bookmarkStart w:id="1597" w:name="_Toc15285"/>
      <w:bookmarkStart w:id="1598" w:name="_Toc3014"/>
      <w:bookmarkStart w:id="1599" w:name="_Toc1190"/>
      <w:bookmarkStart w:id="1600" w:name="_Toc22243"/>
      <w:bookmarkStart w:id="1601" w:name="_Toc10786"/>
      <w:bookmarkStart w:id="1602" w:name="_Toc118195931"/>
      <w:bookmarkStart w:id="1603" w:name="_Toc16471"/>
      <w:bookmarkStart w:id="1604" w:name="_Toc21998"/>
    </w:p>
    <w:p w14:paraId="6903DDC6">
      <w:pPr>
        <w:pStyle w:val="50"/>
        <w:spacing w:before="0" w:line="240" w:lineRule="exact"/>
        <w:jc w:val="center"/>
        <w:outlineLvl w:val="9"/>
        <w:rPr>
          <w:rFonts w:ascii="宋体" w:hAnsi="宋体"/>
          <w:color w:val="000000" w:themeColor="text1"/>
          <w:sz w:val="36"/>
          <w:szCs w:val="36"/>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r>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Start w:id="1605" w:name="_Toc120624312"/>
      <w:bookmarkStart w:id="1606" w:name="_Toc32351"/>
      <w:bookmarkStart w:id="1607" w:name="_Toc118195932"/>
      <w:bookmarkStart w:id="1608" w:name="_Toc9236"/>
      <w:bookmarkStart w:id="1609" w:name="_Toc31416"/>
      <w:bookmarkStart w:id="1610" w:name="_Toc5229"/>
      <w:bookmarkStart w:id="1611" w:name="_Toc25248"/>
      <w:bookmarkStart w:id="1612" w:name="_Toc119585573"/>
      <w:bookmarkStart w:id="1613" w:name="_Toc15414"/>
      <w:bookmarkStart w:id="1614" w:name="_Toc26682"/>
      <w:bookmarkStart w:id="1615" w:name="_Toc7680"/>
      <w:bookmarkStart w:id="1616" w:name="_Toc3085"/>
      <w:bookmarkStart w:id="1617" w:name="_Toc29551"/>
      <w:bookmarkStart w:id="1618" w:name="_Toc24629"/>
      <w:bookmarkStart w:id="1619" w:name="_Toc20136"/>
      <w:bookmarkStart w:id="1620" w:name="_Toc98785426"/>
      <w:bookmarkStart w:id="1621" w:name="_Toc13455"/>
      <w:bookmarkStart w:id="1622" w:name="_Toc17275"/>
      <w:bookmarkStart w:id="1623" w:name="_Toc14437"/>
    </w:p>
    <w:p w14:paraId="1E19D899">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bookmarkStart w:id="1624" w:name="_Toc19918"/>
      <w:r>
        <w:rPr>
          <w:rFonts w:hint="eastAsia" w:ascii="宋体" w:hAnsi="宋体"/>
          <w:b/>
          <w:bCs/>
          <w:color w:val="000000" w:themeColor="text1"/>
          <w:sz w:val="32"/>
          <w:szCs w:val="32"/>
          <w:highlight w:val="none"/>
          <w:lang w:val="en-US" w:eastAsia="zh-CN"/>
          <w14:textFill>
            <w14:solidFill>
              <w14:schemeClr w14:val="tx1"/>
            </w14:solidFill>
          </w14:textFill>
        </w:rPr>
        <w:t>六</w:t>
      </w:r>
      <w:r>
        <w:rPr>
          <w:rFonts w:hint="eastAsia" w:ascii="宋体" w:hAnsi="宋体"/>
          <w:b/>
          <w:bCs/>
          <w:color w:val="000000" w:themeColor="text1"/>
          <w:sz w:val="32"/>
          <w:szCs w:val="32"/>
          <w:highlight w:val="none"/>
          <w14:textFill>
            <w14:solidFill>
              <w14:schemeClr w14:val="tx1"/>
            </w14:solidFill>
          </w14:textFill>
        </w:rPr>
        <w:t>、资格审查资料</w:t>
      </w:r>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p>
    <w:p w14:paraId="026AC7E4">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625" w:name="_Toc26534"/>
      <w:bookmarkStart w:id="1626" w:name="_Toc16626"/>
      <w:bookmarkStart w:id="1627" w:name="_Toc30119"/>
      <w:bookmarkStart w:id="1628" w:name="_Toc16027"/>
      <w:bookmarkStart w:id="1629" w:name="_Toc23589"/>
      <w:bookmarkStart w:id="1630" w:name="_Toc22433"/>
      <w:bookmarkStart w:id="1631" w:name="_Toc31472"/>
      <w:bookmarkStart w:id="1632" w:name="_Toc118195933"/>
      <w:bookmarkStart w:id="1633" w:name="_Toc22846"/>
      <w:bookmarkStart w:id="1634" w:name="_Toc26435"/>
      <w:bookmarkStart w:id="1635" w:name="_Toc32193"/>
      <w:bookmarkStart w:id="1636" w:name="_Toc120624313"/>
      <w:bookmarkStart w:id="1637" w:name="_Toc6480"/>
      <w:bookmarkStart w:id="1638" w:name="_Toc119585574"/>
      <w:bookmarkStart w:id="1639" w:name="_Toc14818"/>
      <w:bookmarkStart w:id="1640" w:name="_Toc98785427"/>
      <w:bookmarkStart w:id="1641" w:name="_Toc24295"/>
      <w:bookmarkStart w:id="1642" w:name="_Toc30035"/>
      <w:bookmarkStart w:id="1643" w:name="_Toc8637"/>
      <w:bookmarkStart w:id="1644" w:name="_Toc3849"/>
      <w:r>
        <w:rPr>
          <w:rFonts w:hint="eastAsia" w:ascii="宋体" w:hAnsi="宋体" w:eastAsia="宋体"/>
          <w:b/>
          <w:bCs/>
          <w:color w:val="000000" w:themeColor="text1"/>
          <w:sz w:val="24"/>
          <w:szCs w:val="24"/>
          <w:highlight w:val="none"/>
          <w14:textFill>
            <w14:solidFill>
              <w14:schemeClr w14:val="tx1"/>
            </w14:solidFill>
          </w14:textFill>
        </w:rPr>
        <w:t>（一）投标人基本情况表</w:t>
      </w:r>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p>
    <w:p w14:paraId="72C0D50F">
      <w:pPr>
        <w:pStyle w:val="7"/>
        <w:spacing w:line="240" w:lineRule="exact"/>
        <w:jc w:val="center"/>
        <w:rPr>
          <w:rFonts w:ascii="宋体" w:hAnsi="宋体" w:cs="宋体"/>
          <w:b/>
          <w:bCs/>
          <w:color w:val="000000" w:themeColor="text1"/>
          <w:sz w:val="24"/>
          <w:highlight w:val="none"/>
          <w14:textFill>
            <w14:solidFill>
              <w14:schemeClr w14:val="tx1"/>
            </w14:solidFill>
          </w14:textFill>
        </w:rPr>
      </w:pPr>
    </w:p>
    <w:tbl>
      <w:tblPr>
        <w:tblStyle w:val="28"/>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28"/>
        <w:gridCol w:w="1080"/>
        <w:gridCol w:w="1260"/>
        <w:gridCol w:w="720"/>
        <w:gridCol w:w="540"/>
        <w:gridCol w:w="1260"/>
        <w:gridCol w:w="180"/>
        <w:gridCol w:w="720"/>
        <w:gridCol w:w="1620"/>
      </w:tblGrid>
      <w:tr w14:paraId="71E18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12" w:space="0"/>
              <w:left w:val="single" w:color="auto" w:sz="12" w:space="0"/>
              <w:bottom w:val="single" w:color="auto" w:sz="6" w:space="0"/>
              <w:right w:val="single" w:color="auto" w:sz="6" w:space="0"/>
            </w:tcBorders>
            <w:vAlign w:val="center"/>
          </w:tcPr>
          <w:p w14:paraId="26F7D314">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投标人名称</w:t>
            </w:r>
          </w:p>
        </w:tc>
        <w:tc>
          <w:tcPr>
            <w:tcW w:w="7380" w:type="dxa"/>
            <w:gridSpan w:val="8"/>
            <w:tcBorders>
              <w:top w:val="single" w:color="auto" w:sz="12" w:space="0"/>
              <w:left w:val="single" w:color="auto" w:sz="6" w:space="0"/>
              <w:bottom w:val="single" w:color="auto" w:sz="6" w:space="0"/>
              <w:right w:val="single" w:color="auto" w:sz="12" w:space="0"/>
            </w:tcBorders>
            <w:vAlign w:val="center"/>
          </w:tcPr>
          <w:p w14:paraId="09142FD3">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C42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266308AF">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注册地址</w:t>
            </w:r>
          </w:p>
        </w:tc>
        <w:tc>
          <w:tcPr>
            <w:tcW w:w="3600" w:type="dxa"/>
            <w:gridSpan w:val="4"/>
            <w:tcBorders>
              <w:top w:val="single" w:color="auto" w:sz="6" w:space="0"/>
              <w:left w:val="single" w:color="auto" w:sz="6" w:space="0"/>
              <w:bottom w:val="single" w:color="auto" w:sz="6" w:space="0"/>
              <w:right w:val="single" w:color="auto" w:sz="6" w:space="0"/>
            </w:tcBorders>
            <w:vAlign w:val="center"/>
          </w:tcPr>
          <w:p w14:paraId="1257D6ED">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0FA94A79">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邮政编码</w:t>
            </w:r>
          </w:p>
        </w:tc>
        <w:tc>
          <w:tcPr>
            <w:tcW w:w="2520" w:type="dxa"/>
            <w:gridSpan w:val="3"/>
            <w:tcBorders>
              <w:top w:val="single" w:color="auto" w:sz="6" w:space="0"/>
              <w:left w:val="single" w:color="auto" w:sz="6" w:space="0"/>
              <w:bottom w:val="single" w:color="auto" w:sz="6" w:space="0"/>
              <w:right w:val="single" w:color="auto" w:sz="12" w:space="0"/>
            </w:tcBorders>
            <w:vAlign w:val="center"/>
          </w:tcPr>
          <w:p w14:paraId="6F8A2BE8">
            <w:pPr>
              <w:pStyle w:val="7"/>
              <w:spacing w:line="340" w:lineRule="exact"/>
              <w:jc w:val="center"/>
              <w:rPr>
                <w:rFonts w:ascii="宋体" w:hAnsi="宋体" w:cs="宋体"/>
                <w:color w:val="000000" w:themeColor="text1"/>
                <w:highlight w:val="none"/>
                <w14:textFill>
                  <w14:solidFill>
                    <w14:schemeClr w14:val="tx1"/>
                  </w14:solidFill>
                </w14:textFill>
              </w:rPr>
            </w:pPr>
          </w:p>
        </w:tc>
      </w:tr>
      <w:tr w14:paraId="3C7A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vMerge w:val="restart"/>
            <w:tcBorders>
              <w:top w:val="single" w:color="auto" w:sz="6" w:space="0"/>
              <w:left w:val="single" w:color="auto" w:sz="12" w:space="0"/>
              <w:bottom w:val="single" w:color="auto" w:sz="6" w:space="0"/>
              <w:right w:val="single" w:color="auto" w:sz="6" w:space="0"/>
            </w:tcBorders>
            <w:vAlign w:val="center"/>
          </w:tcPr>
          <w:p w14:paraId="47DF1A27">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联系方式</w:t>
            </w:r>
          </w:p>
        </w:tc>
        <w:tc>
          <w:tcPr>
            <w:tcW w:w="1080" w:type="dxa"/>
            <w:tcBorders>
              <w:top w:val="single" w:color="auto" w:sz="6" w:space="0"/>
              <w:left w:val="single" w:color="auto" w:sz="6" w:space="0"/>
              <w:bottom w:val="single" w:color="auto" w:sz="6" w:space="0"/>
              <w:right w:val="single" w:color="auto" w:sz="6" w:space="0"/>
            </w:tcBorders>
            <w:vAlign w:val="center"/>
          </w:tcPr>
          <w:p w14:paraId="33DEEE4D">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联系人</w:t>
            </w:r>
          </w:p>
        </w:tc>
        <w:tc>
          <w:tcPr>
            <w:tcW w:w="2520" w:type="dxa"/>
            <w:gridSpan w:val="3"/>
            <w:tcBorders>
              <w:top w:val="single" w:color="auto" w:sz="6" w:space="0"/>
              <w:left w:val="single" w:color="auto" w:sz="6" w:space="0"/>
              <w:bottom w:val="single" w:color="auto" w:sz="6" w:space="0"/>
              <w:right w:val="single" w:color="auto" w:sz="6" w:space="0"/>
            </w:tcBorders>
            <w:vAlign w:val="center"/>
          </w:tcPr>
          <w:p w14:paraId="2BE96041">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41120435">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话</w:t>
            </w:r>
          </w:p>
        </w:tc>
        <w:tc>
          <w:tcPr>
            <w:tcW w:w="2520" w:type="dxa"/>
            <w:gridSpan w:val="3"/>
            <w:tcBorders>
              <w:top w:val="single" w:color="auto" w:sz="6" w:space="0"/>
              <w:left w:val="single" w:color="auto" w:sz="6" w:space="0"/>
              <w:bottom w:val="single" w:color="auto" w:sz="6" w:space="0"/>
              <w:right w:val="single" w:color="auto" w:sz="12" w:space="0"/>
            </w:tcBorders>
            <w:vAlign w:val="center"/>
          </w:tcPr>
          <w:p w14:paraId="742F46C5">
            <w:pPr>
              <w:pStyle w:val="7"/>
              <w:spacing w:line="340" w:lineRule="exact"/>
              <w:jc w:val="center"/>
              <w:rPr>
                <w:rFonts w:ascii="宋体" w:hAnsi="宋体" w:cs="宋体"/>
                <w:color w:val="000000" w:themeColor="text1"/>
                <w:highlight w:val="none"/>
                <w14:textFill>
                  <w14:solidFill>
                    <w14:schemeClr w14:val="tx1"/>
                  </w14:solidFill>
                </w14:textFill>
              </w:rPr>
            </w:pPr>
          </w:p>
        </w:tc>
      </w:tr>
      <w:tr w14:paraId="6AE25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vMerge w:val="continue"/>
            <w:tcBorders>
              <w:top w:val="single" w:color="auto" w:sz="6" w:space="0"/>
              <w:left w:val="single" w:color="auto" w:sz="12" w:space="0"/>
              <w:bottom w:val="single" w:color="auto" w:sz="6" w:space="0"/>
              <w:right w:val="single" w:color="auto" w:sz="6" w:space="0"/>
            </w:tcBorders>
            <w:vAlign w:val="center"/>
          </w:tcPr>
          <w:p w14:paraId="5A455EF4">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vAlign w:val="center"/>
          </w:tcPr>
          <w:p w14:paraId="5EB9AB48">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传真</w:t>
            </w:r>
          </w:p>
        </w:tc>
        <w:tc>
          <w:tcPr>
            <w:tcW w:w="2520" w:type="dxa"/>
            <w:gridSpan w:val="3"/>
            <w:tcBorders>
              <w:top w:val="single" w:color="auto" w:sz="6" w:space="0"/>
              <w:left w:val="single" w:color="auto" w:sz="6" w:space="0"/>
              <w:bottom w:val="single" w:color="auto" w:sz="6" w:space="0"/>
              <w:right w:val="single" w:color="auto" w:sz="6" w:space="0"/>
            </w:tcBorders>
            <w:vAlign w:val="center"/>
          </w:tcPr>
          <w:p w14:paraId="1A22A636">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638FB3B3">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电子邮件</w:t>
            </w:r>
          </w:p>
        </w:tc>
        <w:tc>
          <w:tcPr>
            <w:tcW w:w="2520" w:type="dxa"/>
            <w:gridSpan w:val="3"/>
            <w:tcBorders>
              <w:top w:val="single" w:color="auto" w:sz="6" w:space="0"/>
              <w:left w:val="single" w:color="auto" w:sz="6" w:space="0"/>
              <w:bottom w:val="single" w:color="auto" w:sz="6" w:space="0"/>
              <w:right w:val="single" w:color="auto" w:sz="12" w:space="0"/>
            </w:tcBorders>
            <w:vAlign w:val="center"/>
          </w:tcPr>
          <w:p w14:paraId="5E639FD2">
            <w:pPr>
              <w:pStyle w:val="7"/>
              <w:spacing w:line="340" w:lineRule="exact"/>
              <w:jc w:val="center"/>
              <w:rPr>
                <w:rFonts w:ascii="宋体" w:hAnsi="宋体" w:cs="宋体"/>
                <w:color w:val="000000" w:themeColor="text1"/>
                <w:highlight w:val="none"/>
                <w14:textFill>
                  <w14:solidFill>
                    <w14:schemeClr w14:val="tx1"/>
                  </w14:solidFill>
                </w14:textFill>
              </w:rPr>
            </w:pPr>
          </w:p>
        </w:tc>
      </w:tr>
      <w:tr w14:paraId="6911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3D49C583">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w:t>
            </w:r>
          </w:p>
        </w:tc>
        <w:tc>
          <w:tcPr>
            <w:tcW w:w="1080" w:type="dxa"/>
            <w:tcBorders>
              <w:top w:val="single" w:color="auto" w:sz="6" w:space="0"/>
              <w:left w:val="single" w:color="auto" w:sz="6" w:space="0"/>
              <w:bottom w:val="single" w:color="auto" w:sz="6" w:space="0"/>
              <w:right w:val="single" w:color="auto" w:sz="6" w:space="0"/>
            </w:tcBorders>
            <w:vAlign w:val="center"/>
          </w:tcPr>
          <w:p w14:paraId="4865E05C">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姓名</w:t>
            </w:r>
          </w:p>
        </w:tc>
        <w:tc>
          <w:tcPr>
            <w:tcW w:w="1260" w:type="dxa"/>
            <w:tcBorders>
              <w:top w:val="single" w:color="auto" w:sz="6" w:space="0"/>
              <w:left w:val="single" w:color="auto" w:sz="6" w:space="0"/>
              <w:bottom w:val="single" w:color="auto" w:sz="6" w:space="0"/>
              <w:right w:val="single" w:color="auto" w:sz="6" w:space="0"/>
            </w:tcBorders>
            <w:vAlign w:val="center"/>
          </w:tcPr>
          <w:p w14:paraId="36E716B1">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260" w:type="dxa"/>
            <w:gridSpan w:val="2"/>
            <w:tcBorders>
              <w:top w:val="single" w:color="auto" w:sz="6" w:space="0"/>
              <w:left w:val="single" w:color="auto" w:sz="6" w:space="0"/>
              <w:bottom w:val="single" w:color="auto" w:sz="6" w:space="0"/>
              <w:right w:val="single" w:color="auto" w:sz="6" w:space="0"/>
            </w:tcBorders>
            <w:vAlign w:val="center"/>
          </w:tcPr>
          <w:p w14:paraId="3324F371">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技术职称</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72350AE3">
            <w:pPr>
              <w:pStyle w:val="7"/>
              <w:spacing w:line="340" w:lineRule="exact"/>
              <w:jc w:val="center"/>
              <w:rPr>
                <w:rFonts w:ascii="宋体" w:hAnsi="宋体" w:cs="宋体"/>
                <w:color w:val="000000" w:themeColor="text1"/>
                <w:highlight w:val="none"/>
                <w14:textFill>
                  <w14:solidFill>
                    <w14:schemeClr w14:val="tx1"/>
                  </w14:solidFill>
                </w14:textFill>
              </w:rPr>
            </w:pPr>
          </w:p>
        </w:tc>
        <w:tc>
          <w:tcPr>
            <w:tcW w:w="720" w:type="dxa"/>
            <w:tcBorders>
              <w:top w:val="single" w:color="auto" w:sz="6" w:space="0"/>
              <w:left w:val="single" w:color="auto" w:sz="6" w:space="0"/>
              <w:bottom w:val="single" w:color="auto" w:sz="6" w:space="0"/>
              <w:right w:val="single" w:color="auto" w:sz="6" w:space="0"/>
            </w:tcBorders>
            <w:vAlign w:val="center"/>
          </w:tcPr>
          <w:p w14:paraId="1D0A6167">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电话</w:t>
            </w:r>
          </w:p>
        </w:tc>
        <w:tc>
          <w:tcPr>
            <w:tcW w:w="1620" w:type="dxa"/>
            <w:tcBorders>
              <w:top w:val="single" w:color="auto" w:sz="6" w:space="0"/>
              <w:left w:val="single" w:color="auto" w:sz="6" w:space="0"/>
              <w:bottom w:val="single" w:color="auto" w:sz="6" w:space="0"/>
              <w:right w:val="single" w:color="auto" w:sz="12" w:space="0"/>
            </w:tcBorders>
            <w:vAlign w:val="center"/>
          </w:tcPr>
          <w:p w14:paraId="5F60A09E">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254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57584AA3">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技术负责人</w:t>
            </w:r>
          </w:p>
        </w:tc>
        <w:tc>
          <w:tcPr>
            <w:tcW w:w="1080" w:type="dxa"/>
            <w:tcBorders>
              <w:top w:val="single" w:color="auto" w:sz="6" w:space="0"/>
              <w:left w:val="single" w:color="auto" w:sz="6" w:space="0"/>
              <w:bottom w:val="single" w:color="auto" w:sz="6" w:space="0"/>
              <w:right w:val="single" w:color="auto" w:sz="6" w:space="0"/>
            </w:tcBorders>
            <w:vAlign w:val="center"/>
          </w:tcPr>
          <w:p w14:paraId="06685FE5">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姓名</w:t>
            </w:r>
          </w:p>
        </w:tc>
        <w:tc>
          <w:tcPr>
            <w:tcW w:w="1260" w:type="dxa"/>
            <w:tcBorders>
              <w:top w:val="single" w:color="auto" w:sz="6" w:space="0"/>
              <w:left w:val="single" w:color="auto" w:sz="6" w:space="0"/>
              <w:bottom w:val="single" w:color="auto" w:sz="6" w:space="0"/>
              <w:right w:val="single" w:color="auto" w:sz="6" w:space="0"/>
            </w:tcBorders>
            <w:vAlign w:val="center"/>
          </w:tcPr>
          <w:p w14:paraId="23A4DB65">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260" w:type="dxa"/>
            <w:gridSpan w:val="2"/>
            <w:tcBorders>
              <w:top w:val="single" w:color="auto" w:sz="6" w:space="0"/>
              <w:left w:val="single" w:color="auto" w:sz="6" w:space="0"/>
              <w:bottom w:val="single" w:color="auto" w:sz="6" w:space="0"/>
              <w:right w:val="single" w:color="auto" w:sz="6" w:space="0"/>
            </w:tcBorders>
            <w:vAlign w:val="center"/>
          </w:tcPr>
          <w:p w14:paraId="2D95D72C">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技术职称</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70E06418">
            <w:pPr>
              <w:pStyle w:val="7"/>
              <w:spacing w:line="340" w:lineRule="exact"/>
              <w:jc w:val="center"/>
              <w:rPr>
                <w:rFonts w:ascii="宋体" w:hAnsi="宋体" w:cs="宋体"/>
                <w:color w:val="000000" w:themeColor="text1"/>
                <w:highlight w:val="none"/>
                <w14:textFill>
                  <w14:solidFill>
                    <w14:schemeClr w14:val="tx1"/>
                  </w14:solidFill>
                </w14:textFill>
              </w:rPr>
            </w:pPr>
          </w:p>
        </w:tc>
        <w:tc>
          <w:tcPr>
            <w:tcW w:w="720" w:type="dxa"/>
            <w:tcBorders>
              <w:top w:val="single" w:color="auto" w:sz="6" w:space="0"/>
              <w:left w:val="single" w:color="auto" w:sz="6" w:space="0"/>
              <w:bottom w:val="single" w:color="auto" w:sz="6" w:space="0"/>
              <w:right w:val="single" w:color="auto" w:sz="6" w:space="0"/>
            </w:tcBorders>
            <w:vAlign w:val="center"/>
          </w:tcPr>
          <w:p w14:paraId="7BD0A814">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电话</w:t>
            </w:r>
          </w:p>
        </w:tc>
        <w:tc>
          <w:tcPr>
            <w:tcW w:w="1620" w:type="dxa"/>
            <w:tcBorders>
              <w:top w:val="single" w:color="auto" w:sz="6" w:space="0"/>
              <w:left w:val="single" w:color="auto" w:sz="6" w:space="0"/>
              <w:bottom w:val="single" w:color="auto" w:sz="6" w:space="0"/>
              <w:right w:val="single" w:color="auto" w:sz="12" w:space="0"/>
            </w:tcBorders>
            <w:vAlign w:val="center"/>
          </w:tcPr>
          <w:p w14:paraId="0522B63E">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5B0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1CC03247">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营业执照号</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7AE8C5D2">
            <w:pPr>
              <w:pStyle w:val="7"/>
              <w:spacing w:line="340" w:lineRule="exact"/>
              <w:jc w:val="center"/>
              <w:rPr>
                <w:rFonts w:ascii="宋体" w:hAnsi="宋体" w:cs="宋体"/>
                <w:color w:val="000000" w:themeColor="text1"/>
                <w:highlight w:val="none"/>
                <w14:textFill>
                  <w14:solidFill>
                    <w14:schemeClr w14:val="tx1"/>
                  </w14:solidFill>
                </w14:textFill>
              </w:rPr>
            </w:pPr>
          </w:p>
        </w:tc>
        <w:tc>
          <w:tcPr>
            <w:tcW w:w="5040" w:type="dxa"/>
            <w:gridSpan w:val="6"/>
            <w:tcBorders>
              <w:top w:val="single" w:color="auto" w:sz="6" w:space="0"/>
              <w:left w:val="single" w:color="auto" w:sz="6" w:space="0"/>
              <w:bottom w:val="single" w:color="auto" w:sz="6" w:space="0"/>
              <w:right w:val="single" w:color="auto" w:sz="12" w:space="0"/>
            </w:tcBorders>
            <w:vAlign w:val="center"/>
          </w:tcPr>
          <w:p w14:paraId="104A6AB7">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员工总人数：</w:t>
            </w:r>
          </w:p>
        </w:tc>
      </w:tr>
      <w:tr w14:paraId="5230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6C885620">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企业资质等级</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649CDA27">
            <w:pPr>
              <w:pStyle w:val="7"/>
              <w:spacing w:line="340" w:lineRule="exact"/>
              <w:jc w:val="center"/>
              <w:rPr>
                <w:rFonts w:ascii="宋体" w:hAnsi="宋体" w:cs="宋体"/>
                <w:color w:val="000000" w:themeColor="text1"/>
                <w:highlight w:val="none"/>
                <w14:textFill>
                  <w14:solidFill>
                    <w14:schemeClr w14:val="tx1"/>
                  </w14:solidFill>
                </w14:textFill>
              </w:rPr>
            </w:pPr>
          </w:p>
        </w:tc>
        <w:tc>
          <w:tcPr>
            <w:tcW w:w="720" w:type="dxa"/>
            <w:vMerge w:val="restart"/>
            <w:tcBorders>
              <w:top w:val="single" w:color="auto" w:sz="6" w:space="0"/>
              <w:left w:val="single" w:color="auto" w:sz="6" w:space="0"/>
              <w:bottom w:val="single" w:color="auto" w:sz="6" w:space="0"/>
              <w:right w:val="single" w:color="auto" w:sz="6" w:space="0"/>
            </w:tcBorders>
            <w:vAlign w:val="center"/>
          </w:tcPr>
          <w:p w14:paraId="2BB76CD7">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其中</w:t>
            </w: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6E9BAEB4">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项目经理</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1AC1E80C">
            <w:pPr>
              <w:pStyle w:val="7"/>
              <w:spacing w:line="340" w:lineRule="exact"/>
              <w:jc w:val="center"/>
              <w:rPr>
                <w:rFonts w:ascii="宋体" w:hAnsi="宋体" w:cs="宋体"/>
                <w:color w:val="000000" w:themeColor="text1"/>
                <w:highlight w:val="none"/>
                <w14:textFill>
                  <w14:solidFill>
                    <w14:schemeClr w14:val="tx1"/>
                  </w14:solidFill>
                </w14:textFill>
              </w:rPr>
            </w:pPr>
          </w:p>
        </w:tc>
      </w:tr>
      <w:tr w14:paraId="57EC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771D2634">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注册资本</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A614E7B">
            <w:pPr>
              <w:pStyle w:val="7"/>
              <w:spacing w:line="340" w:lineRule="exact"/>
              <w:jc w:val="center"/>
              <w:rPr>
                <w:rFonts w:ascii="宋体" w:hAnsi="宋体" w:cs="宋体"/>
                <w:color w:val="000000" w:themeColor="text1"/>
                <w:highlight w:val="none"/>
                <w14:textFill>
                  <w14:solidFill>
                    <w14:schemeClr w14:val="tx1"/>
                  </w14:solidFill>
                </w14:textFill>
              </w:rPr>
            </w:pPr>
          </w:p>
        </w:tc>
        <w:tc>
          <w:tcPr>
            <w:tcW w:w="720" w:type="dxa"/>
            <w:vMerge w:val="continue"/>
            <w:tcBorders>
              <w:top w:val="single" w:color="auto" w:sz="6" w:space="0"/>
              <w:left w:val="single" w:color="auto" w:sz="6" w:space="0"/>
              <w:bottom w:val="single" w:color="auto" w:sz="6" w:space="0"/>
              <w:right w:val="single" w:color="auto" w:sz="6" w:space="0"/>
            </w:tcBorders>
            <w:vAlign w:val="center"/>
          </w:tcPr>
          <w:p w14:paraId="63C8B6C6">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3B531151">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高级职称人员</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7EEEBA04">
            <w:pPr>
              <w:pStyle w:val="7"/>
              <w:spacing w:line="340" w:lineRule="exact"/>
              <w:jc w:val="center"/>
              <w:rPr>
                <w:rFonts w:ascii="宋体" w:hAnsi="宋体" w:cs="宋体"/>
                <w:color w:val="000000" w:themeColor="text1"/>
                <w:highlight w:val="none"/>
                <w14:textFill>
                  <w14:solidFill>
                    <w14:schemeClr w14:val="tx1"/>
                  </w14:solidFill>
                </w14:textFill>
              </w:rPr>
            </w:pPr>
          </w:p>
        </w:tc>
      </w:tr>
      <w:tr w14:paraId="0B9E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56BA2C35">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成立日期</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7E29CC8D">
            <w:pPr>
              <w:pStyle w:val="7"/>
              <w:spacing w:line="340" w:lineRule="exact"/>
              <w:jc w:val="center"/>
              <w:rPr>
                <w:rFonts w:ascii="宋体" w:hAnsi="宋体" w:cs="宋体"/>
                <w:color w:val="000000" w:themeColor="text1"/>
                <w:highlight w:val="none"/>
                <w14:textFill>
                  <w14:solidFill>
                    <w14:schemeClr w14:val="tx1"/>
                  </w14:solidFill>
                </w14:textFill>
              </w:rPr>
            </w:pPr>
          </w:p>
        </w:tc>
        <w:tc>
          <w:tcPr>
            <w:tcW w:w="720" w:type="dxa"/>
            <w:vMerge w:val="continue"/>
            <w:tcBorders>
              <w:top w:val="single" w:color="auto" w:sz="6" w:space="0"/>
              <w:left w:val="single" w:color="auto" w:sz="6" w:space="0"/>
              <w:bottom w:val="single" w:color="auto" w:sz="6" w:space="0"/>
              <w:right w:val="single" w:color="auto" w:sz="6" w:space="0"/>
            </w:tcBorders>
            <w:vAlign w:val="center"/>
          </w:tcPr>
          <w:p w14:paraId="2DD2A912">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6EC04011">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中级职称人员</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6158F2F7">
            <w:pPr>
              <w:pStyle w:val="7"/>
              <w:spacing w:line="340" w:lineRule="exact"/>
              <w:jc w:val="center"/>
              <w:rPr>
                <w:rFonts w:ascii="宋体" w:hAnsi="宋体" w:cs="宋体"/>
                <w:color w:val="000000" w:themeColor="text1"/>
                <w:highlight w:val="none"/>
                <w14:textFill>
                  <w14:solidFill>
                    <w14:schemeClr w14:val="tx1"/>
                  </w14:solidFill>
                </w14:textFill>
              </w:rPr>
            </w:pPr>
          </w:p>
        </w:tc>
      </w:tr>
      <w:tr w14:paraId="0582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564123AE">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基本账户开户银行</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52A1ADAF">
            <w:pPr>
              <w:pStyle w:val="7"/>
              <w:spacing w:line="340" w:lineRule="exact"/>
              <w:jc w:val="center"/>
              <w:rPr>
                <w:rFonts w:ascii="宋体" w:hAnsi="宋体" w:cs="宋体"/>
                <w:color w:val="000000" w:themeColor="text1"/>
                <w:highlight w:val="none"/>
                <w14:textFill>
                  <w14:solidFill>
                    <w14:schemeClr w14:val="tx1"/>
                  </w14:solidFill>
                </w14:textFill>
              </w:rPr>
            </w:pPr>
          </w:p>
        </w:tc>
        <w:tc>
          <w:tcPr>
            <w:tcW w:w="720" w:type="dxa"/>
            <w:vMerge w:val="continue"/>
            <w:tcBorders>
              <w:top w:val="single" w:color="auto" w:sz="6" w:space="0"/>
              <w:left w:val="single" w:color="auto" w:sz="6" w:space="0"/>
              <w:bottom w:val="single" w:color="auto" w:sz="6" w:space="0"/>
              <w:right w:val="single" w:color="auto" w:sz="6" w:space="0"/>
            </w:tcBorders>
            <w:vAlign w:val="center"/>
          </w:tcPr>
          <w:p w14:paraId="2F09E023">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0C0E6C07">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初级职称人员</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25A48267">
            <w:pPr>
              <w:pStyle w:val="7"/>
              <w:spacing w:line="340" w:lineRule="exact"/>
              <w:jc w:val="center"/>
              <w:rPr>
                <w:rFonts w:ascii="宋体" w:hAnsi="宋体" w:cs="宋体"/>
                <w:color w:val="000000" w:themeColor="text1"/>
                <w:highlight w:val="none"/>
                <w14:textFill>
                  <w14:solidFill>
                    <w14:schemeClr w14:val="tx1"/>
                  </w14:solidFill>
                </w14:textFill>
              </w:rPr>
            </w:pPr>
          </w:p>
        </w:tc>
      </w:tr>
      <w:tr w14:paraId="6FE1F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03EB4440">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基本账户银行账号</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15A34CB3">
            <w:pPr>
              <w:pStyle w:val="7"/>
              <w:spacing w:line="340" w:lineRule="exact"/>
              <w:jc w:val="center"/>
              <w:rPr>
                <w:rFonts w:ascii="宋体" w:hAnsi="宋体" w:cs="宋体"/>
                <w:color w:val="000000" w:themeColor="text1"/>
                <w:highlight w:val="none"/>
                <w14:textFill>
                  <w14:solidFill>
                    <w14:schemeClr w14:val="tx1"/>
                  </w14:solidFill>
                </w14:textFill>
              </w:rPr>
            </w:pPr>
          </w:p>
        </w:tc>
        <w:tc>
          <w:tcPr>
            <w:tcW w:w="720" w:type="dxa"/>
            <w:vMerge w:val="continue"/>
            <w:tcBorders>
              <w:top w:val="single" w:color="auto" w:sz="6" w:space="0"/>
              <w:left w:val="single" w:color="auto" w:sz="6" w:space="0"/>
              <w:bottom w:val="single" w:color="auto" w:sz="6" w:space="0"/>
              <w:right w:val="single" w:color="auto" w:sz="6" w:space="0"/>
            </w:tcBorders>
            <w:vAlign w:val="center"/>
          </w:tcPr>
          <w:p w14:paraId="1827ED9D">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390F0CEF">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技工</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5163E6B2">
            <w:pPr>
              <w:pStyle w:val="7"/>
              <w:spacing w:line="340" w:lineRule="exact"/>
              <w:jc w:val="center"/>
              <w:rPr>
                <w:rFonts w:ascii="宋体" w:hAnsi="宋体" w:cs="宋体"/>
                <w:color w:val="000000" w:themeColor="text1"/>
                <w:highlight w:val="none"/>
                <w14:textFill>
                  <w14:solidFill>
                    <w14:schemeClr w14:val="tx1"/>
                  </w14:solidFill>
                </w14:textFill>
              </w:rPr>
            </w:pPr>
          </w:p>
        </w:tc>
      </w:tr>
      <w:tr w14:paraId="3DBE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15" w:hRule="atLeast"/>
        </w:trPr>
        <w:tc>
          <w:tcPr>
            <w:tcW w:w="1828" w:type="dxa"/>
            <w:tcBorders>
              <w:top w:val="single" w:color="auto" w:sz="6" w:space="0"/>
              <w:left w:val="single" w:color="auto" w:sz="12" w:space="0"/>
              <w:bottom w:val="single" w:color="auto" w:sz="6" w:space="0"/>
              <w:right w:val="single" w:color="auto" w:sz="6" w:space="0"/>
            </w:tcBorders>
            <w:vAlign w:val="center"/>
          </w:tcPr>
          <w:p w14:paraId="11FE320A">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经营范围</w:t>
            </w:r>
          </w:p>
        </w:tc>
        <w:tc>
          <w:tcPr>
            <w:tcW w:w="7380" w:type="dxa"/>
            <w:gridSpan w:val="8"/>
            <w:tcBorders>
              <w:top w:val="single" w:color="auto" w:sz="6" w:space="0"/>
              <w:left w:val="single" w:color="auto" w:sz="6" w:space="0"/>
              <w:bottom w:val="single" w:color="auto" w:sz="6" w:space="0"/>
              <w:right w:val="single" w:color="auto" w:sz="12" w:space="0"/>
            </w:tcBorders>
            <w:vAlign w:val="center"/>
          </w:tcPr>
          <w:p w14:paraId="3D8649CE">
            <w:pPr>
              <w:pStyle w:val="7"/>
              <w:spacing w:line="340" w:lineRule="exact"/>
              <w:jc w:val="center"/>
              <w:rPr>
                <w:rFonts w:ascii="宋体" w:hAnsi="宋体" w:cs="宋体"/>
                <w:color w:val="000000" w:themeColor="text1"/>
                <w:highlight w:val="none"/>
                <w14:textFill>
                  <w14:solidFill>
                    <w14:schemeClr w14:val="tx1"/>
                  </w14:solidFill>
                </w14:textFill>
              </w:rPr>
            </w:pPr>
          </w:p>
        </w:tc>
      </w:tr>
      <w:tr w14:paraId="65194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231" w:hRule="atLeast"/>
        </w:trPr>
        <w:tc>
          <w:tcPr>
            <w:tcW w:w="1828" w:type="dxa"/>
            <w:tcBorders>
              <w:top w:val="single" w:color="auto" w:sz="6" w:space="0"/>
              <w:left w:val="single" w:color="auto" w:sz="12" w:space="0"/>
              <w:bottom w:val="single" w:color="auto" w:sz="6" w:space="0"/>
              <w:right w:val="single" w:color="auto" w:sz="6" w:space="0"/>
            </w:tcBorders>
            <w:vAlign w:val="center"/>
          </w:tcPr>
          <w:p w14:paraId="72057461">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投标人关联企业</w:t>
            </w:r>
          </w:p>
          <w:p w14:paraId="10AC2FED">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情况</w:t>
            </w:r>
          </w:p>
        </w:tc>
        <w:tc>
          <w:tcPr>
            <w:tcW w:w="7380" w:type="dxa"/>
            <w:gridSpan w:val="8"/>
            <w:tcBorders>
              <w:top w:val="single" w:color="auto" w:sz="6" w:space="0"/>
              <w:left w:val="single" w:color="auto" w:sz="6" w:space="0"/>
              <w:bottom w:val="single" w:color="auto" w:sz="6" w:space="0"/>
              <w:right w:val="single" w:color="auto" w:sz="12" w:space="0"/>
            </w:tcBorders>
            <w:vAlign w:val="center"/>
          </w:tcPr>
          <w:p w14:paraId="5D785BDC">
            <w:pPr>
              <w:pStyle w:val="7"/>
              <w:spacing w:line="3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投标人应提供关联企业情况，包括：</w:t>
            </w:r>
          </w:p>
          <w:p w14:paraId="12CCE752">
            <w:pPr>
              <w:pStyle w:val="7"/>
              <w:spacing w:line="3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1）投标人的所有股东名称及相应股权（出资额）比例；如投标人为上市公司，投标人应提供股权占公司股份总数10 %以上的所有股东名称及相应股权比例；</w:t>
            </w:r>
          </w:p>
          <w:p w14:paraId="1BA3E8B0">
            <w:pPr>
              <w:pStyle w:val="7"/>
              <w:spacing w:line="3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2）投标人投资（控股）或管理的下属企业名称、持有股权（出资额）比例；</w:t>
            </w:r>
          </w:p>
          <w:p w14:paraId="0BDF3A3E">
            <w:pPr>
              <w:pStyle w:val="7"/>
              <w:spacing w:line="3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3）与投标人单位负责人（即法定代表人）为同一人的其他单位名称。</w:t>
            </w:r>
          </w:p>
        </w:tc>
      </w:tr>
      <w:tr w14:paraId="3A1D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14" w:hRule="atLeast"/>
        </w:trPr>
        <w:tc>
          <w:tcPr>
            <w:tcW w:w="1828" w:type="dxa"/>
            <w:tcBorders>
              <w:top w:val="single" w:color="auto" w:sz="6" w:space="0"/>
              <w:left w:val="single" w:color="auto" w:sz="12" w:space="0"/>
              <w:bottom w:val="single" w:color="auto" w:sz="12" w:space="0"/>
              <w:right w:val="single" w:color="auto" w:sz="6" w:space="0"/>
            </w:tcBorders>
            <w:vAlign w:val="center"/>
          </w:tcPr>
          <w:p w14:paraId="4E03952C">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w:t>
            </w:r>
          </w:p>
        </w:tc>
        <w:tc>
          <w:tcPr>
            <w:tcW w:w="7380" w:type="dxa"/>
            <w:gridSpan w:val="8"/>
            <w:tcBorders>
              <w:top w:val="single" w:color="auto" w:sz="6" w:space="0"/>
              <w:left w:val="single" w:color="auto" w:sz="6" w:space="0"/>
              <w:bottom w:val="single" w:color="auto" w:sz="12" w:space="0"/>
              <w:right w:val="single" w:color="auto" w:sz="12" w:space="0"/>
            </w:tcBorders>
            <w:vAlign w:val="center"/>
          </w:tcPr>
          <w:p w14:paraId="347ACA58">
            <w:pPr>
              <w:pStyle w:val="7"/>
              <w:spacing w:line="340" w:lineRule="exact"/>
              <w:rPr>
                <w:rFonts w:ascii="宋体" w:hAnsi="宋体" w:cs="宋体"/>
                <w:color w:val="000000" w:themeColor="text1"/>
                <w:highlight w:val="none"/>
                <w14:textFill>
                  <w14:solidFill>
                    <w14:schemeClr w14:val="tx1"/>
                  </w14:solidFill>
                </w14:textFill>
              </w:rPr>
            </w:pPr>
          </w:p>
        </w:tc>
      </w:tr>
    </w:tbl>
    <w:p w14:paraId="4C4AAEE5">
      <w:pPr>
        <w:pStyle w:val="7"/>
        <w:spacing w:line="360" w:lineRule="auto"/>
        <w:ind w:left="945" w:leftChars="200" w:right="-153" w:rightChars="-73" w:hanging="525" w:hangingChars="25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ascii="宋体" w:hAnsi="宋体" w:cs="宋体"/>
          <w:color w:val="000000" w:themeColor="text1"/>
          <w:highlight w:val="none"/>
          <w14:textFill>
            <w14:solidFill>
              <w14:schemeClr w14:val="tx1"/>
            </w14:solidFill>
          </w14:textFill>
        </w:rPr>
        <w:t>1.投标人应根据招标文件第二章“投标人须知”第3.5.1项的要求在本表后附相关证明材料。</w:t>
      </w:r>
    </w:p>
    <w:p w14:paraId="51432797">
      <w:pPr>
        <w:pStyle w:val="7"/>
        <w:spacing w:line="240" w:lineRule="exact"/>
        <w:jc w:val="center"/>
        <w:rPr>
          <w:rFonts w:ascii="宋体" w:hAnsi="宋体" w:cs="宋体"/>
          <w:color w:val="000000" w:themeColor="text1"/>
          <w:highlight w:val="none"/>
          <w14:textFill>
            <w14:solidFill>
              <w14:schemeClr w14:val="tx1"/>
            </w14:solidFill>
          </w14:textFill>
        </w:rPr>
      </w:pPr>
    </w:p>
    <w:p w14:paraId="07D4E9F3">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645" w:name="_Toc12746"/>
      <w:bookmarkStart w:id="1646" w:name="_Toc118195934"/>
      <w:bookmarkStart w:id="1647" w:name="_Toc13585"/>
      <w:bookmarkStart w:id="1648" w:name="_Toc4870"/>
      <w:bookmarkStart w:id="1649" w:name="_Toc14035"/>
      <w:bookmarkStart w:id="1650" w:name="_Toc22196"/>
      <w:bookmarkStart w:id="1651" w:name="_Toc12562"/>
      <w:bookmarkStart w:id="1652" w:name="_Toc5269"/>
      <w:bookmarkStart w:id="1653" w:name="_Toc19786"/>
      <w:bookmarkStart w:id="1654" w:name="_Toc8113"/>
      <w:bookmarkStart w:id="1655" w:name="_Toc14280"/>
      <w:bookmarkStart w:id="1656" w:name="_Toc28605"/>
      <w:bookmarkStart w:id="1657" w:name="_Toc10528"/>
      <w:bookmarkStart w:id="1658" w:name="_Toc119585575"/>
      <w:bookmarkStart w:id="1659" w:name="_Toc8758"/>
      <w:bookmarkStart w:id="1660" w:name="_Toc12863"/>
      <w:bookmarkStart w:id="1661" w:name="_Toc120624314"/>
      <w:bookmarkStart w:id="1662" w:name="_Toc98785428"/>
      <w:bookmarkStart w:id="1663" w:name="_Toc12869"/>
      <w:bookmarkStart w:id="1664" w:name="_Toc14868"/>
      <w:r>
        <w:rPr>
          <w:rFonts w:hint="eastAsia" w:ascii="宋体" w:hAnsi="宋体" w:eastAsia="宋体"/>
          <w:b/>
          <w:bCs/>
          <w:color w:val="000000" w:themeColor="text1"/>
          <w:sz w:val="24"/>
          <w:szCs w:val="24"/>
          <w:highlight w:val="none"/>
          <w14:textFill>
            <w14:solidFill>
              <w14:schemeClr w14:val="tx1"/>
            </w14:solidFill>
          </w14:textFill>
        </w:rPr>
        <w:t>（二）投标人企业组织机构框图</w:t>
      </w:r>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p>
    <w:p w14:paraId="6A15BDDE">
      <w:pPr>
        <w:pStyle w:val="7"/>
        <w:keepNext/>
        <w:keepLines/>
        <w:spacing w:line="240" w:lineRule="exact"/>
        <w:jc w:val="center"/>
        <w:rPr>
          <w:rFonts w:ascii="宋体" w:hAnsi="宋体" w:cs="宋体"/>
          <w:b/>
          <w:bCs/>
          <w:color w:val="000000" w:themeColor="text1"/>
          <w:sz w:val="24"/>
          <w:szCs w:val="36"/>
          <w:highlight w:val="none"/>
          <w14:textFill>
            <w14:solidFill>
              <w14:schemeClr w14:val="tx1"/>
            </w14:solidFill>
          </w14:textFill>
        </w:rPr>
      </w:pPr>
    </w:p>
    <w:tbl>
      <w:tblPr>
        <w:tblStyle w:val="28"/>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80"/>
      </w:tblGrid>
      <w:tr w14:paraId="40481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99" w:hRule="atLeast"/>
        </w:trPr>
        <w:tc>
          <w:tcPr>
            <w:tcW w:w="9180" w:type="dxa"/>
          </w:tcPr>
          <w:p w14:paraId="6E4D2C4E">
            <w:pPr>
              <w:pStyle w:val="7"/>
              <w:spacing w:line="360" w:lineRule="auto"/>
              <w:rPr>
                <w:rFonts w:ascii="宋体" w:hAnsi="宋体" w:cs="宋体"/>
                <w:color w:val="000000" w:themeColor="text1"/>
                <w:highlight w:val="none"/>
                <w14:textFill>
                  <w14:solidFill>
                    <w14:schemeClr w14:val="tx1"/>
                  </w14:solidFill>
                </w14:textFill>
              </w:rPr>
            </w:pPr>
          </w:p>
          <w:p w14:paraId="5DBFC9A9">
            <w:pPr>
              <w:pStyle w:val="7"/>
              <w:spacing w:line="360" w:lineRule="auto"/>
              <w:ind w:firstLine="105" w:firstLineChars="5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以框图方式表示</w:t>
            </w:r>
          </w:p>
        </w:tc>
      </w:tr>
      <w:tr w14:paraId="6A105E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9" w:hRule="atLeast"/>
        </w:trPr>
        <w:tc>
          <w:tcPr>
            <w:tcW w:w="9180" w:type="dxa"/>
          </w:tcPr>
          <w:p w14:paraId="6B9537FB">
            <w:pPr>
              <w:pStyle w:val="7"/>
              <w:spacing w:line="360" w:lineRule="auto"/>
              <w:ind w:firstLine="210" w:firstLineChars="100"/>
              <w:rPr>
                <w:rFonts w:ascii="宋体" w:hAnsi="宋体" w:cs="宋体"/>
                <w:color w:val="000000" w:themeColor="text1"/>
                <w:highlight w:val="none"/>
                <w14:textFill>
                  <w14:solidFill>
                    <w14:schemeClr w14:val="tx1"/>
                  </w14:solidFill>
                </w14:textFill>
              </w:rPr>
            </w:pPr>
          </w:p>
          <w:p w14:paraId="209C6966">
            <w:pPr>
              <w:pStyle w:val="7"/>
              <w:spacing w:line="360" w:lineRule="auto"/>
              <w:ind w:firstLine="210" w:firstLineChars="1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w:t>
            </w:r>
          </w:p>
          <w:p w14:paraId="1A0A2989">
            <w:pPr>
              <w:pStyle w:val="7"/>
              <w:spacing w:line="360" w:lineRule="auto"/>
              <w:ind w:firstLine="420" w:firstLineChars="200"/>
              <w:rPr>
                <w:rFonts w:ascii="宋体" w:hAnsi="宋体" w:cs="宋体"/>
                <w:color w:val="000000" w:themeColor="text1"/>
                <w:highlight w:val="none"/>
                <w14:textFill>
                  <w14:solidFill>
                    <w14:schemeClr w14:val="tx1"/>
                  </w14:solidFill>
                </w14:textFill>
              </w:rPr>
            </w:pPr>
          </w:p>
        </w:tc>
      </w:tr>
    </w:tbl>
    <w:p w14:paraId="1BB02D11">
      <w:pPr>
        <w:pStyle w:val="7"/>
        <w:spacing w:line="360" w:lineRule="auto"/>
        <w:rPr>
          <w:rFonts w:ascii="宋体" w:hAnsi="宋体" w:cs="宋体"/>
          <w:b/>
          <w:color w:val="000000" w:themeColor="text1"/>
          <w:sz w:val="28"/>
          <w:szCs w:val="28"/>
          <w:highlight w:val="none"/>
          <w14:textFill>
            <w14:solidFill>
              <w14:schemeClr w14:val="tx1"/>
            </w14:solidFill>
          </w14:textFill>
        </w:rPr>
      </w:pPr>
    </w:p>
    <w:p w14:paraId="71574265">
      <w:pPr>
        <w:pStyle w:val="51"/>
        <w:spacing w:before="60" w:after="60" w:line="440" w:lineRule="exact"/>
        <w:jc w:val="center"/>
        <w:outlineLvl w:val="3"/>
        <w:rPr>
          <w:color w:val="000000" w:themeColor="text1"/>
          <w:highlight w:val="none"/>
          <w14:textFill>
            <w14:solidFill>
              <w14:schemeClr w14:val="tx1"/>
            </w14:solidFill>
          </w14:textFill>
        </w:rPr>
      </w:pPr>
      <w:bookmarkStart w:id="1665" w:name="_Toc118195935"/>
      <w:bookmarkStart w:id="1666" w:name="_Toc7652"/>
      <w:bookmarkStart w:id="1667" w:name="_Toc119585576"/>
      <w:bookmarkStart w:id="1668" w:name="_Toc120624315"/>
      <w:bookmarkStart w:id="1669" w:name="_Toc21629"/>
      <w:bookmarkStart w:id="1670" w:name="_Toc2012"/>
      <w:bookmarkStart w:id="1671" w:name="_Toc781"/>
      <w:bookmarkStart w:id="1672" w:name="_Toc15321"/>
      <w:bookmarkStart w:id="1673" w:name="_Toc18784"/>
      <w:bookmarkStart w:id="1674" w:name="_Toc9524"/>
      <w:bookmarkStart w:id="1675" w:name="_Toc21151"/>
      <w:bookmarkStart w:id="1676" w:name="_Toc98785429"/>
      <w:bookmarkStart w:id="1677" w:name="_Toc25719"/>
      <w:bookmarkStart w:id="1678" w:name="_Toc28390"/>
      <w:bookmarkStart w:id="1679" w:name="_Toc31379"/>
      <w:bookmarkStart w:id="1680" w:name="_Toc7266"/>
      <w:bookmarkStart w:id="1681" w:name="_Toc11513"/>
      <w:bookmarkStart w:id="1682" w:name="_Toc6054"/>
      <w:bookmarkStart w:id="1683" w:name="_Toc21522"/>
      <w:bookmarkStart w:id="1684" w:name="_Toc5086"/>
      <w:r>
        <w:rPr>
          <w:rFonts w:hint="eastAsia" w:ascii="宋体" w:hAnsi="宋体" w:eastAsia="宋体"/>
          <w:b/>
          <w:bCs/>
          <w:color w:val="000000" w:themeColor="text1"/>
          <w:sz w:val="24"/>
          <w:szCs w:val="24"/>
          <w:highlight w:val="none"/>
          <w14:textFill>
            <w14:solidFill>
              <w14:schemeClr w14:val="tx1"/>
            </w14:solidFill>
          </w14:textFill>
        </w:rPr>
        <w:t>（三）近年财务状况表</w:t>
      </w:r>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p>
    <w:p w14:paraId="1692D8F5">
      <w:pPr>
        <w:pStyle w:val="7"/>
        <w:tabs>
          <w:tab w:val="left" w:pos="8280"/>
        </w:tabs>
        <w:spacing w:line="460" w:lineRule="exact"/>
        <w:ind w:right="26"/>
        <w:rPr>
          <w:rFonts w:ascii="宋体" w:hAnsi="宋体" w:cs="宋体"/>
          <w:bCs/>
          <w:color w:val="000000" w:themeColor="text1"/>
          <w:sz w:val="28"/>
          <w:szCs w:val="28"/>
          <w:highlight w:val="none"/>
          <w14:textFill>
            <w14:solidFill>
              <w14:schemeClr w14:val="tx1"/>
            </w14:solidFill>
          </w14:textFill>
        </w:rPr>
      </w:pPr>
    </w:p>
    <w:p w14:paraId="63C53B6A">
      <w:pPr>
        <w:pStyle w:val="7"/>
        <w:tabs>
          <w:tab w:val="left" w:pos="8280"/>
        </w:tabs>
        <w:spacing w:line="460" w:lineRule="exact"/>
        <w:ind w:right="26"/>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银行信贷证明</w:t>
      </w:r>
      <w:r>
        <w:rPr>
          <w:rStyle w:val="38"/>
          <w:rFonts w:ascii="宋体" w:hAnsi="宋体" w:cs="宋体"/>
          <w:bCs/>
          <w:color w:val="000000" w:themeColor="text1"/>
          <w:sz w:val="28"/>
          <w:szCs w:val="28"/>
          <w:highlight w:val="none"/>
          <w:vertAlign w:val="superscript"/>
          <w14:textFill>
            <w14:solidFill>
              <w14:schemeClr w14:val="tx1"/>
            </w14:solidFill>
          </w14:textFill>
        </w:rPr>
        <w:footnoteReference w:id="12"/>
      </w:r>
    </w:p>
    <w:p w14:paraId="06F11202">
      <w:pPr>
        <w:pStyle w:val="7"/>
        <w:spacing w:after="120" w:line="360" w:lineRule="auto"/>
        <w:rPr>
          <w:rFonts w:ascii="宋体" w:hAnsi="宋体" w:cs="宋体"/>
          <w:color w:val="000000" w:themeColor="text1"/>
          <w:highlight w:val="none"/>
          <w14:textFill>
            <w14:solidFill>
              <w14:schemeClr w14:val="tx1"/>
            </w14:solidFill>
          </w14:textFill>
        </w:rPr>
      </w:pPr>
    </w:p>
    <w:p w14:paraId="7311BB6D">
      <w:pPr>
        <w:pStyle w:val="7"/>
        <w:spacing w:line="460" w:lineRule="exac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银行名称：</w:t>
      </w:r>
      <w:r>
        <w:rPr>
          <w:rFonts w:eastAsia="楷体_GB2312"/>
          <w:color w:val="000000" w:themeColor="text1"/>
          <w:szCs w:val="21"/>
          <w:highlight w:val="none"/>
          <w:u w:val="single"/>
          <w14:textFill>
            <w14:solidFill>
              <w14:schemeClr w14:val="tx1"/>
            </w14:solidFill>
          </w14:textFill>
        </w:rPr>
        <w:t xml:space="preserve">                            </w:t>
      </w:r>
    </w:p>
    <w:p w14:paraId="63B8276C">
      <w:pPr>
        <w:pStyle w:val="7"/>
        <w:spacing w:line="460" w:lineRule="exac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地</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址：</w:t>
      </w:r>
      <w:r>
        <w:rPr>
          <w:rFonts w:eastAsia="楷体_GB2312"/>
          <w:color w:val="000000" w:themeColor="text1"/>
          <w:szCs w:val="21"/>
          <w:highlight w:val="none"/>
          <w:u w:val="single"/>
          <w14:textFill>
            <w14:solidFill>
              <w14:schemeClr w14:val="tx1"/>
            </w14:solidFill>
          </w14:textFill>
        </w:rPr>
        <w:t xml:space="preserve">                            </w:t>
      </w:r>
    </w:p>
    <w:p w14:paraId="5FEC7766">
      <w:pPr>
        <w:pStyle w:val="7"/>
        <w:spacing w:line="460" w:lineRule="exact"/>
        <w:ind w:firstLine="6195" w:firstLineChars="2950"/>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日期：</w:t>
      </w:r>
      <w:r>
        <w:rPr>
          <w:rFonts w:eastAsia="楷体_GB2312"/>
          <w:color w:val="000000" w:themeColor="text1"/>
          <w:szCs w:val="21"/>
          <w:highlight w:val="none"/>
          <w:u w:val="single"/>
          <w14:textFill>
            <w14:solidFill>
              <w14:schemeClr w14:val="tx1"/>
            </w14:solidFill>
          </w14:textFill>
        </w:rPr>
        <w:t xml:space="preserve">               </w:t>
      </w:r>
    </w:p>
    <w:p w14:paraId="16351170">
      <w:pPr>
        <w:pStyle w:val="7"/>
        <w:spacing w:line="460" w:lineRule="exac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致：</w:t>
      </w:r>
      <w:r>
        <w:rPr>
          <w:rFonts w:eastAsia="楷体_GB2312"/>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（招标人全称）</w:t>
      </w:r>
      <w:r>
        <w:rPr>
          <w:rFonts w:eastAsia="楷体_GB2312"/>
          <w:color w:val="000000" w:themeColor="text1"/>
          <w:szCs w:val="21"/>
          <w:highlight w:val="none"/>
          <w:u w:val="single"/>
          <w14:textFill>
            <w14:solidFill>
              <w14:schemeClr w14:val="tx1"/>
            </w14:solidFill>
          </w14:textFill>
        </w:rPr>
        <w:t xml:space="preserve">  </w:t>
      </w:r>
    </w:p>
    <w:p w14:paraId="6CB38750">
      <w:pPr>
        <w:pStyle w:val="7"/>
        <w:spacing w:line="460" w:lineRule="exact"/>
        <w:rPr>
          <w:color w:val="000000" w:themeColor="text1"/>
          <w:szCs w:val="21"/>
          <w:highlight w:val="none"/>
          <w14:textFill>
            <w14:solidFill>
              <w14:schemeClr w14:val="tx1"/>
            </w14:solidFill>
          </w14:textFill>
        </w:rPr>
      </w:pPr>
    </w:p>
    <w:p w14:paraId="3A6DB946">
      <w:pPr>
        <w:pStyle w:val="7"/>
        <w:spacing w:line="46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兹开具最高限额为人民币</w:t>
      </w:r>
      <w:r>
        <w:rPr>
          <w:rFonts w:eastAsia="楷体_GB2312"/>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万元的银行信贷，供</w:t>
      </w:r>
      <w:r>
        <w:rPr>
          <w:color w:val="000000" w:themeColor="text1"/>
          <w:szCs w:val="21"/>
          <w:highlight w:val="none"/>
          <w:u w:val="single"/>
          <w14:textFill>
            <w14:solidFill>
              <w14:schemeClr w14:val="tx1"/>
            </w14:solidFill>
          </w14:textFill>
        </w:rPr>
        <w:t xml:space="preserve">   </w:t>
      </w:r>
      <w:r>
        <w:rPr>
          <w:rFonts w:eastAsia="楷体_GB2312"/>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（投标人注册地点）</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（投标人名称）于</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日之前，在</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（项目名称）需要时使用。我行保证由</w:t>
      </w:r>
      <w:r>
        <w:rPr>
          <w:color w:val="000000" w:themeColor="text1"/>
          <w:szCs w:val="21"/>
          <w:highlight w:val="none"/>
          <w14:textFill>
            <w14:solidFill>
              <w14:schemeClr w14:val="tx1"/>
            </w14:solidFill>
          </w14:textFill>
        </w:rPr>
        <w:t>_______________</w:t>
      </w:r>
      <w:r>
        <w:rPr>
          <w:rFonts w:hint="eastAsia"/>
          <w:color w:val="000000" w:themeColor="text1"/>
          <w:szCs w:val="21"/>
          <w:highlight w:val="none"/>
          <w14:textFill>
            <w14:solidFill>
              <w14:schemeClr w14:val="tx1"/>
            </w14:solidFill>
          </w14:textFill>
        </w:rPr>
        <w:t>（投标人名称）提供的财务报表中所开列的作为流动资产的各项中无一项包含在上述提到的银行信贷中。</w:t>
      </w:r>
    </w:p>
    <w:p w14:paraId="2A3C0AA2">
      <w:pPr>
        <w:pStyle w:val="7"/>
        <w:spacing w:line="46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此项目若未中标，该信贷证明自动失效，无需退回我行。</w:t>
      </w:r>
    </w:p>
    <w:p w14:paraId="7028DAD4">
      <w:pPr>
        <w:pStyle w:val="53"/>
        <w:spacing w:line="460" w:lineRule="exact"/>
        <w:ind w:firstLine="420" w:firstLineChars="200"/>
        <w:rPr>
          <w:color w:val="000000" w:themeColor="text1"/>
          <w:szCs w:val="21"/>
          <w:highlight w:val="none"/>
          <w14:textFill>
            <w14:solidFill>
              <w14:schemeClr w14:val="tx1"/>
            </w14:solidFill>
          </w14:textFill>
        </w:rPr>
      </w:pPr>
    </w:p>
    <w:p w14:paraId="411F94E2">
      <w:pPr>
        <w:pStyle w:val="7"/>
        <w:spacing w:line="460" w:lineRule="exact"/>
        <w:jc w:val="left"/>
        <w:rPr>
          <w:rFonts w:ascii="宋体" w:hAnsi="宋体" w:cs="宋体"/>
          <w:color w:val="000000" w:themeColor="text1"/>
          <w:szCs w:val="21"/>
          <w:highlight w:val="none"/>
          <w14:textFill>
            <w14:solidFill>
              <w14:schemeClr w14:val="tx1"/>
            </w14:solidFill>
          </w14:textFill>
        </w:rPr>
      </w:pPr>
    </w:p>
    <w:p w14:paraId="052BEAC6">
      <w:pPr>
        <w:pStyle w:val="7"/>
        <w:spacing w:line="360" w:lineRule="auto"/>
        <w:ind w:firstLine="3059" w:firstLineChars="1457"/>
        <w:jc w:val="lef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行（盖章）：</w:t>
      </w:r>
      <w:r>
        <w:rPr>
          <w:rFonts w:eastAsia="楷体_GB2312"/>
          <w:color w:val="000000" w:themeColor="text1"/>
          <w:szCs w:val="21"/>
          <w:highlight w:val="none"/>
          <w:u w:val="single"/>
          <w14:textFill>
            <w14:solidFill>
              <w14:schemeClr w14:val="tx1"/>
            </w14:solidFill>
          </w14:textFill>
        </w:rPr>
        <w:t xml:space="preserve">                      </w:t>
      </w:r>
    </w:p>
    <w:p w14:paraId="580159AF">
      <w:pPr>
        <w:pStyle w:val="7"/>
        <w:spacing w:line="360" w:lineRule="auto"/>
        <w:ind w:firstLine="3059" w:firstLineChars="1457"/>
        <w:jc w:val="lef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银行主要负责人的姓名、职务：</w:t>
      </w:r>
      <w:r>
        <w:rPr>
          <w:rFonts w:eastAsia="楷体_GB2312"/>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（打印）</w:t>
      </w:r>
      <w:r>
        <w:rPr>
          <w:rFonts w:eastAsia="楷体_GB2312"/>
          <w:color w:val="000000" w:themeColor="text1"/>
          <w:szCs w:val="21"/>
          <w:highlight w:val="none"/>
          <w:u w:val="single"/>
          <w14:textFill>
            <w14:solidFill>
              <w14:schemeClr w14:val="tx1"/>
            </w14:solidFill>
          </w14:textFill>
        </w:rPr>
        <w:t xml:space="preserve">       </w:t>
      </w:r>
    </w:p>
    <w:p w14:paraId="3F178ED4">
      <w:pPr>
        <w:pStyle w:val="7"/>
        <w:spacing w:line="360" w:lineRule="auto"/>
        <w:ind w:firstLine="3059" w:firstLineChars="1457"/>
        <w:jc w:val="lef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行</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电</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话：</w:t>
      </w:r>
      <w:r>
        <w:rPr>
          <w:rFonts w:eastAsia="楷体_GB2312"/>
          <w:color w:val="000000" w:themeColor="text1"/>
          <w:szCs w:val="21"/>
          <w:highlight w:val="none"/>
          <w:u w:val="single"/>
          <w14:textFill>
            <w14:solidFill>
              <w14:schemeClr w14:val="tx1"/>
            </w14:solidFill>
          </w14:textFill>
        </w:rPr>
        <w:t xml:space="preserve">                       </w:t>
      </w:r>
    </w:p>
    <w:p w14:paraId="472D1B17">
      <w:pPr>
        <w:pStyle w:val="7"/>
        <w:spacing w:line="360" w:lineRule="auto"/>
        <w:ind w:firstLine="3059" w:firstLineChars="1457"/>
        <w:jc w:val="lef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行</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传</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真：</w:t>
      </w:r>
      <w:r>
        <w:rPr>
          <w:rFonts w:eastAsia="楷体_GB2312"/>
          <w:color w:val="000000" w:themeColor="text1"/>
          <w:szCs w:val="21"/>
          <w:highlight w:val="none"/>
          <w:u w:val="single"/>
          <w14:textFill>
            <w14:solidFill>
              <w14:schemeClr w14:val="tx1"/>
            </w14:solidFill>
          </w14:textFill>
        </w:rPr>
        <w:t xml:space="preserve">                       </w:t>
      </w:r>
    </w:p>
    <w:p w14:paraId="15A82063">
      <w:pPr>
        <w:pStyle w:val="7"/>
        <w:spacing w:line="360" w:lineRule="auto"/>
        <w:rPr>
          <w:rFonts w:ascii="宋体" w:hAnsi="宋体" w:cs="宋体"/>
          <w:color w:val="000000" w:themeColor="text1"/>
          <w:highlight w:val="none"/>
          <w14:textFill>
            <w14:solidFill>
              <w14:schemeClr w14:val="tx1"/>
            </w14:solidFill>
          </w14:textFill>
        </w:rPr>
      </w:pPr>
    </w:p>
    <w:p w14:paraId="41A1AE49">
      <w:pPr>
        <w:pStyle w:val="7"/>
        <w:spacing w:line="400" w:lineRule="exact"/>
        <w:ind w:left="630" w:leftChars="200" w:hanging="210" w:hangingChars="1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p>
    <w:p w14:paraId="65ED16A2">
      <w:pPr>
        <w:pStyle w:val="7"/>
        <w:spacing w:line="40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1.允许投标人实际开具的银行信贷证明的格式与本表格式有所不同，但不得更改本信贷证明格式中的实质性内容</w:t>
      </w:r>
      <w:r>
        <w:rPr>
          <w:rFonts w:ascii="宋体" w:hAnsi="宋体" w:cs="宋体"/>
          <w:color w:val="000000" w:themeColor="text1"/>
          <w:highlight w:val="none"/>
          <w14:textFill>
            <w14:solidFill>
              <w14:schemeClr w14:val="tx1"/>
            </w14:solidFill>
          </w14:textFill>
        </w:rPr>
        <w:t>。</w:t>
      </w:r>
    </w:p>
    <w:p w14:paraId="243AB7DE">
      <w:pPr>
        <w:pStyle w:val="7"/>
        <w:spacing w:line="320" w:lineRule="exact"/>
        <w:ind w:right="347" w:firstLine="420" w:firstLineChars="20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27337696">
      <w:pPr>
        <w:pStyle w:val="7"/>
        <w:tabs>
          <w:tab w:val="left" w:pos="8280"/>
        </w:tabs>
        <w:spacing w:line="240" w:lineRule="exact"/>
        <w:ind w:right="28"/>
        <w:jc w:val="center"/>
        <w:rPr>
          <w:rFonts w:ascii="宋体" w:hAnsi="宋体" w:cs="宋体"/>
          <w:bCs/>
          <w:color w:val="000000" w:themeColor="text1"/>
          <w:sz w:val="28"/>
          <w:szCs w:val="28"/>
          <w:highlight w:val="none"/>
          <w14:textFill>
            <w14:solidFill>
              <w14:schemeClr w14:val="tx1"/>
            </w14:solidFill>
          </w14:textFill>
        </w:rPr>
      </w:pPr>
    </w:p>
    <w:p w14:paraId="057AB675">
      <w:pPr>
        <w:pStyle w:val="7"/>
        <w:tabs>
          <w:tab w:val="left" w:pos="8280"/>
        </w:tabs>
        <w:spacing w:line="460" w:lineRule="exact"/>
        <w:ind w:right="26"/>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财务能力承诺书</w:t>
      </w:r>
      <w:r>
        <w:rPr>
          <w:rFonts w:hint="eastAsia" w:ascii="宋体" w:hAnsi="宋体" w:cs="宋体"/>
          <w:bCs/>
          <w:color w:val="000000" w:themeColor="text1"/>
          <w:sz w:val="28"/>
          <w:szCs w:val="28"/>
          <w:highlight w:val="none"/>
          <w:vertAlign w:val="superscript"/>
          <w14:textFill>
            <w14:solidFill>
              <w14:schemeClr w14:val="tx1"/>
            </w14:solidFill>
          </w14:textFill>
        </w:rPr>
        <w:footnoteReference w:id="13"/>
      </w:r>
    </w:p>
    <w:p w14:paraId="7E8A7A67">
      <w:pPr>
        <w:pStyle w:val="7"/>
        <w:spacing w:after="120" w:line="360" w:lineRule="auto"/>
        <w:rPr>
          <w:rFonts w:ascii="宋体" w:hAnsi="宋体" w:cs="宋体"/>
          <w:color w:val="000000" w:themeColor="text1"/>
          <w:highlight w:val="none"/>
          <w14:textFill>
            <w14:solidFill>
              <w14:schemeClr w14:val="tx1"/>
            </w14:solidFill>
          </w14:textFill>
        </w:rPr>
      </w:pPr>
    </w:p>
    <w:p w14:paraId="7E9D71F7">
      <w:pPr>
        <w:pStyle w:val="7"/>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致：</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（招标人全称）</w:t>
      </w:r>
      <w:r>
        <w:rPr>
          <w:color w:val="000000" w:themeColor="text1"/>
          <w:highlight w:val="none"/>
          <w:u w:val="single"/>
          <w14:textFill>
            <w14:solidFill>
              <w14:schemeClr w14:val="tx1"/>
            </w14:solidFill>
          </w14:textFill>
        </w:rPr>
        <w:t xml:space="preserve">      </w:t>
      </w:r>
    </w:p>
    <w:p w14:paraId="11D36AF3">
      <w:pPr>
        <w:pStyle w:val="7"/>
        <w:spacing w:line="48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我谨代表</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（投标人全称）</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郑重承诺：若我单位有幸在</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（项目名称）</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工程投标活动中中标，将提供人民币（大写）</w:t>
      </w:r>
      <w:r>
        <w:rPr>
          <w:color w:val="000000" w:themeColor="text1"/>
          <w:highlight w:val="none"/>
          <w14:textFill>
            <w14:solidFill>
              <w14:schemeClr w14:val="tx1"/>
            </w14:solidFill>
          </w14:textFill>
        </w:rPr>
        <w:t>______________</w:t>
      </w:r>
      <w:r>
        <w:rPr>
          <w:rFonts w:hint="eastAsia"/>
          <w:color w:val="000000" w:themeColor="text1"/>
          <w:highlight w:val="none"/>
          <w14:textFill>
            <w14:solidFill>
              <w14:schemeClr w14:val="tx1"/>
            </w14:solidFill>
          </w14:textFill>
        </w:rPr>
        <w:t>元（￥</w:t>
      </w:r>
      <w:r>
        <w:rPr>
          <w:color w:val="000000" w:themeColor="text1"/>
          <w:highlight w:val="none"/>
          <w14:textFill>
            <w14:solidFill>
              <w14:schemeClr w14:val="tx1"/>
            </w14:solidFill>
          </w14:textFill>
        </w:rPr>
        <w:t>________</w:t>
      </w:r>
      <w:r>
        <w:rPr>
          <w:rFonts w:hint="eastAsia"/>
          <w:color w:val="000000" w:themeColor="text1"/>
          <w:highlight w:val="none"/>
          <w14:textFill>
            <w14:solidFill>
              <w14:schemeClr w14:val="tx1"/>
            </w14:solidFill>
          </w14:textFill>
        </w:rPr>
        <w:t>）的流动资金，供本工程在施工需要时使用。</w:t>
      </w:r>
    </w:p>
    <w:p w14:paraId="3D56E71C">
      <w:pPr>
        <w:pStyle w:val="7"/>
        <w:spacing w:line="48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特此承诺。</w:t>
      </w:r>
    </w:p>
    <w:p w14:paraId="533CA1C8">
      <w:pPr>
        <w:pStyle w:val="7"/>
        <w:spacing w:line="480" w:lineRule="exact"/>
        <w:ind w:firstLine="420" w:firstLineChars="200"/>
        <w:rPr>
          <w:color w:val="000000" w:themeColor="text1"/>
          <w:highlight w:val="none"/>
          <w14:textFill>
            <w14:solidFill>
              <w14:schemeClr w14:val="tx1"/>
            </w14:solidFill>
          </w14:textFill>
        </w:rPr>
      </w:pPr>
    </w:p>
    <w:p w14:paraId="49DC43BC">
      <w:pPr>
        <w:pStyle w:val="7"/>
        <w:spacing w:line="480" w:lineRule="exact"/>
        <w:ind w:firstLine="420" w:firstLineChars="200"/>
        <w:rPr>
          <w:color w:val="000000" w:themeColor="text1"/>
          <w:highlight w:val="none"/>
          <w14:textFill>
            <w14:solidFill>
              <w14:schemeClr w14:val="tx1"/>
            </w14:solidFill>
          </w14:textFill>
        </w:rPr>
      </w:pPr>
    </w:p>
    <w:p w14:paraId="1EB14452">
      <w:pPr>
        <w:pStyle w:val="7"/>
        <w:spacing w:line="480" w:lineRule="exact"/>
        <w:ind w:firstLine="420" w:firstLineChars="200"/>
        <w:rPr>
          <w:color w:val="000000" w:themeColor="text1"/>
          <w:highlight w:val="none"/>
          <w14:textFill>
            <w14:solidFill>
              <w14:schemeClr w14:val="tx1"/>
            </w14:solidFill>
          </w14:textFill>
        </w:rPr>
      </w:pPr>
    </w:p>
    <w:p w14:paraId="1F5B0C39">
      <w:pPr>
        <w:pStyle w:val="8"/>
        <w:spacing w:line="480" w:lineRule="exact"/>
        <w:ind w:firstLine="2940" w:firstLineChars="1400"/>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投标人：</w:t>
      </w:r>
      <w:r>
        <w:rPr>
          <w:rFonts w:ascii="Times New Roman" w:hAnsi="Times New Roman"/>
          <w:color w:val="000000" w:themeColor="text1"/>
          <w:highlight w:val="none"/>
          <w:u w:val="single"/>
          <w14:textFill>
            <w14:solidFill>
              <w14:schemeClr w14:val="tx1"/>
            </w14:solidFill>
          </w14:textFill>
        </w:rPr>
        <w:t xml:space="preserve">                     </w:t>
      </w:r>
      <w:r>
        <w:rPr>
          <w:rFonts w:hint="eastAsia" w:ascii="Times New Roman" w:hAnsi="Times New Roman"/>
          <w:color w:val="000000" w:themeColor="text1"/>
          <w:highlight w:val="none"/>
          <w:u w:val="single"/>
          <w14:textFill>
            <w14:solidFill>
              <w14:schemeClr w14:val="tx1"/>
            </w14:solidFill>
          </w14:textFill>
        </w:rPr>
        <w:t>（</w:t>
      </w:r>
      <w:r>
        <w:rPr>
          <w:rFonts w:hint="eastAsia" w:ascii="Times New Roman" w:hAnsi="Times New Roman"/>
          <w:color w:val="000000" w:themeColor="text1"/>
          <w:szCs w:val="21"/>
          <w:highlight w:val="none"/>
          <w:u w:val="single"/>
          <w14:textFill>
            <w14:solidFill>
              <w14:schemeClr w14:val="tx1"/>
            </w14:solidFill>
          </w14:textFill>
        </w:rPr>
        <w:t>盖单位公章</w:t>
      </w:r>
      <w:r>
        <w:rPr>
          <w:rFonts w:hint="eastAsia" w:ascii="Times New Roman" w:hAnsi="Times New Roman"/>
          <w:color w:val="000000" w:themeColor="text1"/>
          <w:highlight w:val="none"/>
          <w:u w:val="single"/>
          <w14:textFill>
            <w14:solidFill>
              <w14:schemeClr w14:val="tx1"/>
            </w14:solidFill>
          </w14:textFill>
        </w:rPr>
        <w:t>）</w:t>
      </w:r>
    </w:p>
    <w:p w14:paraId="2F6B4AE7">
      <w:pPr>
        <w:pStyle w:val="8"/>
        <w:spacing w:line="480" w:lineRule="exact"/>
        <w:ind w:firstLine="2940" w:firstLineChars="1400"/>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法定代表人</w:t>
      </w:r>
      <w:r>
        <w:rPr>
          <w:rFonts w:hint="eastAsia"/>
          <w:color w:val="000000" w:themeColor="text1"/>
          <w:szCs w:val="21"/>
          <w:highlight w:val="none"/>
          <w14:textFill>
            <w14:solidFill>
              <w14:schemeClr w14:val="tx1"/>
            </w14:solidFill>
          </w14:textFill>
        </w:rPr>
        <w:t>或其委托代理人</w:t>
      </w:r>
      <w:r>
        <w:rPr>
          <w:rFonts w:hint="eastAsia" w:ascii="Times New Roman" w:hAnsi="Times New Roman"/>
          <w:color w:val="000000" w:themeColor="text1"/>
          <w:highlight w:val="none"/>
          <w14:textFill>
            <w14:solidFill>
              <w14:schemeClr w14:val="tx1"/>
            </w14:solidFill>
          </w14:textFill>
        </w:rPr>
        <w:t>：</w:t>
      </w:r>
      <w:r>
        <w:rPr>
          <w:rFonts w:ascii="Times New Roman" w:hAnsi="Times New Roman"/>
          <w:color w:val="000000" w:themeColor="text1"/>
          <w:highlight w:val="none"/>
          <w:u w:val="single"/>
          <w14:textFill>
            <w14:solidFill>
              <w14:schemeClr w14:val="tx1"/>
            </w14:solidFill>
          </w14:textFill>
        </w:rPr>
        <w:t xml:space="preserve">             </w:t>
      </w:r>
      <w:r>
        <w:rPr>
          <w:rFonts w:hint="eastAsia" w:ascii="Times New Roman" w:hAnsi="Times New Roman"/>
          <w:color w:val="000000" w:themeColor="text1"/>
          <w:highlight w:val="none"/>
          <w:u w:val="single"/>
          <w14:textFill>
            <w14:solidFill>
              <w14:schemeClr w14:val="tx1"/>
            </w14:solidFill>
          </w14:textFill>
        </w:rPr>
        <w:t>（签字）</w:t>
      </w:r>
    </w:p>
    <w:p w14:paraId="13EA3445">
      <w:pPr>
        <w:pStyle w:val="7"/>
        <w:spacing w:line="480" w:lineRule="exact"/>
        <w:ind w:firstLine="4326" w:firstLineChars="206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期：</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6846F879">
      <w:pPr>
        <w:pStyle w:val="7"/>
        <w:spacing w:line="500" w:lineRule="exact"/>
        <w:rPr>
          <w:rFonts w:ascii="宋体" w:hAnsi="宋体" w:cs="宋体"/>
          <w:color w:val="000000" w:themeColor="text1"/>
          <w:highlight w:val="none"/>
          <w14:textFill>
            <w14:solidFill>
              <w14:schemeClr w14:val="tx1"/>
            </w14:solidFill>
          </w14:textFill>
        </w:rPr>
      </w:pPr>
    </w:p>
    <w:p w14:paraId="3B546ED6">
      <w:pPr>
        <w:pStyle w:val="7"/>
        <w:spacing w:line="500" w:lineRule="exact"/>
        <w:rPr>
          <w:rFonts w:ascii="宋体" w:hAnsi="宋体" w:cs="宋体"/>
          <w:color w:val="000000" w:themeColor="text1"/>
          <w:highlight w:val="none"/>
          <w14:textFill>
            <w14:solidFill>
              <w14:schemeClr w14:val="tx1"/>
            </w14:solidFill>
          </w14:textFill>
        </w:rPr>
      </w:pPr>
    </w:p>
    <w:p w14:paraId="446DD343">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附：银行存款证明。</w:t>
      </w:r>
    </w:p>
    <w:p w14:paraId="2F6DB73D">
      <w:pPr>
        <w:pStyle w:val="7"/>
        <w:spacing w:line="360" w:lineRule="auto"/>
        <w:rPr>
          <w:rFonts w:ascii="宋体" w:hAnsi="宋体" w:cs="宋体"/>
          <w:color w:val="000000" w:themeColor="text1"/>
          <w:highlight w:val="none"/>
          <w14:textFill>
            <w14:solidFill>
              <w14:schemeClr w14:val="tx1"/>
            </w14:solidFill>
          </w14:textFill>
        </w:rPr>
      </w:pPr>
    </w:p>
    <w:p w14:paraId="0A1D42A6">
      <w:pPr>
        <w:pStyle w:val="7"/>
        <w:spacing w:line="360" w:lineRule="auto"/>
        <w:rPr>
          <w:rFonts w:ascii="宋体" w:hAnsi="宋体" w:cs="宋体"/>
          <w:color w:val="000000" w:themeColor="text1"/>
          <w:highlight w:val="none"/>
          <w14:textFill>
            <w14:solidFill>
              <w14:schemeClr w14:val="tx1"/>
            </w14:solidFill>
          </w14:textFill>
        </w:rPr>
      </w:pPr>
    </w:p>
    <w:p w14:paraId="4A045CAE">
      <w:pPr>
        <w:pStyle w:val="7"/>
        <w:spacing w:line="360" w:lineRule="auto"/>
        <w:rPr>
          <w:rFonts w:ascii="宋体" w:hAnsi="宋体" w:cs="宋体"/>
          <w:color w:val="000000" w:themeColor="text1"/>
          <w:highlight w:val="none"/>
          <w14:textFill>
            <w14:solidFill>
              <w14:schemeClr w14:val="tx1"/>
            </w14:solidFill>
          </w14:textFill>
        </w:rPr>
      </w:pPr>
    </w:p>
    <w:p w14:paraId="520B3E68">
      <w:pPr>
        <w:pStyle w:val="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应附招标公告发布后银行出具的不少于要求流动资金的银行存款证明。</w:t>
      </w:r>
    </w:p>
    <w:p w14:paraId="7C4D7CB3">
      <w:pPr>
        <w:pStyle w:val="7"/>
        <w:spacing w:line="360" w:lineRule="auto"/>
        <w:rPr>
          <w:rFonts w:ascii="宋体" w:hAnsi="宋体" w:cs="宋体"/>
          <w:color w:val="000000" w:themeColor="text1"/>
          <w:szCs w:val="21"/>
          <w:highlight w:val="none"/>
          <w14:textFill>
            <w14:solidFill>
              <w14:schemeClr w14:val="tx1"/>
            </w14:solidFill>
          </w14:textFill>
        </w:rPr>
      </w:pPr>
    </w:p>
    <w:p w14:paraId="52B054D4">
      <w:pPr>
        <w:pStyle w:val="7"/>
        <w:spacing w:line="360" w:lineRule="auto"/>
        <w:ind w:right="347"/>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7E0247F6">
      <w:pPr>
        <w:pStyle w:val="7"/>
        <w:tabs>
          <w:tab w:val="left" w:pos="8280"/>
        </w:tabs>
        <w:spacing w:line="240" w:lineRule="exact"/>
        <w:ind w:right="28"/>
        <w:jc w:val="center"/>
        <w:rPr>
          <w:rFonts w:ascii="宋体" w:hAnsi="宋体" w:cs="宋体"/>
          <w:bCs/>
          <w:color w:val="000000" w:themeColor="text1"/>
          <w:sz w:val="28"/>
          <w:szCs w:val="28"/>
          <w:highlight w:val="none"/>
          <w14:textFill>
            <w14:solidFill>
              <w14:schemeClr w14:val="tx1"/>
            </w14:solidFill>
          </w14:textFill>
        </w:rPr>
      </w:pPr>
    </w:p>
    <w:p w14:paraId="1DD8325D">
      <w:pPr>
        <w:pStyle w:val="7"/>
        <w:tabs>
          <w:tab w:val="left" w:pos="8280"/>
        </w:tabs>
        <w:spacing w:line="460" w:lineRule="exact"/>
        <w:ind w:right="26"/>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银行存款证明</w:t>
      </w:r>
      <w:r>
        <w:rPr>
          <w:rFonts w:hint="eastAsia" w:ascii="宋体" w:hAnsi="宋体" w:cs="宋体"/>
          <w:bCs/>
          <w:color w:val="000000" w:themeColor="text1"/>
          <w:sz w:val="28"/>
          <w:szCs w:val="28"/>
          <w:highlight w:val="none"/>
          <w:vertAlign w:val="superscript"/>
          <w14:textFill>
            <w14:solidFill>
              <w14:schemeClr w14:val="tx1"/>
            </w14:solidFill>
          </w14:textFill>
        </w:rPr>
        <w:footnoteReference w:id="14"/>
      </w:r>
    </w:p>
    <w:p w14:paraId="4A30DAB2">
      <w:pPr>
        <w:pStyle w:val="7"/>
        <w:spacing w:after="120" w:line="360" w:lineRule="auto"/>
        <w:rPr>
          <w:rFonts w:ascii="宋体" w:hAnsi="宋体" w:cs="宋体"/>
          <w:color w:val="000000" w:themeColor="text1"/>
          <w:highlight w:val="none"/>
          <w14:textFill>
            <w14:solidFill>
              <w14:schemeClr w14:val="tx1"/>
            </w14:solidFill>
          </w14:textFill>
        </w:rPr>
      </w:pPr>
    </w:p>
    <w:p w14:paraId="5CF192F3">
      <w:pPr>
        <w:pStyle w:val="7"/>
        <w:spacing w:line="360" w:lineRule="auto"/>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银行名称：</w:t>
      </w:r>
      <w:r>
        <w:rPr>
          <w:rFonts w:eastAsia="楷体_GB2312"/>
          <w:color w:val="000000" w:themeColor="text1"/>
          <w:szCs w:val="21"/>
          <w:highlight w:val="none"/>
          <w:u w:val="single"/>
          <w14:textFill>
            <w14:solidFill>
              <w14:schemeClr w14:val="tx1"/>
            </w14:solidFill>
          </w14:textFill>
        </w:rPr>
        <w:t xml:space="preserve">                            </w:t>
      </w:r>
    </w:p>
    <w:p w14:paraId="4B6B0E4F">
      <w:pPr>
        <w:pStyle w:val="7"/>
        <w:spacing w:line="360" w:lineRule="auto"/>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地</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址：</w:t>
      </w:r>
      <w:r>
        <w:rPr>
          <w:rFonts w:eastAsia="楷体_GB2312"/>
          <w:color w:val="000000" w:themeColor="text1"/>
          <w:szCs w:val="21"/>
          <w:highlight w:val="none"/>
          <w:u w:val="single"/>
          <w14:textFill>
            <w14:solidFill>
              <w14:schemeClr w14:val="tx1"/>
            </w14:solidFill>
          </w14:textFill>
        </w:rPr>
        <w:t xml:space="preserve">                            </w:t>
      </w:r>
    </w:p>
    <w:p w14:paraId="70BDFB78">
      <w:pPr>
        <w:pStyle w:val="7"/>
        <w:spacing w:line="360" w:lineRule="auto"/>
        <w:ind w:firstLine="6195" w:firstLineChars="2950"/>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日期：</w:t>
      </w:r>
      <w:r>
        <w:rPr>
          <w:rFonts w:eastAsia="楷体_GB2312"/>
          <w:color w:val="000000" w:themeColor="text1"/>
          <w:szCs w:val="21"/>
          <w:highlight w:val="none"/>
          <w:u w:val="single"/>
          <w14:textFill>
            <w14:solidFill>
              <w14:schemeClr w14:val="tx1"/>
            </w14:solidFill>
          </w14:textFill>
        </w:rPr>
        <w:t xml:space="preserve">               </w:t>
      </w:r>
    </w:p>
    <w:p w14:paraId="1FB0E29D">
      <w:pPr>
        <w:pStyle w:val="7"/>
        <w:spacing w:line="360" w:lineRule="auto"/>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致：</w:t>
      </w:r>
      <w:r>
        <w:rPr>
          <w:rFonts w:eastAsia="楷体_GB2312"/>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（招标人全称）</w:t>
      </w:r>
      <w:r>
        <w:rPr>
          <w:rFonts w:eastAsia="楷体_GB2312"/>
          <w:color w:val="000000" w:themeColor="text1"/>
          <w:szCs w:val="21"/>
          <w:highlight w:val="none"/>
          <w:u w:val="single"/>
          <w14:textFill>
            <w14:solidFill>
              <w14:schemeClr w14:val="tx1"/>
            </w14:solidFill>
          </w14:textFill>
        </w:rPr>
        <w:t xml:space="preserve">  </w:t>
      </w:r>
    </w:p>
    <w:p w14:paraId="726A074E">
      <w:pPr>
        <w:pStyle w:val="7"/>
        <w:spacing w:line="360" w:lineRule="auto"/>
        <w:rPr>
          <w:color w:val="000000" w:themeColor="text1"/>
          <w:szCs w:val="21"/>
          <w:highlight w:val="none"/>
          <w14:textFill>
            <w14:solidFill>
              <w14:schemeClr w14:val="tx1"/>
            </w14:solidFill>
          </w14:textFill>
        </w:rPr>
      </w:pPr>
    </w:p>
    <w:p w14:paraId="0AA816B5">
      <w:pPr>
        <w:pStyle w:val="7"/>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兹证明</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（投标人名称）截止</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r>
        <w:rPr>
          <w:color w:val="000000" w:themeColor="text1"/>
          <w:szCs w:val="21"/>
          <w:highlight w:val="none"/>
          <w14:textFill>
            <w14:solidFill>
              <w14:schemeClr w14:val="tx1"/>
            </w14:solidFill>
          </w14:textFill>
        </w:rPr>
        <w:t>____</w:t>
      </w:r>
      <w:r>
        <w:rPr>
          <w:rFonts w:hint="eastAsia"/>
          <w:color w:val="000000" w:themeColor="text1"/>
          <w:szCs w:val="21"/>
          <w:highlight w:val="none"/>
          <w14:textFill>
            <w14:solidFill>
              <w14:schemeClr w14:val="tx1"/>
            </w14:solidFill>
          </w14:textFill>
        </w:rPr>
        <w:t>时</w:t>
      </w:r>
      <w:r>
        <w:rPr>
          <w:color w:val="000000" w:themeColor="text1"/>
          <w:szCs w:val="21"/>
          <w:highlight w:val="none"/>
          <w14:textFill>
            <w14:solidFill>
              <w14:schemeClr w14:val="tx1"/>
            </w14:solidFill>
          </w14:textFill>
        </w:rPr>
        <w:t>___</w:t>
      </w:r>
      <w:r>
        <w:rPr>
          <w:rFonts w:hint="eastAsia"/>
          <w:color w:val="000000" w:themeColor="text1"/>
          <w:szCs w:val="21"/>
          <w:highlight w:val="none"/>
          <w14:textFill>
            <w14:solidFill>
              <w14:schemeClr w14:val="tx1"/>
            </w14:solidFill>
          </w14:textFill>
        </w:rPr>
        <w:t>分，在我行</w:t>
      </w:r>
      <w:r>
        <w:rPr>
          <w:color w:val="000000" w:themeColor="text1"/>
          <w:szCs w:val="21"/>
          <w:highlight w:val="none"/>
          <w14:textFill>
            <w14:solidFill>
              <w14:schemeClr w14:val="tx1"/>
            </w14:solidFill>
          </w14:textFill>
        </w:rPr>
        <w:t>______________</w:t>
      </w:r>
      <w:r>
        <w:rPr>
          <w:rFonts w:hint="eastAsia"/>
          <w:color w:val="000000" w:themeColor="text1"/>
          <w:szCs w:val="21"/>
          <w:highlight w:val="none"/>
          <w14:textFill>
            <w14:solidFill>
              <w14:schemeClr w14:val="tx1"/>
            </w14:solidFill>
          </w14:textFill>
        </w:rPr>
        <w:t>账户中存款余额为人民币</w:t>
      </w:r>
      <w:r>
        <w:rPr>
          <w:color w:val="000000" w:themeColor="text1"/>
          <w:szCs w:val="21"/>
          <w:highlight w:val="none"/>
          <w14:textFill>
            <w14:solidFill>
              <w14:schemeClr w14:val="tx1"/>
            </w14:solidFill>
          </w14:textFill>
        </w:rPr>
        <w:t>__________________________</w:t>
      </w:r>
      <w:r>
        <w:rPr>
          <w:rFonts w:hint="eastAsia"/>
          <w:color w:val="000000" w:themeColor="text1"/>
          <w:szCs w:val="21"/>
          <w:highlight w:val="none"/>
          <w14:textFill>
            <w14:solidFill>
              <w14:schemeClr w14:val="tx1"/>
            </w14:solidFill>
          </w14:textFill>
        </w:rPr>
        <w:t>元（￥</w:t>
      </w:r>
      <w:r>
        <w:rPr>
          <w:color w:val="000000" w:themeColor="text1"/>
          <w:szCs w:val="21"/>
          <w:highlight w:val="none"/>
          <w14:textFill>
            <w14:solidFill>
              <w14:schemeClr w14:val="tx1"/>
            </w14:solidFill>
          </w14:textFill>
        </w:rPr>
        <w:t>____________</w:t>
      </w:r>
      <w:r>
        <w:rPr>
          <w:rFonts w:hint="eastAsia"/>
          <w:color w:val="000000" w:themeColor="text1"/>
          <w:szCs w:val="21"/>
          <w:highlight w:val="none"/>
          <w14:textFill>
            <w14:solidFill>
              <w14:schemeClr w14:val="tx1"/>
            </w14:solidFill>
          </w14:textFill>
        </w:rPr>
        <w:t>）。</w:t>
      </w:r>
    </w:p>
    <w:p w14:paraId="37BB89F1">
      <w:pPr>
        <w:pStyle w:val="7"/>
        <w:spacing w:line="360" w:lineRule="auto"/>
        <w:ind w:firstLine="420" w:firstLineChars="200"/>
        <w:rPr>
          <w:color w:val="000000" w:themeColor="text1"/>
          <w:szCs w:val="21"/>
          <w:highlight w:val="none"/>
          <w14:textFill>
            <w14:solidFill>
              <w14:schemeClr w14:val="tx1"/>
            </w14:solidFill>
          </w14:textFill>
        </w:rPr>
      </w:pPr>
    </w:p>
    <w:p w14:paraId="42A28E13">
      <w:pPr>
        <w:pStyle w:val="7"/>
        <w:spacing w:line="360" w:lineRule="auto"/>
        <w:jc w:val="left"/>
        <w:rPr>
          <w:color w:val="000000" w:themeColor="text1"/>
          <w:szCs w:val="21"/>
          <w:highlight w:val="none"/>
          <w14:textFill>
            <w14:solidFill>
              <w14:schemeClr w14:val="tx1"/>
            </w14:solidFill>
          </w14:textFill>
        </w:rPr>
      </w:pPr>
    </w:p>
    <w:p w14:paraId="00D2F33E">
      <w:pPr>
        <w:pStyle w:val="7"/>
        <w:spacing w:line="360" w:lineRule="auto"/>
        <w:jc w:val="left"/>
        <w:rPr>
          <w:color w:val="000000" w:themeColor="text1"/>
          <w:szCs w:val="21"/>
          <w:highlight w:val="none"/>
          <w14:textFill>
            <w14:solidFill>
              <w14:schemeClr w14:val="tx1"/>
            </w14:solidFill>
          </w14:textFill>
        </w:rPr>
      </w:pPr>
    </w:p>
    <w:p w14:paraId="1C92A4FB">
      <w:pPr>
        <w:pStyle w:val="7"/>
        <w:spacing w:line="360" w:lineRule="auto"/>
        <w:ind w:firstLine="3059" w:firstLineChars="1457"/>
        <w:jc w:val="lef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行（盖章）：</w:t>
      </w:r>
      <w:r>
        <w:rPr>
          <w:rFonts w:eastAsia="楷体_GB2312"/>
          <w:color w:val="000000" w:themeColor="text1"/>
          <w:szCs w:val="21"/>
          <w:highlight w:val="none"/>
          <w:u w:val="single"/>
          <w14:textFill>
            <w14:solidFill>
              <w14:schemeClr w14:val="tx1"/>
            </w14:solidFill>
          </w14:textFill>
        </w:rPr>
        <w:t xml:space="preserve">                      </w:t>
      </w:r>
    </w:p>
    <w:p w14:paraId="3F0FB8C2">
      <w:pPr>
        <w:pStyle w:val="7"/>
        <w:spacing w:line="360" w:lineRule="auto"/>
        <w:ind w:firstLine="3059" w:firstLineChars="1457"/>
        <w:jc w:val="lef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银行主要负责人的姓名、职务：</w:t>
      </w:r>
      <w:r>
        <w:rPr>
          <w:rFonts w:eastAsia="楷体_GB2312"/>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（打印）</w:t>
      </w:r>
      <w:r>
        <w:rPr>
          <w:rFonts w:eastAsia="楷体_GB2312"/>
          <w:color w:val="000000" w:themeColor="text1"/>
          <w:szCs w:val="21"/>
          <w:highlight w:val="none"/>
          <w:u w:val="single"/>
          <w14:textFill>
            <w14:solidFill>
              <w14:schemeClr w14:val="tx1"/>
            </w14:solidFill>
          </w14:textFill>
        </w:rPr>
        <w:t xml:space="preserve">       </w:t>
      </w:r>
    </w:p>
    <w:p w14:paraId="219AA09E">
      <w:pPr>
        <w:pStyle w:val="7"/>
        <w:spacing w:line="360" w:lineRule="auto"/>
        <w:ind w:firstLine="3059" w:firstLineChars="1457"/>
        <w:jc w:val="left"/>
        <w:rPr>
          <w:rFonts w:eastAsia="楷体_GB2312"/>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银</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行</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电</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话：</w:t>
      </w:r>
      <w:r>
        <w:rPr>
          <w:rFonts w:eastAsia="楷体_GB2312"/>
          <w:color w:val="000000" w:themeColor="text1"/>
          <w:szCs w:val="21"/>
          <w:highlight w:val="none"/>
          <w:u w:val="single"/>
          <w14:textFill>
            <w14:solidFill>
              <w14:schemeClr w14:val="tx1"/>
            </w14:solidFill>
          </w14:textFill>
        </w:rPr>
        <w:t xml:space="preserve">                       </w:t>
      </w:r>
    </w:p>
    <w:p w14:paraId="4D6CE832">
      <w:pPr>
        <w:pStyle w:val="7"/>
        <w:spacing w:line="360" w:lineRule="auto"/>
        <w:ind w:firstLine="3059" w:firstLineChars="1457"/>
        <w:jc w:val="left"/>
        <w:rPr>
          <w:rFonts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银</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行</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传</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真：</w:t>
      </w:r>
      <w:r>
        <w:rPr>
          <w:rFonts w:eastAsia="楷体_GB2312"/>
          <w:color w:val="000000" w:themeColor="text1"/>
          <w:szCs w:val="21"/>
          <w:highlight w:val="none"/>
          <w:u w:val="single"/>
          <w14:textFill>
            <w14:solidFill>
              <w14:schemeClr w14:val="tx1"/>
            </w14:solidFill>
          </w14:textFill>
        </w:rPr>
        <w:t xml:space="preserve">                       </w:t>
      </w:r>
    </w:p>
    <w:p w14:paraId="3A224F7E">
      <w:pPr>
        <w:pStyle w:val="7"/>
        <w:spacing w:line="360" w:lineRule="auto"/>
        <w:rPr>
          <w:rFonts w:ascii="宋体" w:hAnsi="宋体" w:cs="宋体"/>
          <w:color w:val="000000" w:themeColor="text1"/>
          <w:highlight w:val="none"/>
          <w14:textFill>
            <w14:solidFill>
              <w14:schemeClr w14:val="tx1"/>
            </w14:solidFill>
          </w14:textFill>
        </w:rPr>
      </w:pPr>
    </w:p>
    <w:p w14:paraId="17B8BA94">
      <w:pPr>
        <w:pStyle w:val="7"/>
        <w:spacing w:line="360" w:lineRule="auto"/>
        <w:ind w:left="630" w:hanging="630" w:hangingChars="300"/>
        <w:rPr>
          <w:rFonts w:ascii="宋体" w:hAnsi="宋体" w:cs="宋体"/>
          <w:color w:val="000000" w:themeColor="text1"/>
          <w:highlight w:val="none"/>
          <w14:textFill>
            <w14:solidFill>
              <w14:schemeClr w14:val="tx1"/>
            </w14:solidFill>
          </w14:textFill>
        </w:rPr>
      </w:pPr>
    </w:p>
    <w:p w14:paraId="5100CD8C">
      <w:pPr>
        <w:pStyle w:val="7"/>
        <w:spacing w:line="360" w:lineRule="auto"/>
        <w:ind w:left="630" w:hanging="630" w:hangingChars="300"/>
        <w:rPr>
          <w:rFonts w:ascii="宋体" w:hAnsi="宋体" w:cs="宋体"/>
          <w:color w:val="000000" w:themeColor="text1"/>
          <w:highlight w:val="none"/>
          <w14:textFill>
            <w14:solidFill>
              <w14:schemeClr w14:val="tx1"/>
            </w14:solidFill>
          </w14:textFill>
        </w:rPr>
      </w:pPr>
    </w:p>
    <w:p w14:paraId="2B679D93">
      <w:pPr>
        <w:pStyle w:val="7"/>
        <w:spacing w:line="360" w:lineRule="auto"/>
        <w:ind w:left="630" w:leftChars="200" w:hanging="210" w:hangingChars="1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p>
    <w:p w14:paraId="5034C752">
      <w:pPr>
        <w:pStyle w:val="7"/>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允许投标人实际开具的银行存款证明的格式与本表格式有所不同，但不得更改本存款证明格式中的实质性内容。</w:t>
      </w:r>
    </w:p>
    <w:p w14:paraId="727BDAD6">
      <w:pPr>
        <w:pStyle w:val="7"/>
        <w:spacing w:line="360" w:lineRule="auto"/>
        <w:rPr>
          <w:rFonts w:ascii="宋体" w:hAnsi="宋体" w:cs="宋体"/>
          <w:color w:val="000000" w:themeColor="text1"/>
          <w:highlight w:val="none"/>
          <w14:textFill>
            <w14:solidFill>
              <w14:schemeClr w14:val="tx1"/>
            </w14:solidFill>
          </w14:textFill>
        </w:rPr>
      </w:pPr>
    </w:p>
    <w:p w14:paraId="11D7C72B">
      <w:pPr>
        <w:pStyle w:val="7"/>
        <w:spacing w:line="360" w:lineRule="auto"/>
        <w:jc w:val="center"/>
        <w:rPr>
          <w:rFonts w:ascii="宋体" w:hAnsi="宋体" w:cs="宋体"/>
          <w:color w:val="000000" w:themeColor="text1"/>
          <w:sz w:val="28"/>
          <w:highlight w:val="none"/>
          <w14:textFill>
            <w14:solidFill>
              <w14:schemeClr w14:val="tx1"/>
            </w14:solidFill>
          </w14:textFill>
        </w:rPr>
      </w:pPr>
    </w:p>
    <w:p w14:paraId="3CEA96AA">
      <w:pPr>
        <w:rPr>
          <w:rFonts w:ascii="宋体" w:hAnsi="宋体"/>
          <w:b/>
          <w:bCs/>
          <w:color w:val="000000" w:themeColor="text1"/>
          <w:sz w:val="24"/>
          <w:szCs w:val="24"/>
          <w:highlight w:val="none"/>
          <w14:textFill>
            <w14:solidFill>
              <w14:schemeClr w14:val="tx1"/>
            </w14:solidFill>
          </w14:textFill>
        </w:rPr>
      </w:pPr>
      <w:bookmarkStart w:id="1685" w:name="_Toc12689"/>
      <w:bookmarkStart w:id="1686" w:name="_Toc12943"/>
      <w:bookmarkStart w:id="1687" w:name="_Toc120624316"/>
      <w:bookmarkStart w:id="1688" w:name="_Toc15934"/>
      <w:bookmarkStart w:id="1689" w:name="_Toc23141"/>
      <w:bookmarkStart w:id="1690" w:name="_Toc27397"/>
      <w:bookmarkStart w:id="1691" w:name="_Toc23101"/>
      <w:bookmarkStart w:id="1692" w:name="_Toc29554"/>
      <w:bookmarkStart w:id="1693" w:name="_Toc28291"/>
      <w:bookmarkStart w:id="1694" w:name="_Toc751"/>
      <w:bookmarkStart w:id="1695" w:name="_Toc14390"/>
      <w:bookmarkStart w:id="1696" w:name="_Toc98785430"/>
      <w:bookmarkStart w:id="1697" w:name="_Toc17899"/>
      <w:bookmarkStart w:id="1698" w:name="_Toc13139"/>
      <w:bookmarkStart w:id="1699" w:name="_Toc18234"/>
      <w:bookmarkStart w:id="1700" w:name="_Toc118195936"/>
      <w:bookmarkStart w:id="1701" w:name="_Toc22441"/>
      <w:bookmarkStart w:id="1702" w:name="_Toc119585577"/>
      <w:bookmarkStart w:id="1703" w:name="_Toc4351"/>
      <w:r>
        <w:rPr>
          <w:rFonts w:hint="eastAsia" w:ascii="宋体" w:hAnsi="宋体"/>
          <w:b/>
          <w:bCs/>
          <w:color w:val="000000" w:themeColor="text1"/>
          <w:sz w:val="24"/>
          <w:szCs w:val="24"/>
          <w:highlight w:val="none"/>
          <w14:textFill>
            <w14:solidFill>
              <w14:schemeClr w14:val="tx1"/>
            </w14:solidFill>
          </w14:textFill>
        </w:rPr>
        <w:br w:type="page"/>
      </w:r>
    </w:p>
    <w:p w14:paraId="387405D4">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704" w:name="_Toc7626"/>
      <w:r>
        <w:rPr>
          <w:rFonts w:hint="eastAsia" w:ascii="宋体" w:hAnsi="宋体" w:eastAsia="宋体"/>
          <w:b/>
          <w:bCs/>
          <w:color w:val="000000" w:themeColor="text1"/>
          <w:sz w:val="24"/>
          <w:szCs w:val="24"/>
          <w:highlight w:val="none"/>
          <w14:textFill>
            <w14:solidFill>
              <w14:schemeClr w14:val="tx1"/>
            </w14:solidFill>
          </w14:textFill>
        </w:rPr>
        <w:t>（四）近年完成的类似项目情况表</w:t>
      </w:r>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p>
    <w:p w14:paraId="207B457A">
      <w:pPr>
        <w:pStyle w:val="7"/>
        <w:rPr>
          <w:color w:val="000000" w:themeColor="text1"/>
          <w:highlight w:val="none"/>
          <w14:textFill>
            <w14:solidFill>
              <w14:schemeClr w14:val="tx1"/>
            </w14:solidFill>
          </w14:textFill>
        </w:rPr>
      </w:pPr>
    </w:p>
    <w:tbl>
      <w:tblPr>
        <w:tblStyle w:val="28"/>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6480"/>
      </w:tblGrid>
      <w:tr w14:paraId="11565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op w:val="single" w:color="auto" w:sz="12" w:space="0"/>
              <w:left w:val="single" w:color="auto" w:sz="12" w:space="0"/>
            </w:tcBorders>
            <w:vAlign w:val="center"/>
          </w:tcPr>
          <w:p w14:paraId="1B3ACC18">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6480" w:type="dxa"/>
            <w:tcBorders>
              <w:top w:val="single" w:color="auto" w:sz="12" w:space="0"/>
              <w:right w:val="single" w:color="auto" w:sz="12" w:space="0"/>
            </w:tcBorders>
            <w:vAlign w:val="center"/>
          </w:tcPr>
          <w:p w14:paraId="5EF40FCB">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A435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5351FDF5">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项目所在地</w:t>
            </w:r>
          </w:p>
        </w:tc>
        <w:tc>
          <w:tcPr>
            <w:tcW w:w="6480" w:type="dxa"/>
            <w:tcBorders>
              <w:right w:val="single" w:color="auto" w:sz="12" w:space="0"/>
            </w:tcBorders>
            <w:vAlign w:val="center"/>
          </w:tcPr>
          <w:p w14:paraId="182BF300">
            <w:pPr>
              <w:pStyle w:val="7"/>
              <w:spacing w:line="340" w:lineRule="exact"/>
              <w:jc w:val="center"/>
              <w:rPr>
                <w:rFonts w:ascii="宋体" w:hAnsi="宋体" w:cs="宋体"/>
                <w:color w:val="000000" w:themeColor="text1"/>
                <w:highlight w:val="none"/>
                <w14:textFill>
                  <w14:solidFill>
                    <w14:schemeClr w14:val="tx1"/>
                  </w14:solidFill>
                </w14:textFill>
              </w:rPr>
            </w:pPr>
          </w:p>
        </w:tc>
      </w:tr>
      <w:tr w14:paraId="0CF6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326840FD">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发包人名称</w:t>
            </w:r>
          </w:p>
        </w:tc>
        <w:tc>
          <w:tcPr>
            <w:tcW w:w="6480" w:type="dxa"/>
            <w:tcBorders>
              <w:right w:val="single" w:color="auto" w:sz="12" w:space="0"/>
            </w:tcBorders>
            <w:vAlign w:val="center"/>
          </w:tcPr>
          <w:p w14:paraId="1DE90B14">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56C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66168ECD">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发包人地址</w:t>
            </w:r>
          </w:p>
        </w:tc>
        <w:tc>
          <w:tcPr>
            <w:tcW w:w="6480" w:type="dxa"/>
            <w:tcBorders>
              <w:right w:val="single" w:color="auto" w:sz="12" w:space="0"/>
            </w:tcBorders>
            <w:vAlign w:val="center"/>
          </w:tcPr>
          <w:p w14:paraId="38EBB2B2">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9444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74368212">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发包人电话</w:t>
            </w:r>
          </w:p>
        </w:tc>
        <w:tc>
          <w:tcPr>
            <w:tcW w:w="6480" w:type="dxa"/>
            <w:tcBorders>
              <w:right w:val="single" w:color="auto" w:sz="12" w:space="0"/>
            </w:tcBorders>
            <w:vAlign w:val="center"/>
          </w:tcPr>
          <w:p w14:paraId="67F61301">
            <w:pPr>
              <w:pStyle w:val="7"/>
              <w:spacing w:line="340" w:lineRule="exact"/>
              <w:jc w:val="center"/>
              <w:rPr>
                <w:rFonts w:ascii="宋体" w:hAnsi="宋体" w:cs="宋体"/>
                <w:color w:val="000000" w:themeColor="text1"/>
                <w:highlight w:val="none"/>
                <w14:textFill>
                  <w14:solidFill>
                    <w14:schemeClr w14:val="tx1"/>
                  </w14:solidFill>
                </w14:textFill>
              </w:rPr>
            </w:pPr>
          </w:p>
        </w:tc>
      </w:tr>
      <w:tr w14:paraId="0B12B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3910A44D">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合同价格</w:t>
            </w:r>
          </w:p>
        </w:tc>
        <w:tc>
          <w:tcPr>
            <w:tcW w:w="6480" w:type="dxa"/>
            <w:tcBorders>
              <w:right w:val="single" w:color="auto" w:sz="12" w:space="0"/>
            </w:tcBorders>
            <w:vAlign w:val="center"/>
          </w:tcPr>
          <w:p w14:paraId="757D7FED">
            <w:pPr>
              <w:pStyle w:val="7"/>
              <w:spacing w:line="340" w:lineRule="exact"/>
              <w:jc w:val="center"/>
              <w:rPr>
                <w:rFonts w:ascii="宋体" w:hAnsi="宋体" w:cs="宋体"/>
                <w:color w:val="000000" w:themeColor="text1"/>
                <w:highlight w:val="none"/>
                <w14:textFill>
                  <w14:solidFill>
                    <w14:schemeClr w14:val="tx1"/>
                  </w14:solidFill>
                </w14:textFill>
              </w:rPr>
            </w:pPr>
          </w:p>
        </w:tc>
      </w:tr>
      <w:tr w14:paraId="0500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17CEE22F">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开工日期</w:t>
            </w:r>
          </w:p>
        </w:tc>
        <w:tc>
          <w:tcPr>
            <w:tcW w:w="6480" w:type="dxa"/>
            <w:tcBorders>
              <w:right w:val="single" w:color="auto" w:sz="12" w:space="0"/>
            </w:tcBorders>
            <w:vAlign w:val="center"/>
          </w:tcPr>
          <w:p w14:paraId="7AAFCA49">
            <w:pPr>
              <w:pStyle w:val="7"/>
              <w:spacing w:line="340" w:lineRule="exact"/>
              <w:jc w:val="center"/>
              <w:rPr>
                <w:rFonts w:ascii="宋体" w:hAnsi="宋体" w:cs="宋体"/>
                <w:color w:val="000000" w:themeColor="text1"/>
                <w:highlight w:val="none"/>
                <w14:textFill>
                  <w14:solidFill>
                    <w14:schemeClr w14:val="tx1"/>
                  </w14:solidFill>
                </w14:textFill>
              </w:rPr>
            </w:pPr>
          </w:p>
        </w:tc>
      </w:tr>
      <w:tr w14:paraId="241AE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7F2A733B">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交工日期</w:t>
            </w:r>
          </w:p>
        </w:tc>
        <w:tc>
          <w:tcPr>
            <w:tcW w:w="6480" w:type="dxa"/>
            <w:tcBorders>
              <w:right w:val="single" w:color="auto" w:sz="12" w:space="0"/>
            </w:tcBorders>
            <w:vAlign w:val="center"/>
          </w:tcPr>
          <w:p w14:paraId="41B1FD6B">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E78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45EDC314">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承担的工作</w:t>
            </w:r>
          </w:p>
        </w:tc>
        <w:tc>
          <w:tcPr>
            <w:tcW w:w="6480" w:type="dxa"/>
            <w:tcBorders>
              <w:right w:val="single" w:color="auto" w:sz="12" w:space="0"/>
            </w:tcBorders>
            <w:vAlign w:val="center"/>
          </w:tcPr>
          <w:p w14:paraId="13911A79">
            <w:pPr>
              <w:pStyle w:val="7"/>
              <w:spacing w:line="340" w:lineRule="exact"/>
              <w:jc w:val="center"/>
              <w:rPr>
                <w:rFonts w:ascii="宋体" w:hAnsi="宋体" w:cs="宋体"/>
                <w:color w:val="000000" w:themeColor="text1"/>
                <w:highlight w:val="none"/>
                <w14:textFill>
                  <w14:solidFill>
                    <w14:schemeClr w14:val="tx1"/>
                  </w14:solidFill>
                </w14:textFill>
              </w:rPr>
            </w:pPr>
          </w:p>
        </w:tc>
      </w:tr>
      <w:tr w14:paraId="26B9B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7347A215">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工程质量</w:t>
            </w:r>
          </w:p>
        </w:tc>
        <w:tc>
          <w:tcPr>
            <w:tcW w:w="6480" w:type="dxa"/>
            <w:tcBorders>
              <w:right w:val="single" w:color="auto" w:sz="12" w:space="0"/>
            </w:tcBorders>
            <w:vAlign w:val="center"/>
          </w:tcPr>
          <w:p w14:paraId="34E5EB2B">
            <w:pPr>
              <w:pStyle w:val="7"/>
              <w:spacing w:line="340" w:lineRule="exact"/>
              <w:jc w:val="center"/>
              <w:rPr>
                <w:rFonts w:ascii="宋体" w:hAnsi="宋体" w:cs="宋体"/>
                <w:color w:val="000000" w:themeColor="text1"/>
                <w:highlight w:val="none"/>
                <w14:textFill>
                  <w14:solidFill>
                    <w14:schemeClr w14:val="tx1"/>
                  </w14:solidFill>
                </w14:textFill>
              </w:rPr>
            </w:pPr>
          </w:p>
        </w:tc>
      </w:tr>
      <w:tr w14:paraId="73AF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57DE25F6">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项目经理</w:t>
            </w:r>
          </w:p>
        </w:tc>
        <w:tc>
          <w:tcPr>
            <w:tcW w:w="6480" w:type="dxa"/>
            <w:tcBorders>
              <w:right w:val="single" w:color="auto" w:sz="12" w:space="0"/>
            </w:tcBorders>
            <w:vAlign w:val="center"/>
          </w:tcPr>
          <w:p w14:paraId="38C156E8">
            <w:pPr>
              <w:pStyle w:val="7"/>
              <w:spacing w:line="340" w:lineRule="exact"/>
              <w:jc w:val="center"/>
              <w:rPr>
                <w:rFonts w:ascii="宋体" w:hAnsi="宋体" w:cs="宋体"/>
                <w:color w:val="000000" w:themeColor="text1"/>
                <w:highlight w:val="none"/>
                <w14:textFill>
                  <w14:solidFill>
                    <w14:schemeClr w14:val="tx1"/>
                  </w14:solidFill>
                </w14:textFill>
              </w:rPr>
            </w:pPr>
          </w:p>
        </w:tc>
      </w:tr>
      <w:tr w14:paraId="116BA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0E389524">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项目技术负责人</w:t>
            </w:r>
          </w:p>
        </w:tc>
        <w:tc>
          <w:tcPr>
            <w:tcW w:w="6480" w:type="dxa"/>
            <w:tcBorders>
              <w:right w:val="single" w:color="auto" w:sz="12" w:space="0"/>
            </w:tcBorders>
            <w:vAlign w:val="center"/>
          </w:tcPr>
          <w:p w14:paraId="6AF8CB29">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21A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40052332">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总监理工程师及电话</w:t>
            </w:r>
          </w:p>
        </w:tc>
        <w:tc>
          <w:tcPr>
            <w:tcW w:w="6480" w:type="dxa"/>
            <w:tcBorders>
              <w:right w:val="single" w:color="auto" w:sz="12" w:space="0"/>
            </w:tcBorders>
            <w:vAlign w:val="center"/>
          </w:tcPr>
          <w:p w14:paraId="38DC27D7">
            <w:pPr>
              <w:pStyle w:val="7"/>
              <w:spacing w:line="340" w:lineRule="exact"/>
              <w:jc w:val="center"/>
              <w:rPr>
                <w:rFonts w:ascii="宋体" w:hAnsi="宋体" w:cs="宋体"/>
                <w:color w:val="000000" w:themeColor="text1"/>
                <w:highlight w:val="none"/>
                <w14:textFill>
                  <w14:solidFill>
                    <w14:schemeClr w14:val="tx1"/>
                  </w14:solidFill>
                </w14:textFill>
              </w:rPr>
            </w:pPr>
          </w:p>
        </w:tc>
      </w:tr>
      <w:tr w14:paraId="1AD38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2700" w:type="dxa"/>
            <w:tcBorders>
              <w:left w:val="single" w:color="auto" w:sz="12" w:space="0"/>
            </w:tcBorders>
            <w:vAlign w:val="center"/>
          </w:tcPr>
          <w:p w14:paraId="06CD204A">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项目描述</w:t>
            </w:r>
          </w:p>
        </w:tc>
        <w:tc>
          <w:tcPr>
            <w:tcW w:w="6480" w:type="dxa"/>
            <w:tcBorders>
              <w:right w:val="single" w:color="auto" w:sz="12" w:space="0"/>
            </w:tcBorders>
            <w:vAlign w:val="center"/>
          </w:tcPr>
          <w:p w14:paraId="260348F5">
            <w:pPr>
              <w:pStyle w:val="7"/>
              <w:spacing w:line="340" w:lineRule="exact"/>
              <w:jc w:val="center"/>
              <w:rPr>
                <w:rFonts w:ascii="宋体" w:hAnsi="宋体" w:cs="宋体"/>
                <w:color w:val="000000" w:themeColor="text1"/>
                <w:highlight w:val="none"/>
                <w14:textFill>
                  <w14:solidFill>
                    <w14:schemeClr w14:val="tx1"/>
                  </w14:solidFill>
                </w14:textFill>
              </w:rPr>
            </w:pPr>
          </w:p>
        </w:tc>
      </w:tr>
      <w:tr w14:paraId="1D3C2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bottom w:val="single" w:color="auto" w:sz="12" w:space="0"/>
            </w:tcBorders>
            <w:vAlign w:val="center"/>
          </w:tcPr>
          <w:p w14:paraId="21158DEC">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注</w:t>
            </w:r>
          </w:p>
        </w:tc>
        <w:tc>
          <w:tcPr>
            <w:tcW w:w="6480" w:type="dxa"/>
            <w:tcBorders>
              <w:bottom w:val="single" w:color="auto" w:sz="12" w:space="0"/>
              <w:right w:val="single" w:color="auto" w:sz="12" w:space="0"/>
            </w:tcBorders>
            <w:vAlign w:val="center"/>
          </w:tcPr>
          <w:p w14:paraId="1994C732">
            <w:pPr>
              <w:pStyle w:val="7"/>
              <w:spacing w:line="340" w:lineRule="exact"/>
              <w:jc w:val="center"/>
              <w:rPr>
                <w:rFonts w:ascii="宋体" w:hAnsi="宋体" w:cs="宋体"/>
                <w:color w:val="000000" w:themeColor="text1"/>
                <w:highlight w:val="none"/>
                <w14:textFill>
                  <w14:solidFill>
                    <w14:schemeClr w14:val="tx1"/>
                  </w14:solidFill>
                </w14:textFill>
              </w:rPr>
            </w:pPr>
          </w:p>
        </w:tc>
      </w:tr>
    </w:tbl>
    <w:p w14:paraId="44940338">
      <w:pPr>
        <w:pStyle w:val="7"/>
        <w:spacing w:line="360" w:lineRule="auto"/>
        <w:ind w:left="627" w:leftChars="171" w:hanging="268" w:hangingChars="128"/>
        <w:rPr>
          <w:rFonts w:ascii="宋体" w:hAnsi="宋体" w:cs="宋体"/>
          <w:color w:val="000000" w:themeColor="text1"/>
          <w:highlight w:val="none"/>
          <w14:textFill>
            <w14:solidFill>
              <w14:schemeClr w14:val="tx1"/>
            </w14:solidFill>
          </w14:textFill>
        </w:rPr>
      </w:pPr>
    </w:p>
    <w:p w14:paraId="7F456C73">
      <w:pPr>
        <w:pStyle w:val="7"/>
        <w:spacing w:line="320" w:lineRule="exact"/>
        <w:ind w:right="206" w:rightChars="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ascii="宋体" w:hAnsi="宋体" w:cs="宋体"/>
          <w:color w:val="000000" w:themeColor="text1"/>
          <w:highlight w:val="none"/>
          <w14:textFill>
            <w14:solidFill>
              <w14:schemeClr w14:val="tx1"/>
            </w14:solidFill>
          </w14:textFill>
        </w:rPr>
        <w:t>1.每张表格只填写一个项目，并标明序号。</w:t>
      </w:r>
    </w:p>
    <w:p w14:paraId="26E3465E">
      <w:pPr>
        <w:pStyle w:val="7"/>
        <w:spacing w:line="320" w:lineRule="exact"/>
        <w:ind w:right="206" w:rightChars="98" w:firstLine="420" w:firstLineChars="20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2.投标人应根据招标文件第二章“投标人须知</w:t>
      </w:r>
      <w:r>
        <w:rPr>
          <w:rFonts w:hint="eastAsia" w:ascii="宋体" w:hAnsi="宋体" w:cs="宋体"/>
          <w:color w:val="000000" w:themeColor="text1"/>
          <w:highlight w:val="none"/>
          <w14:textFill>
            <w14:solidFill>
              <w14:schemeClr w14:val="tx1"/>
            </w14:solidFill>
          </w14:textFill>
        </w:rPr>
        <w:t>”第3.5.3项的要求在本表后附相关证明材料。</w:t>
      </w:r>
    </w:p>
    <w:p w14:paraId="09DA925A">
      <w:pPr>
        <w:pStyle w:val="7"/>
        <w:spacing w:line="320" w:lineRule="exact"/>
        <w:ind w:right="206" w:rightChars="98"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3.如近年来，投标人法人机构发生合法变更应提供相关部门的合法批件。</w:t>
      </w:r>
    </w:p>
    <w:p w14:paraId="6A0C5DDB">
      <w:pPr>
        <w:pStyle w:val="7"/>
        <w:spacing w:line="320" w:lineRule="exact"/>
        <w:ind w:right="206" w:rightChars="98" w:firstLine="420" w:firstLineChars="200"/>
        <w:rPr>
          <w:rFonts w:ascii="宋体" w:hAnsi="宋体" w:eastAsia="宋体" w:cs="宋体"/>
          <w:color w:val="000000" w:themeColor="text1"/>
          <w:highlight w:val="none"/>
          <w14:textFill>
            <w14:solidFill>
              <w14:schemeClr w14:val="tx1"/>
            </w14:solidFill>
          </w14:textFill>
        </w:rPr>
      </w:pPr>
    </w:p>
    <w:p w14:paraId="51E212B5">
      <w:pPr>
        <w:pStyle w:val="7"/>
        <w:spacing w:line="320" w:lineRule="exact"/>
        <w:ind w:right="206" w:rightChars="98" w:firstLine="420" w:firstLineChars="200"/>
        <w:rPr>
          <w:rFonts w:ascii="宋体" w:hAnsi="宋体" w:cs="宋体"/>
          <w:color w:val="000000" w:themeColor="text1"/>
          <w:highlight w:val="none"/>
          <w14:textFill>
            <w14:solidFill>
              <w14:schemeClr w14:val="tx1"/>
            </w14:solidFill>
          </w14:textFill>
        </w:rPr>
      </w:pPr>
    </w:p>
    <w:p w14:paraId="5C2B539D">
      <w:pPr>
        <w:pStyle w:val="7"/>
        <w:spacing w:line="360" w:lineRule="auto"/>
        <w:ind w:right="206" w:rightChars="98" w:firstLine="420" w:firstLineChars="200"/>
        <w:rPr>
          <w:rFonts w:ascii="宋体" w:hAnsi="宋体" w:cs="宋体"/>
          <w:color w:val="000000" w:themeColor="text1"/>
          <w:highlight w:val="none"/>
          <w14:textFill>
            <w14:solidFill>
              <w14:schemeClr w14:val="tx1"/>
            </w14:solidFill>
          </w14:textFill>
        </w:rPr>
      </w:pPr>
    </w:p>
    <w:p w14:paraId="22847C5E">
      <w:pPr>
        <w:pStyle w:val="7"/>
        <w:spacing w:line="360" w:lineRule="auto"/>
        <w:ind w:left="1289" w:leftChars="177" w:right="347" w:hanging="917" w:hangingChars="437"/>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46002D7D">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705" w:name="_Toc6107"/>
      <w:bookmarkStart w:id="1706" w:name="_Toc6370"/>
      <w:bookmarkStart w:id="1707" w:name="_Toc13279"/>
      <w:bookmarkStart w:id="1708" w:name="_Toc7077"/>
      <w:bookmarkStart w:id="1709" w:name="_Toc119585578"/>
      <w:bookmarkStart w:id="1710" w:name="_Toc20660"/>
      <w:bookmarkStart w:id="1711" w:name="_Toc6010"/>
      <w:bookmarkStart w:id="1712" w:name="_Toc7139"/>
      <w:bookmarkStart w:id="1713" w:name="_Toc13052"/>
      <w:bookmarkStart w:id="1714" w:name="_Toc98785431"/>
      <w:bookmarkStart w:id="1715" w:name="_Toc18107"/>
      <w:bookmarkStart w:id="1716" w:name="_Toc20271"/>
      <w:bookmarkStart w:id="1717" w:name="_Toc21982"/>
      <w:bookmarkStart w:id="1718" w:name="_Toc118195937"/>
      <w:bookmarkStart w:id="1719" w:name="_Toc3151"/>
      <w:bookmarkStart w:id="1720" w:name="_Toc14561"/>
      <w:bookmarkStart w:id="1721" w:name="_Toc21810"/>
      <w:bookmarkStart w:id="1722" w:name="_Toc20759"/>
      <w:bookmarkStart w:id="1723" w:name="_Toc4934"/>
      <w:bookmarkStart w:id="1724" w:name="_Toc120624317"/>
      <w:r>
        <w:rPr>
          <w:rFonts w:hint="eastAsia" w:ascii="宋体" w:hAnsi="宋体" w:eastAsia="宋体"/>
          <w:b/>
          <w:bCs/>
          <w:color w:val="000000" w:themeColor="text1"/>
          <w:sz w:val="24"/>
          <w:szCs w:val="24"/>
          <w:highlight w:val="none"/>
          <w14:textFill>
            <w14:solidFill>
              <w14:schemeClr w14:val="tx1"/>
            </w14:solidFill>
          </w14:textFill>
        </w:rPr>
        <w:t>（五）投标人的信誉情况</w:t>
      </w:r>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p>
    <w:p w14:paraId="36DC60C8">
      <w:pPr>
        <w:pStyle w:val="7"/>
        <w:rPr>
          <w:color w:val="000000" w:themeColor="text1"/>
          <w:highlight w:val="none"/>
          <w14:textFill>
            <w14:solidFill>
              <w14:schemeClr w14:val="tx1"/>
            </w14:solidFill>
          </w14:textFill>
        </w:rPr>
      </w:pPr>
    </w:p>
    <w:tbl>
      <w:tblPr>
        <w:tblStyle w:val="28"/>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6"/>
        <w:gridCol w:w="4644"/>
      </w:tblGrid>
      <w:tr w14:paraId="5B618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top w:val="single" w:color="auto" w:sz="12" w:space="0"/>
              <w:left w:val="single" w:color="auto" w:sz="12" w:space="0"/>
            </w:tcBorders>
            <w:vAlign w:val="center"/>
          </w:tcPr>
          <w:p w14:paraId="6EB0555F">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w:t>
            </w:r>
          </w:p>
        </w:tc>
        <w:tc>
          <w:tcPr>
            <w:tcW w:w="4644" w:type="dxa"/>
            <w:tcBorders>
              <w:top w:val="single" w:color="auto" w:sz="12" w:space="0"/>
              <w:right w:val="single" w:color="auto" w:sz="12" w:space="0"/>
            </w:tcBorders>
            <w:vAlign w:val="center"/>
          </w:tcPr>
          <w:p w14:paraId="63B332BB">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投标人情况说明</w:t>
            </w:r>
          </w:p>
        </w:tc>
      </w:tr>
      <w:tr w14:paraId="5CAC4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13F87BD3">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421CBBBA">
            <w:pPr>
              <w:pStyle w:val="7"/>
              <w:spacing w:line="340" w:lineRule="exact"/>
              <w:jc w:val="center"/>
              <w:rPr>
                <w:rFonts w:ascii="宋体" w:hAnsi="宋体" w:cs="宋体"/>
                <w:color w:val="000000" w:themeColor="text1"/>
                <w:highlight w:val="none"/>
                <w14:textFill>
                  <w14:solidFill>
                    <w14:schemeClr w14:val="tx1"/>
                  </w14:solidFill>
                </w14:textFill>
              </w:rPr>
            </w:pPr>
          </w:p>
        </w:tc>
      </w:tr>
      <w:tr w14:paraId="08B2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33A5ADB8">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22F2D111">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BB5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5FC21B6F">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7B0AF21C">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097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13DF96D1">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4414A0C5">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355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43AC9EE8">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6FE6963D">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7D53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3FA8AC8D">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4DA754F8">
            <w:pPr>
              <w:pStyle w:val="7"/>
              <w:spacing w:line="340" w:lineRule="exact"/>
              <w:jc w:val="center"/>
              <w:rPr>
                <w:rFonts w:ascii="宋体" w:hAnsi="宋体" w:cs="宋体"/>
                <w:color w:val="000000" w:themeColor="text1"/>
                <w:highlight w:val="none"/>
                <w14:textFill>
                  <w14:solidFill>
                    <w14:schemeClr w14:val="tx1"/>
                  </w14:solidFill>
                </w14:textFill>
              </w:rPr>
            </w:pPr>
          </w:p>
        </w:tc>
      </w:tr>
      <w:tr w14:paraId="35590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04F460D6">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5FF929EA">
            <w:pPr>
              <w:pStyle w:val="7"/>
              <w:spacing w:line="340" w:lineRule="exact"/>
              <w:jc w:val="center"/>
              <w:rPr>
                <w:rFonts w:ascii="宋体" w:hAnsi="宋体" w:cs="宋体"/>
                <w:color w:val="000000" w:themeColor="text1"/>
                <w:highlight w:val="none"/>
                <w14:textFill>
                  <w14:solidFill>
                    <w14:schemeClr w14:val="tx1"/>
                  </w14:solidFill>
                </w14:textFill>
              </w:rPr>
            </w:pPr>
          </w:p>
        </w:tc>
      </w:tr>
      <w:tr w14:paraId="25673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67EEC66D">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2F98FB9C">
            <w:pPr>
              <w:pStyle w:val="7"/>
              <w:spacing w:line="340" w:lineRule="exact"/>
              <w:jc w:val="center"/>
              <w:rPr>
                <w:rFonts w:ascii="宋体" w:hAnsi="宋体" w:cs="宋体"/>
                <w:color w:val="000000" w:themeColor="text1"/>
                <w:highlight w:val="none"/>
                <w14:textFill>
                  <w14:solidFill>
                    <w14:schemeClr w14:val="tx1"/>
                  </w14:solidFill>
                </w14:textFill>
              </w:rPr>
            </w:pPr>
          </w:p>
        </w:tc>
      </w:tr>
      <w:tr w14:paraId="1384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0EF476E7">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0242BAEA">
            <w:pPr>
              <w:pStyle w:val="7"/>
              <w:spacing w:line="340" w:lineRule="exact"/>
              <w:jc w:val="center"/>
              <w:rPr>
                <w:rFonts w:ascii="宋体" w:hAnsi="宋体" w:cs="宋体"/>
                <w:color w:val="000000" w:themeColor="text1"/>
                <w:highlight w:val="none"/>
                <w14:textFill>
                  <w14:solidFill>
                    <w14:schemeClr w14:val="tx1"/>
                  </w14:solidFill>
                </w14:textFill>
              </w:rPr>
            </w:pPr>
          </w:p>
        </w:tc>
      </w:tr>
      <w:tr w14:paraId="02368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58D35970">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4AED6BD6">
            <w:pPr>
              <w:pStyle w:val="7"/>
              <w:spacing w:line="340" w:lineRule="exact"/>
              <w:jc w:val="center"/>
              <w:rPr>
                <w:rFonts w:ascii="宋体" w:hAnsi="宋体" w:cs="宋体"/>
                <w:color w:val="000000" w:themeColor="text1"/>
                <w:highlight w:val="none"/>
                <w14:textFill>
                  <w14:solidFill>
                    <w14:schemeClr w14:val="tx1"/>
                  </w14:solidFill>
                </w14:textFill>
              </w:rPr>
            </w:pPr>
          </w:p>
        </w:tc>
      </w:tr>
      <w:tr w14:paraId="5BB3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2D784540">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2F927566">
            <w:pPr>
              <w:pStyle w:val="7"/>
              <w:spacing w:line="340" w:lineRule="exact"/>
              <w:jc w:val="center"/>
              <w:rPr>
                <w:rFonts w:ascii="宋体" w:hAnsi="宋体" w:cs="宋体"/>
                <w:color w:val="000000" w:themeColor="text1"/>
                <w:highlight w:val="none"/>
                <w14:textFill>
                  <w14:solidFill>
                    <w14:schemeClr w14:val="tx1"/>
                  </w14:solidFill>
                </w14:textFill>
              </w:rPr>
            </w:pPr>
          </w:p>
        </w:tc>
      </w:tr>
      <w:tr w14:paraId="131B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403686F4">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right w:val="single" w:color="auto" w:sz="12" w:space="0"/>
            </w:tcBorders>
            <w:vAlign w:val="center"/>
          </w:tcPr>
          <w:p w14:paraId="72516E43">
            <w:pPr>
              <w:pStyle w:val="7"/>
              <w:spacing w:line="340" w:lineRule="exact"/>
              <w:jc w:val="center"/>
              <w:rPr>
                <w:rFonts w:ascii="宋体" w:hAnsi="宋体" w:cs="宋体"/>
                <w:color w:val="000000" w:themeColor="text1"/>
                <w:highlight w:val="none"/>
                <w14:textFill>
                  <w14:solidFill>
                    <w14:schemeClr w14:val="tx1"/>
                  </w14:solidFill>
                </w14:textFill>
              </w:rPr>
            </w:pPr>
          </w:p>
        </w:tc>
      </w:tr>
      <w:tr w14:paraId="54DA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bottom w:val="single" w:color="auto" w:sz="12" w:space="0"/>
            </w:tcBorders>
            <w:vAlign w:val="center"/>
          </w:tcPr>
          <w:p w14:paraId="4C396DE4">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44" w:type="dxa"/>
            <w:tcBorders>
              <w:bottom w:val="single" w:color="auto" w:sz="12" w:space="0"/>
              <w:right w:val="single" w:color="auto" w:sz="12" w:space="0"/>
            </w:tcBorders>
            <w:vAlign w:val="center"/>
          </w:tcPr>
          <w:p w14:paraId="577E7E46">
            <w:pPr>
              <w:pStyle w:val="7"/>
              <w:spacing w:line="340" w:lineRule="exact"/>
              <w:jc w:val="center"/>
              <w:rPr>
                <w:rFonts w:ascii="宋体" w:hAnsi="宋体" w:cs="宋体"/>
                <w:color w:val="000000" w:themeColor="text1"/>
                <w:highlight w:val="none"/>
                <w14:textFill>
                  <w14:solidFill>
                    <w14:schemeClr w14:val="tx1"/>
                  </w14:solidFill>
                </w14:textFill>
              </w:rPr>
            </w:pPr>
          </w:p>
        </w:tc>
      </w:tr>
    </w:tbl>
    <w:p w14:paraId="5FC88DD7">
      <w:pPr>
        <w:pStyle w:val="7"/>
        <w:spacing w:line="360" w:lineRule="auto"/>
        <w:ind w:left="1352" w:leftChars="200" w:hanging="932" w:hangingChars="444"/>
        <w:rPr>
          <w:rFonts w:ascii="宋体" w:hAnsi="宋体" w:cs="宋体"/>
          <w:color w:val="000000" w:themeColor="text1"/>
          <w:highlight w:val="none"/>
          <w14:textFill>
            <w14:solidFill>
              <w14:schemeClr w14:val="tx1"/>
            </w14:solidFill>
          </w14:textFill>
        </w:rPr>
      </w:pPr>
    </w:p>
    <w:p w14:paraId="4666A961">
      <w:pPr>
        <w:pStyle w:val="7"/>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ascii="宋体" w:hAnsi="宋体" w:cs="宋体"/>
          <w:color w:val="000000" w:themeColor="text1"/>
          <w:highlight w:val="none"/>
          <w14:textFill>
            <w14:solidFill>
              <w14:schemeClr w14:val="tx1"/>
            </w14:solidFill>
          </w14:textFill>
        </w:rPr>
        <w:t xml:space="preserve">1.投标人应按照招标文件第二章“投标人须知”前附表附录4和“投标人须知”正文1.4.4 项规定，逐条说明其信誉情况。 </w:t>
      </w:r>
    </w:p>
    <w:p w14:paraId="1FA0D492">
      <w:pPr>
        <w:pStyle w:val="7"/>
        <w:spacing w:line="360" w:lineRule="auto"/>
        <w:ind w:right="25" w:rightChars="12" w:firstLine="420" w:firstLineChars="200"/>
        <w:rPr>
          <w:rFonts w:ascii="宋体" w:hAnsi="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2.</w:t>
      </w:r>
      <w:r>
        <w:rPr>
          <w:rFonts w:ascii="宋体" w:hAnsi="宋体" w:cs="宋体"/>
          <w:color w:val="000000" w:themeColor="text1"/>
          <w:highlight w:val="none"/>
          <w14:textFill>
            <w14:solidFill>
              <w14:schemeClr w14:val="tx1"/>
            </w14:solidFill>
          </w14:textFill>
        </w:rPr>
        <w:t xml:space="preserve">投标人应根据招标文件第二章“投标人须知”第 3.5.4 项的要求在本表后附相关证明材料。 </w:t>
      </w:r>
    </w:p>
    <w:p w14:paraId="158D3495">
      <w:pPr>
        <w:pStyle w:val="7"/>
        <w:spacing w:line="360" w:lineRule="auto"/>
        <w:ind w:firstLine="560" w:firstLineChars="200"/>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br w:type="page"/>
      </w:r>
    </w:p>
    <w:p w14:paraId="5842650B">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725" w:name="_Toc8321"/>
      <w:bookmarkStart w:id="1726" w:name="_Toc23431"/>
      <w:bookmarkStart w:id="1727" w:name="_Toc18834"/>
      <w:bookmarkStart w:id="1728" w:name="_Toc1967"/>
      <w:bookmarkStart w:id="1729" w:name="_Toc120624318"/>
      <w:bookmarkStart w:id="1730" w:name="_Toc15376"/>
      <w:bookmarkStart w:id="1731" w:name="_Toc13227"/>
      <w:bookmarkStart w:id="1732" w:name="_Toc98785432"/>
      <w:bookmarkStart w:id="1733" w:name="_Toc11424"/>
      <w:bookmarkStart w:id="1734" w:name="_Toc9099"/>
      <w:bookmarkStart w:id="1735" w:name="_Toc3749"/>
      <w:bookmarkStart w:id="1736" w:name="_Toc24974"/>
      <w:bookmarkStart w:id="1737" w:name="_Toc29661"/>
      <w:bookmarkStart w:id="1738" w:name="_Toc15696"/>
      <w:bookmarkStart w:id="1739" w:name="_Toc12784"/>
      <w:bookmarkStart w:id="1740" w:name="_Toc118195938"/>
      <w:bookmarkStart w:id="1741" w:name="_Toc119585579"/>
      <w:bookmarkStart w:id="1742" w:name="_Toc21780"/>
      <w:bookmarkStart w:id="1743" w:name="_Toc13560"/>
      <w:bookmarkStart w:id="1744" w:name="_Toc15152"/>
      <w:r>
        <w:rPr>
          <w:rFonts w:hint="eastAsia" w:ascii="宋体" w:hAnsi="宋体" w:eastAsia="宋体"/>
          <w:b/>
          <w:bCs/>
          <w:color w:val="000000" w:themeColor="text1"/>
          <w:sz w:val="24"/>
          <w:szCs w:val="24"/>
          <w:highlight w:val="none"/>
          <w14:textFill>
            <w14:solidFill>
              <w14:schemeClr w14:val="tx1"/>
            </w14:solidFill>
          </w14:textFill>
        </w:rPr>
        <w:t>（六）拟委任的项目经理、项目技术负责人资历表</w:t>
      </w:r>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p>
    <w:p w14:paraId="3C3A5DFD">
      <w:pPr>
        <w:pStyle w:val="7"/>
        <w:spacing w:line="240" w:lineRule="exact"/>
        <w:rPr>
          <w:rFonts w:ascii="宋体" w:hAnsi="宋体" w:cs="宋体"/>
          <w:color w:val="000000" w:themeColor="text1"/>
          <w:highlight w:val="none"/>
          <w14:textFill>
            <w14:solidFill>
              <w14:schemeClr w14:val="tx1"/>
            </w14:solidFill>
          </w14:textFill>
        </w:rPr>
      </w:pPr>
    </w:p>
    <w:tbl>
      <w:tblPr>
        <w:tblStyle w:val="28"/>
        <w:tblW w:w="9297"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82"/>
        <w:gridCol w:w="1371"/>
        <w:gridCol w:w="209"/>
        <w:gridCol w:w="1185"/>
        <w:gridCol w:w="1382"/>
        <w:gridCol w:w="487"/>
        <w:gridCol w:w="1474"/>
        <w:gridCol w:w="167"/>
        <w:gridCol w:w="1640"/>
      </w:tblGrid>
      <w:tr w14:paraId="233E3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382" w:type="dxa"/>
            <w:vAlign w:val="center"/>
          </w:tcPr>
          <w:p w14:paraId="05FAB77E">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名</w:t>
            </w:r>
          </w:p>
        </w:tc>
        <w:tc>
          <w:tcPr>
            <w:tcW w:w="1580" w:type="dxa"/>
            <w:gridSpan w:val="2"/>
            <w:vAlign w:val="center"/>
          </w:tcPr>
          <w:p w14:paraId="40CBE465">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185" w:type="dxa"/>
            <w:vAlign w:val="center"/>
          </w:tcPr>
          <w:p w14:paraId="5B5236E1">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年</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龄</w:t>
            </w:r>
          </w:p>
        </w:tc>
        <w:tc>
          <w:tcPr>
            <w:tcW w:w="1382" w:type="dxa"/>
            <w:vAlign w:val="center"/>
          </w:tcPr>
          <w:p w14:paraId="6A46B8C7">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961" w:type="dxa"/>
            <w:gridSpan w:val="2"/>
            <w:vAlign w:val="center"/>
          </w:tcPr>
          <w:p w14:paraId="0361C34E">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专</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业</w:t>
            </w:r>
          </w:p>
        </w:tc>
        <w:tc>
          <w:tcPr>
            <w:tcW w:w="1807" w:type="dxa"/>
            <w:gridSpan w:val="2"/>
            <w:vAlign w:val="center"/>
          </w:tcPr>
          <w:p w14:paraId="16487197">
            <w:pPr>
              <w:pStyle w:val="7"/>
              <w:spacing w:line="340" w:lineRule="exact"/>
              <w:jc w:val="center"/>
              <w:rPr>
                <w:rFonts w:ascii="宋体" w:hAnsi="宋体" w:cs="宋体"/>
                <w:color w:val="000000" w:themeColor="text1"/>
                <w:highlight w:val="none"/>
                <w14:textFill>
                  <w14:solidFill>
                    <w14:schemeClr w14:val="tx1"/>
                  </w14:solidFill>
                </w14:textFill>
              </w:rPr>
            </w:pPr>
          </w:p>
        </w:tc>
      </w:tr>
      <w:tr w14:paraId="656CC4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382" w:type="dxa"/>
            <w:vAlign w:val="center"/>
          </w:tcPr>
          <w:p w14:paraId="40D2C348">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技术职称</w:t>
            </w:r>
          </w:p>
        </w:tc>
        <w:tc>
          <w:tcPr>
            <w:tcW w:w="1580" w:type="dxa"/>
            <w:gridSpan w:val="2"/>
            <w:vAlign w:val="center"/>
          </w:tcPr>
          <w:p w14:paraId="3FE5A028">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185" w:type="dxa"/>
            <w:vAlign w:val="center"/>
          </w:tcPr>
          <w:p w14:paraId="2C10A6CB">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学历</w:t>
            </w:r>
          </w:p>
        </w:tc>
        <w:tc>
          <w:tcPr>
            <w:tcW w:w="1382" w:type="dxa"/>
            <w:vAlign w:val="center"/>
          </w:tcPr>
          <w:p w14:paraId="5B7FB7DB">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961" w:type="dxa"/>
            <w:gridSpan w:val="2"/>
            <w:vAlign w:val="center"/>
          </w:tcPr>
          <w:p w14:paraId="7655932C">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拟在本标段</w:t>
            </w:r>
          </w:p>
          <w:p w14:paraId="64D39A96">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工程担任职务</w:t>
            </w:r>
          </w:p>
        </w:tc>
        <w:tc>
          <w:tcPr>
            <w:tcW w:w="1807" w:type="dxa"/>
            <w:gridSpan w:val="2"/>
            <w:vAlign w:val="center"/>
          </w:tcPr>
          <w:p w14:paraId="596D2816">
            <w:pPr>
              <w:pStyle w:val="7"/>
              <w:spacing w:line="340" w:lineRule="exact"/>
              <w:jc w:val="center"/>
              <w:rPr>
                <w:rFonts w:ascii="宋体" w:hAnsi="宋体" w:cs="宋体"/>
                <w:color w:val="000000" w:themeColor="text1"/>
                <w:highlight w:val="none"/>
                <w14:textFill>
                  <w14:solidFill>
                    <w14:schemeClr w14:val="tx1"/>
                  </w14:solidFill>
                </w14:textFill>
              </w:rPr>
            </w:pPr>
          </w:p>
        </w:tc>
      </w:tr>
      <w:tr w14:paraId="106CE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382" w:type="dxa"/>
            <w:vAlign w:val="center"/>
          </w:tcPr>
          <w:p w14:paraId="6DF7718D">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工作年限</w:t>
            </w:r>
          </w:p>
        </w:tc>
        <w:tc>
          <w:tcPr>
            <w:tcW w:w="4147" w:type="dxa"/>
            <w:gridSpan w:val="4"/>
            <w:vAlign w:val="center"/>
          </w:tcPr>
          <w:p w14:paraId="705B7113">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961" w:type="dxa"/>
            <w:gridSpan w:val="2"/>
            <w:vAlign w:val="center"/>
          </w:tcPr>
          <w:p w14:paraId="7A31097D">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类似施工经验年限</w:t>
            </w:r>
          </w:p>
        </w:tc>
        <w:tc>
          <w:tcPr>
            <w:tcW w:w="1807" w:type="dxa"/>
            <w:gridSpan w:val="2"/>
            <w:vAlign w:val="center"/>
          </w:tcPr>
          <w:p w14:paraId="1199B9C1">
            <w:pPr>
              <w:pStyle w:val="7"/>
              <w:spacing w:line="340" w:lineRule="exact"/>
              <w:jc w:val="center"/>
              <w:rPr>
                <w:rFonts w:ascii="宋体" w:hAnsi="宋体" w:cs="宋体"/>
                <w:color w:val="000000" w:themeColor="text1"/>
                <w:highlight w:val="none"/>
                <w14:textFill>
                  <w14:solidFill>
                    <w14:schemeClr w14:val="tx1"/>
                  </w14:solidFill>
                </w14:textFill>
              </w:rPr>
            </w:pPr>
          </w:p>
        </w:tc>
      </w:tr>
      <w:tr w14:paraId="0D3F36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3" w:hRule="atLeast"/>
        </w:trPr>
        <w:tc>
          <w:tcPr>
            <w:tcW w:w="1382" w:type="dxa"/>
            <w:vAlign w:val="center"/>
          </w:tcPr>
          <w:p w14:paraId="2423A918">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毕业学校</w:t>
            </w:r>
          </w:p>
        </w:tc>
        <w:tc>
          <w:tcPr>
            <w:tcW w:w="7915" w:type="dxa"/>
            <w:gridSpan w:val="8"/>
            <w:vAlign w:val="center"/>
          </w:tcPr>
          <w:p w14:paraId="6708CD78">
            <w:pPr>
              <w:pStyle w:val="7"/>
              <w:spacing w:line="3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年月毕业于学校专业，学制年</w:t>
            </w:r>
          </w:p>
        </w:tc>
      </w:tr>
      <w:tr w14:paraId="469D94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3" w:hRule="atLeast"/>
        </w:trPr>
        <w:tc>
          <w:tcPr>
            <w:tcW w:w="9297" w:type="dxa"/>
            <w:gridSpan w:val="9"/>
            <w:vAlign w:val="center"/>
          </w:tcPr>
          <w:p w14:paraId="7B06159E">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经</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历</w:t>
            </w:r>
          </w:p>
        </w:tc>
      </w:tr>
      <w:tr w14:paraId="5C5F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0" w:hRule="atLeast"/>
        </w:trPr>
        <w:tc>
          <w:tcPr>
            <w:tcW w:w="1382" w:type="dxa"/>
            <w:vAlign w:val="center"/>
          </w:tcPr>
          <w:p w14:paraId="0914A573">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时间</w:t>
            </w:r>
          </w:p>
        </w:tc>
        <w:tc>
          <w:tcPr>
            <w:tcW w:w="4634" w:type="dxa"/>
            <w:gridSpan w:val="5"/>
            <w:vAlign w:val="center"/>
          </w:tcPr>
          <w:p w14:paraId="7E298F89">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参加过的类似工程项目名称</w:t>
            </w:r>
          </w:p>
        </w:tc>
        <w:tc>
          <w:tcPr>
            <w:tcW w:w="1641" w:type="dxa"/>
            <w:gridSpan w:val="2"/>
            <w:vAlign w:val="center"/>
          </w:tcPr>
          <w:p w14:paraId="7921D334">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担任职务</w:t>
            </w:r>
          </w:p>
        </w:tc>
        <w:tc>
          <w:tcPr>
            <w:tcW w:w="1640" w:type="dxa"/>
            <w:vAlign w:val="center"/>
          </w:tcPr>
          <w:p w14:paraId="6574608C">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发包人及</w:t>
            </w:r>
          </w:p>
          <w:p w14:paraId="454F5248">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联系电话</w:t>
            </w:r>
          </w:p>
        </w:tc>
      </w:tr>
      <w:tr w14:paraId="29152A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0" w:hRule="atLeast"/>
        </w:trPr>
        <w:tc>
          <w:tcPr>
            <w:tcW w:w="1382" w:type="dxa"/>
            <w:tcBorders>
              <w:bottom w:val="single" w:color="auto" w:sz="4" w:space="0"/>
            </w:tcBorders>
            <w:vAlign w:val="center"/>
          </w:tcPr>
          <w:p w14:paraId="4AAA3025">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34" w:type="dxa"/>
            <w:gridSpan w:val="5"/>
            <w:tcBorders>
              <w:bottom w:val="single" w:color="auto" w:sz="4" w:space="0"/>
            </w:tcBorders>
            <w:vAlign w:val="center"/>
          </w:tcPr>
          <w:p w14:paraId="71395E7C">
            <w:pPr>
              <w:pStyle w:val="7"/>
              <w:spacing w:line="340" w:lineRule="exact"/>
              <w:rPr>
                <w:rFonts w:ascii="宋体" w:hAnsi="宋体" w:cs="宋体"/>
                <w:color w:val="000000" w:themeColor="text1"/>
                <w:highlight w:val="none"/>
                <w14:textFill>
                  <w14:solidFill>
                    <w14:schemeClr w14:val="tx1"/>
                  </w14:solidFill>
                </w14:textFill>
              </w:rPr>
            </w:pPr>
          </w:p>
        </w:tc>
        <w:tc>
          <w:tcPr>
            <w:tcW w:w="1641" w:type="dxa"/>
            <w:gridSpan w:val="2"/>
            <w:tcBorders>
              <w:bottom w:val="single" w:color="auto" w:sz="4" w:space="0"/>
            </w:tcBorders>
            <w:vAlign w:val="center"/>
          </w:tcPr>
          <w:p w14:paraId="731BA3E6">
            <w:pPr>
              <w:pStyle w:val="7"/>
              <w:spacing w:line="340" w:lineRule="exact"/>
              <w:rPr>
                <w:rFonts w:ascii="宋体" w:hAnsi="宋体" w:cs="宋体"/>
                <w:color w:val="000000" w:themeColor="text1"/>
                <w:highlight w:val="none"/>
                <w14:textFill>
                  <w14:solidFill>
                    <w14:schemeClr w14:val="tx1"/>
                  </w14:solidFill>
                </w14:textFill>
              </w:rPr>
            </w:pPr>
          </w:p>
        </w:tc>
        <w:tc>
          <w:tcPr>
            <w:tcW w:w="1640" w:type="dxa"/>
            <w:tcBorders>
              <w:bottom w:val="single" w:color="auto" w:sz="4" w:space="0"/>
            </w:tcBorders>
            <w:vAlign w:val="center"/>
          </w:tcPr>
          <w:p w14:paraId="5161B9ED">
            <w:pPr>
              <w:pStyle w:val="7"/>
              <w:spacing w:line="340" w:lineRule="exact"/>
              <w:jc w:val="center"/>
              <w:rPr>
                <w:rFonts w:ascii="宋体" w:hAnsi="宋体" w:cs="宋体"/>
                <w:color w:val="000000" w:themeColor="text1"/>
                <w:highlight w:val="none"/>
                <w14:textFill>
                  <w14:solidFill>
                    <w14:schemeClr w14:val="tx1"/>
                  </w14:solidFill>
                </w14:textFill>
              </w:rPr>
            </w:pPr>
          </w:p>
        </w:tc>
      </w:tr>
      <w:tr w14:paraId="44278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4" w:hRule="atLeast"/>
        </w:trPr>
        <w:tc>
          <w:tcPr>
            <w:tcW w:w="1382" w:type="dxa"/>
            <w:tcBorders>
              <w:top w:val="single" w:color="auto" w:sz="4" w:space="0"/>
              <w:bottom w:val="single" w:color="auto" w:sz="4" w:space="0"/>
            </w:tcBorders>
            <w:vAlign w:val="center"/>
          </w:tcPr>
          <w:p w14:paraId="742E50DF">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34" w:type="dxa"/>
            <w:gridSpan w:val="5"/>
            <w:tcBorders>
              <w:top w:val="single" w:color="auto" w:sz="4" w:space="0"/>
              <w:bottom w:val="single" w:color="auto" w:sz="4" w:space="0"/>
            </w:tcBorders>
            <w:vAlign w:val="center"/>
          </w:tcPr>
          <w:p w14:paraId="4D3417F0">
            <w:pPr>
              <w:pStyle w:val="7"/>
              <w:spacing w:line="340" w:lineRule="exact"/>
              <w:rPr>
                <w:rFonts w:ascii="宋体" w:hAnsi="宋体" w:cs="宋体"/>
                <w:color w:val="000000" w:themeColor="text1"/>
                <w:highlight w:val="none"/>
                <w14:textFill>
                  <w14:solidFill>
                    <w14:schemeClr w14:val="tx1"/>
                  </w14:solidFill>
                </w14:textFill>
              </w:rPr>
            </w:pPr>
          </w:p>
        </w:tc>
        <w:tc>
          <w:tcPr>
            <w:tcW w:w="1641" w:type="dxa"/>
            <w:gridSpan w:val="2"/>
            <w:tcBorders>
              <w:top w:val="single" w:color="auto" w:sz="4" w:space="0"/>
              <w:bottom w:val="single" w:color="auto" w:sz="4" w:space="0"/>
            </w:tcBorders>
            <w:vAlign w:val="center"/>
          </w:tcPr>
          <w:p w14:paraId="21F49FFC">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640" w:type="dxa"/>
            <w:tcBorders>
              <w:top w:val="single" w:color="auto" w:sz="4" w:space="0"/>
              <w:bottom w:val="single" w:color="auto" w:sz="4" w:space="0"/>
            </w:tcBorders>
            <w:vAlign w:val="center"/>
          </w:tcPr>
          <w:p w14:paraId="428D7A4A">
            <w:pPr>
              <w:pStyle w:val="7"/>
              <w:spacing w:line="340" w:lineRule="exact"/>
              <w:jc w:val="center"/>
              <w:rPr>
                <w:rFonts w:ascii="宋体" w:hAnsi="宋体" w:cs="宋体"/>
                <w:color w:val="000000" w:themeColor="text1"/>
                <w:highlight w:val="none"/>
                <w14:textFill>
                  <w14:solidFill>
                    <w14:schemeClr w14:val="tx1"/>
                  </w14:solidFill>
                </w14:textFill>
              </w:rPr>
            </w:pPr>
          </w:p>
        </w:tc>
      </w:tr>
      <w:tr w14:paraId="565E7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4" w:hRule="atLeast"/>
        </w:trPr>
        <w:tc>
          <w:tcPr>
            <w:tcW w:w="1382" w:type="dxa"/>
            <w:tcBorders>
              <w:top w:val="single" w:color="auto" w:sz="4" w:space="0"/>
              <w:bottom w:val="single" w:color="auto" w:sz="4" w:space="0"/>
            </w:tcBorders>
            <w:vAlign w:val="center"/>
          </w:tcPr>
          <w:p w14:paraId="36897B68">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34" w:type="dxa"/>
            <w:gridSpan w:val="5"/>
            <w:tcBorders>
              <w:top w:val="single" w:color="auto" w:sz="4" w:space="0"/>
              <w:bottom w:val="single" w:color="auto" w:sz="4" w:space="0"/>
            </w:tcBorders>
            <w:vAlign w:val="center"/>
          </w:tcPr>
          <w:p w14:paraId="5F05A0E8">
            <w:pPr>
              <w:pStyle w:val="7"/>
              <w:spacing w:line="340" w:lineRule="exact"/>
              <w:rPr>
                <w:rFonts w:ascii="宋体" w:hAnsi="宋体" w:cs="宋体"/>
                <w:color w:val="000000" w:themeColor="text1"/>
                <w:highlight w:val="none"/>
                <w14:textFill>
                  <w14:solidFill>
                    <w14:schemeClr w14:val="tx1"/>
                  </w14:solidFill>
                </w14:textFill>
              </w:rPr>
            </w:pPr>
          </w:p>
        </w:tc>
        <w:tc>
          <w:tcPr>
            <w:tcW w:w="1641" w:type="dxa"/>
            <w:gridSpan w:val="2"/>
            <w:tcBorders>
              <w:top w:val="single" w:color="auto" w:sz="4" w:space="0"/>
              <w:bottom w:val="single" w:color="auto" w:sz="4" w:space="0"/>
            </w:tcBorders>
            <w:vAlign w:val="center"/>
          </w:tcPr>
          <w:p w14:paraId="54E1EF6E">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640" w:type="dxa"/>
            <w:tcBorders>
              <w:top w:val="single" w:color="auto" w:sz="4" w:space="0"/>
              <w:bottom w:val="single" w:color="auto" w:sz="4" w:space="0"/>
            </w:tcBorders>
            <w:vAlign w:val="center"/>
          </w:tcPr>
          <w:p w14:paraId="24419776">
            <w:pPr>
              <w:pStyle w:val="7"/>
              <w:spacing w:line="340" w:lineRule="exact"/>
              <w:jc w:val="center"/>
              <w:rPr>
                <w:rFonts w:ascii="宋体" w:hAnsi="宋体" w:cs="宋体"/>
                <w:color w:val="000000" w:themeColor="text1"/>
                <w:highlight w:val="none"/>
                <w14:textFill>
                  <w14:solidFill>
                    <w14:schemeClr w14:val="tx1"/>
                  </w14:solidFill>
                </w14:textFill>
              </w:rPr>
            </w:pPr>
          </w:p>
        </w:tc>
      </w:tr>
      <w:tr w14:paraId="2CCEC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4" w:hRule="atLeast"/>
        </w:trPr>
        <w:tc>
          <w:tcPr>
            <w:tcW w:w="1382" w:type="dxa"/>
            <w:tcBorders>
              <w:top w:val="single" w:color="auto" w:sz="4" w:space="0"/>
              <w:bottom w:val="single" w:color="auto" w:sz="4" w:space="0"/>
            </w:tcBorders>
            <w:vAlign w:val="center"/>
          </w:tcPr>
          <w:p w14:paraId="3E28050B">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34" w:type="dxa"/>
            <w:gridSpan w:val="5"/>
            <w:tcBorders>
              <w:top w:val="single" w:color="auto" w:sz="4" w:space="0"/>
              <w:bottom w:val="single" w:color="auto" w:sz="4" w:space="0"/>
            </w:tcBorders>
            <w:vAlign w:val="center"/>
          </w:tcPr>
          <w:p w14:paraId="7BE044D9">
            <w:pPr>
              <w:pStyle w:val="7"/>
              <w:spacing w:line="340" w:lineRule="exact"/>
              <w:rPr>
                <w:rFonts w:ascii="宋体" w:hAnsi="宋体" w:cs="宋体"/>
                <w:color w:val="000000" w:themeColor="text1"/>
                <w:highlight w:val="none"/>
                <w14:textFill>
                  <w14:solidFill>
                    <w14:schemeClr w14:val="tx1"/>
                  </w14:solidFill>
                </w14:textFill>
              </w:rPr>
            </w:pPr>
          </w:p>
        </w:tc>
        <w:tc>
          <w:tcPr>
            <w:tcW w:w="1641" w:type="dxa"/>
            <w:gridSpan w:val="2"/>
            <w:tcBorders>
              <w:top w:val="single" w:color="auto" w:sz="4" w:space="0"/>
              <w:bottom w:val="single" w:color="auto" w:sz="4" w:space="0"/>
            </w:tcBorders>
            <w:vAlign w:val="center"/>
          </w:tcPr>
          <w:p w14:paraId="66D3DF2F">
            <w:pPr>
              <w:pStyle w:val="7"/>
              <w:spacing w:line="340" w:lineRule="exact"/>
              <w:jc w:val="center"/>
              <w:rPr>
                <w:rFonts w:ascii="宋体" w:hAnsi="宋体" w:cs="宋体"/>
                <w:color w:val="000000" w:themeColor="text1"/>
                <w:highlight w:val="none"/>
                <w14:textFill>
                  <w14:solidFill>
                    <w14:schemeClr w14:val="tx1"/>
                  </w14:solidFill>
                </w14:textFill>
              </w:rPr>
            </w:pPr>
          </w:p>
        </w:tc>
        <w:tc>
          <w:tcPr>
            <w:tcW w:w="1640" w:type="dxa"/>
            <w:tcBorders>
              <w:top w:val="single" w:color="auto" w:sz="4" w:space="0"/>
              <w:bottom w:val="single" w:color="auto" w:sz="4" w:space="0"/>
            </w:tcBorders>
            <w:vAlign w:val="center"/>
          </w:tcPr>
          <w:p w14:paraId="08489971">
            <w:pPr>
              <w:pStyle w:val="7"/>
              <w:spacing w:line="340" w:lineRule="exact"/>
              <w:jc w:val="center"/>
              <w:rPr>
                <w:rFonts w:ascii="宋体" w:hAnsi="宋体" w:cs="宋体"/>
                <w:color w:val="000000" w:themeColor="text1"/>
                <w:highlight w:val="none"/>
                <w14:textFill>
                  <w14:solidFill>
                    <w14:schemeClr w14:val="tx1"/>
                  </w14:solidFill>
                </w14:textFill>
              </w:rPr>
            </w:pPr>
          </w:p>
        </w:tc>
      </w:tr>
      <w:tr w14:paraId="7834F1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4" w:hRule="atLeast"/>
        </w:trPr>
        <w:tc>
          <w:tcPr>
            <w:tcW w:w="1382" w:type="dxa"/>
            <w:tcBorders>
              <w:top w:val="single" w:color="auto" w:sz="4" w:space="0"/>
              <w:bottom w:val="single" w:color="auto" w:sz="4" w:space="0"/>
            </w:tcBorders>
            <w:vAlign w:val="center"/>
          </w:tcPr>
          <w:p w14:paraId="0125A296">
            <w:pPr>
              <w:pStyle w:val="7"/>
              <w:spacing w:line="340" w:lineRule="exact"/>
              <w:jc w:val="center"/>
              <w:rPr>
                <w:rFonts w:ascii="宋体" w:hAnsi="宋体" w:cs="宋体"/>
                <w:color w:val="000000" w:themeColor="text1"/>
                <w:highlight w:val="none"/>
                <w14:textFill>
                  <w14:solidFill>
                    <w14:schemeClr w14:val="tx1"/>
                  </w14:solidFill>
                </w14:textFill>
              </w:rPr>
            </w:pPr>
          </w:p>
        </w:tc>
        <w:tc>
          <w:tcPr>
            <w:tcW w:w="4634" w:type="dxa"/>
            <w:gridSpan w:val="5"/>
            <w:tcBorders>
              <w:top w:val="single" w:color="auto" w:sz="4" w:space="0"/>
              <w:bottom w:val="single" w:color="auto" w:sz="4" w:space="0"/>
            </w:tcBorders>
            <w:vAlign w:val="center"/>
          </w:tcPr>
          <w:p w14:paraId="0D399903">
            <w:pPr>
              <w:pStyle w:val="7"/>
              <w:spacing w:line="340" w:lineRule="exact"/>
              <w:rPr>
                <w:rFonts w:ascii="宋体" w:hAnsi="宋体" w:cs="宋体"/>
                <w:color w:val="000000" w:themeColor="text1"/>
                <w:highlight w:val="none"/>
                <w14:textFill>
                  <w14:solidFill>
                    <w14:schemeClr w14:val="tx1"/>
                  </w14:solidFill>
                </w14:textFill>
              </w:rPr>
            </w:pPr>
          </w:p>
        </w:tc>
        <w:tc>
          <w:tcPr>
            <w:tcW w:w="1641" w:type="dxa"/>
            <w:gridSpan w:val="2"/>
            <w:tcBorders>
              <w:top w:val="single" w:color="auto" w:sz="4" w:space="0"/>
              <w:bottom w:val="single" w:color="auto" w:sz="4" w:space="0"/>
            </w:tcBorders>
            <w:vAlign w:val="center"/>
          </w:tcPr>
          <w:p w14:paraId="210A16AE">
            <w:pPr>
              <w:pStyle w:val="7"/>
              <w:spacing w:line="340" w:lineRule="exact"/>
              <w:rPr>
                <w:rFonts w:ascii="宋体" w:hAnsi="宋体" w:cs="宋体"/>
                <w:color w:val="000000" w:themeColor="text1"/>
                <w:highlight w:val="none"/>
                <w14:textFill>
                  <w14:solidFill>
                    <w14:schemeClr w14:val="tx1"/>
                  </w14:solidFill>
                </w14:textFill>
              </w:rPr>
            </w:pPr>
          </w:p>
        </w:tc>
        <w:tc>
          <w:tcPr>
            <w:tcW w:w="1640" w:type="dxa"/>
            <w:tcBorders>
              <w:top w:val="single" w:color="auto" w:sz="4" w:space="0"/>
              <w:bottom w:val="single" w:color="auto" w:sz="4" w:space="0"/>
            </w:tcBorders>
            <w:vAlign w:val="center"/>
          </w:tcPr>
          <w:p w14:paraId="66421D42">
            <w:pPr>
              <w:pStyle w:val="7"/>
              <w:spacing w:line="340" w:lineRule="exact"/>
              <w:jc w:val="center"/>
              <w:rPr>
                <w:rFonts w:ascii="宋体" w:hAnsi="宋体" w:cs="宋体"/>
                <w:color w:val="000000" w:themeColor="text1"/>
                <w:highlight w:val="none"/>
                <w14:textFill>
                  <w14:solidFill>
                    <w14:schemeClr w14:val="tx1"/>
                  </w14:solidFill>
                </w14:textFill>
              </w:rPr>
            </w:pPr>
          </w:p>
        </w:tc>
      </w:tr>
      <w:tr w14:paraId="3CBBE9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4" w:hRule="atLeast"/>
        </w:trPr>
        <w:tc>
          <w:tcPr>
            <w:tcW w:w="2753" w:type="dxa"/>
            <w:gridSpan w:val="2"/>
            <w:tcBorders>
              <w:top w:val="single" w:color="auto" w:sz="4" w:space="0"/>
              <w:bottom w:val="single" w:color="auto" w:sz="4" w:space="0"/>
              <w:right w:val="single" w:color="auto" w:sz="4" w:space="0"/>
            </w:tcBorders>
            <w:vAlign w:val="center"/>
          </w:tcPr>
          <w:p w14:paraId="126B0BAB">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获奖情况</w:t>
            </w:r>
          </w:p>
        </w:tc>
        <w:tc>
          <w:tcPr>
            <w:tcW w:w="6544" w:type="dxa"/>
            <w:gridSpan w:val="7"/>
            <w:tcBorders>
              <w:top w:val="single" w:color="auto" w:sz="4" w:space="0"/>
              <w:left w:val="single" w:color="auto" w:sz="4" w:space="0"/>
              <w:bottom w:val="single" w:color="auto" w:sz="4" w:space="0"/>
            </w:tcBorders>
            <w:vAlign w:val="center"/>
          </w:tcPr>
          <w:p w14:paraId="74DE9887">
            <w:pPr>
              <w:pStyle w:val="7"/>
              <w:spacing w:line="340" w:lineRule="exact"/>
              <w:jc w:val="center"/>
              <w:rPr>
                <w:rFonts w:ascii="宋体" w:hAnsi="宋体" w:cs="宋体"/>
                <w:color w:val="000000" w:themeColor="text1"/>
                <w:highlight w:val="none"/>
                <w14:textFill>
                  <w14:solidFill>
                    <w14:schemeClr w14:val="tx1"/>
                  </w14:solidFill>
                </w14:textFill>
              </w:rPr>
            </w:pPr>
          </w:p>
          <w:p w14:paraId="2AD67895">
            <w:pPr>
              <w:pStyle w:val="7"/>
              <w:spacing w:line="340" w:lineRule="exact"/>
              <w:jc w:val="center"/>
              <w:rPr>
                <w:rFonts w:ascii="宋体" w:hAnsi="宋体" w:cs="宋体"/>
                <w:color w:val="000000" w:themeColor="text1"/>
                <w:highlight w:val="none"/>
                <w14:textFill>
                  <w14:solidFill>
                    <w14:schemeClr w14:val="tx1"/>
                  </w14:solidFill>
                </w14:textFill>
              </w:rPr>
            </w:pPr>
          </w:p>
        </w:tc>
      </w:tr>
      <w:tr w14:paraId="5B9C39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86" w:hRule="atLeast"/>
        </w:trPr>
        <w:tc>
          <w:tcPr>
            <w:tcW w:w="2753" w:type="dxa"/>
            <w:gridSpan w:val="2"/>
            <w:tcBorders>
              <w:top w:val="single" w:color="auto" w:sz="4" w:space="0"/>
              <w:bottom w:val="single" w:color="auto" w:sz="4" w:space="0"/>
              <w:right w:val="single" w:color="auto" w:sz="4" w:space="0"/>
            </w:tcBorders>
            <w:vAlign w:val="center"/>
          </w:tcPr>
          <w:p w14:paraId="08FDBD42">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说明在岗情况</w:t>
            </w:r>
          </w:p>
        </w:tc>
        <w:tc>
          <w:tcPr>
            <w:tcW w:w="6544" w:type="dxa"/>
            <w:gridSpan w:val="7"/>
            <w:tcBorders>
              <w:top w:val="single" w:color="auto" w:sz="4" w:space="0"/>
              <w:left w:val="single" w:color="auto" w:sz="4" w:space="0"/>
              <w:bottom w:val="single" w:color="auto" w:sz="4" w:space="0"/>
            </w:tcBorders>
            <w:vAlign w:val="center"/>
          </w:tcPr>
          <w:p w14:paraId="54618A7D">
            <w:pPr>
              <w:pStyle w:val="7"/>
              <w:spacing w:line="3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□目前未在其他项目上任职，现从事工作为：</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6960521">
            <w:pPr>
              <w:pStyle w:val="7"/>
              <w:spacing w:line="3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□目前虽在其他项目上任职，但本项目中标后能够从该项目撤离，目前任职项目：，担任职位：。</w:t>
            </w:r>
          </w:p>
        </w:tc>
      </w:tr>
      <w:tr w14:paraId="150F6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38" w:hRule="atLeast"/>
        </w:trPr>
        <w:tc>
          <w:tcPr>
            <w:tcW w:w="2753" w:type="dxa"/>
            <w:gridSpan w:val="2"/>
            <w:tcBorders>
              <w:top w:val="single" w:color="auto" w:sz="4" w:space="0"/>
              <w:right w:val="single" w:color="auto" w:sz="4" w:space="0"/>
            </w:tcBorders>
            <w:vAlign w:val="center"/>
          </w:tcPr>
          <w:p w14:paraId="3E764453">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注</w:t>
            </w:r>
          </w:p>
        </w:tc>
        <w:tc>
          <w:tcPr>
            <w:tcW w:w="6544" w:type="dxa"/>
            <w:gridSpan w:val="7"/>
            <w:tcBorders>
              <w:top w:val="single" w:color="auto" w:sz="4" w:space="0"/>
              <w:left w:val="single" w:color="auto" w:sz="4" w:space="0"/>
            </w:tcBorders>
            <w:vAlign w:val="center"/>
          </w:tcPr>
          <w:p w14:paraId="5B3B98DC">
            <w:pPr>
              <w:pStyle w:val="7"/>
              <w:spacing w:line="340" w:lineRule="exact"/>
              <w:jc w:val="center"/>
              <w:rPr>
                <w:rFonts w:ascii="宋体" w:hAnsi="宋体" w:cs="宋体"/>
                <w:color w:val="000000" w:themeColor="text1"/>
                <w:highlight w:val="none"/>
                <w14:textFill>
                  <w14:solidFill>
                    <w14:schemeClr w14:val="tx1"/>
                  </w14:solidFill>
                </w14:textFill>
              </w:rPr>
            </w:pPr>
          </w:p>
        </w:tc>
      </w:tr>
    </w:tbl>
    <w:p w14:paraId="4FB4CFC7">
      <w:pPr>
        <w:pStyle w:val="7"/>
        <w:spacing w:line="300" w:lineRule="exact"/>
        <w:ind w:left="-6"/>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ascii="宋体" w:hAnsi="宋体" w:cs="宋体"/>
          <w:color w:val="000000" w:themeColor="text1"/>
          <w:highlight w:val="none"/>
          <w14:textFill>
            <w14:solidFill>
              <w14:schemeClr w14:val="tx1"/>
            </w14:solidFill>
          </w14:textFill>
        </w:rPr>
        <w:t xml:space="preserve">1.本表应填写项目经理、项目技术负责人相关情况。 </w:t>
      </w:r>
    </w:p>
    <w:p w14:paraId="69416305">
      <w:pPr>
        <w:pStyle w:val="7"/>
        <w:spacing w:line="300" w:lineRule="exact"/>
        <w:ind w:firstLine="420" w:firstLineChars="20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2.投标人应根据招标文件第二章“投标人须知”第 3.5.5 </w:t>
      </w:r>
      <w:r>
        <w:rPr>
          <w:rFonts w:hint="eastAsia" w:ascii="宋体" w:hAnsi="宋体" w:cs="宋体"/>
          <w:color w:val="000000" w:themeColor="text1"/>
          <w:highlight w:val="none"/>
          <w14:textFill>
            <w14:solidFill>
              <w14:schemeClr w14:val="tx1"/>
            </w14:solidFill>
          </w14:textFill>
        </w:rPr>
        <w:t>项的要求在本表后附相关证明材料。</w:t>
      </w:r>
    </w:p>
    <w:p w14:paraId="53A19C28">
      <w:pPr>
        <w:pStyle w:val="7"/>
        <w:spacing w:line="300" w:lineRule="exact"/>
        <w:ind w:firstLine="420" w:firstLineChars="20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3.项目经理若曾在其他在建合同工程中担任项目经理（包括设计施工总承包项目中的施工负责人）但已进行更换的，应附项目发包人的同意更换证明材料，否则更换前后的项目经理均视为有“在建合同工程”。</w:t>
      </w:r>
    </w:p>
    <w:p w14:paraId="1ED2CB82">
      <w:pPr>
        <w:pStyle w:val="7"/>
        <w:spacing w:line="360" w:lineRule="auto"/>
        <w:ind w:right="34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2F0D060C">
      <w:pPr>
        <w:pStyle w:val="51"/>
        <w:spacing w:before="60" w:after="60" w:line="440" w:lineRule="exact"/>
        <w:jc w:val="center"/>
        <w:outlineLvl w:val="3"/>
        <w:rPr>
          <w:rFonts w:ascii="宋体" w:hAnsi="宋体" w:eastAsia="宋体"/>
          <w:b/>
          <w:bCs/>
          <w:color w:val="000000" w:themeColor="text1"/>
          <w:sz w:val="24"/>
          <w:szCs w:val="24"/>
          <w:highlight w:val="none"/>
          <w14:textFill>
            <w14:solidFill>
              <w14:schemeClr w14:val="tx1"/>
            </w14:solidFill>
          </w14:textFill>
        </w:rPr>
      </w:pPr>
      <w:bookmarkStart w:id="1745" w:name="_Toc3364"/>
      <w:bookmarkStart w:id="1746" w:name="_Toc18462"/>
      <w:bookmarkStart w:id="1747" w:name="_Toc755"/>
      <w:bookmarkStart w:id="1748" w:name="_Toc24171"/>
      <w:bookmarkStart w:id="1749" w:name="_Toc19020"/>
      <w:bookmarkStart w:id="1750" w:name="_Toc120624320"/>
      <w:bookmarkStart w:id="1751" w:name="_Toc118195942"/>
      <w:bookmarkStart w:id="1752" w:name="_Toc14895"/>
      <w:bookmarkStart w:id="1753" w:name="_Toc10701"/>
      <w:bookmarkStart w:id="1754" w:name="_Toc20141"/>
      <w:bookmarkStart w:id="1755" w:name="_Toc18936"/>
      <w:bookmarkStart w:id="1756" w:name="_Toc31720"/>
      <w:bookmarkStart w:id="1757" w:name="_Toc16423"/>
      <w:bookmarkStart w:id="1758" w:name="_Toc119585583"/>
      <w:bookmarkStart w:id="1759" w:name="_Toc20224"/>
      <w:bookmarkStart w:id="1760" w:name="_Toc1716"/>
      <w:bookmarkStart w:id="1761" w:name="_Toc7273"/>
      <w:bookmarkStart w:id="1762" w:name="_Toc98785438"/>
      <w:bookmarkStart w:id="1763" w:name="_Toc30564"/>
      <w:bookmarkStart w:id="1764" w:name="_Toc29515"/>
      <w:r>
        <w:rPr>
          <w:rFonts w:hint="eastAsia" w:ascii="宋体" w:hAnsi="宋体" w:eastAsia="宋体"/>
          <w:b/>
          <w:bCs/>
          <w:color w:val="000000" w:themeColor="text1"/>
          <w:sz w:val="24"/>
          <w:szCs w:val="24"/>
          <w:highlight w:val="none"/>
          <w14:textFill>
            <w14:solidFill>
              <w14:schemeClr w14:val="tx1"/>
            </w14:solidFill>
          </w14:textFill>
        </w:rPr>
        <w:t>（七）履约行为表</w:t>
      </w:r>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p>
    <w:p w14:paraId="288D3127">
      <w:pPr>
        <w:pStyle w:val="7"/>
        <w:rPr>
          <w:color w:val="000000" w:themeColor="text1"/>
          <w:highlight w:val="none"/>
          <w14:textFill>
            <w14:solidFill>
              <w14:schemeClr w14:val="tx1"/>
            </w14:solidFill>
          </w14:textFill>
        </w:rPr>
      </w:pPr>
    </w:p>
    <w:tbl>
      <w:tblPr>
        <w:tblStyle w:val="28"/>
        <w:tblW w:w="918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4506"/>
      </w:tblGrid>
      <w:tr w14:paraId="4B85DC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9186" w:type="dxa"/>
            <w:gridSpan w:val="2"/>
            <w:vAlign w:val="center"/>
          </w:tcPr>
          <w:p w14:paraId="7499556E">
            <w:pPr>
              <w:pStyle w:val="7"/>
              <w:spacing w:line="3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标</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人</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应</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如</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实</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填</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写</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下</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列</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内</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容</w:t>
            </w:r>
            <w:r>
              <w:rPr>
                <w:rStyle w:val="38"/>
                <w:rFonts w:ascii="宋体" w:hAnsi="宋体" w:cs="宋体"/>
                <w:color w:val="000000" w:themeColor="text1"/>
                <w:highlight w:val="none"/>
                <w:vertAlign w:val="superscript"/>
                <w14:textFill>
                  <w14:solidFill>
                    <w14:schemeClr w14:val="tx1"/>
                  </w14:solidFill>
                </w14:textFill>
              </w:rPr>
              <w:footnoteReference w:id="15"/>
            </w:r>
          </w:p>
        </w:tc>
      </w:tr>
      <w:tr w14:paraId="69FAE9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938" w:hRule="atLeast"/>
        </w:trPr>
        <w:tc>
          <w:tcPr>
            <w:tcW w:w="4680" w:type="dxa"/>
            <w:tcBorders>
              <w:bottom w:val="single" w:color="auto" w:sz="12" w:space="0"/>
            </w:tcBorders>
            <w:vAlign w:val="center"/>
          </w:tcPr>
          <w:p w14:paraId="64D07A98">
            <w:pPr>
              <w:pStyle w:val="7"/>
              <w:spacing w:line="340" w:lineRule="exact"/>
              <w:ind w:left="284" w:right="283"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、近一年（</w:t>
            </w:r>
            <w:r>
              <w:rPr>
                <w:color w:val="000000" w:themeColor="text1"/>
                <w:highlight w:val="none"/>
                <w14:textFill>
                  <w14:solidFill>
                    <w14:schemeClr w14:val="tx1"/>
                  </w14:solidFill>
                </w14:textFill>
              </w:rPr>
              <w:t>______</w:t>
            </w:r>
            <w:r>
              <w:rPr>
                <w:rFonts w:hint="eastAsia"/>
                <w:color w:val="000000" w:themeColor="text1"/>
                <w:highlight w:val="none"/>
                <w14:textFill>
                  <w14:solidFill>
                    <w14:schemeClr w14:val="tx1"/>
                  </w14:solidFill>
                </w14:textFill>
              </w:rPr>
              <w:t>年</w:t>
            </w:r>
            <w:r>
              <w:rPr>
                <w:color w:val="000000" w:themeColor="text1"/>
                <w:highlight w:val="none"/>
                <w14:textFill>
                  <w14:solidFill>
                    <w14:schemeClr w14:val="tx1"/>
                  </w14:solidFill>
                </w14:textFill>
              </w:rPr>
              <w:t>__</w:t>
            </w:r>
            <w:r>
              <w:rPr>
                <w:rFonts w:hint="eastAsia"/>
                <w:color w:val="000000" w:themeColor="text1"/>
                <w:highlight w:val="none"/>
                <w14:textFill>
                  <w14:solidFill>
                    <w14:schemeClr w14:val="tx1"/>
                  </w14:solidFill>
                </w14:textFill>
              </w:rPr>
              <w:t>月</w:t>
            </w:r>
            <w:r>
              <w:rPr>
                <w:color w:val="000000" w:themeColor="text1"/>
                <w:highlight w:val="none"/>
                <w:u w:val="single"/>
                <w14:textFill>
                  <w14:solidFill>
                    <w14:schemeClr w14:val="tx1"/>
                  </w14:solidFill>
                </w14:textFill>
              </w:rPr>
              <w:t>1</w:t>
            </w:r>
            <w:r>
              <w:rPr>
                <w:rFonts w:hint="eastAsia"/>
                <w:color w:val="000000" w:themeColor="text1"/>
                <w:highlight w:val="none"/>
                <w14:textFill>
                  <w14:solidFill>
                    <w14:schemeClr w14:val="tx1"/>
                  </w14:solidFill>
                </w14:textFill>
              </w:rPr>
              <w:t>日以来），有无被交通运输部、浙江省交通运输厅、浙江省发展和改革委员会三部门以外的省级及以上单位（部门）书面通报，被限制投标，并在处罚期内的；</w:t>
            </w:r>
          </w:p>
          <w:p w14:paraId="74363409">
            <w:pPr>
              <w:pStyle w:val="7"/>
              <w:spacing w:line="340" w:lineRule="exact"/>
              <w:ind w:left="284" w:right="283"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、近三年（</w:t>
            </w:r>
            <w:r>
              <w:rPr>
                <w:color w:val="000000" w:themeColor="text1"/>
                <w:highlight w:val="none"/>
                <w14:textFill>
                  <w14:solidFill>
                    <w14:schemeClr w14:val="tx1"/>
                  </w14:solidFill>
                </w14:textFill>
              </w:rPr>
              <w:t>______</w:t>
            </w:r>
            <w:r>
              <w:rPr>
                <w:rFonts w:hint="eastAsia"/>
                <w:color w:val="000000" w:themeColor="text1"/>
                <w:highlight w:val="none"/>
                <w14:textFill>
                  <w14:solidFill>
                    <w14:schemeClr w14:val="tx1"/>
                  </w14:solidFill>
                </w14:textFill>
              </w:rPr>
              <w:t>年</w:t>
            </w:r>
            <w:r>
              <w:rPr>
                <w:color w:val="000000" w:themeColor="text1"/>
                <w:highlight w:val="none"/>
                <w14:textFill>
                  <w14:solidFill>
                    <w14:schemeClr w14:val="tx1"/>
                  </w14:solidFill>
                </w14:textFill>
              </w:rPr>
              <w:t>__</w:t>
            </w:r>
            <w:r>
              <w:rPr>
                <w:rFonts w:hint="eastAsia"/>
                <w:color w:val="000000" w:themeColor="text1"/>
                <w:highlight w:val="none"/>
                <w14:textFill>
                  <w14:solidFill>
                    <w14:schemeClr w14:val="tx1"/>
                  </w14:solidFill>
                </w14:textFill>
              </w:rPr>
              <w:t>月</w:t>
            </w:r>
            <w:r>
              <w:rPr>
                <w:color w:val="000000" w:themeColor="text1"/>
                <w:highlight w:val="none"/>
                <w:u w:val="single"/>
                <w14:textFill>
                  <w14:solidFill>
                    <w14:schemeClr w14:val="tx1"/>
                  </w14:solidFill>
                </w14:textFill>
              </w:rPr>
              <w:t>1</w:t>
            </w:r>
            <w:r>
              <w:rPr>
                <w:rFonts w:hint="eastAsia"/>
                <w:color w:val="000000" w:themeColor="text1"/>
                <w:highlight w:val="none"/>
                <w14:textFill>
                  <w14:solidFill>
                    <w14:schemeClr w14:val="tx1"/>
                  </w14:solidFill>
                </w14:textFill>
              </w:rPr>
              <w:t>日以来），投标人或其法定代表人、拟委任的项目经理在工程建设领域中，有无行贿行为构成或未构成犯罪的（以中国裁判文书网（</w:t>
            </w:r>
            <w:r>
              <w:rPr>
                <w:color w:val="000000" w:themeColor="text1"/>
                <w:highlight w:val="none"/>
                <w14:textFill>
                  <w14:solidFill>
                    <w14:schemeClr w14:val="tx1"/>
                  </w14:solidFill>
                </w14:textFill>
              </w:rPr>
              <w:t>http://wenshu.court.gov.cn/</w:t>
            </w:r>
            <w:r>
              <w:rPr>
                <w:rFonts w:hint="eastAsia"/>
                <w:color w:val="000000" w:themeColor="text1"/>
                <w:highlight w:val="none"/>
                <w14:textFill>
                  <w14:solidFill>
                    <w14:schemeClr w14:val="tx1"/>
                  </w14:solidFill>
                </w14:textFill>
              </w:rPr>
              <w:t>）网站页面显示内容为准，时间以法院判决书判决时间为准）；</w:t>
            </w:r>
          </w:p>
          <w:p w14:paraId="642BFCE3">
            <w:pPr>
              <w:pStyle w:val="7"/>
              <w:spacing w:line="340" w:lineRule="exact"/>
              <w:ind w:left="284" w:right="283"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、近三年（</w:t>
            </w:r>
            <w:r>
              <w:rPr>
                <w:color w:val="000000" w:themeColor="text1"/>
                <w:highlight w:val="none"/>
                <w14:textFill>
                  <w14:solidFill>
                    <w14:schemeClr w14:val="tx1"/>
                  </w14:solidFill>
                </w14:textFill>
              </w:rPr>
              <w:t>_____</w:t>
            </w:r>
            <w:r>
              <w:rPr>
                <w:rFonts w:hint="eastAsia"/>
                <w:color w:val="000000" w:themeColor="text1"/>
                <w:highlight w:val="none"/>
                <w14:textFill>
                  <w14:solidFill>
                    <w14:schemeClr w14:val="tx1"/>
                  </w14:solidFill>
                </w14:textFill>
              </w:rPr>
              <w:t>年</w:t>
            </w:r>
            <w:r>
              <w:rPr>
                <w:color w:val="000000" w:themeColor="text1"/>
                <w:highlight w:val="none"/>
                <w14:textFill>
                  <w14:solidFill>
                    <w14:schemeClr w14:val="tx1"/>
                  </w14:solidFill>
                </w14:textFill>
              </w:rPr>
              <w:t>___</w:t>
            </w:r>
            <w:r>
              <w:rPr>
                <w:rFonts w:hint="eastAsia"/>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日以来），投标人有无因公路工程（含附属设施）质量、安全问题等原因被交通运输部、省交通运输厅挂牌督办的；</w:t>
            </w:r>
          </w:p>
          <w:p w14:paraId="53865818">
            <w:pPr>
              <w:pStyle w:val="7"/>
              <w:spacing w:line="340" w:lineRule="exact"/>
              <w:ind w:left="284" w:right="283" w:firstLine="420" w:firstLineChars="200"/>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有无存在投标人须知第</w:t>
            </w:r>
            <w:r>
              <w:rPr>
                <w:color w:val="000000" w:themeColor="text1"/>
                <w:szCs w:val="21"/>
                <w:highlight w:val="none"/>
                <w14:textFill>
                  <w14:solidFill>
                    <w14:schemeClr w14:val="tx1"/>
                  </w14:solidFill>
                </w14:textFill>
              </w:rPr>
              <w:t>1.4.3</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1.4.4</w:t>
            </w:r>
            <w:r>
              <w:rPr>
                <w:rFonts w:hint="eastAsia"/>
                <w:color w:val="000000" w:themeColor="text1"/>
                <w:szCs w:val="21"/>
                <w:highlight w:val="none"/>
                <w14:textFill>
                  <w14:solidFill>
                    <w14:schemeClr w14:val="tx1"/>
                  </w14:solidFill>
                </w14:textFill>
              </w:rPr>
              <w:t>情形；</w:t>
            </w:r>
          </w:p>
          <w:p w14:paraId="12ABF8AB">
            <w:pPr>
              <w:pStyle w:val="7"/>
              <w:spacing w:line="340" w:lineRule="exact"/>
              <w:ind w:right="283" w:firstLine="630" w:firstLineChars="300"/>
              <w:rPr>
                <w:rFonts w:ascii="宋体" w:hAnsi="宋体" w:cs="宋体"/>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5</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____________________________</w:t>
            </w:r>
          </w:p>
        </w:tc>
        <w:tc>
          <w:tcPr>
            <w:tcW w:w="4506" w:type="dxa"/>
            <w:tcBorders>
              <w:bottom w:val="single" w:color="auto" w:sz="12" w:space="0"/>
            </w:tcBorders>
            <w:vAlign w:val="center"/>
          </w:tcPr>
          <w:p w14:paraId="4A614B16">
            <w:pPr>
              <w:pStyle w:val="7"/>
              <w:spacing w:line="340" w:lineRule="exact"/>
              <w:jc w:val="center"/>
              <w:rPr>
                <w:rFonts w:ascii="宋体" w:hAnsi="宋体" w:cs="宋体"/>
                <w:color w:val="000000" w:themeColor="text1"/>
                <w:highlight w:val="none"/>
                <w14:textFill>
                  <w14:solidFill>
                    <w14:schemeClr w14:val="tx1"/>
                  </w14:solidFill>
                </w14:textFill>
              </w:rPr>
            </w:pPr>
          </w:p>
        </w:tc>
      </w:tr>
    </w:tbl>
    <w:p w14:paraId="7DF4D668">
      <w:pPr>
        <w:pStyle w:val="7"/>
        <w:topLinePunct/>
        <w:spacing w:line="360" w:lineRule="auto"/>
        <w:rPr>
          <w:rFonts w:ascii="宋体" w:hAnsi="宋体" w:cs="宋体"/>
          <w:color w:val="000000" w:themeColor="text1"/>
          <w:highlight w:val="none"/>
          <w14:textFill>
            <w14:solidFill>
              <w14:schemeClr w14:val="tx1"/>
            </w14:solidFill>
          </w14:textFill>
        </w:rPr>
      </w:pPr>
    </w:p>
    <w:p w14:paraId="01375991">
      <w:pPr>
        <w:pStyle w:val="50"/>
        <w:spacing w:before="0" w:line="240" w:lineRule="exact"/>
        <w:jc w:val="center"/>
        <w:outlineLvl w:val="9"/>
        <w:rPr>
          <w:rFonts w:ascii="宋体" w:hAnsi="宋体"/>
          <w:color w:val="000000" w:themeColor="text1"/>
          <w:sz w:val="36"/>
          <w:szCs w:val="36"/>
          <w:highlight w:val="none"/>
          <w14:textFill>
            <w14:solidFill>
              <w14:schemeClr w14:val="tx1"/>
            </w14:solidFill>
          </w14:textFill>
        </w:rPr>
      </w:pPr>
      <w:bookmarkStart w:id="1765" w:name="_Toc28389"/>
      <w:bookmarkStart w:id="1766" w:name="_Toc16643"/>
      <w:bookmarkStart w:id="1767" w:name="_Toc120624321"/>
      <w:bookmarkStart w:id="1768" w:name="_Toc14958"/>
      <w:bookmarkStart w:id="1769" w:name="_Toc20152"/>
      <w:bookmarkStart w:id="1770" w:name="_Toc21242"/>
      <w:bookmarkStart w:id="1771" w:name="_Toc118195943"/>
      <w:bookmarkStart w:id="1772" w:name="_Toc1321"/>
      <w:bookmarkStart w:id="1773" w:name="_Toc21343"/>
      <w:bookmarkStart w:id="1774" w:name="_Toc98785439"/>
      <w:bookmarkStart w:id="1775" w:name="_Toc8025"/>
      <w:bookmarkStart w:id="1776" w:name="_Toc5938"/>
      <w:bookmarkStart w:id="1777" w:name="_Toc25664"/>
      <w:bookmarkStart w:id="1778" w:name="_Toc119585584"/>
      <w:bookmarkStart w:id="1779" w:name="_Toc27887"/>
      <w:bookmarkStart w:id="1780" w:name="_Toc31212"/>
      <w:bookmarkStart w:id="1781" w:name="_Toc4586"/>
      <w:bookmarkStart w:id="1782" w:name="_Toc11771"/>
      <w:bookmarkStart w:id="1783" w:name="_Toc3458"/>
    </w:p>
    <w:p w14:paraId="47D64D01">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r>
      <w:bookmarkStart w:id="1784" w:name="_Toc17013"/>
      <w:r>
        <w:rPr>
          <w:rFonts w:hint="eastAsia" w:ascii="宋体" w:hAnsi="宋体"/>
          <w:b/>
          <w:bCs/>
          <w:color w:val="000000" w:themeColor="text1"/>
          <w:sz w:val="32"/>
          <w:szCs w:val="32"/>
          <w:highlight w:val="none"/>
          <w:lang w:val="en-US" w:eastAsia="zh-CN"/>
          <w14:textFill>
            <w14:solidFill>
              <w14:schemeClr w14:val="tx1"/>
            </w14:solidFill>
          </w14:textFill>
        </w:rPr>
        <w:t>七</w:t>
      </w:r>
      <w:r>
        <w:rPr>
          <w:rFonts w:hint="eastAsia" w:ascii="宋体" w:hAnsi="宋体"/>
          <w:b/>
          <w:bCs/>
          <w:color w:val="000000" w:themeColor="text1"/>
          <w:sz w:val="32"/>
          <w:szCs w:val="32"/>
          <w:highlight w:val="none"/>
          <w14:textFill>
            <w14:solidFill>
              <w14:schemeClr w14:val="tx1"/>
            </w14:solidFill>
          </w14:textFill>
        </w:rPr>
        <w:t>、承诺函</w:t>
      </w:r>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p>
    <w:p w14:paraId="21CF4B49">
      <w:pPr>
        <w:pStyle w:val="7"/>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（招标人名称）：</w:t>
      </w:r>
    </w:p>
    <w:p w14:paraId="702EB28D">
      <w:pPr>
        <w:pStyle w:val="7"/>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我方参加了</w:t>
      </w:r>
      <w:r>
        <w:rPr>
          <w:color w:val="000000" w:themeColor="text1"/>
          <w:highlight w:val="none"/>
          <w14:textFill>
            <w14:solidFill>
              <w14:schemeClr w14:val="tx1"/>
            </w14:solidFill>
          </w14:textFill>
        </w:rPr>
        <w:t>__________________</w:t>
      </w:r>
      <w:r>
        <w:rPr>
          <w:rFonts w:hint="eastAsia"/>
          <w:color w:val="000000" w:themeColor="text1"/>
          <w:highlight w:val="none"/>
          <w14:textFill>
            <w14:solidFill>
              <w14:schemeClr w14:val="tx1"/>
            </w14:solidFill>
          </w14:textFill>
        </w:rPr>
        <w:t>（项目名称）</w:t>
      </w:r>
      <w:r>
        <w:rPr>
          <w:color w:val="000000" w:themeColor="text1"/>
          <w:highlight w:val="none"/>
          <w14:textFill>
            <w14:solidFill>
              <w14:schemeClr w14:val="tx1"/>
            </w14:solidFill>
          </w14:textFill>
        </w:rPr>
        <w:t>____</w:t>
      </w:r>
      <w:r>
        <w:rPr>
          <w:rFonts w:hint="eastAsia"/>
          <w:color w:val="000000" w:themeColor="text1"/>
          <w:highlight w:val="none"/>
          <w14:textFill>
            <w14:solidFill>
              <w14:schemeClr w14:val="tx1"/>
            </w14:solidFill>
          </w14:textFill>
        </w:rPr>
        <w:t>标段施工投标，若我方中标，我方在此承诺：</w:t>
      </w:r>
    </w:p>
    <w:p w14:paraId="7EB31F92">
      <w:pPr>
        <w:pStyle w:val="7"/>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本项目招标文件未要求我方在投标文件中填报派驻本标段的其他主要管理人员和技术人员及主要机械设备和试验检测设备，在招标人向我方发出中标通知书之前，我方将按照合同附件提出的最低要求填报派驻本标段的其他主要管理人员和技术人员及主要机械设备和试验检测设备，在经招标人审批后作为派驻本标段的项目管理机构主要人员和主要设备且不进行更换。</w:t>
      </w:r>
    </w:p>
    <w:p w14:paraId="319AF63E">
      <w:pPr>
        <w:pStyle w:val="7"/>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我方已按本项目招标文件要求在投标文件中填报派驻本标段的其他主要管理人员和技术人员及主要机械设备和试验检测设备，我方将严格按照在投标文件中填报的其他主要管理人员和技术人员及主要机械设备和试验检测设备组织进场施工，且不进行更换。</w:t>
      </w:r>
    </w:p>
    <w:p w14:paraId="45D606A8">
      <w:pPr>
        <w:pStyle w:val="7"/>
        <w:spacing w:line="360" w:lineRule="auto"/>
        <w:ind w:firstLine="435"/>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我方承诺：在招标人发出中标通知书前接受明显不平衡报价的修正。</w:t>
      </w:r>
    </w:p>
    <w:p w14:paraId="512E8296">
      <w:pPr>
        <w:pStyle w:val="7"/>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如我方违背了上述承诺，本项目招标人有权取消我方的中标资格，并由招标人将我方的违约行为上报省级交通主管部门，作为不良记录纳入</w:t>
      </w:r>
      <w:r>
        <w:rPr>
          <w:rFonts w:hint="eastAsia"/>
          <w:color w:val="000000" w:themeColor="text1"/>
          <w:szCs w:val="21"/>
          <w:highlight w:val="none"/>
          <w14:textFill>
            <w14:solidFill>
              <w14:schemeClr w14:val="tx1"/>
            </w14:solidFill>
          </w14:textFill>
        </w:rPr>
        <w:t>浙江省交通运输信用综合管理服务系统</w:t>
      </w:r>
      <w:r>
        <w:rPr>
          <w:rFonts w:hint="eastAsia"/>
          <w:color w:val="000000" w:themeColor="text1"/>
          <w:highlight w:val="none"/>
          <w14:textFill>
            <w14:solidFill>
              <w14:schemeClr w14:val="tx1"/>
            </w14:solidFill>
          </w14:textFill>
        </w:rPr>
        <w:t>。</w:t>
      </w:r>
    </w:p>
    <w:p w14:paraId="368D6DD0">
      <w:pPr>
        <w:pStyle w:val="7"/>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我方同时承诺，不通过互联网与任何单位和个人进行与本项目有关图纸资料交换传递，不通过任何途径向本项目无关方泄露和传播本项目有关图纸资料。</w:t>
      </w:r>
    </w:p>
    <w:p w14:paraId="06A9D8FF">
      <w:pPr>
        <w:pStyle w:val="7"/>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方承诺本项目拟任项目经理在投标截止时间无在其他任何在建合同工程上担任项目经理（包括设计施工总承包项目中的施工负责人）的情形。在建合同工程的开始时间为合同工程中标通知书发出日期（不通过招标方式的，开始时间为合同签订日期），结束时间为该合同通过合同验收或合同解除日期。</w:t>
      </w:r>
    </w:p>
    <w:p w14:paraId="329A1412">
      <w:pPr>
        <w:pStyle w:val="7"/>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以上承诺如有虚假，愿意接受投标保证金不予退还的处理。给招标人造成损失的，愿意依法承担赔偿责任。如已中标，同意招标人取消我方中标资格的处理。</w:t>
      </w:r>
    </w:p>
    <w:p w14:paraId="37EDBCE7">
      <w:pPr>
        <w:pStyle w:val="7"/>
        <w:spacing w:line="500" w:lineRule="exact"/>
        <w:ind w:firstLine="435"/>
        <w:rPr>
          <w:rFonts w:ascii="宋体" w:hAnsi="宋体" w:cs="宋体"/>
          <w:color w:val="000000" w:themeColor="text1"/>
          <w:highlight w:val="none"/>
          <w14:textFill>
            <w14:solidFill>
              <w14:schemeClr w14:val="tx1"/>
            </w14:solidFill>
          </w14:textFill>
        </w:rPr>
      </w:pPr>
    </w:p>
    <w:p w14:paraId="2986E062">
      <w:pPr>
        <w:pStyle w:val="7"/>
        <w:spacing w:line="500" w:lineRule="exact"/>
        <w:ind w:firstLine="43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投标人：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（盖单位公章）</w:t>
      </w:r>
    </w:p>
    <w:p w14:paraId="33AAD7F8">
      <w:pPr>
        <w:pStyle w:val="7"/>
        <w:spacing w:line="500" w:lineRule="exact"/>
        <w:ind w:firstLine="437"/>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法定代表人或其委托代理人：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（签字）</w:t>
      </w:r>
    </w:p>
    <w:p w14:paraId="0CC27E21">
      <w:pPr>
        <w:pStyle w:val="7"/>
        <w:spacing w:line="500" w:lineRule="exact"/>
        <w:ind w:firstLine="437"/>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日</w:t>
      </w:r>
    </w:p>
    <w:p w14:paraId="478E812C">
      <w:pPr>
        <w:pStyle w:val="7"/>
        <w:spacing w:line="360" w:lineRule="auto"/>
        <w:ind w:firstLine="435"/>
        <w:rPr>
          <w:rFonts w:ascii="宋体" w:hAnsi="宋体" w:cs="宋体"/>
          <w:color w:val="000000" w:themeColor="text1"/>
          <w:highlight w:val="none"/>
          <w14:textFill>
            <w14:solidFill>
              <w14:schemeClr w14:val="tx1"/>
            </w14:solidFill>
          </w14:textFill>
        </w:rPr>
      </w:pPr>
    </w:p>
    <w:p w14:paraId="66349BDA">
      <w:pPr>
        <w:pStyle w:val="7"/>
        <w:rPr>
          <w:rFonts w:ascii="宋体" w:hAnsi="宋体" w:cs="宋体"/>
          <w:color w:val="000000" w:themeColor="text1"/>
          <w:sz w:val="36"/>
          <w:szCs w:val="36"/>
          <w:highlight w:val="none"/>
          <w14:textFill>
            <w14:solidFill>
              <w14:schemeClr w14:val="tx1"/>
            </w14:solidFill>
          </w14:textFill>
        </w:rPr>
      </w:pPr>
      <w:bookmarkStart w:id="1785" w:name="_Toc119585585"/>
      <w:bookmarkStart w:id="1786" w:name="_Toc98785440"/>
      <w:bookmarkStart w:id="1787" w:name="_Toc14480"/>
      <w:bookmarkStart w:id="1788" w:name="_Toc31964"/>
      <w:bookmarkStart w:id="1789" w:name="_Toc23874"/>
      <w:bookmarkStart w:id="1790" w:name="_Toc120624322"/>
      <w:bookmarkStart w:id="1791" w:name="_Toc20973"/>
      <w:bookmarkStart w:id="1792" w:name="_Toc28778"/>
      <w:bookmarkStart w:id="1793" w:name="_Toc29452"/>
      <w:bookmarkStart w:id="1794" w:name="_Toc10980"/>
      <w:bookmarkStart w:id="1795" w:name="_Toc1642"/>
      <w:bookmarkStart w:id="1796" w:name="_Toc4514"/>
      <w:bookmarkStart w:id="1797" w:name="_Toc1839"/>
      <w:bookmarkStart w:id="1798" w:name="_Toc25278"/>
      <w:bookmarkStart w:id="1799" w:name="_Toc22226"/>
      <w:bookmarkStart w:id="1800" w:name="_Toc25511"/>
      <w:bookmarkStart w:id="1801" w:name="_Toc118195944"/>
      <w:bookmarkStart w:id="1802" w:name="_Toc6620"/>
      <w:bookmarkStart w:id="1803" w:name="_Toc7101"/>
      <w:r>
        <w:rPr>
          <w:rFonts w:hint="eastAsia" w:ascii="黑体" w:hAnsi="黑体" w:eastAsia="黑体"/>
          <w:color w:val="000000" w:themeColor="text1"/>
          <w:sz w:val="36"/>
          <w:szCs w:val="36"/>
          <w:highlight w:val="none"/>
          <w14:textFill>
            <w14:solidFill>
              <w14:schemeClr w14:val="tx1"/>
            </w14:solidFill>
          </w14:textFill>
        </w:rPr>
        <w:br w:type="page"/>
      </w:r>
    </w:p>
    <w:p w14:paraId="4D7C2BC9">
      <w:pPr>
        <w:pStyle w:val="50"/>
        <w:spacing w:before="0" w:line="240" w:lineRule="exact"/>
        <w:jc w:val="center"/>
        <w:outlineLvl w:val="9"/>
        <w:rPr>
          <w:rFonts w:ascii="宋体" w:hAnsi="宋体"/>
          <w:color w:val="000000" w:themeColor="text1"/>
          <w:sz w:val="36"/>
          <w:szCs w:val="36"/>
          <w:highlight w:val="none"/>
          <w14:textFill>
            <w14:solidFill>
              <w14:schemeClr w14:val="tx1"/>
            </w14:solidFill>
          </w14:textFill>
        </w:rPr>
      </w:pPr>
    </w:p>
    <w:p w14:paraId="375943A6">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bookmarkStart w:id="1804" w:name="_Toc28978"/>
      <w:r>
        <w:rPr>
          <w:rFonts w:hint="eastAsia" w:ascii="宋体" w:hAnsi="宋体"/>
          <w:b/>
          <w:bCs/>
          <w:color w:val="000000" w:themeColor="text1"/>
          <w:sz w:val="32"/>
          <w:szCs w:val="32"/>
          <w:highlight w:val="none"/>
          <w:lang w:val="en-US" w:eastAsia="zh-CN"/>
          <w14:textFill>
            <w14:solidFill>
              <w14:schemeClr w14:val="tx1"/>
            </w14:solidFill>
          </w14:textFill>
        </w:rPr>
        <w:t>八</w:t>
      </w:r>
      <w:r>
        <w:rPr>
          <w:rFonts w:hint="eastAsia" w:ascii="宋体" w:hAnsi="宋体"/>
          <w:b/>
          <w:bCs/>
          <w:color w:val="000000" w:themeColor="text1"/>
          <w:sz w:val="32"/>
          <w:szCs w:val="32"/>
          <w:highlight w:val="none"/>
          <w14:textFill>
            <w14:solidFill>
              <w14:schemeClr w14:val="tx1"/>
            </w14:solidFill>
          </w14:textFill>
        </w:rPr>
        <w:t>、其他材料</w:t>
      </w:r>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p>
    <w:p w14:paraId="3ED73E8A">
      <w:pPr>
        <w:pStyle w:val="7"/>
        <w:widowControl/>
        <w:spacing w:line="360" w:lineRule="auto"/>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597D6BAB">
      <w:pPr>
        <w:pStyle w:val="7"/>
        <w:spacing w:line="360" w:lineRule="auto"/>
        <w:rPr>
          <w:rFonts w:ascii="宋体" w:hAnsi="宋体" w:cs="宋体"/>
          <w:color w:val="000000" w:themeColor="text1"/>
          <w:sz w:val="20"/>
          <w:szCs w:val="20"/>
          <w:highlight w:val="none"/>
          <w14:textFill>
            <w14:solidFill>
              <w14:schemeClr w14:val="tx1"/>
            </w14:solidFill>
          </w14:textFill>
        </w:rPr>
      </w:pPr>
    </w:p>
    <w:p w14:paraId="3DAAEA84">
      <w:pPr>
        <w:pStyle w:val="7"/>
        <w:spacing w:line="360" w:lineRule="auto"/>
        <w:rPr>
          <w:rFonts w:ascii="宋体" w:hAnsi="宋体" w:cs="宋体"/>
          <w:color w:val="000000" w:themeColor="text1"/>
          <w:sz w:val="20"/>
          <w:szCs w:val="20"/>
          <w:highlight w:val="none"/>
          <w14:textFill>
            <w14:solidFill>
              <w14:schemeClr w14:val="tx1"/>
            </w14:solidFill>
          </w14:textFill>
        </w:rPr>
      </w:pPr>
    </w:p>
    <w:p w14:paraId="14F5B664">
      <w:pPr>
        <w:pStyle w:val="7"/>
        <w:spacing w:line="360" w:lineRule="auto"/>
        <w:rPr>
          <w:rFonts w:ascii="宋体" w:hAnsi="宋体" w:cs="宋体"/>
          <w:color w:val="000000" w:themeColor="text1"/>
          <w:sz w:val="20"/>
          <w:szCs w:val="20"/>
          <w:highlight w:val="none"/>
          <w14:textFill>
            <w14:solidFill>
              <w14:schemeClr w14:val="tx1"/>
            </w14:solidFill>
          </w14:textFill>
        </w:rPr>
      </w:pPr>
    </w:p>
    <w:p w14:paraId="55CF25CB">
      <w:pPr>
        <w:pStyle w:val="7"/>
        <w:spacing w:line="360" w:lineRule="auto"/>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浙</w:t>
      </w:r>
      <w:r>
        <w:rPr>
          <w:rFonts w:ascii="宋体" w:hAnsi="宋体" w:cs="宋体"/>
          <w:color w:val="000000" w:themeColor="text1"/>
          <w:sz w:val="36"/>
          <w:szCs w:val="36"/>
          <w:highlight w:val="none"/>
          <w14:textFill>
            <w14:solidFill>
              <w14:schemeClr w14:val="tx1"/>
            </w14:solidFill>
          </w14:textFill>
        </w:rPr>
        <w:t xml:space="preserve"> </w:t>
      </w:r>
      <w:r>
        <w:rPr>
          <w:rFonts w:hint="eastAsia" w:ascii="宋体" w:hAnsi="宋体" w:cs="宋体"/>
          <w:color w:val="000000" w:themeColor="text1"/>
          <w:sz w:val="36"/>
          <w:szCs w:val="36"/>
          <w:highlight w:val="none"/>
          <w14:textFill>
            <w14:solidFill>
              <w14:schemeClr w14:val="tx1"/>
            </w14:solidFill>
          </w14:textFill>
        </w:rPr>
        <w:t>江</w:t>
      </w:r>
      <w:r>
        <w:rPr>
          <w:rFonts w:ascii="宋体" w:hAnsi="宋体" w:cs="宋体"/>
          <w:color w:val="000000" w:themeColor="text1"/>
          <w:sz w:val="36"/>
          <w:szCs w:val="36"/>
          <w:highlight w:val="none"/>
          <w14:textFill>
            <w14:solidFill>
              <w14:schemeClr w14:val="tx1"/>
            </w14:solidFill>
          </w14:textFill>
        </w:rPr>
        <w:t xml:space="preserve"> </w:t>
      </w:r>
      <w:r>
        <w:rPr>
          <w:rFonts w:hint="eastAsia" w:ascii="宋体" w:hAnsi="宋体" w:cs="宋体"/>
          <w:color w:val="000000" w:themeColor="text1"/>
          <w:sz w:val="36"/>
          <w:szCs w:val="36"/>
          <w:highlight w:val="none"/>
          <w14:textFill>
            <w14:solidFill>
              <w14:schemeClr w14:val="tx1"/>
            </w14:solidFill>
          </w14:textFill>
        </w:rPr>
        <w:t>省</w:t>
      </w:r>
    </w:p>
    <w:p w14:paraId="4376E1A8">
      <w:pPr>
        <w:pStyle w:val="7"/>
        <w:spacing w:line="360" w:lineRule="auto"/>
        <w:rPr>
          <w:rFonts w:ascii="宋体" w:hAnsi="宋体" w:cs="宋体"/>
          <w:color w:val="000000" w:themeColor="text1"/>
          <w:sz w:val="36"/>
          <w:szCs w:val="36"/>
          <w:highlight w:val="none"/>
          <w14:textFill>
            <w14:solidFill>
              <w14:schemeClr w14:val="tx1"/>
            </w14:solidFill>
          </w14:textFill>
        </w:rPr>
      </w:pPr>
    </w:p>
    <w:p w14:paraId="0427A56D">
      <w:pPr>
        <w:pStyle w:val="7"/>
        <w:spacing w:line="360" w:lineRule="auto"/>
        <w:jc w:val="center"/>
        <w:rPr>
          <w:rFonts w:eastAsia="黑体"/>
          <w:b/>
          <w:bCs/>
          <w:color w:val="000000" w:themeColor="text1"/>
          <w:sz w:val="36"/>
          <w:szCs w:val="36"/>
          <w:highlight w:val="none"/>
          <w:u w:val="single"/>
          <w14:textFill>
            <w14:solidFill>
              <w14:schemeClr w14:val="tx1"/>
            </w14:solidFill>
          </w14:textFill>
        </w:rPr>
      </w:pPr>
      <w:r>
        <w:rPr>
          <w:rFonts w:eastAsia="黑体"/>
          <w:b/>
          <w:bCs/>
          <w:color w:val="000000" w:themeColor="text1"/>
          <w:sz w:val="36"/>
          <w:szCs w:val="36"/>
          <w:highlight w:val="none"/>
          <w:u w:val="single"/>
          <w14:textFill>
            <w14:solidFill>
              <w14:schemeClr w14:val="tx1"/>
            </w14:solidFill>
          </w14:textFill>
        </w:rPr>
        <w:t>________</w:t>
      </w:r>
      <w:r>
        <w:rPr>
          <w:rFonts w:hint="eastAsia" w:eastAsia="黑体"/>
          <w:b/>
          <w:bCs/>
          <w:color w:val="000000" w:themeColor="text1"/>
          <w:sz w:val="36"/>
          <w:szCs w:val="36"/>
          <w:highlight w:val="none"/>
          <w14:textFill>
            <w14:solidFill>
              <w14:schemeClr w14:val="tx1"/>
            </w14:solidFill>
          </w14:textFill>
        </w:rPr>
        <w:t>（项目名称）</w:t>
      </w:r>
      <w:r>
        <w:rPr>
          <w:rFonts w:eastAsia="黑体"/>
          <w:b/>
          <w:bCs/>
          <w:color w:val="000000" w:themeColor="text1"/>
          <w:sz w:val="36"/>
          <w:szCs w:val="36"/>
          <w:highlight w:val="none"/>
          <w:u w:val="single"/>
          <w14:textFill>
            <w14:solidFill>
              <w14:schemeClr w14:val="tx1"/>
            </w14:solidFill>
          </w14:textFill>
        </w:rPr>
        <w:t>________</w:t>
      </w:r>
      <w:r>
        <w:rPr>
          <w:rFonts w:hint="eastAsia" w:eastAsia="黑体"/>
          <w:b/>
          <w:bCs/>
          <w:color w:val="000000" w:themeColor="text1"/>
          <w:sz w:val="36"/>
          <w:szCs w:val="36"/>
          <w:highlight w:val="none"/>
          <w14:textFill>
            <w14:solidFill>
              <w14:schemeClr w14:val="tx1"/>
            </w14:solidFill>
          </w14:textFill>
        </w:rPr>
        <w:t>标段施工招标</w:t>
      </w:r>
    </w:p>
    <w:p w14:paraId="4C8623F1">
      <w:pPr>
        <w:pStyle w:val="7"/>
        <w:spacing w:line="360" w:lineRule="auto"/>
        <w:rPr>
          <w:rFonts w:ascii="宋体" w:hAnsi="宋体" w:cs="宋体"/>
          <w:color w:val="000000" w:themeColor="text1"/>
          <w:sz w:val="20"/>
          <w:szCs w:val="20"/>
          <w:highlight w:val="none"/>
          <w14:textFill>
            <w14:solidFill>
              <w14:schemeClr w14:val="tx1"/>
            </w14:solidFill>
          </w14:textFill>
        </w:rPr>
      </w:pPr>
    </w:p>
    <w:p w14:paraId="493180E7">
      <w:pPr>
        <w:pStyle w:val="7"/>
        <w:spacing w:line="360" w:lineRule="auto"/>
        <w:rPr>
          <w:rFonts w:ascii="宋体" w:hAnsi="宋体" w:cs="宋体"/>
          <w:color w:val="000000" w:themeColor="text1"/>
          <w:sz w:val="20"/>
          <w:szCs w:val="20"/>
          <w:highlight w:val="none"/>
          <w14:textFill>
            <w14:solidFill>
              <w14:schemeClr w14:val="tx1"/>
            </w14:solidFill>
          </w14:textFill>
        </w:rPr>
      </w:pPr>
    </w:p>
    <w:p w14:paraId="13B9625C">
      <w:pPr>
        <w:pStyle w:val="7"/>
        <w:spacing w:line="360" w:lineRule="auto"/>
        <w:rPr>
          <w:rFonts w:ascii="宋体" w:hAnsi="宋体" w:cs="宋体"/>
          <w:color w:val="000000" w:themeColor="text1"/>
          <w:sz w:val="20"/>
          <w:szCs w:val="20"/>
          <w:highlight w:val="none"/>
          <w14:textFill>
            <w14:solidFill>
              <w14:schemeClr w14:val="tx1"/>
            </w14:solidFill>
          </w14:textFill>
        </w:rPr>
      </w:pPr>
    </w:p>
    <w:p w14:paraId="0D2D3424">
      <w:pPr>
        <w:pStyle w:val="7"/>
        <w:spacing w:line="360" w:lineRule="auto"/>
        <w:rPr>
          <w:rFonts w:ascii="宋体" w:hAnsi="宋体" w:cs="宋体"/>
          <w:color w:val="000000" w:themeColor="text1"/>
          <w:sz w:val="20"/>
          <w:szCs w:val="20"/>
          <w:highlight w:val="none"/>
          <w14:textFill>
            <w14:solidFill>
              <w14:schemeClr w14:val="tx1"/>
            </w14:solidFill>
          </w14:textFill>
        </w:rPr>
      </w:pPr>
    </w:p>
    <w:p w14:paraId="61B16085">
      <w:pPr>
        <w:pStyle w:val="7"/>
        <w:spacing w:line="360" w:lineRule="auto"/>
        <w:jc w:val="center"/>
        <w:rPr>
          <w:rFonts w:ascii="宋体" w:hAnsi="宋体" w:cs="宋体"/>
          <w:color w:val="000000" w:themeColor="text1"/>
          <w:sz w:val="84"/>
          <w:szCs w:val="84"/>
          <w:highlight w:val="none"/>
          <w14:textFill>
            <w14:solidFill>
              <w14:schemeClr w14:val="tx1"/>
            </w14:solidFill>
          </w14:textFill>
        </w:rPr>
      </w:pPr>
      <w:r>
        <w:rPr>
          <w:rFonts w:hint="eastAsia" w:ascii="宋体" w:hAnsi="宋体" w:cs="宋体"/>
          <w:color w:val="000000" w:themeColor="text1"/>
          <w:sz w:val="84"/>
          <w:szCs w:val="84"/>
          <w:highlight w:val="none"/>
          <w14:textFill>
            <w14:solidFill>
              <w14:schemeClr w14:val="tx1"/>
            </w14:solidFill>
          </w14:textFill>
        </w:rPr>
        <w:t>投</w:t>
      </w:r>
      <w:r>
        <w:rPr>
          <w:rFonts w:ascii="宋体" w:hAnsi="宋体" w:cs="宋体"/>
          <w:color w:val="000000" w:themeColor="text1"/>
          <w:sz w:val="84"/>
          <w:szCs w:val="84"/>
          <w:highlight w:val="none"/>
          <w14:textFill>
            <w14:solidFill>
              <w14:schemeClr w14:val="tx1"/>
            </w14:solidFill>
          </w14:textFill>
        </w:rPr>
        <w:t xml:space="preserve"> </w:t>
      </w:r>
      <w:r>
        <w:rPr>
          <w:rFonts w:hint="eastAsia" w:ascii="宋体" w:hAnsi="宋体" w:cs="宋体"/>
          <w:color w:val="000000" w:themeColor="text1"/>
          <w:sz w:val="84"/>
          <w:szCs w:val="84"/>
          <w:highlight w:val="none"/>
          <w14:textFill>
            <w14:solidFill>
              <w14:schemeClr w14:val="tx1"/>
            </w14:solidFill>
          </w14:textFill>
        </w:rPr>
        <w:t>标</w:t>
      </w:r>
      <w:r>
        <w:rPr>
          <w:rFonts w:ascii="宋体" w:hAnsi="宋体" w:cs="宋体"/>
          <w:color w:val="000000" w:themeColor="text1"/>
          <w:sz w:val="84"/>
          <w:szCs w:val="84"/>
          <w:highlight w:val="none"/>
          <w14:textFill>
            <w14:solidFill>
              <w14:schemeClr w14:val="tx1"/>
            </w14:solidFill>
          </w14:textFill>
        </w:rPr>
        <w:t xml:space="preserve"> </w:t>
      </w:r>
      <w:r>
        <w:rPr>
          <w:rFonts w:hint="eastAsia" w:ascii="宋体" w:hAnsi="宋体" w:cs="宋体"/>
          <w:color w:val="000000" w:themeColor="text1"/>
          <w:sz w:val="84"/>
          <w:szCs w:val="84"/>
          <w:highlight w:val="none"/>
          <w14:textFill>
            <w14:solidFill>
              <w14:schemeClr w14:val="tx1"/>
            </w14:solidFill>
          </w14:textFill>
        </w:rPr>
        <w:t>文</w:t>
      </w:r>
      <w:r>
        <w:rPr>
          <w:rFonts w:ascii="宋体" w:hAnsi="宋体" w:cs="宋体"/>
          <w:color w:val="000000" w:themeColor="text1"/>
          <w:sz w:val="84"/>
          <w:szCs w:val="84"/>
          <w:highlight w:val="none"/>
          <w14:textFill>
            <w14:solidFill>
              <w14:schemeClr w14:val="tx1"/>
            </w14:solidFill>
          </w14:textFill>
        </w:rPr>
        <w:t xml:space="preserve"> </w:t>
      </w:r>
      <w:r>
        <w:rPr>
          <w:rFonts w:hint="eastAsia" w:ascii="宋体" w:hAnsi="宋体" w:cs="宋体"/>
          <w:color w:val="000000" w:themeColor="text1"/>
          <w:sz w:val="84"/>
          <w:szCs w:val="84"/>
          <w:highlight w:val="none"/>
          <w14:textFill>
            <w14:solidFill>
              <w14:schemeClr w14:val="tx1"/>
            </w14:solidFill>
          </w14:textFill>
        </w:rPr>
        <w:t>件</w:t>
      </w:r>
    </w:p>
    <w:p w14:paraId="32D346D4">
      <w:pPr>
        <w:pStyle w:val="7"/>
        <w:spacing w:line="360" w:lineRule="auto"/>
        <w:rPr>
          <w:rFonts w:ascii="宋体" w:hAnsi="宋体" w:cs="宋体"/>
          <w:color w:val="000000" w:themeColor="text1"/>
          <w:sz w:val="28"/>
          <w:szCs w:val="28"/>
          <w:highlight w:val="none"/>
          <w14:textFill>
            <w14:solidFill>
              <w14:schemeClr w14:val="tx1"/>
            </w14:solidFill>
          </w14:textFill>
        </w:rPr>
      </w:pPr>
    </w:p>
    <w:p w14:paraId="7170DD03">
      <w:pPr>
        <w:pStyle w:val="7"/>
        <w:spacing w:before="260" w:after="260" w:line="700" w:lineRule="exact"/>
        <w:jc w:val="center"/>
        <w:outlineLvl w:val="1"/>
        <w:rPr>
          <w:rFonts w:ascii="宋体" w:hAnsi="宋体" w:cs="宋体"/>
          <w:b/>
          <w:bCs/>
          <w:color w:val="000000" w:themeColor="text1"/>
          <w:sz w:val="36"/>
          <w:szCs w:val="36"/>
          <w:highlight w:val="none"/>
          <w14:textFill>
            <w14:solidFill>
              <w14:schemeClr w14:val="tx1"/>
            </w14:solidFill>
          </w14:textFill>
        </w:rPr>
      </w:pPr>
      <w:bookmarkStart w:id="1805" w:name="_Toc2129"/>
      <w:bookmarkStart w:id="1806" w:name="_Toc29742"/>
      <w:bookmarkStart w:id="1807" w:name="_Toc15981"/>
      <w:bookmarkStart w:id="1808" w:name="_Toc32517"/>
      <w:bookmarkStart w:id="1809" w:name="_Toc24023"/>
      <w:bookmarkStart w:id="1810" w:name="_Toc15063"/>
      <w:bookmarkStart w:id="1811" w:name="_Toc20746"/>
      <w:bookmarkStart w:id="1812" w:name="_Toc98785441"/>
      <w:bookmarkStart w:id="1813" w:name="_Toc31610"/>
      <w:bookmarkStart w:id="1814" w:name="_Toc5607"/>
      <w:bookmarkStart w:id="1815" w:name="_Toc118195945"/>
      <w:bookmarkStart w:id="1816" w:name="_Toc683"/>
      <w:bookmarkStart w:id="1817" w:name="_Toc2616"/>
      <w:bookmarkStart w:id="1818" w:name="_Toc119585586"/>
      <w:bookmarkStart w:id="1819" w:name="_Toc11628"/>
      <w:bookmarkStart w:id="1820" w:name="_Toc22593"/>
      <w:bookmarkStart w:id="1821" w:name="_Toc120624323"/>
      <w:bookmarkStart w:id="1822" w:name="_Toc30298"/>
      <w:bookmarkStart w:id="1823" w:name="_Toc22942"/>
      <w:r>
        <w:rPr>
          <w:rFonts w:hint="eastAsia" w:ascii="宋体" w:hAnsi="宋体" w:cs="宋体"/>
          <w:b/>
          <w:bCs/>
          <w:color w:val="000000" w:themeColor="text1"/>
          <w:sz w:val="36"/>
          <w:szCs w:val="36"/>
          <w:highlight w:val="none"/>
          <w14:textFill>
            <w14:solidFill>
              <w14:schemeClr w14:val="tx1"/>
            </w14:solidFill>
          </w14:textFill>
        </w:rPr>
        <w:t>第二个信封（报价文件）</w:t>
      </w:r>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p>
    <w:p w14:paraId="39FF4755">
      <w:pPr>
        <w:pStyle w:val="7"/>
        <w:spacing w:line="360" w:lineRule="auto"/>
        <w:jc w:val="center"/>
        <w:rPr>
          <w:rFonts w:ascii="宋体" w:hAnsi="宋体" w:cs="宋体"/>
          <w:color w:val="000000" w:themeColor="text1"/>
          <w:sz w:val="28"/>
          <w:szCs w:val="28"/>
          <w:highlight w:val="none"/>
          <w14:textFill>
            <w14:solidFill>
              <w14:schemeClr w14:val="tx1"/>
            </w14:solidFill>
          </w14:textFill>
        </w:rPr>
      </w:pPr>
    </w:p>
    <w:p w14:paraId="3A295139">
      <w:pPr>
        <w:pStyle w:val="7"/>
        <w:spacing w:line="360" w:lineRule="auto"/>
        <w:rPr>
          <w:rFonts w:ascii="宋体" w:hAnsi="宋体" w:cs="宋体"/>
          <w:color w:val="000000" w:themeColor="text1"/>
          <w:sz w:val="28"/>
          <w:szCs w:val="28"/>
          <w:highlight w:val="none"/>
          <w14:textFill>
            <w14:solidFill>
              <w14:schemeClr w14:val="tx1"/>
            </w14:solidFill>
          </w14:textFill>
        </w:rPr>
      </w:pPr>
    </w:p>
    <w:p w14:paraId="0DC6DF55">
      <w:pPr>
        <w:pStyle w:val="7"/>
        <w:spacing w:line="360" w:lineRule="auto"/>
        <w:rPr>
          <w:rFonts w:ascii="宋体" w:hAnsi="宋体" w:cs="宋体"/>
          <w:color w:val="000000" w:themeColor="text1"/>
          <w:sz w:val="28"/>
          <w:szCs w:val="28"/>
          <w:highlight w:val="none"/>
          <w14:textFill>
            <w14:solidFill>
              <w14:schemeClr w14:val="tx1"/>
            </w14:solidFill>
          </w14:textFill>
        </w:rPr>
      </w:pPr>
    </w:p>
    <w:p w14:paraId="59FAACED">
      <w:pPr>
        <w:pStyle w:val="7"/>
        <w:spacing w:line="360" w:lineRule="auto"/>
        <w:rPr>
          <w:rFonts w:ascii="宋体" w:hAnsi="宋体" w:cs="宋体"/>
          <w:color w:val="000000" w:themeColor="text1"/>
          <w:sz w:val="28"/>
          <w:szCs w:val="28"/>
          <w:highlight w:val="none"/>
          <w14:textFill>
            <w14:solidFill>
              <w14:schemeClr w14:val="tx1"/>
            </w14:solidFill>
          </w14:textFill>
        </w:rPr>
      </w:pPr>
    </w:p>
    <w:p w14:paraId="0A8418B0">
      <w:pPr>
        <w:pStyle w:val="7"/>
        <w:spacing w:line="360" w:lineRule="auto"/>
        <w:rPr>
          <w:rFonts w:ascii="宋体" w:hAnsi="宋体" w:cs="宋体"/>
          <w:color w:val="000000" w:themeColor="text1"/>
          <w:sz w:val="28"/>
          <w:szCs w:val="28"/>
          <w:highlight w:val="none"/>
          <w14:textFill>
            <w14:solidFill>
              <w14:schemeClr w14:val="tx1"/>
            </w14:solidFill>
          </w14:textFill>
        </w:rPr>
      </w:pPr>
    </w:p>
    <w:p w14:paraId="0E6F088D">
      <w:pPr>
        <w:pStyle w:val="7"/>
        <w:spacing w:line="360" w:lineRule="auto"/>
        <w:jc w:val="center"/>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投标人：</w:t>
      </w:r>
      <w:r>
        <w:rPr>
          <w:rFonts w:eastAsia="黑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（盖单位公章）</w:t>
      </w:r>
    </w:p>
    <w:p w14:paraId="166A526A">
      <w:pPr>
        <w:pStyle w:val="7"/>
        <w:spacing w:line="360" w:lineRule="auto"/>
        <w:jc w:val="center"/>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u w:val="single"/>
          <w14:textFill>
            <w14:solidFill>
              <w14:schemeClr w14:val="tx1"/>
            </w14:solidFill>
          </w14:textFill>
        </w:rPr>
        <w:t xml:space="preserve">       </w:t>
      </w:r>
      <w:r>
        <w:rPr>
          <w:rFonts w:hint="eastAsia" w:eastAsia="黑体"/>
          <w:color w:val="000000" w:themeColor="text1"/>
          <w:sz w:val="28"/>
          <w:szCs w:val="28"/>
          <w:highlight w:val="none"/>
          <w14:textFill>
            <w14:solidFill>
              <w14:schemeClr w14:val="tx1"/>
            </w14:solidFill>
          </w14:textFill>
        </w:rPr>
        <w:t>年</w:t>
      </w:r>
      <w:r>
        <w:rPr>
          <w:rFonts w:eastAsia="黑体"/>
          <w:color w:val="000000" w:themeColor="text1"/>
          <w:sz w:val="28"/>
          <w:szCs w:val="28"/>
          <w:highlight w:val="none"/>
          <w:u w:val="single"/>
          <w14:textFill>
            <w14:solidFill>
              <w14:schemeClr w14:val="tx1"/>
            </w14:solidFill>
          </w14:textFill>
        </w:rPr>
        <w:t xml:space="preserve">        </w:t>
      </w:r>
      <w:r>
        <w:rPr>
          <w:rFonts w:hint="eastAsia" w:eastAsia="黑体"/>
          <w:color w:val="000000" w:themeColor="text1"/>
          <w:sz w:val="28"/>
          <w:szCs w:val="28"/>
          <w:highlight w:val="none"/>
          <w14:textFill>
            <w14:solidFill>
              <w14:schemeClr w14:val="tx1"/>
            </w14:solidFill>
          </w14:textFill>
        </w:rPr>
        <w:t>月</w:t>
      </w:r>
      <w:r>
        <w:rPr>
          <w:rFonts w:eastAsia="黑体"/>
          <w:color w:val="000000" w:themeColor="text1"/>
          <w:sz w:val="28"/>
          <w:szCs w:val="28"/>
          <w:highlight w:val="none"/>
          <w:u w:val="single"/>
          <w14:textFill>
            <w14:solidFill>
              <w14:schemeClr w14:val="tx1"/>
            </w14:solidFill>
          </w14:textFill>
        </w:rPr>
        <w:t xml:space="preserve">        </w:t>
      </w:r>
      <w:r>
        <w:rPr>
          <w:rFonts w:hint="eastAsia" w:eastAsia="黑体"/>
          <w:color w:val="000000" w:themeColor="text1"/>
          <w:sz w:val="28"/>
          <w:szCs w:val="28"/>
          <w:highlight w:val="none"/>
          <w14:textFill>
            <w14:solidFill>
              <w14:schemeClr w14:val="tx1"/>
            </w14:solidFill>
          </w14:textFill>
        </w:rPr>
        <w:t>日</w:t>
      </w:r>
    </w:p>
    <w:p w14:paraId="442BDFA0">
      <w:pPr>
        <w:pStyle w:val="7"/>
        <w:spacing w:line="360" w:lineRule="auto"/>
        <w:jc w:val="center"/>
        <w:rPr>
          <w:rFonts w:ascii="宋体" w:hAnsi="宋体" w:cs="宋体"/>
          <w:color w:val="000000" w:themeColor="text1"/>
          <w:sz w:val="28"/>
          <w:szCs w:val="28"/>
          <w:highlight w:val="none"/>
          <w14:textFill>
            <w14:solidFill>
              <w14:schemeClr w14:val="tx1"/>
            </w14:solidFill>
          </w14:textFill>
        </w:rPr>
      </w:pPr>
    </w:p>
    <w:p w14:paraId="70C5A06C">
      <w:pPr>
        <w:pStyle w:val="7"/>
        <w:spacing w:line="360" w:lineRule="auto"/>
        <w:rPr>
          <w:rFonts w:ascii="宋体" w:hAnsi="宋体"/>
          <w:color w:val="000000" w:themeColor="text1"/>
          <w:sz w:val="36"/>
          <w:szCs w:val="36"/>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bookmarkStart w:id="1824" w:name="_Toc356"/>
      <w:bookmarkStart w:id="1825" w:name="_Toc7136"/>
      <w:bookmarkStart w:id="1826" w:name="_Toc19123"/>
      <w:bookmarkStart w:id="1827" w:name="_Toc120624324"/>
      <w:bookmarkStart w:id="1828" w:name="_Toc16486"/>
      <w:bookmarkStart w:id="1829" w:name="_Toc32092"/>
      <w:bookmarkStart w:id="1830" w:name="_Toc98785442"/>
      <w:bookmarkStart w:id="1831" w:name="_Toc119585587"/>
      <w:bookmarkStart w:id="1832" w:name="_Toc24270"/>
      <w:bookmarkStart w:id="1833" w:name="_Toc118195946"/>
      <w:bookmarkStart w:id="1834" w:name="_Toc22531"/>
      <w:bookmarkStart w:id="1835" w:name="_Toc22644"/>
      <w:bookmarkStart w:id="1836" w:name="_Toc9694"/>
      <w:bookmarkStart w:id="1837" w:name="_Toc23976"/>
      <w:bookmarkStart w:id="1838" w:name="_Toc28967"/>
      <w:bookmarkStart w:id="1839" w:name="_Toc21435"/>
      <w:bookmarkStart w:id="1840" w:name="_Toc12918"/>
      <w:bookmarkStart w:id="1841" w:name="_Toc24330"/>
      <w:bookmarkStart w:id="1842" w:name="_Toc6685"/>
      <w:bookmarkStart w:id="1843" w:name="_Toc30421"/>
      <w:bookmarkStart w:id="1844" w:name="_Toc10093"/>
      <w:bookmarkStart w:id="1845" w:name="_Toc7624"/>
    </w:p>
    <w:p w14:paraId="7EC59E9C">
      <w:pPr>
        <w:pStyle w:val="50"/>
        <w:jc w:val="center"/>
        <w:outlineLvl w:val="9"/>
        <w:rPr>
          <w:rFonts w:ascii="宋体" w:hAnsi="宋体"/>
          <w:color w:val="000000" w:themeColor="text1"/>
          <w:sz w:val="40"/>
          <w:szCs w:val="40"/>
          <w:highlight w:val="none"/>
          <w14:textFill>
            <w14:solidFill>
              <w14:schemeClr w14:val="tx1"/>
            </w14:solidFill>
          </w14:textFill>
        </w:rPr>
      </w:pPr>
      <w:bookmarkStart w:id="1846" w:name="_Toc10313"/>
      <w:r>
        <w:rPr>
          <w:rFonts w:hint="eastAsia" w:ascii="宋体" w:hAnsi="宋体"/>
          <w:color w:val="000000" w:themeColor="text1"/>
          <w:sz w:val="40"/>
          <w:szCs w:val="40"/>
          <w:highlight w:val="none"/>
          <w14:textFill>
            <w14:solidFill>
              <w14:schemeClr w14:val="tx1"/>
            </w14:solidFill>
          </w14:textFill>
        </w:rPr>
        <w:t>目 录</w:t>
      </w:r>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p>
    <w:p w14:paraId="1C001EE9">
      <w:pPr>
        <w:pStyle w:val="7"/>
        <w:spacing w:line="360" w:lineRule="auto"/>
        <w:rPr>
          <w:rFonts w:ascii="宋体" w:hAnsi="宋体" w:cs="宋体"/>
          <w:color w:val="000000" w:themeColor="text1"/>
          <w:highlight w:val="none"/>
          <w14:textFill>
            <w14:solidFill>
              <w14:schemeClr w14:val="tx1"/>
            </w14:solidFill>
          </w14:textFill>
        </w:rPr>
      </w:pPr>
    </w:p>
    <w:p w14:paraId="0B8D3E86">
      <w:pPr>
        <w:pStyle w:val="7"/>
        <w:spacing w:line="360" w:lineRule="auto"/>
        <w:rPr>
          <w:rFonts w:ascii="宋体" w:hAnsi="宋体" w:cs="宋体"/>
          <w:color w:val="000000" w:themeColor="text1"/>
          <w:highlight w:val="none"/>
          <w14:textFill>
            <w14:solidFill>
              <w14:schemeClr w14:val="tx1"/>
            </w14:solidFill>
          </w14:textFill>
        </w:rPr>
      </w:pPr>
    </w:p>
    <w:p w14:paraId="612D8A60">
      <w:pPr>
        <w:pStyle w:val="7"/>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一、投标函</w:t>
      </w:r>
    </w:p>
    <w:p w14:paraId="0C697F6F">
      <w:pPr>
        <w:pStyle w:val="7"/>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二、已标价工程量清单</w:t>
      </w:r>
    </w:p>
    <w:p w14:paraId="19CE45EA">
      <w:pPr>
        <w:pStyle w:val="7"/>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三、合同用款估算表</w:t>
      </w:r>
    </w:p>
    <w:p w14:paraId="6B40119C">
      <w:pPr>
        <w:pStyle w:val="7"/>
        <w:spacing w:line="360" w:lineRule="auto"/>
        <w:rPr>
          <w:rFonts w:ascii="宋体" w:hAnsi="宋体" w:cs="宋体"/>
          <w:color w:val="000000" w:themeColor="text1"/>
          <w:highlight w:val="none"/>
          <w14:textFill>
            <w14:solidFill>
              <w14:schemeClr w14:val="tx1"/>
            </w14:solidFill>
          </w14:textFill>
        </w:rPr>
      </w:pPr>
    </w:p>
    <w:p w14:paraId="2939854B">
      <w:pPr>
        <w:pStyle w:val="7"/>
        <w:spacing w:line="360" w:lineRule="auto"/>
        <w:rPr>
          <w:rFonts w:ascii="宋体" w:hAnsi="宋体" w:cs="宋体"/>
          <w:color w:val="000000" w:themeColor="text1"/>
          <w:highlight w:val="none"/>
          <w14:textFill>
            <w14:solidFill>
              <w14:schemeClr w14:val="tx1"/>
            </w14:solidFill>
          </w14:textFill>
        </w:rPr>
      </w:pPr>
    </w:p>
    <w:p w14:paraId="0A6E2D4C">
      <w:pPr>
        <w:pStyle w:val="7"/>
        <w:spacing w:line="360" w:lineRule="auto"/>
        <w:rPr>
          <w:rFonts w:ascii="宋体" w:hAnsi="宋体" w:cs="宋体"/>
          <w:color w:val="000000" w:themeColor="text1"/>
          <w:highlight w:val="none"/>
          <w14:textFill>
            <w14:solidFill>
              <w14:schemeClr w14:val="tx1"/>
            </w14:solidFill>
          </w14:textFill>
        </w:rPr>
      </w:pPr>
    </w:p>
    <w:p w14:paraId="0CCD9B26">
      <w:pPr>
        <w:pStyle w:val="7"/>
        <w:widowControl/>
        <w:spacing w:line="360" w:lineRule="auto"/>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2B30DC01">
      <w:pPr>
        <w:pStyle w:val="7"/>
        <w:spacing w:line="240" w:lineRule="atLeast"/>
        <w:rPr>
          <w:rFonts w:ascii="宋体" w:hAnsi="宋体" w:cs="宋体"/>
          <w:color w:val="000000" w:themeColor="text1"/>
          <w:highlight w:val="none"/>
          <w14:textFill>
            <w14:solidFill>
              <w14:schemeClr w14:val="tx1"/>
            </w14:solidFill>
          </w14:textFill>
        </w:rPr>
      </w:pPr>
    </w:p>
    <w:p w14:paraId="05B831FA">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bookmarkStart w:id="1847" w:name="_Toc32443"/>
      <w:bookmarkStart w:id="1848" w:name="_Toc120624325"/>
      <w:bookmarkStart w:id="1849" w:name="_Toc18886"/>
      <w:bookmarkStart w:id="1850" w:name="_Toc5089"/>
      <w:bookmarkStart w:id="1851" w:name="_Toc118195947"/>
      <w:bookmarkStart w:id="1852" w:name="_Toc26599"/>
      <w:bookmarkStart w:id="1853" w:name="_Toc11386"/>
      <w:bookmarkStart w:id="1854" w:name="_Toc119585588"/>
      <w:bookmarkStart w:id="1855" w:name="_Toc17802"/>
      <w:bookmarkStart w:id="1856" w:name="_Toc3799"/>
      <w:bookmarkStart w:id="1857" w:name="_Toc16892"/>
      <w:bookmarkStart w:id="1858" w:name="_Toc354"/>
      <w:bookmarkStart w:id="1859" w:name="_Toc17061"/>
      <w:bookmarkStart w:id="1860" w:name="_Toc6044"/>
      <w:bookmarkStart w:id="1861" w:name="_Toc26781"/>
      <w:bookmarkStart w:id="1862" w:name="_Toc3732"/>
      <w:bookmarkStart w:id="1863" w:name="_Toc98785443"/>
      <w:bookmarkStart w:id="1864" w:name="_Toc6382"/>
      <w:bookmarkStart w:id="1865" w:name="_Toc11103"/>
      <w:bookmarkStart w:id="1866" w:name="_Toc19746"/>
      <w:r>
        <w:rPr>
          <w:rFonts w:hint="eastAsia" w:ascii="宋体" w:hAnsi="宋体"/>
          <w:b/>
          <w:bCs/>
          <w:color w:val="000000" w:themeColor="text1"/>
          <w:sz w:val="32"/>
          <w:szCs w:val="32"/>
          <w:highlight w:val="none"/>
          <w14:textFill>
            <w14:solidFill>
              <w14:schemeClr w14:val="tx1"/>
            </w14:solidFill>
          </w14:textFill>
        </w:rPr>
        <w:t>一、投标函</w:t>
      </w:r>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p>
    <w:p w14:paraId="2AFC8309">
      <w:pPr>
        <w:pStyle w:val="7"/>
        <w:spacing w:line="360" w:lineRule="auto"/>
        <w:rPr>
          <w:rFonts w:ascii="宋体" w:hAnsi="宋体" w:cs="宋体"/>
          <w:color w:val="000000" w:themeColor="text1"/>
          <w:sz w:val="20"/>
          <w:szCs w:val="20"/>
          <w:highlight w:val="none"/>
          <w14:textFill>
            <w14:solidFill>
              <w14:schemeClr w14:val="tx1"/>
            </w14:solidFill>
          </w14:textFill>
        </w:rPr>
      </w:pPr>
    </w:p>
    <w:p w14:paraId="4182357B">
      <w:pPr>
        <w:pStyle w:val="7"/>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（招标人名称）：</w:t>
      </w:r>
    </w:p>
    <w:p w14:paraId="7C854D58">
      <w:pPr>
        <w:pStyle w:val="7"/>
        <w:numPr>
          <w:ilvl w:val="0"/>
          <w:numId w:val="8"/>
        </w:numPr>
        <w:spacing w:line="500" w:lineRule="exact"/>
        <w:ind w:left="420" w:left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我方已仔细研究了</w:t>
      </w:r>
      <w:r>
        <w:rPr>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（项目名称）</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标段施工招标文件的全部内容（含</w:t>
      </w:r>
    </w:p>
    <w:p w14:paraId="29FA15E9">
      <w:pPr>
        <w:pStyle w:val="7"/>
        <w:spacing w:line="5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补遗书第</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号至第</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号），在考察工程现场后，愿意以人民币</w:t>
      </w:r>
      <w:r>
        <w:rPr>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（大写）元（¥</w:t>
      </w:r>
      <w:r>
        <w:rPr>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）的投标报价（或根据招标文件规定修正核实后确定的另一金额），按合同约定实施和完成承包工程，修补工程中的任何缺陷。</w:t>
      </w:r>
    </w:p>
    <w:p w14:paraId="630352E3">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2．在合同协议书正式签署生效之前，本投标函连同你方的中标通知书将构成我们双方之间共同遵守的文件，对双方具有约束力。</w:t>
      </w:r>
    </w:p>
    <w:p w14:paraId="028D2AF4">
      <w:pPr>
        <w:pStyle w:val="7"/>
        <w:spacing w:line="50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 </w:t>
      </w:r>
      <w:r>
        <w:rPr>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（其他补充说明）。</w:t>
      </w:r>
    </w:p>
    <w:p w14:paraId="002B3AD3">
      <w:pPr>
        <w:pStyle w:val="7"/>
        <w:spacing w:line="460" w:lineRule="exact"/>
        <w:ind w:firstLine="420" w:firstLineChars="200"/>
        <w:rPr>
          <w:rFonts w:ascii="宋体" w:hAnsi="宋体" w:cs="宋体"/>
          <w:color w:val="000000" w:themeColor="text1"/>
          <w:szCs w:val="21"/>
          <w:highlight w:val="none"/>
          <w14:textFill>
            <w14:solidFill>
              <w14:schemeClr w14:val="tx1"/>
            </w14:solidFill>
          </w14:textFill>
        </w:rPr>
      </w:pPr>
    </w:p>
    <w:p w14:paraId="0C747397">
      <w:pPr>
        <w:pStyle w:val="7"/>
        <w:spacing w:line="460" w:lineRule="exact"/>
        <w:ind w:firstLine="3675" w:firstLineChars="1750"/>
        <w:rPr>
          <w:rFonts w:ascii="宋体" w:hAnsi="宋体" w:cs="宋体"/>
          <w:color w:val="000000" w:themeColor="text1"/>
          <w:szCs w:val="21"/>
          <w:highlight w:val="none"/>
          <w14:textFill>
            <w14:solidFill>
              <w14:schemeClr w14:val="tx1"/>
            </w14:solidFill>
          </w14:textFill>
        </w:rPr>
      </w:pPr>
    </w:p>
    <w:p w14:paraId="784E75B4">
      <w:pPr>
        <w:pStyle w:val="7"/>
        <w:spacing w:line="500" w:lineRule="exact"/>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标</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（盖单位公章）</w:t>
      </w:r>
    </w:p>
    <w:p w14:paraId="6E7CBF02">
      <w:pPr>
        <w:pStyle w:val="7"/>
        <w:spacing w:line="500" w:lineRule="exact"/>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法定代表人或其委托代理人：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w:t>
      </w:r>
    </w:p>
    <w:p w14:paraId="5C432606">
      <w:pPr>
        <w:pStyle w:val="7"/>
        <w:spacing w:line="500" w:lineRule="exact"/>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地址：</w:t>
      </w:r>
      <w:r>
        <w:rPr>
          <w:color w:val="000000" w:themeColor="text1"/>
          <w:szCs w:val="21"/>
          <w:highlight w:val="none"/>
          <w:u w:val="single"/>
          <w14:textFill>
            <w14:solidFill>
              <w14:schemeClr w14:val="tx1"/>
            </w14:solidFill>
          </w14:textFill>
        </w:rPr>
        <w:t xml:space="preserve">                                     </w:t>
      </w:r>
    </w:p>
    <w:p w14:paraId="2CDFF057">
      <w:pPr>
        <w:pStyle w:val="7"/>
        <w:spacing w:line="500" w:lineRule="exact"/>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电话：</w:t>
      </w:r>
      <w:r>
        <w:rPr>
          <w:color w:val="000000" w:themeColor="text1"/>
          <w:szCs w:val="21"/>
          <w:highlight w:val="none"/>
          <w:u w:val="single"/>
          <w14:textFill>
            <w14:solidFill>
              <w14:schemeClr w14:val="tx1"/>
            </w14:solidFill>
          </w14:textFill>
        </w:rPr>
        <w:t xml:space="preserve">                                     </w:t>
      </w:r>
    </w:p>
    <w:p w14:paraId="65E85AC5">
      <w:pPr>
        <w:pStyle w:val="7"/>
        <w:spacing w:line="500" w:lineRule="exact"/>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传真：</w:t>
      </w:r>
      <w:r>
        <w:rPr>
          <w:color w:val="000000" w:themeColor="text1"/>
          <w:szCs w:val="21"/>
          <w:highlight w:val="none"/>
          <w:u w:val="single"/>
          <w14:textFill>
            <w14:solidFill>
              <w14:schemeClr w14:val="tx1"/>
            </w14:solidFill>
          </w14:textFill>
        </w:rPr>
        <w:t xml:space="preserve">                                     </w:t>
      </w:r>
    </w:p>
    <w:p w14:paraId="4AC74B6B">
      <w:pPr>
        <w:pStyle w:val="7"/>
        <w:spacing w:line="500" w:lineRule="exact"/>
        <w:ind w:firstLine="3675" w:firstLineChars="17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邮政编码：</w:t>
      </w:r>
      <w:r>
        <w:rPr>
          <w:color w:val="000000" w:themeColor="text1"/>
          <w:szCs w:val="21"/>
          <w:highlight w:val="none"/>
          <w:u w:val="single"/>
          <w14:textFill>
            <w14:solidFill>
              <w14:schemeClr w14:val="tx1"/>
            </w14:solidFill>
          </w14:textFill>
        </w:rPr>
        <w:t xml:space="preserve">                                 </w:t>
      </w:r>
    </w:p>
    <w:p w14:paraId="2DD36395">
      <w:pPr>
        <w:pStyle w:val="7"/>
        <w:topLinePunct/>
        <w:spacing w:line="500" w:lineRule="exact"/>
        <w:ind w:firstLine="4725" w:firstLineChars="2250"/>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14:paraId="6C473AE2">
      <w:pPr>
        <w:pStyle w:val="7"/>
        <w:widowControl/>
        <w:spacing w:line="500" w:lineRule="exact"/>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br w:type="page"/>
      </w:r>
    </w:p>
    <w:p w14:paraId="5D1F5EE5">
      <w:pPr>
        <w:pStyle w:val="50"/>
        <w:spacing w:before="0" w:line="240" w:lineRule="exact"/>
        <w:jc w:val="center"/>
        <w:outlineLvl w:val="9"/>
        <w:rPr>
          <w:rFonts w:ascii="宋体" w:hAnsi="宋体"/>
          <w:color w:val="000000" w:themeColor="text1"/>
          <w:sz w:val="36"/>
          <w:szCs w:val="36"/>
          <w:highlight w:val="none"/>
          <w14:textFill>
            <w14:solidFill>
              <w14:schemeClr w14:val="tx1"/>
            </w14:solidFill>
          </w14:textFill>
        </w:rPr>
      </w:pPr>
      <w:bookmarkStart w:id="1867" w:name="_Toc19065"/>
      <w:bookmarkStart w:id="1868" w:name="_Toc98785444"/>
      <w:bookmarkStart w:id="1869" w:name="_Toc118195948"/>
      <w:bookmarkStart w:id="1870" w:name="_Toc29480"/>
      <w:bookmarkStart w:id="1871" w:name="_Toc2955"/>
      <w:bookmarkStart w:id="1872" w:name="_Toc12371"/>
      <w:bookmarkStart w:id="1873" w:name="_Toc15027"/>
      <w:bookmarkStart w:id="1874" w:name="_Toc32500"/>
      <w:bookmarkStart w:id="1875" w:name="_Toc14551"/>
      <w:bookmarkStart w:id="1876" w:name="_Toc14808"/>
      <w:bookmarkStart w:id="1877" w:name="_Toc3503"/>
      <w:bookmarkStart w:id="1878" w:name="_Toc120624326"/>
      <w:bookmarkStart w:id="1879" w:name="_Toc24517"/>
      <w:bookmarkStart w:id="1880" w:name="_Toc22256"/>
      <w:bookmarkStart w:id="1881" w:name="_Toc6741"/>
      <w:bookmarkStart w:id="1882" w:name="_Toc119585589"/>
      <w:bookmarkStart w:id="1883" w:name="_Toc17581"/>
      <w:bookmarkStart w:id="1884" w:name="_Toc27259"/>
      <w:bookmarkStart w:id="1885" w:name="_Toc29500"/>
    </w:p>
    <w:p w14:paraId="1063F7C7">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bookmarkStart w:id="1886" w:name="_Toc3120"/>
      <w:r>
        <w:rPr>
          <w:rFonts w:hint="eastAsia" w:ascii="宋体" w:hAnsi="宋体"/>
          <w:b/>
          <w:bCs/>
          <w:color w:val="000000" w:themeColor="text1"/>
          <w:sz w:val="32"/>
          <w:szCs w:val="32"/>
          <w:highlight w:val="none"/>
          <w14:textFill>
            <w14:solidFill>
              <w14:schemeClr w14:val="tx1"/>
            </w14:solidFill>
          </w14:textFill>
        </w:rPr>
        <w:t>二、已标价工程量清单</w:t>
      </w:r>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p>
    <w:p w14:paraId="51E8BBF8">
      <w:pPr>
        <w:pStyle w:val="7"/>
        <w:spacing w:line="400" w:lineRule="exact"/>
        <w:jc w:val="center"/>
        <w:rPr>
          <w:rFonts w:ascii="宋体" w:hAnsi="宋体" w:cs="宋体"/>
          <w:color w:val="000000" w:themeColor="text1"/>
          <w:sz w:val="20"/>
          <w:szCs w:val="20"/>
          <w:highlight w:val="none"/>
          <w14:textFill>
            <w14:solidFill>
              <w14:schemeClr w14:val="tx1"/>
            </w14:solidFill>
          </w14:textFill>
        </w:rPr>
      </w:pPr>
    </w:p>
    <w:p w14:paraId="151EB075">
      <w:pPr>
        <w:pStyle w:val="7"/>
        <w:topLinePunct/>
        <w:spacing w:line="5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投标人应按照第五章“工程量清单”的要求逐项填报工程量清单，包括工程量清单说明、投标报价说明、计日工说明、其他说明及工程量清单各项表格。</w:t>
      </w:r>
    </w:p>
    <w:p w14:paraId="2F444D86">
      <w:pPr>
        <w:pStyle w:val="7"/>
        <w:topLinePunct/>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530559C6">
      <w:pPr>
        <w:pStyle w:val="7"/>
        <w:topLinePunct/>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br w:type="page"/>
      </w:r>
    </w:p>
    <w:p w14:paraId="1DA2AB49">
      <w:pPr>
        <w:pStyle w:val="50"/>
        <w:spacing w:before="0" w:line="240" w:lineRule="exact"/>
        <w:jc w:val="center"/>
        <w:outlineLvl w:val="9"/>
        <w:rPr>
          <w:rFonts w:ascii="宋体" w:hAnsi="宋体"/>
          <w:color w:val="000000" w:themeColor="text1"/>
          <w:sz w:val="36"/>
          <w:szCs w:val="36"/>
          <w:highlight w:val="none"/>
          <w14:textFill>
            <w14:solidFill>
              <w14:schemeClr w14:val="tx1"/>
            </w14:solidFill>
          </w14:textFill>
        </w:rPr>
      </w:pPr>
      <w:bookmarkStart w:id="1887" w:name="_Toc120624327"/>
      <w:bookmarkStart w:id="1888" w:name="_Toc5923"/>
      <w:bookmarkStart w:id="1889" w:name="_Toc98785445"/>
      <w:bookmarkStart w:id="1890" w:name="_Toc23633"/>
      <w:bookmarkStart w:id="1891" w:name="_Toc21341"/>
      <w:bookmarkStart w:id="1892" w:name="_Toc118195949"/>
      <w:bookmarkStart w:id="1893" w:name="_Toc119585590"/>
      <w:bookmarkStart w:id="1894" w:name="_Toc30764"/>
      <w:bookmarkStart w:id="1895" w:name="_Toc29532"/>
      <w:bookmarkStart w:id="1896" w:name="_Toc864"/>
      <w:bookmarkStart w:id="1897" w:name="_Toc3215"/>
      <w:bookmarkStart w:id="1898" w:name="_Toc3426"/>
      <w:bookmarkStart w:id="1899" w:name="_Toc3945"/>
      <w:bookmarkStart w:id="1900" w:name="_Toc21272"/>
      <w:bookmarkStart w:id="1901" w:name="_Toc17708"/>
      <w:bookmarkStart w:id="1902" w:name="_Toc20089"/>
      <w:bookmarkStart w:id="1903" w:name="_Toc24699"/>
      <w:bookmarkStart w:id="1904" w:name="_Toc9612"/>
      <w:bookmarkStart w:id="1905" w:name="_Toc4523"/>
    </w:p>
    <w:p w14:paraId="4F3D910C">
      <w:pPr>
        <w:pStyle w:val="50"/>
        <w:spacing w:before="60" w:after="60" w:line="460" w:lineRule="exact"/>
        <w:jc w:val="center"/>
        <w:outlineLvl w:val="2"/>
        <w:rPr>
          <w:rFonts w:ascii="宋体" w:hAnsi="宋体"/>
          <w:b/>
          <w:bCs/>
          <w:color w:val="000000" w:themeColor="text1"/>
          <w:sz w:val="32"/>
          <w:szCs w:val="32"/>
          <w:highlight w:val="none"/>
          <w14:textFill>
            <w14:solidFill>
              <w14:schemeClr w14:val="tx1"/>
            </w14:solidFill>
          </w14:textFill>
        </w:rPr>
      </w:pPr>
      <w:bookmarkStart w:id="1906" w:name="_Toc25191"/>
      <w:r>
        <w:rPr>
          <w:rFonts w:hint="eastAsia" w:ascii="宋体" w:hAnsi="宋体"/>
          <w:b/>
          <w:bCs/>
          <w:color w:val="000000" w:themeColor="text1"/>
          <w:sz w:val="32"/>
          <w:szCs w:val="32"/>
          <w:highlight w:val="none"/>
          <w14:textFill>
            <w14:solidFill>
              <w14:schemeClr w14:val="tx1"/>
            </w14:solidFill>
          </w14:textFill>
        </w:rPr>
        <w:t>三、合同用款估算表</w:t>
      </w:r>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p>
    <w:tbl>
      <w:tblPr>
        <w:tblStyle w:val="28"/>
        <w:tblW w:w="494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058"/>
        <w:gridCol w:w="1590"/>
        <w:gridCol w:w="1592"/>
        <w:gridCol w:w="1590"/>
        <w:gridCol w:w="1590"/>
      </w:tblGrid>
      <w:tr w14:paraId="11FF5B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510" w:hRule="atLeast"/>
          <w:jc w:val="center"/>
        </w:trPr>
        <w:tc>
          <w:tcPr>
            <w:tcW w:w="1222" w:type="pct"/>
            <w:vMerge w:val="restart"/>
            <w:vAlign w:val="center"/>
          </w:tcPr>
          <w:p w14:paraId="140FBE85">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从开工月算起的时间（月）</w:t>
            </w:r>
          </w:p>
        </w:tc>
        <w:tc>
          <w:tcPr>
            <w:tcW w:w="3777" w:type="pct"/>
            <w:gridSpan w:val="4"/>
            <w:vAlign w:val="center"/>
          </w:tcPr>
          <w:p w14:paraId="5946FDFA">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投标人的估算</w:t>
            </w:r>
          </w:p>
        </w:tc>
      </w:tr>
      <w:tr w14:paraId="2935F4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480" w:hRule="atLeast"/>
          <w:jc w:val="center"/>
        </w:trPr>
        <w:tc>
          <w:tcPr>
            <w:tcW w:w="1222" w:type="pct"/>
            <w:vMerge w:val="continue"/>
            <w:vAlign w:val="center"/>
          </w:tcPr>
          <w:p w14:paraId="62ADAF9D">
            <w:pPr>
              <w:pStyle w:val="7"/>
              <w:spacing w:line="340" w:lineRule="exact"/>
              <w:jc w:val="center"/>
              <w:rPr>
                <w:rFonts w:ascii="宋体" w:hAnsi="宋体" w:cs="宋体"/>
                <w:color w:val="000000" w:themeColor="text1"/>
                <w:szCs w:val="21"/>
                <w:highlight w:val="none"/>
                <w14:textFill>
                  <w14:solidFill>
                    <w14:schemeClr w14:val="tx1"/>
                  </w14:solidFill>
                </w14:textFill>
              </w:rPr>
            </w:pPr>
          </w:p>
        </w:tc>
        <w:tc>
          <w:tcPr>
            <w:tcW w:w="1889" w:type="pct"/>
            <w:gridSpan w:val="2"/>
            <w:vAlign w:val="center"/>
          </w:tcPr>
          <w:p w14:paraId="1EEA6DDB">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期</w:t>
            </w:r>
          </w:p>
        </w:tc>
        <w:tc>
          <w:tcPr>
            <w:tcW w:w="1888" w:type="pct"/>
            <w:gridSpan w:val="2"/>
            <w:vAlign w:val="center"/>
          </w:tcPr>
          <w:p w14:paraId="1540EB36">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累</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计</w:t>
            </w:r>
          </w:p>
        </w:tc>
      </w:tr>
      <w:tr w14:paraId="0F2D43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59" w:hRule="atLeast"/>
          <w:jc w:val="center"/>
        </w:trPr>
        <w:tc>
          <w:tcPr>
            <w:tcW w:w="1222" w:type="pct"/>
            <w:vMerge w:val="continue"/>
            <w:vAlign w:val="center"/>
          </w:tcPr>
          <w:p w14:paraId="6D6A9F40">
            <w:pPr>
              <w:pStyle w:val="7"/>
              <w:spacing w:line="340" w:lineRule="exact"/>
              <w:jc w:val="center"/>
              <w:rPr>
                <w:rFonts w:ascii="宋体" w:hAnsi="宋体" w:cs="宋体"/>
                <w:color w:val="000000" w:themeColor="text1"/>
                <w:szCs w:val="21"/>
                <w:highlight w:val="none"/>
                <w14:textFill>
                  <w14:solidFill>
                    <w14:schemeClr w14:val="tx1"/>
                  </w14:solidFill>
                </w14:textFill>
              </w:rPr>
            </w:pPr>
          </w:p>
        </w:tc>
        <w:tc>
          <w:tcPr>
            <w:tcW w:w="944" w:type="pct"/>
            <w:vAlign w:val="center"/>
          </w:tcPr>
          <w:p w14:paraId="5BC9BD18">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金额（元）</w:t>
            </w:r>
          </w:p>
        </w:tc>
        <w:tc>
          <w:tcPr>
            <w:tcW w:w="944" w:type="pct"/>
            <w:vAlign w:val="center"/>
          </w:tcPr>
          <w:p w14:paraId="19401F6E">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w:t>
            </w:r>
          </w:p>
        </w:tc>
        <w:tc>
          <w:tcPr>
            <w:tcW w:w="944" w:type="pct"/>
            <w:vAlign w:val="center"/>
          </w:tcPr>
          <w:p w14:paraId="015CD3AB">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金额（元）</w:t>
            </w:r>
          </w:p>
        </w:tc>
        <w:tc>
          <w:tcPr>
            <w:tcW w:w="943" w:type="pct"/>
            <w:vAlign w:val="center"/>
          </w:tcPr>
          <w:p w14:paraId="0996E160">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w:t>
            </w:r>
          </w:p>
        </w:tc>
      </w:tr>
      <w:tr w14:paraId="22AD0C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3486845E">
            <w:pPr>
              <w:pStyle w:val="7"/>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第一次开工预付款</w:t>
            </w:r>
          </w:p>
        </w:tc>
        <w:tc>
          <w:tcPr>
            <w:tcW w:w="944" w:type="pct"/>
            <w:vAlign w:val="center"/>
          </w:tcPr>
          <w:p w14:paraId="4BE55590">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2736D345">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3232011B">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571BF623">
            <w:pPr>
              <w:pStyle w:val="7"/>
              <w:spacing w:line="340" w:lineRule="exact"/>
              <w:rPr>
                <w:rFonts w:ascii="宋体" w:hAnsi="宋体" w:cs="宋体"/>
                <w:color w:val="000000" w:themeColor="text1"/>
                <w:szCs w:val="21"/>
                <w:highlight w:val="none"/>
                <w14:textFill>
                  <w14:solidFill>
                    <w14:schemeClr w14:val="tx1"/>
                  </w14:solidFill>
                </w14:textFill>
              </w:rPr>
            </w:pPr>
          </w:p>
        </w:tc>
      </w:tr>
      <w:tr w14:paraId="6BD32B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6F74E155">
            <w:pPr>
              <w:pStyle w:val="7"/>
              <w:spacing w:line="3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1～3</w:t>
            </w:r>
          </w:p>
        </w:tc>
        <w:tc>
          <w:tcPr>
            <w:tcW w:w="944" w:type="pct"/>
            <w:vAlign w:val="center"/>
          </w:tcPr>
          <w:p w14:paraId="70D4AFB7">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45C03252">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547A50D5">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21B48619">
            <w:pPr>
              <w:pStyle w:val="7"/>
              <w:spacing w:line="340" w:lineRule="exact"/>
              <w:rPr>
                <w:rFonts w:ascii="宋体" w:hAnsi="宋体" w:cs="宋体"/>
                <w:color w:val="000000" w:themeColor="text1"/>
                <w:szCs w:val="21"/>
                <w:highlight w:val="none"/>
                <w14:textFill>
                  <w14:solidFill>
                    <w14:schemeClr w14:val="tx1"/>
                  </w14:solidFill>
                </w14:textFill>
              </w:rPr>
            </w:pPr>
          </w:p>
        </w:tc>
      </w:tr>
      <w:tr w14:paraId="3E1CC8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4" w:hRule="atLeast"/>
          <w:jc w:val="center"/>
        </w:trPr>
        <w:tc>
          <w:tcPr>
            <w:tcW w:w="1222" w:type="pct"/>
            <w:vAlign w:val="center"/>
          </w:tcPr>
          <w:p w14:paraId="16B6784E">
            <w:pPr>
              <w:pStyle w:val="7"/>
              <w:spacing w:line="3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4～6</w:t>
            </w:r>
          </w:p>
        </w:tc>
        <w:tc>
          <w:tcPr>
            <w:tcW w:w="944" w:type="pct"/>
            <w:vAlign w:val="center"/>
          </w:tcPr>
          <w:p w14:paraId="14230C6A">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3452E741">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31B1ADED">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654ADF6B">
            <w:pPr>
              <w:pStyle w:val="7"/>
              <w:spacing w:line="340" w:lineRule="exact"/>
              <w:rPr>
                <w:rFonts w:ascii="宋体" w:hAnsi="宋体" w:cs="宋体"/>
                <w:color w:val="000000" w:themeColor="text1"/>
                <w:szCs w:val="21"/>
                <w:highlight w:val="none"/>
                <w14:textFill>
                  <w14:solidFill>
                    <w14:schemeClr w14:val="tx1"/>
                  </w14:solidFill>
                </w14:textFill>
              </w:rPr>
            </w:pPr>
          </w:p>
        </w:tc>
      </w:tr>
      <w:tr w14:paraId="69F484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4CE8314F">
            <w:pPr>
              <w:pStyle w:val="7"/>
              <w:spacing w:line="3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7～9</w:t>
            </w:r>
          </w:p>
        </w:tc>
        <w:tc>
          <w:tcPr>
            <w:tcW w:w="944" w:type="pct"/>
            <w:vAlign w:val="center"/>
          </w:tcPr>
          <w:p w14:paraId="33844343">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6205BF74">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2337E541">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1FE3011D">
            <w:pPr>
              <w:pStyle w:val="7"/>
              <w:spacing w:line="340" w:lineRule="exact"/>
              <w:rPr>
                <w:rFonts w:ascii="宋体" w:hAnsi="宋体" w:cs="宋体"/>
                <w:color w:val="000000" w:themeColor="text1"/>
                <w:szCs w:val="21"/>
                <w:highlight w:val="none"/>
                <w14:textFill>
                  <w14:solidFill>
                    <w14:schemeClr w14:val="tx1"/>
                  </w14:solidFill>
                </w14:textFill>
              </w:rPr>
            </w:pPr>
          </w:p>
        </w:tc>
      </w:tr>
      <w:tr w14:paraId="6BD1E6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7F403BF6">
            <w:pPr>
              <w:pStyle w:val="7"/>
              <w:spacing w:line="3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10～12</w:t>
            </w:r>
          </w:p>
        </w:tc>
        <w:tc>
          <w:tcPr>
            <w:tcW w:w="944" w:type="pct"/>
            <w:vAlign w:val="center"/>
          </w:tcPr>
          <w:p w14:paraId="37EE67CF">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06988D44">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12C75592">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185DD064">
            <w:pPr>
              <w:pStyle w:val="7"/>
              <w:spacing w:line="340" w:lineRule="exact"/>
              <w:rPr>
                <w:rFonts w:ascii="宋体" w:hAnsi="宋体" w:cs="宋体"/>
                <w:color w:val="000000" w:themeColor="text1"/>
                <w:szCs w:val="21"/>
                <w:highlight w:val="none"/>
                <w14:textFill>
                  <w14:solidFill>
                    <w14:schemeClr w14:val="tx1"/>
                  </w14:solidFill>
                </w14:textFill>
              </w:rPr>
            </w:pPr>
          </w:p>
        </w:tc>
      </w:tr>
      <w:tr w14:paraId="42702F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796409FB">
            <w:pPr>
              <w:pStyle w:val="7"/>
              <w:spacing w:line="3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13～15</w:t>
            </w:r>
          </w:p>
        </w:tc>
        <w:tc>
          <w:tcPr>
            <w:tcW w:w="944" w:type="pct"/>
            <w:vAlign w:val="center"/>
          </w:tcPr>
          <w:p w14:paraId="0DF8D798">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2CB676B0">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5C6D409A">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60BE5AAA">
            <w:pPr>
              <w:pStyle w:val="7"/>
              <w:spacing w:line="340" w:lineRule="exact"/>
              <w:rPr>
                <w:rFonts w:ascii="宋体" w:hAnsi="宋体" w:cs="宋体"/>
                <w:color w:val="000000" w:themeColor="text1"/>
                <w:szCs w:val="21"/>
                <w:highlight w:val="none"/>
                <w14:textFill>
                  <w14:solidFill>
                    <w14:schemeClr w14:val="tx1"/>
                  </w14:solidFill>
                </w14:textFill>
              </w:rPr>
            </w:pPr>
          </w:p>
        </w:tc>
      </w:tr>
      <w:tr w14:paraId="79ADB2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0F68E0E0">
            <w:pPr>
              <w:pStyle w:val="7"/>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w:t>
            </w:r>
          </w:p>
        </w:tc>
        <w:tc>
          <w:tcPr>
            <w:tcW w:w="944" w:type="pct"/>
            <w:vAlign w:val="center"/>
          </w:tcPr>
          <w:p w14:paraId="5F19F9AF">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43396014">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786FC770">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41CE6B17">
            <w:pPr>
              <w:pStyle w:val="7"/>
              <w:spacing w:line="340" w:lineRule="exact"/>
              <w:rPr>
                <w:rFonts w:ascii="宋体" w:hAnsi="宋体" w:cs="宋体"/>
                <w:color w:val="000000" w:themeColor="text1"/>
                <w:szCs w:val="21"/>
                <w:highlight w:val="none"/>
                <w14:textFill>
                  <w14:solidFill>
                    <w14:schemeClr w14:val="tx1"/>
                  </w14:solidFill>
                </w14:textFill>
              </w:rPr>
            </w:pPr>
          </w:p>
        </w:tc>
      </w:tr>
      <w:tr w14:paraId="2B6BA7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3CF4C8AF">
            <w:pPr>
              <w:pStyle w:val="7"/>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缺陷责任期</w:t>
            </w:r>
          </w:p>
        </w:tc>
        <w:tc>
          <w:tcPr>
            <w:tcW w:w="944" w:type="pct"/>
            <w:vAlign w:val="center"/>
          </w:tcPr>
          <w:p w14:paraId="566A9DC7">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38ED0A4B">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547C26B6">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7502DC7E">
            <w:pPr>
              <w:pStyle w:val="7"/>
              <w:spacing w:line="340" w:lineRule="exact"/>
              <w:rPr>
                <w:rFonts w:ascii="宋体" w:hAnsi="宋体" w:cs="宋体"/>
                <w:color w:val="000000" w:themeColor="text1"/>
                <w:szCs w:val="21"/>
                <w:highlight w:val="none"/>
                <w14:textFill>
                  <w14:solidFill>
                    <w14:schemeClr w14:val="tx1"/>
                  </w14:solidFill>
                </w14:textFill>
              </w:rPr>
            </w:pPr>
          </w:p>
        </w:tc>
      </w:tr>
      <w:tr w14:paraId="4B8127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0F203EBA">
            <w:pPr>
              <w:pStyle w:val="7"/>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小计</w:t>
            </w:r>
          </w:p>
        </w:tc>
        <w:tc>
          <w:tcPr>
            <w:tcW w:w="944" w:type="pct"/>
            <w:vAlign w:val="center"/>
          </w:tcPr>
          <w:p w14:paraId="60DF92C3">
            <w:pPr>
              <w:pStyle w:val="7"/>
              <w:spacing w:line="340" w:lineRule="exact"/>
              <w:rPr>
                <w:rFonts w:ascii="宋体" w:hAnsi="宋体" w:cs="宋体"/>
                <w:color w:val="000000" w:themeColor="text1"/>
                <w:szCs w:val="21"/>
                <w:highlight w:val="none"/>
                <w14:textFill>
                  <w14:solidFill>
                    <w14:schemeClr w14:val="tx1"/>
                  </w14:solidFill>
                </w14:textFill>
              </w:rPr>
            </w:pPr>
          </w:p>
        </w:tc>
        <w:tc>
          <w:tcPr>
            <w:tcW w:w="944" w:type="pct"/>
            <w:vAlign w:val="center"/>
          </w:tcPr>
          <w:p w14:paraId="21E6F887">
            <w:pPr>
              <w:pStyle w:val="7"/>
              <w:spacing w:line="340" w:lineRule="exact"/>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100.00</w:t>
            </w:r>
          </w:p>
        </w:tc>
        <w:tc>
          <w:tcPr>
            <w:tcW w:w="944" w:type="pct"/>
            <w:vAlign w:val="center"/>
          </w:tcPr>
          <w:p w14:paraId="19F67F56">
            <w:pPr>
              <w:pStyle w:val="7"/>
              <w:spacing w:line="340" w:lineRule="exact"/>
              <w:rPr>
                <w:rFonts w:ascii="宋体" w:hAnsi="宋体" w:cs="宋体"/>
                <w:color w:val="000000" w:themeColor="text1"/>
                <w:szCs w:val="21"/>
                <w:highlight w:val="none"/>
                <w14:textFill>
                  <w14:solidFill>
                    <w14:schemeClr w14:val="tx1"/>
                  </w14:solidFill>
                </w14:textFill>
              </w:rPr>
            </w:pPr>
          </w:p>
        </w:tc>
        <w:tc>
          <w:tcPr>
            <w:tcW w:w="943" w:type="pct"/>
            <w:vAlign w:val="center"/>
          </w:tcPr>
          <w:p w14:paraId="5392BAE0">
            <w:pPr>
              <w:pStyle w:val="7"/>
              <w:spacing w:line="340" w:lineRule="exact"/>
              <w:rPr>
                <w:rFonts w:ascii="宋体" w:hAnsi="宋体" w:cs="宋体"/>
                <w:color w:val="000000" w:themeColor="text1"/>
                <w:szCs w:val="21"/>
                <w:highlight w:val="none"/>
                <w14:textFill>
                  <w14:solidFill>
                    <w14:schemeClr w14:val="tx1"/>
                  </w14:solidFill>
                </w14:textFill>
              </w:rPr>
            </w:pPr>
          </w:p>
        </w:tc>
      </w:tr>
      <w:tr w14:paraId="4DC16A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Align w:val="center"/>
          </w:tcPr>
          <w:p w14:paraId="72B9B92A">
            <w:pPr>
              <w:pStyle w:val="7"/>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投标价：</w:t>
            </w:r>
          </w:p>
        </w:tc>
        <w:tc>
          <w:tcPr>
            <w:tcW w:w="3777" w:type="pct"/>
            <w:gridSpan w:val="4"/>
            <w:vAlign w:val="center"/>
          </w:tcPr>
          <w:p w14:paraId="4EBFEB26">
            <w:pPr>
              <w:pStyle w:val="7"/>
              <w:spacing w:line="340" w:lineRule="exact"/>
              <w:rPr>
                <w:rFonts w:ascii="宋体" w:hAnsi="宋体" w:cs="宋体"/>
                <w:color w:val="000000" w:themeColor="text1"/>
                <w:szCs w:val="21"/>
                <w:highlight w:val="none"/>
                <w14:textFill>
                  <w14:solidFill>
                    <w14:schemeClr w14:val="tx1"/>
                  </w14:solidFill>
                </w14:textFill>
              </w:rPr>
            </w:pPr>
          </w:p>
        </w:tc>
      </w:tr>
      <w:tr w14:paraId="5525E7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519" w:hRule="atLeast"/>
          <w:jc w:val="center"/>
        </w:trPr>
        <w:tc>
          <w:tcPr>
            <w:tcW w:w="1222" w:type="pct"/>
            <w:vAlign w:val="center"/>
          </w:tcPr>
          <w:p w14:paraId="58511AB5">
            <w:pPr>
              <w:pStyle w:val="7"/>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w:t>
            </w:r>
          </w:p>
        </w:tc>
        <w:tc>
          <w:tcPr>
            <w:tcW w:w="3777" w:type="pct"/>
            <w:gridSpan w:val="4"/>
            <w:vAlign w:val="center"/>
          </w:tcPr>
          <w:p w14:paraId="4F5BAEED">
            <w:pPr>
              <w:pStyle w:val="7"/>
              <w:spacing w:line="340" w:lineRule="exact"/>
              <w:rPr>
                <w:rFonts w:ascii="宋体" w:hAnsi="宋体" w:cs="宋体"/>
                <w:color w:val="000000" w:themeColor="text1"/>
                <w:szCs w:val="21"/>
                <w:highlight w:val="none"/>
                <w14:textFill>
                  <w14:solidFill>
                    <w14:schemeClr w14:val="tx1"/>
                  </w14:solidFill>
                </w14:textFill>
              </w:rPr>
            </w:pPr>
          </w:p>
        </w:tc>
      </w:tr>
    </w:tbl>
    <w:p w14:paraId="05EFDE85">
      <w:pPr>
        <w:pStyle w:val="7"/>
        <w:topLinePunc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ascii="宋体" w:hAnsi="宋体" w:cs="宋体"/>
          <w:color w:val="000000" w:themeColor="text1"/>
          <w:highlight w:val="none"/>
          <w14:textFill>
            <w14:solidFill>
              <w14:schemeClr w14:val="tx1"/>
            </w14:solidFill>
          </w14:textFill>
        </w:rPr>
        <w:t>1.投标人可按施工组织设计附表一的工程进度估算并填写本表。</w:t>
      </w:r>
    </w:p>
    <w:p w14:paraId="081BB3BD">
      <w:pPr>
        <w:pStyle w:val="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2.用款额按所报单价和总额价估算，不包括价格调整和暂列金额、暂估价，但应考虑开工预付款的扣回、质量保证金的扣留以及签发付款证书后到实际支付的时间间隔。</w:t>
      </w:r>
    </w:p>
    <w:p w14:paraId="3B5F6634">
      <w:pPr>
        <w:pStyle w:val="7"/>
        <w:rPr>
          <w:color w:val="000000" w:themeColor="text1"/>
          <w:highlight w:val="none"/>
          <w14:textFill>
            <w14:solidFill>
              <w14:schemeClr w14:val="tx1"/>
            </w14:solidFill>
          </w14:textFill>
        </w:rPr>
      </w:pPr>
    </w:p>
    <w:p w14:paraId="15A1B6DD">
      <w:pPr>
        <w:rPr>
          <w:color w:val="000000" w:themeColor="text1"/>
          <w:sz w:val="20"/>
          <w:highlight w:val="none"/>
          <w14:textFill>
            <w14:solidFill>
              <w14:schemeClr w14:val="tx1"/>
            </w14:solidFill>
          </w14:textFill>
        </w:rPr>
      </w:pPr>
      <w:r>
        <w:rPr>
          <w:rFonts w:hint="eastAsia"/>
          <w:color w:val="000000" w:themeColor="text1"/>
          <w:sz w:val="20"/>
          <w:highlight w:val="none"/>
          <w14:textFill>
            <w14:solidFill>
              <w14:schemeClr w14:val="tx1"/>
            </w14:solidFill>
          </w14:textFill>
        </w:rPr>
        <w:t xml:space="preserve"> </w:t>
      </w:r>
      <w:bookmarkEnd w:id="1"/>
    </w:p>
    <w:p w14:paraId="3B164EB5">
      <w:pPr>
        <w:rPr>
          <w:color w:val="000000" w:themeColor="text1"/>
          <w:highlight w:val="none"/>
          <w14:textFill>
            <w14:solidFill>
              <w14:schemeClr w14:val="tx1"/>
            </w14:solidFill>
          </w14:textFill>
        </w:rPr>
      </w:pPr>
    </w:p>
    <w:p w14:paraId="0591DFC7">
      <w:pPr>
        <w:rPr>
          <w:color w:val="000000" w:themeColor="text1"/>
          <w:highlight w:val="none"/>
          <w14:textFill>
            <w14:solidFill>
              <w14:schemeClr w14:val="tx1"/>
            </w14:solidFill>
          </w14:textFill>
        </w:rPr>
      </w:pPr>
    </w:p>
    <w:sectPr>
      <w:footerReference r:id="rId10" w:type="default"/>
      <w:footnotePr>
        <w:numFmt w:val="decimalEnclosedCircleChinese"/>
        <w:numRestart w:val="eachPage"/>
      </w:footnotePr>
      <w:pgSz w:w="11906" w:h="16838"/>
      <w:pgMar w:top="1440" w:right="1800"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隶书">
    <w:panose1 w:val="02010509060101010101"/>
    <w:charset w:val="86"/>
    <w:family w:val="modern"/>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Arial Narrow">
    <w:panose1 w:val="020B0606020202030204"/>
    <w:charset w:val="00"/>
    <w:family w:val="auto"/>
    <w:pitch w:val="default"/>
    <w:sig w:usb0="00000287" w:usb1="000008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914AF">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F87264">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EF87264">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F6B77">
    <w:pPr>
      <w:pStyle w:val="15"/>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FACBD33">
                          <w:pPr>
                            <w:pStyle w:val="15"/>
                            <w:ind w:firstLine="360"/>
                          </w:pPr>
                          <w:r>
                            <w:fldChar w:fldCharType="begin"/>
                          </w:r>
                          <w:r>
                            <w:instrText xml:space="preserve"> PAGE  \* MERGEFORMAT </w:instrText>
                          </w:r>
                          <w:r>
                            <w:fldChar w:fldCharType="separate"/>
                          </w:r>
                          <w:r>
                            <w:t>87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1NShz0QEAAKIDAAAOAAAAAAAAAAEAIAAAAB8BAABk&#10;cnMvZTJvRG9jLnhtbFBLBQYAAAAABgAGAFkBAABiBQAAAAA=&#10;">
              <v:fill on="f" focussize="0,0"/>
              <v:stroke on="f" weight="0.5pt"/>
              <v:imagedata o:title=""/>
              <o:lock v:ext="edit" aspectratio="f"/>
              <v:textbox inset="0mm,0mm,0mm,0mm" style="mso-fit-shape-to-text:t;">
                <w:txbxContent>
                  <w:p w14:paraId="1FACBD33">
                    <w:pPr>
                      <w:pStyle w:val="15"/>
                      <w:ind w:firstLine="360"/>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DDFA7">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979172">
                          <w:pPr>
                            <w:pStyle w:val="15"/>
                          </w:pPr>
                          <w:r>
                            <w:fldChar w:fldCharType="begin"/>
                          </w:r>
                          <w:r>
                            <w:instrText xml:space="preserve"> PAGE  \* MERGEFORMAT </w:instrText>
                          </w:r>
                          <w:r>
                            <w:fldChar w:fldCharType="separate"/>
                          </w:r>
                          <w:r>
                            <w:t>119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1D979172">
                    <w:pPr>
                      <w:pStyle w:val="15"/>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32">
    <w:p/>
  </w:footnote>
  <w:footnote w:type="continuationSeparator" w:id="33">
    <w:p/>
  </w:footnote>
  <w:footnote w:id="0">
    <w:p w14:paraId="3A7FE77C">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highlight w:val="white"/>
        </w:rPr>
        <w:t>近三</w:t>
      </w:r>
      <w:r>
        <w:rPr>
          <w:rFonts w:ascii="宋体" w:hAnsi="宋体"/>
          <w:sz w:val="18"/>
          <w:szCs w:val="18"/>
          <w:highlight w:val="white"/>
        </w:rPr>
        <w:t>年，上半年发布招标公告的，统一为</w:t>
      </w:r>
      <w:r>
        <w:rPr>
          <w:rFonts w:hint="eastAsia" w:ascii="宋体" w:hAnsi="宋体"/>
          <w:sz w:val="18"/>
          <w:szCs w:val="18"/>
          <w:highlight w:val="white"/>
        </w:rPr>
        <w:t>“____年1月1日</w:t>
      </w:r>
      <w:r>
        <w:rPr>
          <w:rFonts w:ascii="宋体" w:hAnsi="宋体"/>
          <w:sz w:val="18"/>
          <w:szCs w:val="18"/>
          <w:highlight w:val="white"/>
        </w:rPr>
        <w:t>以来”</w:t>
      </w:r>
      <w:r>
        <w:rPr>
          <w:rFonts w:hint="eastAsia" w:ascii="宋体" w:hAnsi="宋体"/>
          <w:sz w:val="18"/>
          <w:szCs w:val="18"/>
          <w:highlight w:val="white"/>
        </w:rPr>
        <w:t>；</w:t>
      </w:r>
      <w:r>
        <w:rPr>
          <w:rFonts w:ascii="宋体" w:hAnsi="宋体"/>
          <w:sz w:val="18"/>
          <w:szCs w:val="18"/>
          <w:highlight w:val="white"/>
        </w:rPr>
        <w:t>下半年发布招标公告的，统一为</w:t>
      </w:r>
      <w:r>
        <w:rPr>
          <w:rFonts w:hint="eastAsia" w:ascii="宋体" w:hAnsi="宋体"/>
          <w:sz w:val="18"/>
          <w:szCs w:val="18"/>
          <w:highlight w:val="white"/>
        </w:rPr>
        <w:t>“____年</w:t>
      </w:r>
      <w:r>
        <w:rPr>
          <w:rFonts w:ascii="宋体" w:hAnsi="宋体"/>
          <w:sz w:val="18"/>
          <w:szCs w:val="18"/>
          <w:highlight w:val="white"/>
        </w:rPr>
        <w:t>7</w:t>
      </w:r>
      <w:r>
        <w:rPr>
          <w:rFonts w:hint="eastAsia" w:ascii="宋体" w:hAnsi="宋体"/>
          <w:sz w:val="18"/>
          <w:szCs w:val="18"/>
          <w:highlight w:val="white"/>
        </w:rPr>
        <w:t>月1日</w:t>
      </w:r>
      <w:r>
        <w:rPr>
          <w:rFonts w:ascii="宋体" w:hAnsi="宋体"/>
          <w:sz w:val="18"/>
          <w:szCs w:val="18"/>
          <w:highlight w:val="white"/>
        </w:rPr>
        <w:t>以来”</w:t>
      </w:r>
      <w:r>
        <w:rPr>
          <w:rFonts w:hint="eastAsia" w:ascii="宋体" w:hAnsi="宋体"/>
          <w:sz w:val="18"/>
          <w:szCs w:val="18"/>
          <w:highlight w:val="white"/>
        </w:rPr>
        <w:t>。</w:t>
      </w:r>
    </w:p>
  </w:footnote>
  <w:footnote w:id="1">
    <w:p w14:paraId="4B736F78">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rPr>
        <w:t>不召开投标预备会的，编列内容修改为“/”</w:t>
      </w:r>
      <w:r>
        <w:rPr>
          <w:rFonts w:ascii="宋体" w:hAnsi="宋体"/>
          <w:sz w:val="18"/>
          <w:szCs w:val="18"/>
        </w:rPr>
        <w:t>。</w:t>
      </w:r>
    </w:p>
  </w:footnote>
  <w:footnote w:id="2">
    <w:p w14:paraId="678C19A6">
      <w:pPr>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highlight w:val="white"/>
        </w:rPr>
        <w:t>0.92、0.93、0.94、0.95、0.96、0.97六</w:t>
      </w:r>
      <w:r>
        <w:rPr>
          <w:rFonts w:ascii="宋体" w:hAnsi="宋体"/>
          <w:sz w:val="18"/>
          <w:szCs w:val="18"/>
          <w:highlight w:val="white"/>
        </w:rPr>
        <w:t>个值中确定三个连续值</w:t>
      </w:r>
      <w:r>
        <w:rPr>
          <w:rFonts w:hint="eastAsia" w:ascii="宋体" w:hAnsi="宋体"/>
          <w:sz w:val="18"/>
          <w:szCs w:val="18"/>
          <w:highlight w:val="white"/>
        </w:rPr>
        <w:t>。</w:t>
      </w:r>
    </w:p>
  </w:footnote>
  <w:footnote w:id="3">
    <w:p w14:paraId="4A8707DF">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highlight w:val="white"/>
        </w:rPr>
        <w:t>具体财务要求由招标人在满足国家相关法律法规前提下，根据招标项目具体特点和实际情况确定。</w:t>
      </w:r>
      <w:bookmarkStart w:id="1907" w:name="_Hlk83212131"/>
      <w:r>
        <w:rPr>
          <w:rFonts w:hint="eastAsia" w:ascii="宋体" w:hAnsi="宋体"/>
          <w:sz w:val="18"/>
          <w:szCs w:val="18"/>
          <w:highlight w:val="white"/>
        </w:rPr>
        <w:t>流动资金一般不超过标段概算造价的10</w:t>
      </w:r>
      <w:r>
        <w:rPr>
          <w:rFonts w:ascii="宋体" w:hAnsi="宋体"/>
          <w:sz w:val="18"/>
          <w:szCs w:val="18"/>
          <w:highlight w:val="white"/>
        </w:rPr>
        <w:t>%。</w:t>
      </w:r>
      <w:bookmarkEnd w:id="1907"/>
    </w:p>
  </w:footnote>
  <w:footnote w:id="4">
    <w:p w14:paraId="35B92C2E">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highlight w:val="white"/>
        </w:rPr>
        <w:t>具体业绩要求由招标人在满足国家相关法律法规前提下，根据招标项目具体特点和实际情况确定，但不得设置过高</w:t>
      </w:r>
      <w:r>
        <w:rPr>
          <w:rFonts w:hint="eastAsia" w:ascii="宋体" w:hAnsi="宋体"/>
          <w:sz w:val="18"/>
          <w:szCs w:val="18"/>
        </w:rPr>
        <w:t>的业绩资格条件。业</w:t>
      </w:r>
      <w:r>
        <w:rPr>
          <w:rFonts w:ascii="宋体" w:hAnsi="宋体"/>
          <w:sz w:val="18"/>
          <w:szCs w:val="18"/>
        </w:rPr>
        <w:t>绩最低要求应按</w:t>
      </w:r>
      <w:r>
        <w:rPr>
          <w:rFonts w:hint="eastAsia" w:ascii="宋体" w:hAnsi="宋体"/>
          <w:sz w:val="18"/>
          <w:szCs w:val="18"/>
        </w:rPr>
        <w:t>使用指南设置。</w:t>
      </w:r>
    </w:p>
  </w:footnote>
  <w:footnote w:id="5">
    <w:p w14:paraId="53A44E1D">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highlight w:val="white"/>
        </w:rPr>
        <w:t>本解释</w:t>
      </w:r>
      <w:r>
        <w:rPr>
          <w:rFonts w:ascii="宋体" w:hAnsi="宋体"/>
          <w:sz w:val="18"/>
          <w:szCs w:val="18"/>
          <w:highlight w:val="white"/>
        </w:rPr>
        <w:t>仅适用于项目经理有无在建</w:t>
      </w:r>
      <w:r>
        <w:rPr>
          <w:rFonts w:hint="eastAsia" w:ascii="宋体" w:hAnsi="宋体"/>
          <w:sz w:val="18"/>
          <w:szCs w:val="18"/>
          <w:highlight w:val="white"/>
        </w:rPr>
        <w:t>合同</w:t>
      </w:r>
      <w:r>
        <w:rPr>
          <w:rFonts w:ascii="宋体" w:hAnsi="宋体"/>
          <w:sz w:val="18"/>
          <w:szCs w:val="18"/>
          <w:highlight w:val="white"/>
        </w:rPr>
        <w:t>工程的认定</w:t>
      </w:r>
      <w:r>
        <w:rPr>
          <w:rFonts w:hint="eastAsia" w:ascii="宋体" w:hAnsi="宋体"/>
          <w:sz w:val="18"/>
          <w:szCs w:val="18"/>
          <w:highlight w:val="white"/>
        </w:rPr>
        <w:t>。</w:t>
      </w:r>
      <w:r>
        <w:rPr>
          <w:rFonts w:hint="eastAsia" w:ascii="宋体" w:hAnsi="宋体"/>
          <w:sz w:val="18"/>
          <w:szCs w:val="18"/>
        </w:rPr>
        <w:t>机电工程的结束时间以完工证书上的业主认定的完工日期为准。房建、绿化工程等以竣工验收日期为准。</w:t>
      </w:r>
    </w:p>
  </w:footnote>
  <w:footnote w:id="6">
    <w:p w14:paraId="06CFC338">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highlight w:val="white"/>
        </w:rPr>
        <w:t>正文</w:t>
      </w:r>
      <w:r>
        <w:rPr>
          <w:rFonts w:ascii="宋体" w:hAnsi="宋体"/>
          <w:sz w:val="18"/>
          <w:szCs w:val="18"/>
          <w:highlight w:val="white"/>
        </w:rPr>
        <w:t>内容不得修改</w:t>
      </w:r>
      <w:r>
        <w:rPr>
          <w:rFonts w:hint="eastAsia" w:ascii="宋体" w:hAnsi="宋体"/>
          <w:sz w:val="18"/>
          <w:szCs w:val="18"/>
        </w:rPr>
        <w:t>。</w:t>
      </w:r>
    </w:p>
  </w:footnote>
  <w:footnote w:id="7">
    <w:p w14:paraId="5E1A6EDB">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highlight w:val="white"/>
        </w:rPr>
        <w:t>为减少评标阶段对投标报价进行修正的工作量，建议招标人在出售招标文件时，同时提供“工程量固化清单”，清单的数据、格式及运算定义应保证投标人无法修改。投标人只需填写各子目单价或总额价，即可自动生成投标报价。</w:t>
      </w:r>
    </w:p>
  </w:footnote>
  <w:footnote w:id="8">
    <w:p w14:paraId="36F87FF2">
      <w:pPr>
        <w:pStyle w:val="19"/>
      </w:pPr>
      <w:r>
        <w:rPr>
          <w:rStyle w:val="32"/>
        </w:rPr>
        <w:footnoteRef/>
      </w:r>
      <w:r>
        <w:t xml:space="preserve"> </w:t>
      </w:r>
      <w:r>
        <w:rPr>
          <w:rFonts w:hint="eastAsia" w:ascii="宋体" w:hAnsi="宋体"/>
        </w:rPr>
        <w:t>下浮系数从</w:t>
      </w:r>
      <w:r>
        <w:rPr>
          <w:rFonts w:ascii="宋体" w:hAnsi="宋体"/>
        </w:rPr>
        <w:t>0.5</w:t>
      </w:r>
      <w:r>
        <w:rPr>
          <w:rFonts w:hint="eastAsia" w:ascii="宋体" w:hAnsi="宋体"/>
        </w:rPr>
        <w:t>、1、1</w:t>
      </w:r>
      <w:r>
        <w:rPr>
          <w:rFonts w:ascii="宋体" w:hAnsi="宋体"/>
        </w:rPr>
        <w:t>.5</w:t>
      </w:r>
      <w:r>
        <w:rPr>
          <w:rFonts w:hint="eastAsia" w:ascii="宋体" w:hAnsi="宋体"/>
        </w:rPr>
        <w:t>、2、2</w:t>
      </w:r>
      <w:r>
        <w:rPr>
          <w:rFonts w:ascii="宋体" w:hAnsi="宋体"/>
        </w:rPr>
        <w:t>.5</w:t>
      </w:r>
      <w:r>
        <w:rPr>
          <w:rFonts w:hint="eastAsia" w:ascii="宋体" w:hAnsi="宋体"/>
        </w:rPr>
        <w:t>、3、3</w:t>
      </w:r>
      <w:r>
        <w:rPr>
          <w:rFonts w:ascii="宋体" w:hAnsi="宋体"/>
        </w:rPr>
        <w:t>.5</w:t>
      </w:r>
      <w:r>
        <w:rPr>
          <w:rFonts w:hint="eastAsia" w:ascii="宋体" w:hAnsi="宋体"/>
        </w:rPr>
        <w:t>、4、4</w:t>
      </w:r>
      <w:r>
        <w:rPr>
          <w:rFonts w:ascii="宋体" w:hAnsi="宋体"/>
        </w:rPr>
        <w:t>.5</w:t>
      </w:r>
      <w:r>
        <w:rPr>
          <w:rFonts w:hint="eastAsia" w:ascii="宋体" w:hAnsi="宋体"/>
        </w:rPr>
        <w:t>、5十个值中视项目情况取三个连续值，并在招标文件中明确。</w:t>
      </w:r>
    </w:p>
  </w:footnote>
  <w:footnote w:id="9">
    <w:p w14:paraId="0AB22EB7">
      <w:pPr>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rPr>
        <w:t>本说明供招标人编制招标文件时参考，在招标文件中可不引用。</w:t>
      </w:r>
    </w:p>
  </w:footnote>
  <w:footnote w:id="10">
    <w:p w14:paraId="2F98B5E7">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rPr>
        <w:t>本条内容可修改为：</w:t>
      </w:r>
      <w:r>
        <w:rPr>
          <w:sz w:val="18"/>
          <w:szCs w:val="18"/>
        </w:rPr>
        <w:t>“本担保自（生效日期）之日起生效，至（失效日期）之日失效。”如发包人接受履约保函采用固定有效期，在项目专用合同条款中应增加保证承包人在履约保函失效日前向发包人出具后续阶段履约保函的约束性条款，直至发包人签发交工验收证书且承包人按照合同约定缴纳质量保证金之日为止。</w:t>
      </w:r>
    </w:p>
  </w:footnote>
  <w:footnote w:id="11">
    <w:p w14:paraId="7673809A">
      <w:pPr>
        <w:pStyle w:val="54"/>
        <w:spacing w:line="440" w:lineRule="exact"/>
        <w:rPr>
          <w:rFonts w:ascii="宋体" w:hAnsi="宋体" w:eastAsia="宋体"/>
          <w:sz w:val="18"/>
          <w:szCs w:val="18"/>
        </w:rPr>
      </w:pPr>
      <w:r>
        <w:rPr>
          <w:rFonts w:ascii="宋体" w:hAnsi="宋体"/>
          <w:sz w:val="18"/>
          <w:szCs w:val="18"/>
        </w:rPr>
        <w:footnoteRef/>
      </w:r>
      <w:r>
        <w:rPr>
          <w:rFonts w:hint="eastAsia" w:ascii="宋体" w:hAnsi="宋体"/>
          <w:sz w:val="18"/>
          <w:szCs w:val="18"/>
        </w:rPr>
        <w:t>如果由投标人的法定代表人签署投标文件，则不需提交授权委托</w:t>
      </w:r>
      <w:r>
        <w:rPr>
          <w:rFonts w:hint="eastAsia" w:ascii="宋体" w:hAnsi="宋体" w:eastAsia="宋体"/>
          <w:sz w:val="18"/>
          <w:szCs w:val="18"/>
        </w:rPr>
        <w:t>书。</w:t>
      </w:r>
    </w:p>
    <w:p w14:paraId="52811C43">
      <w:pPr>
        <w:pStyle w:val="7"/>
        <w:spacing w:line="300" w:lineRule="exact"/>
        <w:ind w:left="180" w:hanging="180" w:hangingChars="100"/>
        <w:rPr>
          <w:rFonts w:ascii="宋体" w:hAnsi="宋体"/>
          <w:sz w:val="18"/>
          <w:szCs w:val="18"/>
        </w:rPr>
      </w:pPr>
    </w:p>
  </w:footnote>
  <w:footnote w:id="12">
    <w:p w14:paraId="312FEB7C">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rPr>
        <w:t>投标人可根据自身情况决定提供银行信贷证明或财务能力承诺书。</w:t>
      </w:r>
    </w:p>
  </w:footnote>
  <w:footnote w:id="13">
    <w:p w14:paraId="4E73D57A">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rPr>
        <w:t>投标人可根据自身情况决定提供银行信贷证明或财务能力承诺书。</w:t>
      </w:r>
    </w:p>
  </w:footnote>
  <w:footnote w:id="14">
    <w:p w14:paraId="3CC532A7">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rPr>
        <w:t>投标人可根据自身情况决定提供银行信贷证明或财务能力承诺书。</w:t>
      </w:r>
    </w:p>
  </w:footnote>
  <w:footnote w:id="15">
    <w:p w14:paraId="52003920">
      <w:pPr>
        <w:pStyle w:val="7"/>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rPr>
        <w:t>本表中要求应与评标办法中信誉扣分内容相对应。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873C6">
    <w:pPr>
      <w:wordWrap w:val="0"/>
      <w:jc w:val="right"/>
      <w:rPr>
        <w:rFonts w:ascii="黑体" w:eastAsia="黑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417D3">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739ED">
    <w:pPr>
      <w:pStyle w:val="7"/>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B701F8"/>
    <w:multiLevelType w:val="singleLevel"/>
    <w:tmpl w:val="95B701F8"/>
    <w:lvl w:ilvl="0" w:tentative="0">
      <w:start w:val="1"/>
      <w:numFmt w:val="decimal"/>
      <w:suff w:val="nothing"/>
      <w:lvlText w:val="%1．"/>
      <w:lvlJc w:val="left"/>
    </w:lvl>
  </w:abstractNum>
  <w:abstractNum w:abstractNumId="1">
    <w:nsid w:val="CC3DDDE0"/>
    <w:multiLevelType w:val="singleLevel"/>
    <w:tmpl w:val="CC3DDDE0"/>
    <w:lvl w:ilvl="0" w:tentative="0">
      <w:start w:val="1"/>
      <w:numFmt w:val="chineseCounting"/>
      <w:suff w:val="nothing"/>
      <w:lvlText w:val="%1、"/>
      <w:lvlJc w:val="left"/>
      <w:rPr>
        <w:rFonts w:hint="eastAsia"/>
      </w:rPr>
    </w:lvl>
  </w:abstractNum>
  <w:abstractNum w:abstractNumId="2">
    <w:nsid w:val="D9DA9BBF"/>
    <w:multiLevelType w:val="singleLevel"/>
    <w:tmpl w:val="D9DA9BBF"/>
    <w:lvl w:ilvl="0" w:tentative="0">
      <w:start w:val="3"/>
      <w:numFmt w:val="decimal"/>
      <w:suff w:val="nothing"/>
      <w:lvlText w:val="（%1）"/>
      <w:lvlJc w:val="left"/>
    </w:lvl>
  </w:abstractNum>
  <w:abstractNum w:abstractNumId="3">
    <w:nsid w:val="32B28044"/>
    <w:multiLevelType w:val="singleLevel"/>
    <w:tmpl w:val="32B28044"/>
    <w:lvl w:ilvl="0" w:tentative="0">
      <w:start w:val="1"/>
      <w:numFmt w:val="decimal"/>
      <w:lvlText w:val="%1."/>
      <w:lvlJc w:val="left"/>
      <w:pPr>
        <w:tabs>
          <w:tab w:val="left" w:pos="312"/>
        </w:tabs>
      </w:pPr>
    </w:lvl>
  </w:abstractNum>
  <w:abstractNum w:abstractNumId="4">
    <w:nsid w:val="336E8E08"/>
    <w:multiLevelType w:val="singleLevel"/>
    <w:tmpl w:val="336E8E08"/>
    <w:lvl w:ilvl="0" w:tentative="0">
      <w:start w:val="2"/>
      <w:numFmt w:val="decimal"/>
      <w:suff w:val="nothing"/>
      <w:lvlText w:val="（%1）"/>
      <w:lvlJc w:val="left"/>
    </w:lvl>
  </w:abstractNum>
  <w:abstractNum w:abstractNumId="5">
    <w:nsid w:val="356793DD"/>
    <w:multiLevelType w:val="singleLevel"/>
    <w:tmpl w:val="356793DD"/>
    <w:lvl w:ilvl="0" w:tentative="0">
      <w:start w:val="9"/>
      <w:numFmt w:val="decimal"/>
      <w:suff w:val="nothing"/>
      <w:lvlText w:val="（%1）"/>
      <w:lvlJc w:val="left"/>
    </w:lvl>
  </w:abstractNum>
  <w:abstractNum w:abstractNumId="6">
    <w:nsid w:val="7BB05562"/>
    <w:multiLevelType w:val="singleLevel"/>
    <w:tmpl w:val="7BB05562"/>
    <w:lvl w:ilvl="0" w:tentative="0">
      <w:start w:val="2"/>
      <w:numFmt w:val="decimal"/>
      <w:suff w:val="nothing"/>
      <w:lvlText w:val="（%1）"/>
      <w:lvlJc w:val="left"/>
    </w:lvl>
  </w:abstractNum>
  <w:abstractNum w:abstractNumId="7">
    <w:nsid w:val="7C791007"/>
    <w:multiLevelType w:val="singleLevel"/>
    <w:tmpl w:val="7C791007"/>
    <w:lvl w:ilvl="0" w:tentative="0">
      <w:start w:val="1"/>
      <w:numFmt w:val="decimal"/>
      <w:suff w:val="nothing"/>
      <w:lvlText w:val="%1．"/>
      <w:lvlJc w:val="left"/>
    </w:lvl>
  </w:abstractNum>
  <w:num w:numId="1">
    <w:abstractNumId w:val="6"/>
  </w:num>
  <w:num w:numId="2">
    <w:abstractNumId w:val="4"/>
  </w:num>
  <w:num w:numId="3">
    <w:abstractNumId w:val="3"/>
  </w:num>
  <w:num w:numId="4">
    <w:abstractNumId w:val="0"/>
  </w:num>
  <w:num w:numId="5">
    <w:abstractNumId w:val="2"/>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32"/>
    <w:footnote w:id="33"/>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NhMTJiMjJmNmZhZDU0MmYwZTUzNjAwMWY2NWE0MmYifQ=="/>
  </w:docVars>
  <w:rsids>
    <w:rsidRoot w:val="328D257B"/>
    <w:rsid w:val="000048AB"/>
    <w:rsid w:val="00031167"/>
    <w:rsid w:val="00087C33"/>
    <w:rsid w:val="005F65CD"/>
    <w:rsid w:val="007A317C"/>
    <w:rsid w:val="00E26A84"/>
    <w:rsid w:val="02DD6A95"/>
    <w:rsid w:val="03C4339C"/>
    <w:rsid w:val="03C84ABE"/>
    <w:rsid w:val="03CC232A"/>
    <w:rsid w:val="04177433"/>
    <w:rsid w:val="041D6EFA"/>
    <w:rsid w:val="05485A8D"/>
    <w:rsid w:val="05C313B8"/>
    <w:rsid w:val="0727750D"/>
    <w:rsid w:val="08177D0F"/>
    <w:rsid w:val="08872CA7"/>
    <w:rsid w:val="08894960"/>
    <w:rsid w:val="09491733"/>
    <w:rsid w:val="0A6E38B4"/>
    <w:rsid w:val="0A7839C9"/>
    <w:rsid w:val="0AFA0737"/>
    <w:rsid w:val="0AFB13E2"/>
    <w:rsid w:val="0B8B28A0"/>
    <w:rsid w:val="0E054D8B"/>
    <w:rsid w:val="0F9C6EF5"/>
    <w:rsid w:val="0FAF63D2"/>
    <w:rsid w:val="100B3380"/>
    <w:rsid w:val="119B4F8B"/>
    <w:rsid w:val="129D6003"/>
    <w:rsid w:val="133850E5"/>
    <w:rsid w:val="134C0770"/>
    <w:rsid w:val="136813C7"/>
    <w:rsid w:val="13D14B20"/>
    <w:rsid w:val="15247E4E"/>
    <w:rsid w:val="157973C8"/>
    <w:rsid w:val="157E70AA"/>
    <w:rsid w:val="160814E6"/>
    <w:rsid w:val="165752E8"/>
    <w:rsid w:val="16D04121"/>
    <w:rsid w:val="18055854"/>
    <w:rsid w:val="18A94431"/>
    <w:rsid w:val="19EA5264"/>
    <w:rsid w:val="1B0950DB"/>
    <w:rsid w:val="1BB72236"/>
    <w:rsid w:val="1BFD1AD8"/>
    <w:rsid w:val="1D107D21"/>
    <w:rsid w:val="1D7A397B"/>
    <w:rsid w:val="1DAB70A3"/>
    <w:rsid w:val="1EB83620"/>
    <w:rsid w:val="1F1253E8"/>
    <w:rsid w:val="1F3B0E25"/>
    <w:rsid w:val="1F794453"/>
    <w:rsid w:val="1FB0464C"/>
    <w:rsid w:val="1FB079E0"/>
    <w:rsid w:val="1FE246BF"/>
    <w:rsid w:val="20246AF4"/>
    <w:rsid w:val="202508DE"/>
    <w:rsid w:val="205845F5"/>
    <w:rsid w:val="207C3941"/>
    <w:rsid w:val="21622089"/>
    <w:rsid w:val="218617B3"/>
    <w:rsid w:val="21A72076"/>
    <w:rsid w:val="21E85398"/>
    <w:rsid w:val="222B6588"/>
    <w:rsid w:val="23D6458E"/>
    <w:rsid w:val="246A5F00"/>
    <w:rsid w:val="252B3940"/>
    <w:rsid w:val="26000619"/>
    <w:rsid w:val="26A06E73"/>
    <w:rsid w:val="270D56D7"/>
    <w:rsid w:val="271A4CC2"/>
    <w:rsid w:val="27492C50"/>
    <w:rsid w:val="27F03962"/>
    <w:rsid w:val="283D06F2"/>
    <w:rsid w:val="28ED20FC"/>
    <w:rsid w:val="2AAF0AD6"/>
    <w:rsid w:val="2B9B22FF"/>
    <w:rsid w:val="2BAD2657"/>
    <w:rsid w:val="2BAE70B9"/>
    <w:rsid w:val="2C276767"/>
    <w:rsid w:val="2C4A27FC"/>
    <w:rsid w:val="2CDE24A4"/>
    <w:rsid w:val="2CE91423"/>
    <w:rsid w:val="2D5D5812"/>
    <w:rsid w:val="2DD240A1"/>
    <w:rsid w:val="2E1D524D"/>
    <w:rsid w:val="2E660AC2"/>
    <w:rsid w:val="2EBC6626"/>
    <w:rsid w:val="2F9D4A13"/>
    <w:rsid w:val="300F506A"/>
    <w:rsid w:val="328D257B"/>
    <w:rsid w:val="32982EC0"/>
    <w:rsid w:val="332859EC"/>
    <w:rsid w:val="33E275BE"/>
    <w:rsid w:val="3421573F"/>
    <w:rsid w:val="34586FDF"/>
    <w:rsid w:val="348D4E7F"/>
    <w:rsid w:val="348F7F98"/>
    <w:rsid w:val="3557062C"/>
    <w:rsid w:val="35885E60"/>
    <w:rsid w:val="35D01404"/>
    <w:rsid w:val="3622239D"/>
    <w:rsid w:val="363F4DD5"/>
    <w:rsid w:val="38D33EE8"/>
    <w:rsid w:val="3922368E"/>
    <w:rsid w:val="39900B2C"/>
    <w:rsid w:val="39B96B34"/>
    <w:rsid w:val="39EA5D01"/>
    <w:rsid w:val="3A7E20A6"/>
    <w:rsid w:val="3ABA568E"/>
    <w:rsid w:val="3CEB21BC"/>
    <w:rsid w:val="3D8E6ECB"/>
    <w:rsid w:val="3DCB22C1"/>
    <w:rsid w:val="3E0637D7"/>
    <w:rsid w:val="3F711DC9"/>
    <w:rsid w:val="3FEC4A80"/>
    <w:rsid w:val="401F6C03"/>
    <w:rsid w:val="40330901"/>
    <w:rsid w:val="40340977"/>
    <w:rsid w:val="40F8231A"/>
    <w:rsid w:val="41146C59"/>
    <w:rsid w:val="433E2588"/>
    <w:rsid w:val="44353DB1"/>
    <w:rsid w:val="44804256"/>
    <w:rsid w:val="476F7E82"/>
    <w:rsid w:val="47E66258"/>
    <w:rsid w:val="47F16927"/>
    <w:rsid w:val="486F3408"/>
    <w:rsid w:val="494A53B1"/>
    <w:rsid w:val="494A7DC7"/>
    <w:rsid w:val="4A926D13"/>
    <w:rsid w:val="4B445AA2"/>
    <w:rsid w:val="4B941C34"/>
    <w:rsid w:val="4BB71055"/>
    <w:rsid w:val="4CCF2EA4"/>
    <w:rsid w:val="4D892EE4"/>
    <w:rsid w:val="4DE72F2C"/>
    <w:rsid w:val="4DFC0CA2"/>
    <w:rsid w:val="4F5A7C58"/>
    <w:rsid w:val="51275918"/>
    <w:rsid w:val="5203014F"/>
    <w:rsid w:val="528630D9"/>
    <w:rsid w:val="53B96FEB"/>
    <w:rsid w:val="53FB43CC"/>
    <w:rsid w:val="55EB09BA"/>
    <w:rsid w:val="5A490A01"/>
    <w:rsid w:val="5C3E53E6"/>
    <w:rsid w:val="5C461A3B"/>
    <w:rsid w:val="5C835AC0"/>
    <w:rsid w:val="5CFB50F1"/>
    <w:rsid w:val="5D9B5A9B"/>
    <w:rsid w:val="5D9D73E7"/>
    <w:rsid w:val="5DD16263"/>
    <w:rsid w:val="5DF4767B"/>
    <w:rsid w:val="5DFE03DE"/>
    <w:rsid w:val="5E440206"/>
    <w:rsid w:val="5EAA7807"/>
    <w:rsid w:val="5EC27D07"/>
    <w:rsid w:val="60345DE4"/>
    <w:rsid w:val="60BC3F3D"/>
    <w:rsid w:val="625663EC"/>
    <w:rsid w:val="628506F0"/>
    <w:rsid w:val="63030933"/>
    <w:rsid w:val="63365FCF"/>
    <w:rsid w:val="63D143A1"/>
    <w:rsid w:val="641C32D6"/>
    <w:rsid w:val="649B244D"/>
    <w:rsid w:val="677E0D82"/>
    <w:rsid w:val="68571D03"/>
    <w:rsid w:val="68E94774"/>
    <w:rsid w:val="68FF0E6F"/>
    <w:rsid w:val="69205616"/>
    <w:rsid w:val="69476CCE"/>
    <w:rsid w:val="694C3C73"/>
    <w:rsid w:val="69DA7573"/>
    <w:rsid w:val="6B960D05"/>
    <w:rsid w:val="6BD04E24"/>
    <w:rsid w:val="6CF05836"/>
    <w:rsid w:val="6D2200D5"/>
    <w:rsid w:val="6D5533B5"/>
    <w:rsid w:val="6DA94728"/>
    <w:rsid w:val="6DFE3C18"/>
    <w:rsid w:val="6E0C4F03"/>
    <w:rsid w:val="6E5D498A"/>
    <w:rsid w:val="6E7F4BD2"/>
    <w:rsid w:val="6EE25D4D"/>
    <w:rsid w:val="7033091B"/>
    <w:rsid w:val="707149AA"/>
    <w:rsid w:val="709F6BAD"/>
    <w:rsid w:val="720D1255"/>
    <w:rsid w:val="72DC7D9A"/>
    <w:rsid w:val="72E26355"/>
    <w:rsid w:val="73520D40"/>
    <w:rsid w:val="73E3466C"/>
    <w:rsid w:val="73FE3DE4"/>
    <w:rsid w:val="741E50CF"/>
    <w:rsid w:val="74237D69"/>
    <w:rsid w:val="74EE4E46"/>
    <w:rsid w:val="75EB4A9B"/>
    <w:rsid w:val="7657238B"/>
    <w:rsid w:val="76AF46F2"/>
    <w:rsid w:val="77616CC7"/>
    <w:rsid w:val="779052AB"/>
    <w:rsid w:val="7A795743"/>
    <w:rsid w:val="7B030D34"/>
    <w:rsid w:val="7B126AE0"/>
    <w:rsid w:val="7C583E02"/>
    <w:rsid w:val="7D807847"/>
    <w:rsid w:val="7E0E3838"/>
    <w:rsid w:val="7E2C0692"/>
    <w:rsid w:val="7EAC17DC"/>
    <w:rsid w:val="7F8A5140"/>
    <w:rsid w:val="7F967F05"/>
    <w:rsid w:val="7FAA3190"/>
    <w:rsid w:val="7FB309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paragraph" w:styleId="5">
    <w:name w:val="heading 3"/>
    <w:basedOn w:val="1"/>
    <w:next w:val="1"/>
    <w:qFormat/>
    <w:uiPriority w:val="0"/>
    <w:pPr>
      <w:keepNext/>
      <w:keepLines/>
      <w:spacing w:line="360" w:lineRule="auto"/>
      <w:outlineLvl w:val="2"/>
    </w:pPr>
    <w:rPr>
      <w:b/>
      <w:bCs/>
      <w:sz w:val="24"/>
      <w:szCs w:val="32"/>
    </w:rPr>
  </w:style>
  <w:style w:type="paragraph" w:styleId="6">
    <w:name w:val="heading 4"/>
    <w:basedOn w:val="7"/>
    <w:next w:val="7"/>
    <w:qFormat/>
    <w:uiPriority w:val="0"/>
    <w:pPr>
      <w:keepNext/>
      <w:keepLines/>
      <w:spacing w:line="360" w:lineRule="auto"/>
      <w:outlineLvl w:val="3"/>
    </w:pPr>
    <w:rPr>
      <w:rFonts w:ascii="Arial" w:hAnsi="Arial"/>
      <w:b/>
      <w:bCs/>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framePr w:hSpace="180" w:wrap="around" w:vAnchor="page" w:hAnchor="margin" w:y="3702"/>
      <w:spacing w:beforeLines="50" w:afterLines="50"/>
    </w:pPr>
    <w:rPr>
      <w:rFonts w:ascii="宋体"/>
      <w:szCs w:val="21"/>
    </w:rPr>
  </w:style>
  <w:style w:type="paragraph" w:customStyle="1" w:styleId="7">
    <w:name w:val="正文_0"/>
    <w:basedOn w:val="8"/>
    <w:qFormat/>
    <w:uiPriority w:val="0"/>
    <w:pPr>
      <w:widowControl w:val="0"/>
      <w:jc w:val="both"/>
    </w:pPr>
    <w:rPr>
      <w:kern w:val="2"/>
      <w:sz w:val="21"/>
      <w:szCs w:val="22"/>
    </w:rPr>
  </w:style>
  <w:style w:type="paragraph" w:customStyle="1" w:styleId="8">
    <w:name w:val="正文_1"/>
    <w:basedOn w:val="9"/>
    <w:qFormat/>
    <w:uiPriority w:val="0"/>
  </w:style>
  <w:style w:type="paragraph" w:customStyle="1" w:styleId="9">
    <w:name w:val="正文_2"/>
    <w:basedOn w:val="10"/>
    <w:qFormat/>
    <w:uiPriority w:val="0"/>
  </w:style>
  <w:style w:type="paragraph" w:customStyle="1" w:styleId="10">
    <w:name w:val="正文_3"/>
    <w:qFormat/>
    <w:uiPriority w:val="0"/>
    <w:pPr>
      <w:widowControl w:val="0"/>
      <w:jc w:val="both"/>
    </w:pPr>
    <w:rPr>
      <w:rFonts w:ascii="Calibri" w:hAnsi="Calibri" w:eastAsia="宋体" w:cs="Times New Roman"/>
      <w:kern w:val="2"/>
      <w:sz w:val="21"/>
      <w:szCs w:val="22"/>
      <w:lang w:val="en-US" w:eastAsia="zh-CN" w:bidi="ar-SA"/>
    </w:rPr>
  </w:style>
  <w:style w:type="paragraph" w:styleId="11">
    <w:name w:val="Normal Indent"/>
    <w:basedOn w:val="1"/>
    <w:next w:val="12"/>
    <w:qFormat/>
    <w:uiPriority w:val="0"/>
    <w:pPr>
      <w:widowControl/>
      <w:ind w:firstLine="420"/>
      <w:jc w:val="left"/>
    </w:pPr>
    <w:rPr>
      <w:kern w:val="0"/>
      <w:sz w:val="24"/>
      <w:szCs w:val="20"/>
    </w:rPr>
  </w:style>
  <w:style w:type="paragraph" w:styleId="12">
    <w:name w:val="Body Text Indent"/>
    <w:basedOn w:val="1"/>
    <w:next w:val="11"/>
    <w:qFormat/>
    <w:uiPriority w:val="0"/>
    <w:pPr>
      <w:widowControl/>
      <w:tabs>
        <w:tab w:val="left" w:pos="0"/>
        <w:tab w:val="left" w:pos="993"/>
        <w:tab w:val="left" w:pos="1134"/>
      </w:tabs>
      <w:spacing w:line="500" w:lineRule="exact"/>
      <w:ind w:firstLine="567"/>
    </w:pPr>
    <w:rPr>
      <w:rFonts w:ascii="宋体"/>
      <w:kern w:val="0"/>
      <w:sz w:val="28"/>
      <w:szCs w:val="20"/>
    </w:rPr>
  </w:style>
  <w:style w:type="paragraph" w:styleId="13">
    <w:name w:val="annotation text"/>
    <w:basedOn w:val="1"/>
    <w:unhideWhenUsed/>
    <w:qFormat/>
    <w:uiPriority w:val="99"/>
    <w:pPr>
      <w:autoSpaceDE w:val="0"/>
      <w:autoSpaceDN w:val="0"/>
      <w:adjustRightInd w:val="0"/>
      <w:jc w:val="left"/>
    </w:pPr>
    <w:rPr>
      <w:kern w:val="0"/>
      <w:sz w:val="24"/>
      <w:szCs w:val="24"/>
    </w:rPr>
  </w:style>
  <w:style w:type="paragraph" w:styleId="14">
    <w:name w:val="toc 3"/>
    <w:basedOn w:val="7"/>
    <w:next w:val="7"/>
    <w:qFormat/>
    <w:uiPriority w:val="39"/>
    <w:pPr>
      <w:tabs>
        <w:tab w:val="right" w:leader="dot" w:pos="9174"/>
      </w:tabs>
      <w:ind w:left="840" w:leftChars="400"/>
    </w:p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tabs>
        <w:tab w:val="right" w:leader="dot" w:pos="9174"/>
      </w:tabs>
      <w:jc w:val="center"/>
    </w:pPr>
  </w:style>
  <w:style w:type="paragraph" w:styleId="18">
    <w:name w:val="toc 4"/>
    <w:basedOn w:val="7"/>
    <w:next w:val="7"/>
    <w:qFormat/>
    <w:uiPriority w:val="39"/>
    <w:pPr>
      <w:ind w:left="1260" w:leftChars="600"/>
    </w:pPr>
  </w:style>
  <w:style w:type="paragraph" w:styleId="19">
    <w:name w:val="footnote text"/>
    <w:basedOn w:val="1"/>
    <w:semiHidden/>
    <w:qFormat/>
    <w:uiPriority w:val="0"/>
    <w:pPr>
      <w:snapToGrid w:val="0"/>
      <w:jc w:val="left"/>
    </w:pPr>
    <w:rPr>
      <w:sz w:val="18"/>
      <w:szCs w:val="18"/>
    </w:rPr>
  </w:style>
  <w:style w:type="paragraph" w:styleId="20">
    <w:name w:val="toc 6"/>
    <w:basedOn w:val="1"/>
    <w:next w:val="1"/>
    <w:qFormat/>
    <w:uiPriority w:val="39"/>
    <w:pPr>
      <w:ind w:left="2100" w:leftChars="1000"/>
    </w:pPr>
  </w:style>
  <w:style w:type="paragraph" w:styleId="21">
    <w:name w:val="toc 2"/>
    <w:basedOn w:val="7"/>
    <w:next w:val="7"/>
    <w:qFormat/>
    <w:uiPriority w:val="39"/>
    <w:pPr>
      <w:tabs>
        <w:tab w:val="right" w:leader="dot" w:pos="9174"/>
      </w:tabs>
      <w:ind w:left="420" w:leftChars="200"/>
    </w:pPr>
  </w:style>
  <w:style w:type="paragraph" w:styleId="22">
    <w:name w:val="Body Text 2"/>
    <w:basedOn w:val="1"/>
    <w:qFormat/>
    <w:uiPriority w:val="0"/>
    <w:pPr>
      <w:spacing w:after="120" w:line="480" w:lineRule="auto"/>
    </w:pPr>
  </w:style>
  <w:style w:type="paragraph" w:styleId="23">
    <w:name w:val="Normal (Web)"/>
    <w:basedOn w:val="1"/>
    <w:unhideWhenUsed/>
    <w:qFormat/>
    <w:uiPriority w:val="99"/>
    <w:pPr>
      <w:spacing w:before="100" w:beforeAutospacing="1" w:after="100" w:afterAutospacing="1"/>
      <w:jc w:val="left"/>
    </w:pPr>
    <w:rPr>
      <w:kern w:val="0"/>
      <w:sz w:val="24"/>
    </w:rPr>
  </w:style>
  <w:style w:type="paragraph" w:styleId="24">
    <w:name w:val="Title"/>
    <w:basedOn w:val="1"/>
    <w:next w:val="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25">
    <w:name w:val="Body Text First Indent"/>
    <w:basedOn w:val="2"/>
    <w:next w:val="20"/>
    <w:qFormat/>
    <w:uiPriority w:val="0"/>
    <w:pPr>
      <w:framePr w:wrap="around"/>
      <w:ind w:firstLine="420" w:firstLineChars="100"/>
    </w:pPr>
    <w:rPr>
      <w:rFonts w:ascii="Times New Roman"/>
    </w:rPr>
  </w:style>
  <w:style w:type="paragraph" w:styleId="26">
    <w:name w:val="Body Text First Indent 2"/>
    <w:basedOn w:val="12"/>
    <w:next w:val="27"/>
    <w:qFormat/>
    <w:uiPriority w:val="0"/>
    <w:rPr>
      <w:rFonts w:ascii="Times New Roman"/>
      <w:szCs w:val="24"/>
    </w:rPr>
  </w:style>
  <w:style w:type="paragraph" w:customStyle="1" w:styleId="27">
    <w:name w:val="xl53"/>
    <w:basedOn w:val="1"/>
    <w:next w:val="1"/>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Emphasis"/>
    <w:basedOn w:val="30"/>
    <w:qFormat/>
    <w:uiPriority w:val="0"/>
    <w:rPr>
      <w:i/>
    </w:rPr>
  </w:style>
  <w:style w:type="character" w:styleId="32">
    <w:name w:val="footnote reference"/>
    <w:semiHidden/>
    <w:qFormat/>
    <w:uiPriority w:val="0"/>
    <w:rPr>
      <w:vertAlign w:val="superscript"/>
    </w:rPr>
  </w:style>
  <w:style w:type="paragraph" w:customStyle="1" w:styleId="33">
    <w:name w:val="正文1"/>
    <w:qFormat/>
    <w:uiPriority w:val="0"/>
    <w:rPr>
      <w:rFonts w:ascii="Times New Roman" w:hAnsi="Times New Roman" w:eastAsia="Times New Roman" w:cs="Times New Roman"/>
      <w:sz w:val="24"/>
      <w:szCs w:val="24"/>
      <w:lang w:val="en-US" w:eastAsia="zh-CN" w:bidi="ar-SA"/>
    </w:rPr>
  </w:style>
  <w:style w:type="paragraph" w:customStyle="1" w:styleId="3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36">
    <w:name w:val="标题 1_0"/>
    <w:basedOn w:val="7"/>
    <w:next w:val="7"/>
    <w:qFormat/>
    <w:uiPriority w:val="9"/>
    <w:pPr>
      <w:keepNext/>
      <w:keepLines/>
      <w:spacing w:before="340" w:after="330" w:line="578" w:lineRule="auto"/>
      <w:outlineLvl w:val="0"/>
    </w:pPr>
    <w:rPr>
      <w:b/>
      <w:bCs/>
      <w:kern w:val="44"/>
      <w:sz w:val="44"/>
      <w:szCs w:val="44"/>
    </w:rPr>
  </w:style>
  <w:style w:type="paragraph" w:customStyle="1" w:styleId="37">
    <w:name w:val="标题 3_0"/>
    <w:basedOn w:val="7"/>
    <w:next w:val="7"/>
    <w:qFormat/>
    <w:uiPriority w:val="9"/>
    <w:pPr>
      <w:keepNext/>
      <w:keepLines/>
      <w:spacing w:before="260" w:after="260" w:line="416" w:lineRule="auto"/>
      <w:outlineLvl w:val="2"/>
    </w:pPr>
    <w:rPr>
      <w:b/>
      <w:bCs/>
      <w:kern w:val="0"/>
      <w:sz w:val="32"/>
      <w:szCs w:val="32"/>
    </w:rPr>
  </w:style>
  <w:style w:type="character" w:customStyle="1" w:styleId="38">
    <w:name w:val="zbggmain style9"/>
    <w:basedOn w:val="30"/>
    <w:qFormat/>
    <w:uiPriority w:val="0"/>
    <w:rPr>
      <w:rFonts w:ascii="Times New Roman" w:hAnsi="Times New Roman"/>
    </w:rPr>
  </w:style>
  <w:style w:type="paragraph" w:customStyle="1" w:styleId="39">
    <w:name w:val="表格文字"/>
    <w:basedOn w:val="1"/>
    <w:qFormat/>
    <w:uiPriority w:val="0"/>
    <w:pPr>
      <w:adjustRightInd w:val="0"/>
      <w:spacing w:line="360" w:lineRule="atLeast"/>
      <w:textAlignment w:val="baseline"/>
    </w:pPr>
    <w:rPr>
      <w:rFonts w:ascii="宋体" w:hAnsi="宋体"/>
      <w:kern w:val="0"/>
      <w:szCs w:val="36"/>
    </w:rPr>
  </w:style>
  <w:style w:type="paragraph" w:customStyle="1" w:styleId="40">
    <w:name w:val="标题 2_0"/>
    <w:basedOn w:val="7"/>
    <w:next w:val="7"/>
    <w:qFormat/>
    <w:uiPriority w:val="9"/>
    <w:pPr>
      <w:keepNext/>
      <w:keepLines/>
      <w:spacing w:before="260" w:after="260" w:line="416" w:lineRule="auto"/>
      <w:outlineLvl w:val="1"/>
    </w:pPr>
    <w:rPr>
      <w:rFonts w:ascii="Calibri Light" w:hAnsi="Calibri Light"/>
      <w:b/>
      <w:bCs/>
      <w:kern w:val="0"/>
      <w:sz w:val="32"/>
      <w:szCs w:val="32"/>
    </w:rPr>
  </w:style>
  <w:style w:type="paragraph" w:customStyle="1" w:styleId="41">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标题 2_0_0"/>
    <w:basedOn w:val="43"/>
    <w:next w:val="43"/>
    <w:qFormat/>
    <w:uiPriority w:val="0"/>
    <w:pPr>
      <w:keepNext/>
      <w:keepLines/>
      <w:spacing w:before="260" w:after="260" w:line="416" w:lineRule="auto"/>
      <w:outlineLvl w:val="1"/>
    </w:pPr>
    <w:rPr>
      <w:rFonts w:ascii="Arial" w:hAnsi="Arial" w:eastAsia="黑体"/>
      <w:b/>
      <w:bCs/>
      <w:sz w:val="32"/>
      <w:szCs w:val="32"/>
      <w:lang w:val="zh-CN"/>
    </w:rPr>
  </w:style>
  <w:style w:type="paragraph" w:customStyle="1" w:styleId="43">
    <w:name w:val="正文_0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
    <w:name w:val="正文_0_0"/>
    <w:basedOn w:val="8"/>
    <w:qFormat/>
    <w:uiPriority w:val="0"/>
  </w:style>
  <w:style w:type="paragraph" w:customStyle="1" w:styleId="45">
    <w:name w:val="正文_0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
    <w:name w:val="CM3"/>
    <w:basedOn w:val="47"/>
    <w:qFormat/>
    <w:uiPriority w:val="0"/>
    <w:pPr>
      <w:spacing w:line="580" w:lineRule="atLeast"/>
    </w:pPr>
    <w:rPr>
      <w:color w:val="auto"/>
    </w:rPr>
  </w:style>
  <w:style w:type="paragraph" w:customStyle="1" w:styleId="47">
    <w:name w:val="Default"/>
    <w:basedOn w:val="1"/>
    <w:qFormat/>
    <w:uiPriority w:val="0"/>
    <w:pPr>
      <w:autoSpaceDE w:val="0"/>
      <w:autoSpaceDN w:val="0"/>
      <w:adjustRightInd w:val="0"/>
      <w:jc w:val="left"/>
    </w:pPr>
    <w:rPr>
      <w:rFonts w:hint="eastAsia" w:ascii="黑体" w:hAnsi="Calibri" w:eastAsia="黑体"/>
      <w:color w:val="000000"/>
      <w:kern w:val="0"/>
      <w:sz w:val="24"/>
      <w:szCs w:val="24"/>
    </w:rPr>
  </w:style>
  <w:style w:type="paragraph" w:customStyle="1" w:styleId="48">
    <w:name w:val="CM11"/>
    <w:basedOn w:val="47"/>
    <w:qFormat/>
    <w:uiPriority w:val="0"/>
    <w:pPr>
      <w:spacing w:line="576" w:lineRule="atLeast"/>
    </w:pPr>
    <w:rPr>
      <w:color w:val="auto"/>
    </w:rPr>
  </w:style>
  <w:style w:type="paragraph" w:styleId="49">
    <w:name w:val="List Paragraph"/>
    <w:basedOn w:val="1"/>
    <w:qFormat/>
    <w:uiPriority w:val="34"/>
    <w:pPr>
      <w:ind w:firstLine="420" w:firstLineChars="200"/>
    </w:pPr>
  </w:style>
  <w:style w:type="paragraph" w:customStyle="1" w:styleId="50">
    <w:name w:val="样式 标题 2 + Times New Roman 四号 非加粗 段前: 5 磅 段后: 0 磅 行距: 固定值 20..."/>
    <w:basedOn w:val="40"/>
    <w:qFormat/>
    <w:uiPriority w:val="0"/>
    <w:pPr>
      <w:spacing w:before="100" w:after="0" w:line="400" w:lineRule="exact"/>
    </w:pPr>
    <w:rPr>
      <w:rFonts w:ascii="Times New Roman" w:hAnsi="Times New Roman" w:cs="宋体"/>
      <w:b w:val="0"/>
      <w:bCs w:val="0"/>
      <w:sz w:val="28"/>
      <w:szCs w:val="20"/>
    </w:rPr>
  </w:style>
  <w:style w:type="paragraph" w:customStyle="1" w:styleId="51">
    <w:name w:val="样式 标题 3 + (中文) 黑体 小四 非加粗 段前: 7.8 磅 段后: 0 磅 行距: 固定值 20 磅"/>
    <w:basedOn w:val="37"/>
    <w:qFormat/>
    <w:uiPriority w:val="0"/>
    <w:pPr>
      <w:spacing w:line="400" w:lineRule="exact"/>
    </w:pPr>
    <w:rPr>
      <w:rFonts w:eastAsia="黑体" w:cs="宋体"/>
      <w:b w:val="0"/>
      <w:bCs w:val="0"/>
      <w:szCs w:val="20"/>
    </w:rPr>
  </w:style>
  <w:style w:type="paragraph" w:customStyle="1" w:styleId="52">
    <w:name w:val="修订1"/>
    <w:qFormat/>
    <w:uiPriority w:val="99"/>
    <w:rPr>
      <w:rFonts w:ascii="Times New Roman" w:hAnsi="Times New Roman" w:eastAsia="宋体" w:cs="Times New Roman"/>
      <w:kern w:val="2"/>
      <w:sz w:val="21"/>
      <w:szCs w:val="24"/>
      <w:lang w:val="en-US" w:eastAsia="zh-CN" w:bidi="ar-SA"/>
    </w:rPr>
  </w:style>
  <w:style w:type="paragraph" w:customStyle="1" w:styleId="53">
    <w:name w:val="正文_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4">
    <w:name w:val="正文_0_0_0"/>
    <w:basedOn w:val="7"/>
    <w:qFormat/>
    <w:uiPriority w:val="0"/>
  </w:style>
  <w:style w:type="paragraph" w:customStyle="1" w:styleId="55">
    <w:name w:val="标题 4_0"/>
    <w:basedOn w:val="54"/>
    <w:next w:val="54"/>
    <w:qFormat/>
    <w:uiPriority w:val="0"/>
    <w:pPr>
      <w:keepNext/>
      <w:keepLines/>
      <w:spacing w:line="360" w:lineRule="auto"/>
      <w:outlineLvl w:val="3"/>
    </w:pPr>
    <w:rPr>
      <w:rFonts w:ascii="Arial" w:hAnsi="Arial"/>
      <w:b/>
      <w:bCs/>
      <w:szCs w:val="28"/>
    </w:rPr>
  </w:style>
  <w:style w:type="paragraph" w:customStyle="1" w:styleId="56">
    <w:name w:val="正文_0_0_0_0"/>
    <w:basedOn w:val="8"/>
    <w:qFormat/>
    <w:uiPriority w:val="0"/>
  </w:style>
  <w:style w:type="paragraph" w:customStyle="1" w:styleId="57">
    <w:name w:val="_Style 91"/>
    <w:basedOn w:val="1"/>
    <w:next w:val="49"/>
    <w:qFormat/>
    <w:uiPriority w:val="34"/>
    <w:pPr>
      <w:ind w:firstLine="420" w:firstLineChars="200"/>
    </w:pPr>
    <w:rPr>
      <w:rFonts w:ascii="Calibri" w:hAnsi="Calibri"/>
      <w:szCs w:val="22"/>
    </w:rPr>
  </w:style>
  <w:style w:type="paragraph" w:customStyle="1" w:styleId="58">
    <w:name w:val="Table Paragraph"/>
    <w:basedOn w:val="1"/>
    <w:qFormat/>
    <w:uiPriority w:val="1"/>
    <w:pPr>
      <w:widowControl/>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137</Pages>
  <Words>2081</Words>
  <Characters>2381</Characters>
  <Lines>494</Lines>
  <Paragraphs>139</Paragraphs>
  <TotalTime>9</TotalTime>
  <ScaleCrop>false</ScaleCrop>
  <LinksUpToDate>false</LinksUpToDate>
  <CharactersWithSpaces>2612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2024-10-17T07:20:00Z</dcterms:created>
  <dc:creator>94092</dc:creator>
  <cp:lastModifiedBy>94092</cp:lastModifiedBy>
  <cp:lastPrinted>2024-11-13T08:54:00Z</cp:lastPrinted>
  <dcterms:modified xsi:type="dcterms:W3CDTF">2024-11-27T01:34:24Z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5D06E28988AF47D19B580A4D50013A13_11</vt:lpwstr>
  </property>
</Properties>
</file>