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12" w:lineRule="auto"/>
        <w:jc w:val="center"/>
        <w:rPr>
          <w:rFonts w:hint="eastAsia" w:ascii="宋体" w:hAnsi="宋体" w:eastAsia="宋体" w:cs="宋体"/>
          <w:kern w:val="0"/>
          <w:sz w:val="28"/>
          <w:szCs w:val="28"/>
          <w:lang w:eastAsia="zh-CN"/>
        </w:rPr>
      </w:pPr>
      <w:r>
        <w:rPr>
          <w:rFonts w:hint="eastAsia" w:ascii="宋体" w:hAnsi="宋体"/>
          <w:b/>
          <w:sz w:val="30"/>
          <w:szCs w:val="30"/>
          <w:u w:val="single"/>
        </w:rPr>
        <w:t>大禹路西延段智慧快速路工程（杭绍台高速福全收费站至亭山立交）设计项目</w:t>
      </w:r>
      <w:r>
        <w:rPr>
          <w:rFonts w:hint="eastAsia" w:ascii="宋体" w:hAnsi="宋体"/>
          <w:b/>
          <w:sz w:val="30"/>
          <w:szCs w:val="30"/>
          <w:u w:val="single"/>
          <w:lang w:eastAsia="zh-CN"/>
        </w:rPr>
        <w:t>的</w:t>
      </w:r>
      <w:r>
        <w:rPr>
          <w:rFonts w:hint="eastAsia" w:ascii="宋体" w:hAnsi="宋体" w:cs="宋体"/>
          <w:kern w:val="0"/>
          <w:sz w:val="28"/>
          <w:szCs w:val="28"/>
          <w:lang w:eastAsia="zh-CN"/>
        </w:rPr>
        <w:t>答疑澄清文件</w:t>
      </w:r>
    </w:p>
    <w:p>
      <w:pPr>
        <w:snapToGrid w:val="0"/>
        <w:spacing w:line="312" w:lineRule="auto"/>
        <w:jc w:val="left"/>
        <w:rPr>
          <w:rFonts w:ascii="宋体" w:hAnsi="宋体" w:cs="宋体"/>
          <w:kern w:val="0"/>
          <w:sz w:val="24"/>
        </w:rPr>
      </w:pPr>
    </w:p>
    <w:p>
      <w:pPr>
        <w:snapToGrid w:val="0"/>
        <w:spacing w:line="312" w:lineRule="auto"/>
        <w:jc w:val="left"/>
        <w:rPr>
          <w:rFonts w:ascii="宋体" w:hAnsi="宋体" w:cs="宋体"/>
          <w:kern w:val="0"/>
          <w:sz w:val="24"/>
        </w:rPr>
      </w:pPr>
      <w:r>
        <w:rPr>
          <w:rFonts w:hint="eastAsia" w:ascii="宋体" w:hAnsi="宋体" w:cs="宋体"/>
          <w:kern w:val="0"/>
          <w:sz w:val="24"/>
        </w:rPr>
        <w:t>各潜在投标人：</w:t>
      </w:r>
    </w:p>
    <w:p>
      <w:pPr>
        <w:snapToGrid w:val="0"/>
        <w:spacing w:line="312" w:lineRule="auto"/>
        <w:ind w:firstLine="480" w:firstLineChars="200"/>
        <w:jc w:val="left"/>
        <w:rPr>
          <w:rFonts w:ascii="宋体" w:hAnsi="宋体" w:cs="宋体"/>
          <w:kern w:val="0"/>
          <w:sz w:val="24"/>
        </w:rPr>
      </w:pPr>
      <w:r>
        <w:rPr>
          <w:rFonts w:hint="eastAsia" w:ascii="宋体" w:hAnsi="宋体" w:cs="宋体"/>
          <w:kern w:val="0"/>
          <w:sz w:val="24"/>
        </w:rPr>
        <w:t>关于大禹路西延段智慧快速路工程（杭绍台高速福全收费站至亭山立交）设计项目</w:t>
      </w:r>
      <w:r>
        <w:rPr>
          <w:rFonts w:hint="eastAsia" w:ascii="宋体" w:hAnsi="宋体" w:cs="宋体"/>
          <w:kern w:val="0"/>
          <w:sz w:val="24"/>
          <w:lang w:eastAsia="zh-CN"/>
        </w:rPr>
        <w:t>的</w:t>
      </w:r>
      <w:r>
        <w:rPr>
          <w:rFonts w:hint="eastAsia" w:ascii="宋体" w:hAnsi="宋体" w:cs="宋体"/>
          <w:kern w:val="0"/>
          <w:sz w:val="24"/>
        </w:rPr>
        <w:t>招标文件等内容，现招标人对各投标单位的问题作出如下答复并修正招标文件内容：</w:t>
      </w:r>
    </w:p>
    <w:p>
      <w:pPr>
        <w:numPr>
          <w:ilvl w:val="0"/>
          <w:numId w:val="0"/>
        </w:numPr>
        <w:snapToGrid w:val="0"/>
        <w:spacing w:line="312" w:lineRule="auto"/>
        <w:ind w:firstLine="480" w:firstLineChars="200"/>
        <w:jc w:val="left"/>
        <w:rPr>
          <w:rFonts w:hint="eastAsia" w:ascii="宋体" w:hAnsi="宋体" w:cs="宋体"/>
          <w:kern w:val="0"/>
          <w:sz w:val="24"/>
          <w:lang w:val="en-US" w:eastAsia="zh-CN"/>
        </w:rPr>
      </w:pPr>
      <w:r>
        <w:rPr>
          <w:rFonts w:hint="eastAsia" w:ascii="宋体" w:hAnsi="宋体" w:cs="宋体"/>
          <w:kern w:val="0"/>
          <w:sz w:val="24"/>
          <w:lang w:val="en-US" w:eastAsia="zh-CN"/>
        </w:rPr>
        <w:t>一、招标人对各投标单位的问题答复：</w:t>
      </w:r>
    </w:p>
    <w:p>
      <w:pPr>
        <w:numPr>
          <w:ilvl w:val="0"/>
          <w:numId w:val="0"/>
        </w:numPr>
        <w:snapToGrid w:val="0"/>
        <w:spacing w:line="312" w:lineRule="auto"/>
        <w:ind w:firstLine="480" w:firstLineChars="200"/>
        <w:jc w:val="left"/>
        <w:rPr>
          <w:rFonts w:hint="eastAsia" w:ascii="宋体" w:hAnsi="宋体" w:eastAsia="宋体" w:cs="宋体"/>
          <w:kern w:val="0"/>
          <w:sz w:val="24"/>
          <w:lang w:val="en-US" w:eastAsia="zh-CN"/>
        </w:rPr>
      </w:pPr>
      <w:r>
        <w:rPr>
          <w:rFonts w:hint="eastAsia" w:ascii="宋体" w:hAnsi="宋体" w:cs="宋体"/>
          <w:kern w:val="0"/>
          <w:sz w:val="24"/>
          <w:lang w:val="en-US" w:eastAsia="zh-CN"/>
        </w:rPr>
        <w:t>1</w:t>
      </w:r>
      <w:r>
        <w:rPr>
          <w:rFonts w:hint="eastAsia" w:ascii="宋体" w:hAnsi="宋体" w:eastAsia="宋体" w:cs="宋体"/>
          <w:kern w:val="0"/>
          <w:sz w:val="24"/>
          <w:lang w:val="en-US" w:eastAsia="zh-CN"/>
        </w:rPr>
        <w:t>、招标公告中的“本项目桥梁（采用预制拼装式结构）”与设计任务书中的“本项目桥梁（优先采用预制拼装式结构）”不一致，是否以设计任务书要求为准？</w:t>
      </w:r>
    </w:p>
    <w:p>
      <w:pPr>
        <w:snapToGrid w:val="0"/>
        <w:spacing w:line="312" w:lineRule="auto"/>
        <w:ind w:firstLine="482" w:firstLineChars="200"/>
        <w:jc w:val="left"/>
        <w:rPr>
          <w:rFonts w:hint="eastAsia" w:ascii="宋体" w:hAnsi="宋体" w:eastAsia="宋体" w:cs="宋体"/>
          <w:b/>
          <w:kern w:val="0"/>
          <w:sz w:val="24"/>
          <w:lang w:val="en-US" w:eastAsia="zh-CN"/>
        </w:rPr>
      </w:pPr>
      <w:r>
        <w:rPr>
          <w:rFonts w:hint="eastAsia" w:ascii="宋体" w:hAnsi="宋体" w:eastAsia="宋体" w:cs="宋体"/>
          <w:b/>
          <w:kern w:val="0"/>
          <w:sz w:val="24"/>
          <w:lang w:val="en-US" w:eastAsia="zh-CN"/>
        </w:rPr>
        <w:t>答：</w:t>
      </w:r>
      <w:r>
        <w:rPr>
          <w:rFonts w:hint="eastAsia" w:ascii="宋体" w:hAnsi="宋体" w:cs="宋体"/>
          <w:b/>
          <w:kern w:val="0"/>
          <w:sz w:val="24"/>
          <w:lang w:val="en-US" w:eastAsia="zh-CN"/>
        </w:rPr>
        <w:t>设计任务书中的“本项目桥梁（优先采用预制拼装式结构）”调整为“本项目桥梁（采用预制拼装式结构）”。</w:t>
      </w:r>
    </w:p>
    <w:p>
      <w:pPr>
        <w:numPr>
          <w:ilvl w:val="0"/>
          <w:numId w:val="0"/>
        </w:numPr>
        <w:snapToGrid w:val="0"/>
        <w:spacing w:line="312" w:lineRule="auto"/>
        <w:jc w:val="left"/>
        <w:rPr>
          <w:rFonts w:hint="eastAsia" w:ascii="宋体" w:hAnsi="宋体" w:eastAsia="宋体" w:cs="宋体"/>
          <w:b/>
          <w:kern w:val="0"/>
          <w:sz w:val="24"/>
          <w:lang w:val="en-US" w:eastAsia="zh-CN"/>
        </w:rPr>
      </w:pPr>
    </w:p>
    <w:p>
      <w:pPr>
        <w:numPr>
          <w:ilvl w:val="0"/>
          <w:numId w:val="0"/>
        </w:numPr>
        <w:snapToGrid w:val="0"/>
        <w:spacing w:line="312" w:lineRule="auto"/>
        <w:ind w:firstLine="480" w:firstLineChars="200"/>
        <w:jc w:val="left"/>
        <w:rPr>
          <w:rFonts w:hint="eastAsia" w:ascii="宋体" w:hAnsi="宋体" w:eastAsia="宋体" w:cs="宋体"/>
          <w:kern w:val="0"/>
          <w:sz w:val="24"/>
          <w:lang w:val="en-US" w:eastAsia="zh-CN"/>
        </w:rPr>
      </w:pPr>
      <w:r>
        <w:rPr>
          <w:rFonts w:hint="eastAsia" w:ascii="宋体" w:hAnsi="宋体" w:cs="宋体"/>
          <w:kern w:val="0"/>
          <w:sz w:val="24"/>
          <w:lang w:val="en-US" w:eastAsia="zh-CN"/>
        </w:rPr>
        <w:t>2</w:t>
      </w:r>
      <w:r>
        <w:rPr>
          <w:rFonts w:hint="eastAsia" w:ascii="宋体" w:hAnsi="宋体" w:eastAsia="宋体" w:cs="宋体"/>
          <w:kern w:val="0"/>
          <w:sz w:val="24"/>
          <w:lang w:val="en-US" w:eastAsia="zh-CN"/>
        </w:rPr>
        <w:t>、招标文件第一章招标公告中，招标条件项目名称“大禹路西延段智慧快速路工程（杭绍台高速福全收费站至亭山立交）”与第二章投标人须知中工程名称（全称）相比，缺少“设计项目”，请明确项目名称。</w:t>
      </w:r>
    </w:p>
    <w:p>
      <w:pPr>
        <w:numPr>
          <w:ilvl w:val="0"/>
          <w:numId w:val="0"/>
        </w:numPr>
        <w:snapToGrid w:val="0"/>
        <w:spacing w:line="312" w:lineRule="auto"/>
        <w:ind w:firstLine="482" w:firstLineChars="200"/>
        <w:jc w:val="left"/>
        <w:rPr>
          <w:rFonts w:hint="eastAsia" w:ascii="宋体" w:hAnsi="宋体" w:eastAsia="宋体" w:cs="宋体"/>
          <w:b/>
          <w:kern w:val="0"/>
          <w:sz w:val="24"/>
          <w:lang w:val="en-US" w:eastAsia="zh-CN"/>
        </w:rPr>
      </w:pPr>
      <w:r>
        <w:rPr>
          <w:rFonts w:hint="eastAsia" w:ascii="宋体" w:hAnsi="宋体" w:eastAsia="宋体" w:cs="宋体"/>
          <w:b/>
          <w:kern w:val="0"/>
          <w:sz w:val="24"/>
          <w:lang w:val="en-US" w:eastAsia="zh-CN"/>
        </w:rPr>
        <w:t>答：本项目工程名称为：“大禹路西延段智慧快速路工程（杭绍台高速福全收费站至亭山立交）设计项目”</w:t>
      </w:r>
    </w:p>
    <w:p>
      <w:pPr>
        <w:numPr>
          <w:ilvl w:val="0"/>
          <w:numId w:val="0"/>
        </w:numPr>
        <w:snapToGrid w:val="0"/>
        <w:spacing w:line="312" w:lineRule="auto"/>
        <w:jc w:val="left"/>
        <w:rPr>
          <w:rFonts w:hint="eastAsia" w:ascii="宋体" w:hAnsi="宋体" w:cs="宋体"/>
          <w:kern w:val="0"/>
          <w:sz w:val="24"/>
          <w:lang w:val="en-US" w:eastAsia="zh-CN"/>
        </w:rPr>
      </w:pPr>
    </w:p>
    <w:p>
      <w:pPr>
        <w:numPr>
          <w:ilvl w:val="0"/>
          <w:numId w:val="0"/>
        </w:numPr>
        <w:snapToGrid w:val="0"/>
        <w:spacing w:line="312" w:lineRule="auto"/>
        <w:ind w:firstLine="480" w:firstLineChars="200"/>
        <w:jc w:val="left"/>
        <w:rPr>
          <w:rFonts w:hint="eastAsia" w:ascii="宋体" w:hAnsi="宋体" w:cs="宋体"/>
          <w:kern w:val="0"/>
          <w:sz w:val="24"/>
          <w:lang w:val="en-US" w:eastAsia="zh-CN"/>
        </w:rPr>
      </w:pPr>
      <w:r>
        <w:rPr>
          <w:rFonts w:hint="eastAsia" w:ascii="宋体" w:hAnsi="宋体" w:cs="宋体"/>
          <w:kern w:val="0"/>
          <w:sz w:val="24"/>
          <w:lang w:val="en-US" w:eastAsia="zh-CN"/>
        </w:rPr>
        <w:t>3、</w:t>
      </w:r>
      <w:r>
        <w:rPr>
          <w:rFonts w:hint="eastAsia" w:ascii="宋体" w:hAnsi="宋体" w:eastAsia="宋体" w:cs="宋体"/>
          <w:kern w:val="0"/>
          <w:sz w:val="24"/>
          <w:lang w:val="en-US" w:eastAsia="zh-CN"/>
        </w:rPr>
        <w:t>展板尺寸大小、材质是否有具体要求</w:t>
      </w:r>
      <w:r>
        <w:rPr>
          <w:rFonts w:hint="eastAsia" w:ascii="宋体" w:hAnsi="宋体" w:cs="宋体"/>
          <w:kern w:val="0"/>
          <w:sz w:val="24"/>
          <w:lang w:val="en-US" w:eastAsia="zh-CN"/>
        </w:rPr>
        <w:t>？</w:t>
      </w:r>
    </w:p>
    <w:p>
      <w:pPr>
        <w:snapToGrid w:val="0"/>
        <w:spacing w:line="312" w:lineRule="auto"/>
        <w:ind w:firstLine="482" w:firstLineChars="200"/>
        <w:jc w:val="left"/>
        <w:rPr>
          <w:rFonts w:hint="default" w:ascii="宋体" w:hAnsi="宋体" w:eastAsia="宋体" w:cs="宋体"/>
          <w:b/>
          <w:kern w:val="0"/>
          <w:sz w:val="24"/>
          <w:lang w:val="en-US" w:eastAsia="zh-CN"/>
        </w:rPr>
      </w:pPr>
      <w:r>
        <w:rPr>
          <w:rFonts w:hint="eastAsia" w:ascii="宋体" w:hAnsi="宋体" w:eastAsia="宋体" w:cs="宋体"/>
          <w:b/>
          <w:kern w:val="0"/>
          <w:sz w:val="24"/>
          <w:lang w:val="en-US" w:eastAsia="zh-CN"/>
        </w:rPr>
        <w:t>答：</w:t>
      </w:r>
      <w:r>
        <w:rPr>
          <w:rFonts w:hint="eastAsia" w:ascii="宋体" w:hAnsi="宋体" w:eastAsia="宋体" w:cs="宋体"/>
          <w:b/>
          <w:bCs/>
          <w:kern w:val="0"/>
          <w:sz w:val="24"/>
          <w:lang w:val="en-US" w:eastAsia="zh-CN"/>
        </w:rPr>
        <w:t>展板尺寸大小</w:t>
      </w:r>
      <w:r>
        <w:rPr>
          <w:rFonts w:hint="eastAsia" w:ascii="宋体" w:hAnsi="宋体" w:cs="宋体"/>
          <w:b/>
          <w:bCs/>
          <w:kern w:val="0"/>
          <w:sz w:val="24"/>
          <w:lang w:val="en-US" w:eastAsia="zh-CN"/>
        </w:rPr>
        <w:t>A0，材质无要求。</w:t>
      </w:r>
    </w:p>
    <w:p>
      <w:pPr>
        <w:snapToGrid w:val="0"/>
        <w:spacing w:line="312" w:lineRule="auto"/>
        <w:ind w:firstLine="482" w:firstLineChars="200"/>
        <w:jc w:val="left"/>
        <w:rPr>
          <w:rFonts w:hint="eastAsia" w:ascii="宋体" w:hAnsi="宋体" w:eastAsia="宋体" w:cs="宋体"/>
          <w:b/>
          <w:kern w:val="0"/>
          <w:sz w:val="24"/>
          <w:lang w:val="en-US" w:eastAsia="zh-CN"/>
        </w:rPr>
      </w:pPr>
    </w:p>
    <w:p>
      <w:pPr>
        <w:snapToGrid w:val="0"/>
        <w:spacing w:line="312" w:lineRule="auto"/>
        <w:ind w:firstLine="480" w:firstLineChars="200"/>
        <w:jc w:val="left"/>
        <w:rPr>
          <w:rFonts w:hint="eastAsia" w:ascii="宋体" w:hAnsi="宋体" w:eastAsia="宋体" w:cs="宋体"/>
          <w:b/>
          <w:kern w:val="0"/>
          <w:sz w:val="24"/>
          <w:lang w:val="en-US" w:eastAsia="zh-CN"/>
        </w:rPr>
      </w:pPr>
      <w:r>
        <w:rPr>
          <w:rFonts w:hint="eastAsia" w:ascii="宋体" w:hAnsi="宋体" w:cs="宋体"/>
          <w:b w:val="0"/>
          <w:bCs/>
          <w:kern w:val="0"/>
          <w:sz w:val="24"/>
          <w:lang w:val="en-US" w:eastAsia="zh-CN"/>
        </w:rPr>
        <w:t>二、招标人对招标文件的补充说明：</w:t>
      </w:r>
    </w:p>
    <w:p>
      <w:pPr>
        <w:snapToGrid w:val="0"/>
        <w:spacing w:line="312" w:lineRule="auto"/>
        <w:ind w:firstLine="482" w:firstLineChars="200"/>
        <w:jc w:val="left"/>
        <w:rPr>
          <w:rFonts w:hint="eastAsia" w:ascii="宋体" w:hAnsi="宋体" w:cs="宋体"/>
          <w:b/>
          <w:bCs/>
          <w:kern w:val="0"/>
          <w:sz w:val="24"/>
          <w:lang w:val="en-US" w:eastAsia="zh-CN"/>
        </w:rPr>
      </w:pPr>
      <w:r>
        <w:rPr>
          <w:rFonts w:hint="eastAsia" w:ascii="宋体" w:hAnsi="宋体" w:eastAsia="宋体" w:cs="宋体"/>
          <w:b/>
          <w:bCs/>
          <w:kern w:val="0"/>
          <w:sz w:val="24"/>
          <w:lang w:val="en-US" w:eastAsia="zh-CN"/>
        </w:rPr>
        <w:t>1.</w:t>
      </w:r>
      <w:r>
        <w:rPr>
          <w:rFonts w:hint="eastAsia" w:ascii="宋体" w:hAnsi="宋体" w:cs="宋体"/>
          <w:b/>
          <w:bCs/>
          <w:kern w:val="0"/>
          <w:sz w:val="24"/>
          <w:lang w:val="en-US" w:eastAsia="zh-CN"/>
        </w:rPr>
        <w:t>合同主要协议条款“五、其他”，增加第27点：</w:t>
      </w:r>
      <w:r>
        <w:rPr>
          <w:rFonts w:hint="eastAsia" w:ascii="宋体" w:hAnsi="宋体" w:eastAsia="宋体" w:cs="宋体"/>
          <w:b/>
          <w:bCs/>
          <w:kern w:val="0"/>
          <w:sz w:val="24"/>
          <w:lang w:val="en-US" w:eastAsia="zh-CN"/>
        </w:rPr>
        <w:t>根据《绍兴市区快速路管理办法》，快速路建设项目应当根据管理需要，配套建设应急救援、养护管理、交通安全服务等设施。</w:t>
      </w:r>
      <w:r>
        <w:rPr>
          <w:rFonts w:hint="eastAsia" w:ascii="宋体" w:hAnsi="宋体" w:cs="宋体"/>
          <w:b/>
          <w:bCs/>
          <w:kern w:val="0"/>
          <w:sz w:val="24"/>
          <w:lang w:val="en-US" w:eastAsia="zh-CN"/>
        </w:rPr>
        <w:t>该项目根据现场实际情况，拟配备配套设施及管理用房</w:t>
      </w:r>
      <w:bookmarkStart w:id="0" w:name="_GoBack"/>
      <w:bookmarkEnd w:id="0"/>
      <w:r>
        <w:rPr>
          <w:rFonts w:hint="eastAsia" w:ascii="宋体" w:hAnsi="宋体" w:cs="宋体"/>
          <w:b/>
          <w:bCs/>
          <w:kern w:val="0"/>
          <w:sz w:val="24"/>
          <w:lang w:val="en-US" w:eastAsia="zh-CN"/>
        </w:rPr>
        <w:t>，具体规模根据上级部门要求确定后实施。</w:t>
      </w:r>
    </w:p>
    <w:p>
      <w:pPr>
        <w:snapToGrid w:val="0"/>
        <w:spacing w:line="312" w:lineRule="auto"/>
        <w:ind w:firstLine="482" w:firstLineChars="200"/>
        <w:jc w:val="left"/>
        <w:rPr>
          <w:rFonts w:hint="default" w:ascii="宋体" w:hAnsi="宋体" w:cs="宋体"/>
          <w:b/>
          <w:bCs/>
          <w:kern w:val="0"/>
          <w:sz w:val="24"/>
          <w:lang w:val="en-US" w:eastAsia="zh-CN"/>
        </w:rPr>
      </w:pPr>
      <w:r>
        <w:rPr>
          <w:rFonts w:hint="eastAsia" w:ascii="宋体" w:hAnsi="宋体" w:cs="宋体"/>
          <w:b/>
          <w:bCs/>
          <w:kern w:val="0"/>
          <w:sz w:val="24"/>
          <w:lang w:val="en-US" w:eastAsia="zh-CN"/>
        </w:rPr>
        <w:t>注：上述二、1中的拟配备配套设施及管理用房在本次提交的投标方案设计中可不体现。</w:t>
      </w:r>
    </w:p>
    <w:p>
      <w:pPr>
        <w:numPr>
          <w:ilvl w:val="0"/>
          <w:numId w:val="0"/>
        </w:numPr>
        <w:snapToGrid w:val="0"/>
        <w:spacing w:line="312" w:lineRule="auto"/>
        <w:jc w:val="left"/>
        <w:rPr>
          <w:rFonts w:hint="eastAsia" w:ascii="宋体" w:hAnsi="宋体" w:eastAsia="宋体" w:cs="宋体"/>
          <w:kern w:val="0"/>
          <w:sz w:val="24"/>
          <w:lang w:val="en-US" w:eastAsia="zh-CN"/>
        </w:rPr>
      </w:pPr>
    </w:p>
    <w:p>
      <w:pPr>
        <w:snapToGrid w:val="0"/>
        <w:spacing w:line="360" w:lineRule="exact"/>
        <w:ind w:firstLine="482" w:firstLineChars="200"/>
        <w:rPr>
          <w:rFonts w:ascii="宋体" w:hAnsi="宋体" w:cs="宋体"/>
          <w:b/>
          <w:kern w:val="0"/>
          <w:sz w:val="24"/>
        </w:rPr>
      </w:pP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ascii="宋体" w:hAnsi="宋体" w:cs="宋体"/>
          <w:kern w:val="0"/>
          <w:sz w:val="24"/>
        </w:rPr>
      </w:pPr>
      <w:r>
        <w:rPr>
          <w:rFonts w:ascii="宋体" w:hAnsi="宋体" w:cs="宋体"/>
          <w:kern w:val="0"/>
          <w:sz w:val="24"/>
        </w:rPr>
        <w:t>招标人：</w:t>
      </w:r>
      <w:r>
        <w:rPr>
          <w:rFonts w:hint="eastAsia" w:ascii="宋体" w:hAnsi="宋体" w:cs="宋体"/>
          <w:kern w:val="0"/>
          <w:sz w:val="24"/>
        </w:rPr>
        <w:t>绍兴市基础设施建设投资有限公司</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ascii="宋体" w:hAnsi="宋体" w:cs="宋体"/>
          <w:kern w:val="0"/>
          <w:sz w:val="24"/>
        </w:rPr>
      </w:pPr>
      <w:r>
        <w:rPr>
          <w:rFonts w:ascii="宋体" w:hAnsi="宋体" w:cs="宋体"/>
          <w:kern w:val="0"/>
          <w:sz w:val="24"/>
        </w:rPr>
        <w:t>招标代理机构：</w:t>
      </w:r>
      <w:r>
        <w:rPr>
          <w:rFonts w:hint="eastAsia" w:ascii="宋体" w:hAnsi="宋体" w:cs="宋体"/>
          <w:kern w:val="0"/>
          <w:sz w:val="24"/>
        </w:rPr>
        <w:t>浙江建诚工程管理咨询有限公司</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ascii="宋体" w:hAnsi="宋体" w:cs="宋体"/>
          <w:kern w:val="0"/>
          <w:sz w:val="24"/>
        </w:rPr>
      </w:pPr>
      <w:r>
        <w:rPr>
          <w:rFonts w:hint="eastAsia" w:ascii="宋体" w:hAnsi="宋体" w:cs="宋体"/>
          <w:kern w:val="0"/>
          <w:sz w:val="24"/>
        </w:rPr>
        <w:t>202</w:t>
      </w:r>
      <w:r>
        <w:rPr>
          <w:rFonts w:hint="eastAsia" w:ascii="宋体" w:hAnsi="宋体" w:cs="宋体"/>
          <w:kern w:val="0"/>
          <w:sz w:val="24"/>
          <w:lang w:val="en-US" w:eastAsia="zh-CN"/>
        </w:rPr>
        <w:t>3</w:t>
      </w:r>
      <w:r>
        <w:rPr>
          <w:rFonts w:ascii="宋体" w:hAnsi="宋体" w:cs="宋体"/>
          <w:kern w:val="0"/>
          <w:sz w:val="24"/>
        </w:rPr>
        <w:t>年</w:t>
      </w:r>
      <w:r>
        <w:rPr>
          <w:rFonts w:hint="eastAsia" w:ascii="宋体" w:hAnsi="宋体" w:cs="宋体"/>
          <w:kern w:val="0"/>
          <w:sz w:val="24"/>
          <w:lang w:val="en-US" w:eastAsia="zh-CN"/>
        </w:rPr>
        <w:t>3</w:t>
      </w:r>
      <w:r>
        <w:rPr>
          <w:rFonts w:ascii="宋体" w:hAnsi="宋体" w:cs="宋体"/>
          <w:kern w:val="0"/>
          <w:sz w:val="24"/>
        </w:rPr>
        <w:t>月</w:t>
      </w:r>
      <w:r>
        <w:rPr>
          <w:rFonts w:hint="eastAsia" w:ascii="宋体" w:hAnsi="宋体" w:cs="宋体"/>
          <w:kern w:val="0"/>
          <w:sz w:val="24"/>
          <w:lang w:val="en-US" w:eastAsia="zh-CN"/>
        </w:rPr>
        <w:t>3</w:t>
      </w:r>
      <w:r>
        <w:rPr>
          <w:rFonts w:ascii="宋体" w:hAnsi="宋体" w:cs="宋体"/>
          <w:kern w:val="0"/>
          <w:sz w:val="24"/>
        </w:rPr>
        <w:t>日</w:t>
      </w:r>
    </w:p>
    <w:sectPr>
      <w:footerReference r:id="rId3" w:type="default"/>
      <w:pgSz w:w="11906" w:h="16838"/>
      <w:pgMar w:top="1440" w:right="1474" w:bottom="1304" w:left="1588" w:header="851" w:footer="73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95332"/>
    </w:sdtPr>
    <w:sdtContent>
      <w:p>
        <w:pPr>
          <w:pStyle w:val="5"/>
          <w:jc w:val="right"/>
        </w:pPr>
        <w:r>
          <w:fldChar w:fldCharType="begin"/>
        </w:r>
        <w:r>
          <w:instrText xml:space="preserve"> PAGE   \* MERGEFORMAT </w:instrText>
        </w:r>
        <w:r>
          <w:fldChar w:fldCharType="separate"/>
        </w:r>
        <w:r>
          <w:rPr>
            <w:lang w:val="zh-CN"/>
          </w:rPr>
          <w:t>1</w:t>
        </w:r>
        <w:r>
          <w:rPr>
            <w:lang w:val="zh-CN"/>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zMDM4NzM5YjYzMzk0MjIxNjE3NTQ0YjI3YTA1YjMifQ=="/>
  </w:docVars>
  <w:rsids>
    <w:rsidRoot w:val="00477D16"/>
    <w:rsid w:val="000025CD"/>
    <w:rsid w:val="0003786B"/>
    <w:rsid w:val="000412FF"/>
    <w:rsid w:val="00052C5E"/>
    <w:rsid w:val="00085DED"/>
    <w:rsid w:val="000A55A7"/>
    <w:rsid w:val="000A7184"/>
    <w:rsid w:val="000C379A"/>
    <w:rsid w:val="000C6101"/>
    <w:rsid w:val="000F5C97"/>
    <w:rsid w:val="00144C16"/>
    <w:rsid w:val="001B17C6"/>
    <w:rsid w:val="001B1EAC"/>
    <w:rsid w:val="001B2BCA"/>
    <w:rsid w:val="00206316"/>
    <w:rsid w:val="00221DF5"/>
    <w:rsid w:val="002642AE"/>
    <w:rsid w:val="002A3800"/>
    <w:rsid w:val="002C2113"/>
    <w:rsid w:val="002D3EFC"/>
    <w:rsid w:val="002E563E"/>
    <w:rsid w:val="00307E1E"/>
    <w:rsid w:val="00331591"/>
    <w:rsid w:val="0033361D"/>
    <w:rsid w:val="00343815"/>
    <w:rsid w:val="0035218A"/>
    <w:rsid w:val="00355EDE"/>
    <w:rsid w:val="00373009"/>
    <w:rsid w:val="0038393F"/>
    <w:rsid w:val="003C06F4"/>
    <w:rsid w:val="003C2829"/>
    <w:rsid w:val="003D4896"/>
    <w:rsid w:val="003D7CC8"/>
    <w:rsid w:val="003F0D4D"/>
    <w:rsid w:val="004213F8"/>
    <w:rsid w:val="004373ED"/>
    <w:rsid w:val="00456B89"/>
    <w:rsid w:val="0045762F"/>
    <w:rsid w:val="0047649F"/>
    <w:rsid w:val="00477D16"/>
    <w:rsid w:val="00496B1C"/>
    <w:rsid w:val="004B3877"/>
    <w:rsid w:val="00502D81"/>
    <w:rsid w:val="00511C6C"/>
    <w:rsid w:val="0052420C"/>
    <w:rsid w:val="00527C90"/>
    <w:rsid w:val="00536BF1"/>
    <w:rsid w:val="0056783B"/>
    <w:rsid w:val="005B5806"/>
    <w:rsid w:val="005C2F3F"/>
    <w:rsid w:val="005D1A8B"/>
    <w:rsid w:val="005E009C"/>
    <w:rsid w:val="00636DEB"/>
    <w:rsid w:val="00652F76"/>
    <w:rsid w:val="006763A1"/>
    <w:rsid w:val="0068539B"/>
    <w:rsid w:val="006C5AB3"/>
    <w:rsid w:val="006C7369"/>
    <w:rsid w:val="007147AE"/>
    <w:rsid w:val="00714FC7"/>
    <w:rsid w:val="007274DA"/>
    <w:rsid w:val="00730EE7"/>
    <w:rsid w:val="00742C3E"/>
    <w:rsid w:val="007537D9"/>
    <w:rsid w:val="00772898"/>
    <w:rsid w:val="00772BA8"/>
    <w:rsid w:val="007D45EA"/>
    <w:rsid w:val="007E47CB"/>
    <w:rsid w:val="00807D54"/>
    <w:rsid w:val="0086511F"/>
    <w:rsid w:val="008760CA"/>
    <w:rsid w:val="008A41BD"/>
    <w:rsid w:val="008C4E37"/>
    <w:rsid w:val="008F4034"/>
    <w:rsid w:val="00920B6A"/>
    <w:rsid w:val="0094119E"/>
    <w:rsid w:val="009433CD"/>
    <w:rsid w:val="009877AB"/>
    <w:rsid w:val="009A09AB"/>
    <w:rsid w:val="009B13BB"/>
    <w:rsid w:val="009C0055"/>
    <w:rsid w:val="009C666E"/>
    <w:rsid w:val="00A05834"/>
    <w:rsid w:val="00A24249"/>
    <w:rsid w:val="00A36730"/>
    <w:rsid w:val="00A37075"/>
    <w:rsid w:val="00A4216C"/>
    <w:rsid w:val="00A7722F"/>
    <w:rsid w:val="00A80A54"/>
    <w:rsid w:val="00B22EB6"/>
    <w:rsid w:val="00B31A7C"/>
    <w:rsid w:val="00B3668E"/>
    <w:rsid w:val="00B37E2B"/>
    <w:rsid w:val="00B60375"/>
    <w:rsid w:val="00B67B47"/>
    <w:rsid w:val="00C03DD2"/>
    <w:rsid w:val="00C31D21"/>
    <w:rsid w:val="00C434AA"/>
    <w:rsid w:val="00C60D20"/>
    <w:rsid w:val="00C6188E"/>
    <w:rsid w:val="00CC0634"/>
    <w:rsid w:val="00CC3EDC"/>
    <w:rsid w:val="00CD4579"/>
    <w:rsid w:val="00D13582"/>
    <w:rsid w:val="00D475AC"/>
    <w:rsid w:val="00D63C71"/>
    <w:rsid w:val="00D6605D"/>
    <w:rsid w:val="00DB3FAE"/>
    <w:rsid w:val="00DC0F81"/>
    <w:rsid w:val="00DD55E8"/>
    <w:rsid w:val="00DF1032"/>
    <w:rsid w:val="00E00473"/>
    <w:rsid w:val="00E04B12"/>
    <w:rsid w:val="00E11563"/>
    <w:rsid w:val="00E125F3"/>
    <w:rsid w:val="00E12FDA"/>
    <w:rsid w:val="00E45876"/>
    <w:rsid w:val="00E52A3D"/>
    <w:rsid w:val="00E54B96"/>
    <w:rsid w:val="00E54BEE"/>
    <w:rsid w:val="00E8327F"/>
    <w:rsid w:val="00E91D3F"/>
    <w:rsid w:val="00EB7E58"/>
    <w:rsid w:val="00ED481D"/>
    <w:rsid w:val="00ED69EC"/>
    <w:rsid w:val="00EE1E3B"/>
    <w:rsid w:val="00EE5A6A"/>
    <w:rsid w:val="00F129E8"/>
    <w:rsid w:val="00F22663"/>
    <w:rsid w:val="00F22C42"/>
    <w:rsid w:val="00F275A4"/>
    <w:rsid w:val="00F456E7"/>
    <w:rsid w:val="00F459EF"/>
    <w:rsid w:val="00FA39F2"/>
    <w:rsid w:val="00FA63DD"/>
    <w:rsid w:val="00FC627E"/>
    <w:rsid w:val="02095A6C"/>
    <w:rsid w:val="03465B2E"/>
    <w:rsid w:val="08CB3263"/>
    <w:rsid w:val="09D75802"/>
    <w:rsid w:val="0A780FD3"/>
    <w:rsid w:val="103D7805"/>
    <w:rsid w:val="12A07191"/>
    <w:rsid w:val="19310BE7"/>
    <w:rsid w:val="19DE3762"/>
    <w:rsid w:val="1B75684C"/>
    <w:rsid w:val="1C850FC2"/>
    <w:rsid w:val="1CBD4A25"/>
    <w:rsid w:val="1F531AC9"/>
    <w:rsid w:val="23C3428F"/>
    <w:rsid w:val="248B150C"/>
    <w:rsid w:val="2793592A"/>
    <w:rsid w:val="27DF1CF0"/>
    <w:rsid w:val="29A4022A"/>
    <w:rsid w:val="2D83304B"/>
    <w:rsid w:val="30EC7EFC"/>
    <w:rsid w:val="30F30042"/>
    <w:rsid w:val="35306AC3"/>
    <w:rsid w:val="37105FE6"/>
    <w:rsid w:val="3D235CB1"/>
    <w:rsid w:val="46DB6F7B"/>
    <w:rsid w:val="502D70C0"/>
    <w:rsid w:val="58BC6872"/>
    <w:rsid w:val="5B2452CA"/>
    <w:rsid w:val="5C265653"/>
    <w:rsid w:val="5C2E3FA4"/>
    <w:rsid w:val="5FD44035"/>
    <w:rsid w:val="67977A3A"/>
    <w:rsid w:val="6BAB1EE1"/>
    <w:rsid w:val="6D226C39"/>
    <w:rsid w:val="6F165D3F"/>
    <w:rsid w:val="7021721E"/>
    <w:rsid w:val="724F1E86"/>
    <w:rsid w:val="75086584"/>
    <w:rsid w:val="7E6B66E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ody Text"/>
    <w:basedOn w:val="1"/>
    <w:link w:val="14"/>
    <w:semiHidden/>
    <w:unhideWhenUsed/>
    <w:qFormat/>
    <w:uiPriority w:val="99"/>
    <w:pPr>
      <w:spacing w:after="120"/>
    </w:pPr>
    <w:rPr>
      <w:rFonts w:asciiTheme="minorHAnsi" w:hAnsiTheme="minorHAnsi" w:eastAsiaTheme="minorEastAsia" w:cstheme="minorBidi"/>
    </w:rPr>
  </w:style>
  <w:style w:type="paragraph" w:styleId="4">
    <w:name w:val="Balloon Text"/>
    <w:basedOn w:val="1"/>
    <w:link w:val="13"/>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1"/>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9">
    <w:name w:val="Strong"/>
    <w:qFormat/>
    <w:uiPriority w:val="0"/>
    <w:rPr>
      <w:b/>
      <w:bCs/>
    </w:rPr>
  </w:style>
  <w:style w:type="character" w:styleId="10">
    <w:name w:val="annotation reference"/>
    <w:basedOn w:val="8"/>
    <w:semiHidden/>
    <w:unhideWhenUsed/>
    <w:qFormat/>
    <w:uiPriority w:val="99"/>
    <w:rPr>
      <w:sz w:val="21"/>
      <w:szCs w:val="21"/>
    </w:rPr>
  </w:style>
  <w:style w:type="character" w:customStyle="1" w:styleId="11">
    <w:name w:val="页眉 Char"/>
    <w:basedOn w:val="8"/>
    <w:link w:val="6"/>
    <w:semiHidden/>
    <w:qFormat/>
    <w:uiPriority w:val="99"/>
    <w:rPr>
      <w:sz w:val="18"/>
      <w:szCs w:val="18"/>
    </w:rPr>
  </w:style>
  <w:style w:type="character" w:customStyle="1" w:styleId="12">
    <w:name w:val="页脚 Char"/>
    <w:basedOn w:val="8"/>
    <w:link w:val="5"/>
    <w:qFormat/>
    <w:uiPriority w:val="99"/>
    <w:rPr>
      <w:sz w:val="18"/>
      <w:szCs w:val="18"/>
    </w:rPr>
  </w:style>
  <w:style w:type="character" w:customStyle="1" w:styleId="13">
    <w:name w:val="批注框文本 Char"/>
    <w:basedOn w:val="8"/>
    <w:link w:val="4"/>
    <w:semiHidden/>
    <w:qFormat/>
    <w:uiPriority w:val="99"/>
    <w:rPr>
      <w:rFonts w:ascii="Calibri" w:hAnsi="Calibri" w:eastAsia="宋体" w:cs="Times New Roman"/>
      <w:sz w:val="18"/>
      <w:szCs w:val="18"/>
    </w:rPr>
  </w:style>
  <w:style w:type="character" w:customStyle="1" w:styleId="14">
    <w:name w:val="正文文本 Char"/>
    <w:basedOn w:val="8"/>
    <w:link w:val="3"/>
    <w:semiHidden/>
    <w:qFormat/>
    <w:uiPriority w:val="99"/>
    <w:rPr>
      <w:szCs w:val="24"/>
    </w:rPr>
  </w:style>
  <w:style w:type="paragraph" w:styleId="15">
    <w:name w:val="List Paragraph"/>
    <w:basedOn w:val="1"/>
    <w:qFormat/>
    <w:uiPriority w:val="34"/>
    <w:pPr>
      <w:widowControl/>
      <w:spacing w:after="160" w:line="259" w:lineRule="auto"/>
      <w:ind w:left="720"/>
      <w:contextualSpacing/>
      <w:jc w:val="left"/>
    </w:pPr>
    <w:rPr>
      <w:rFonts w:asciiTheme="minorHAnsi" w:hAnsiTheme="minorHAnsi" w:eastAsiaTheme="minorEastAsia" w:cstheme="minorBidi"/>
      <w:kern w:val="0"/>
      <w:sz w:val="22"/>
      <w:szCs w:val="22"/>
    </w:rPr>
  </w:style>
  <w:style w:type="paragraph" w:customStyle="1" w:styleId="16">
    <w:name w:val="Default"/>
    <w:qFormat/>
    <w:uiPriority w:val="0"/>
    <w:pPr>
      <w:autoSpaceDE w:val="0"/>
      <w:autoSpaceDN w:val="0"/>
      <w:adjustRightInd w:val="0"/>
    </w:pPr>
    <w:rPr>
      <w:rFonts w:ascii="宋体" w:eastAsia="宋体" w:cs="宋体" w:hAnsiTheme="minorHAnsi"/>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Micorosoft</Company>
  <Pages>1</Pages>
  <Words>669</Words>
  <Characters>679</Characters>
  <Lines>6</Lines>
  <Paragraphs>1</Paragraphs>
  <TotalTime>0</TotalTime>
  <ScaleCrop>false</ScaleCrop>
  <LinksUpToDate>false</LinksUpToDate>
  <CharactersWithSpaces>679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2022-03-17T03:25:00Z</dcterms:created>
  <dc:creator>Administrator</dc:creator>
  <cp:lastModifiedBy>子曰</cp:lastModifiedBy>
  <cp:lastPrinted>2023-03-03T00:58:00Z</cp:lastPrinted>
  <dcterms:modified xsi:type="dcterms:W3CDTF">2023-03-03T01:58:51Z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0C554F1C2F2143338D1429C8D728ADA4</vt:lpwstr>
  </property>
</Properties>
</file>