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6" w:lineRule="auto"/>
        <w:jc w:val="center"/>
        <w:rPr>
          <w:rFonts w:ascii="宋体" w:hAnsi="宋体"/>
          <w:b/>
          <w:color w:val="000000" w:themeColor="text1"/>
          <w:sz w:val="52"/>
          <w:szCs w:val="52"/>
          <w:highlight w:val="none"/>
          <w14:textFill>
            <w14:solidFill>
              <w14:schemeClr w14:val="tx1"/>
            </w14:solidFill>
          </w14:textFill>
        </w:rPr>
      </w:pPr>
    </w:p>
    <w:p>
      <w:pPr>
        <w:spacing w:line="360" w:lineRule="auto"/>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绍兴市本级海塘安澜工程（曹娥江大闸段）全过程工程咨询</w:t>
      </w: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line="360" w:lineRule="auto"/>
        <w:jc w:val="center"/>
        <w:rPr>
          <w:rFonts w:ascii="宋体" w:hAnsi="宋体"/>
          <w:color w:val="000000" w:themeColor="text1"/>
          <w:sz w:val="48"/>
          <w:szCs w:val="48"/>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t>招标文件</w:t>
      </w: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line="360" w:lineRule="auto"/>
        <w:rPr>
          <w:rFonts w:ascii="宋体" w:hAnsi="宋体"/>
          <w:color w:val="000000" w:themeColor="text1"/>
          <w:sz w:val="48"/>
          <w:szCs w:val="48"/>
          <w:highlight w:val="none"/>
          <w14:textFill>
            <w14:solidFill>
              <w14:schemeClr w14:val="tx1"/>
            </w14:solidFill>
          </w14:textFill>
        </w:rPr>
      </w:pPr>
    </w:p>
    <w:p>
      <w:pPr>
        <w:spacing w:line="360" w:lineRule="auto"/>
        <w:jc w:val="center"/>
        <w:rPr>
          <w:rFonts w:ascii="宋体" w:hAnsi="宋体"/>
          <w:color w:val="000000" w:themeColor="text1"/>
          <w:sz w:val="48"/>
          <w:szCs w:val="48"/>
          <w:highlight w:val="none"/>
          <w14:textFill>
            <w14:solidFill>
              <w14:schemeClr w14:val="tx1"/>
            </w14:solidFill>
          </w14:textFill>
        </w:rPr>
      </w:pPr>
    </w:p>
    <w:p>
      <w:pPr>
        <w:spacing w:after="312" w:afterLines="100" w:line="360" w:lineRule="auto"/>
        <w:rPr>
          <w:rFonts w:ascii="宋体" w:hAnsi="宋体"/>
          <w:b/>
          <w:color w:val="000000" w:themeColor="text1"/>
          <w:sz w:val="52"/>
          <w:szCs w:val="52"/>
          <w:highlight w:val="none"/>
          <w14:textFill>
            <w14:solidFill>
              <w14:schemeClr w14:val="tx1"/>
            </w14:solidFill>
          </w14:textFill>
        </w:rPr>
      </w:pPr>
    </w:p>
    <w:p>
      <w:pPr>
        <w:spacing w:after="312" w:afterLines="100" w:line="360" w:lineRule="auto"/>
        <w:rPr>
          <w:rFonts w:ascii="宋体" w:hAnsi="宋体"/>
          <w:b/>
          <w:color w:val="000000" w:themeColor="text1"/>
          <w:sz w:val="52"/>
          <w:szCs w:val="52"/>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 </w:t>
      </w:r>
    </w:p>
    <w:p>
      <w:pPr>
        <w:spacing w:line="360" w:lineRule="auto"/>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招标人：绍兴市曹娥江大闸投资开发有限公司</w:t>
      </w:r>
    </w:p>
    <w:p>
      <w:pPr>
        <w:spacing w:line="360" w:lineRule="auto"/>
        <w:ind w:firstLine="1800" w:firstLineChars="60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招标代理机构：浙江鼎峰工程咨询有限公司</w:t>
      </w:r>
    </w:p>
    <w:p>
      <w:pPr>
        <w:spacing w:line="800" w:lineRule="exact"/>
        <w:ind w:left="1350" w:hanging="1350" w:hangingChars="450"/>
        <w:jc w:val="center"/>
        <w:rPr>
          <w:rFonts w:ascii="宋体" w:hAnsi="宋体"/>
          <w:b/>
          <w:bCs/>
          <w:color w:val="000000" w:themeColor="text1"/>
          <w:sz w:val="32"/>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t>202</w:t>
      </w:r>
      <w:r>
        <w:rPr>
          <w:rFonts w:hint="eastAsia" w:ascii="宋体" w:hAnsi="宋体"/>
          <w:color w:val="000000" w:themeColor="text1"/>
          <w:sz w:val="30"/>
          <w:szCs w:val="30"/>
          <w:highlight w:val="none"/>
          <w14:textFill>
            <w14:solidFill>
              <w14:schemeClr w14:val="tx1"/>
            </w14:solidFill>
          </w14:textFill>
        </w:rPr>
        <w:t>3</w:t>
      </w:r>
      <w:r>
        <w:rPr>
          <w:rFonts w:ascii="宋体" w:hAnsi="宋体"/>
          <w:color w:val="000000" w:themeColor="text1"/>
          <w:sz w:val="30"/>
          <w:szCs w:val="30"/>
          <w:highlight w:val="none"/>
          <w14:textFill>
            <w14:solidFill>
              <w14:schemeClr w14:val="tx1"/>
            </w14:solidFill>
          </w14:textFill>
        </w:rPr>
        <w:t>年</w:t>
      </w:r>
      <w:r>
        <w:rPr>
          <w:rFonts w:hint="eastAsia" w:ascii="宋体" w:hAnsi="宋体"/>
          <w:color w:val="000000" w:themeColor="text1"/>
          <w:sz w:val="30"/>
          <w:szCs w:val="30"/>
          <w:highlight w:val="none"/>
          <w14:textFill>
            <w14:solidFill>
              <w14:schemeClr w14:val="tx1"/>
            </w14:solidFill>
          </w14:textFill>
        </w:rPr>
        <w:t>3</w:t>
      </w:r>
      <w:r>
        <w:rPr>
          <w:rFonts w:ascii="宋体" w:hAnsi="宋体"/>
          <w:color w:val="000000" w:themeColor="text1"/>
          <w:sz w:val="30"/>
          <w:szCs w:val="30"/>
          <w:highlight w:val="none"/>
          <w14:textFill>
            <w14:solidFill>
              <w14:schemeClr w14:val="tx1"/>
            </w14:solidFill>
          </w14:textFill>
        </w:rPr>
        <w:t>月</w:t>
      </w:r>
    </w:p>
    <w:p>
      <w:pPr>
        <w:jc w:val="center"/>
        <w:rPr>
          <w:rFonts w:ascii="宋体" w:hAnsi="宋体"/>
          <w:color w:val="000000" w:themeColor="text1"/>
          <w:spacing w:val="-6"/>
          <w:sz w:val="30"/>
          <w:szCs w:val="30"/>
          <w:highlight w:val="none"/>
          <w:u w:val="single"/>
          <w14:textFill>
            <w14:solidFill>
              <w14:schemeClr w14:val="tx1"/>
            </w14:solidFill>
          </w14:textFill>
        </w:rPr>
        <w:sectPr>
          <w:footerReference r:id="rId4" w:type="first"/>
          <w:footerReference r:id="rId3" w:type="default"/>
          <w:pgSz w:w="11906" w:h="16838"/>
          <w:pgMar w:top="1531" w:right="1134" w:bottom="1559" w:left="1418" w:header="851" w:footer="992" w:gutter="0"/>
          <w:pgNumType w:start="0"/>
          <w:cols w:space="720" w:num="1"/>
          <w:titlePg/>
          <w:docGrid w:type="lines" w:linePitch="312" w:charSpace="0"/>
        </w:sectPr>
      </w:pPr>
    </w:p>
    <w:p>
      <w:pPr>
        <w:spacing w:line="360" w:lineRule="auto"/>
        <w:jc w:val="center"/>
        <w:rPr>
          <w:rFonts w:ascii="仿宋_GB2312" w:eastAsia="仿宋_GB2312"/>
          <w:color w:val="000000" w:themeColor="text1"/>
          <w:sz w:val="32"/>
          <w:szCs w:val="32"/>
          <w:highlight w:val="none"/>
          <w:u w:val="single"/>
          <w14:textFill>
            <w14:solidFill>
              <w14:schemeClr w14:val="tx1"/>
            </w14:solidFill>
          </w14:textFill>
        </w:rPr>
      </w:pPr>
      <w:r>
        <w:rPr>
          <w:rFonts w:hint="eastAsia" w:ascii="宋体" w:hAnsi="宋体"/>
          <w:color w:val="000000" w:themeColor="text1"/>
          <w:sz w:val="30"/>
          <w:szCs w:val="30"/>
          <w:highlight w:val="none"/>
          <w:u w:val="single"/>
          <w14:textFill>
            <w14:solidFill>
              <w14:schemeClr w14:val="tx1"/>
            </w14:solidFill>
          </w14:textFill>
        </w:rPr>
        <w:t>绍兴市本级海塘安澜工程（曹娥江大闸段）全过程工程咨询</w:t>
      </w:r>
    </w:p>
    <w:p>
      <w:pPr>
        <w:spacing w:line="360" w:lineRule="auto"/>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招标文件</w:t>
      </w:r>
    </w:p>
    <w:p>
      <w:pPr>
        <w:spacing w:line="540" w:lineRule="exact"/>
        <w:rPr>
          <w:rFonts w:ascii="宋体" w:hAnsi="宋体"/>
          <w:color w:val="000000" w:themeColor="text1"/>
          <w:highlight w:val="none"/>
          <w14:textFill>
            <w14:solidFill>
              <w14:schemeClr w14:val="tx1"/>
            </w14:solidFill>
          </w14:textFill>
        </w:rPr>
      </w:pPr>
    </w:p>
    <w:p>
      <w:pPr>
        <w:spacing w:line="540" w:lineRule="exact"/>
        <w:rPr>
          <w:rFonts w:ascii="宋体" w:hAnsi="宋体"/>
          <w:color w:val="000000" w:themeColor="text1"/>
          <w:spacing w:val="4"/>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招标人：</w:t>
      </w:r>
      <w:r>
        <w:rPr>
          <w:rFonts w:hint="eastAsia" w:ascii="宋体" w:hAnsi="宋体"/>
          <w:color w:val="000000" w:themeColor="text1"/>
          <w:highlight w:val="none"/>
          <w:u w:val="single"/>
          <w14:textFill>
            <w14:solidFill>
              <w14:schemeClr w14:val="tx1"/>
            </w14:solidFill>
          </w14:textFill>
        </w:rPr>
        <w:t xml:space="preserve"> 绍兴市曹娥江大闸投资开发有限公司  </w:t>
      </w:r>
      <w:r>
        <w:rPr>
          <w:rFonts w:hint="eastAsia" w:ascii="宋体" w:hAnsi="宋体"/>
          <w:color w:val="000000" w:themeColor="text1"/>
          <w:highlight w:val="none"/>
          <w14:textFill>
            <w14:solidFill>
              <w14:schemeClr w14:val="tx1"/>
            </w14:solidFill>
          </w14:textFill>
        </w:rPr>
        <w:t>（盖章）</w:t>
      </w: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招标人法定代表人：</w:t>
      </w:r>
      <w:r>
        <w:rPr>
          <w:rFonts w:hint="eastAsia" w:ascii="宋体" w:hAnsi="宋体"/>
          <w:color w:val="000000" w:themeColor="text1"/>
          <w:highlight w:val="none"/>
          <w:u w:val="single"/>
          <w14:textFill>
            <w14:solidFill>
              <w14:schemeClr w14:val="tx1"/>
            </w14:solidFill>
          </w14:textFill>
        </w:rPr>
        <w:t xml:space="preserve">    赵俞斌        </w:t>
      </w:r>
      <w:r>
        <w:rPr>
          <w:rFonts w:hint="eastAsia" w:ascii="宋体" w:hAnsi="宋体"/>
          <w:color w:val="000000" w:themeColor="text1"/>
          <w:highlight w:val="none"/>
          <w14:textFill>
            <w14:solidFill>
              <w14:schemeClr w14:val="tx1"/>
            </w14:solidFill>
          </w14:textFill>
        </w:rPr>
        <w:t>（签字或盖章）</w:t>
      </w: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招标人地址：</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绍兴市越城区凤林西路166号   </w:t>
      </w: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邮政编码：</w:t>
      </w:r>
      <w:r>
        <w:rPr>
          <w:rFonts w:hint="eastAsia" w:ascii="宋体" w:hAnsi="宋体"/>
          <w:color w:val="000000" w:themeColor="text1"/>
          <w:highlight w:val="none"/>
          <w:u w:val="single"/>
          <w14:textFill>
            <w14:solidFill>
              <w14:schemeClr w14:val="tx1"/>
            </w14:solidFill>
          </w14:textFill>
        </w:rPr>
        <w:t xml:space="preserve">    312000    </w:t>
      </w:r>
    </w:p>
    <w:p>
      <w:pPr>
        <w:spacing w:line="540" w:lineRule="exac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联系电话：</w:t>
      </w:r>
      <w:r>
        <w:rPr>
          <w:rFonts w:hint="eastAsia" w:ascii="宋体" w:hAnsi="宋体"/>
          <w:color w:val="000000" w:themeColor="text1"/>
          <w:highlight w:val="none"/>
          <w:u w:val="single"/>
          <w14:textFill>
            <w14:solidFill>
              <w14:schemeClr w14:val="tx1"/>
            </w14:solidFill>
          </w14:textFill>
        </w:rPr>
        <w:t xml:space="preserve">  0575-85153136     </w:t>
      </w:r>
      <w:r>
        <w:rPr>
          <w:rFonts w:hint="eastAsia" w:ascii="宋体" w:hAnsi="宋体"/>
          <w:color w:val="000000" w:themeColor="text1"/>
          <w:highlight w:val="none"/>
          <w14:textFill>
            <w14:solidFill>
              <w14:schemeClr w14:val="tx1"/>
            </w14:solidFill>
          </w14:textFill>
        </w:rPr>
        <w:t xml:space="preserve">  传真：</w:t>
      </w:r>
      <w:r>
        <w:rPr>
          <w:rFonts w:hint="eastAsia" w:ascii="宋体" w:hAnsi="宋体"/>
          <w:color w:val="000000" w:themeColor="text1"/>
          <w:highlight w:val="none"/>
          <w:u w:val="single"/>
          <w14:textFill>
            <w14:solidFill>
              <w14:schemeClr w14:val="tx1"/>
            </w14:solidFill>
          </w14:textFill>
        </w:rPr>
        <w:t xml:space="preserve">     /     </w:t>
      </w: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联系人：</w:t>
      </w:r>
      <w:r>
        <w:rPr>
          <w:rFonts w:hint="eastAsia" w:ascii="宋体" w:hAnsi="宋体"/>
          <w:color w:val="000000" w:themeColor="text1"/>
          <w:highlight w:val="none"/>
          <w:u w:val="single"/>
          <w14:textFill>
            <w14:solidFill>
              <w14:schemeClr w14:val="tx1"/>
            </w14:solidFill>
          </w14:textFill>
        </w:rPr>
        <w:t xml:space="preserve">      杨伟军      </w:t>
      </w:r>
    </w:p>
    <w:p>
      <w:pPr>
        <w:pStyle w:val="21"/>
        <w:ind w:firstLine="210"/>
        <w:rPr>
          <w:rFonts w:ascii="宋体" w:hAnsi="宋体"/>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招标代理机构名称：</w:t>
      </w:r>
      <w:r>
        <w:rPr>
          <w:rFonts w:hint="eastAsia" w:ascii="宋体" w:hAnsi="宋体"/>
          <w:color w:val="000000" w:themeColor="text1"/>
          <w:highlight w:val="none"/>
          <w:u w:val="single"/>
          <w14:textFill>
            <w14:solidFill>
              <w14:schemeClr w14:val="tx1"/>
            </w14:solidFill>
          </w14:textFill>
        </w:rPr>
        <w:t xml:space="preserve">  浙江鼎峰工程咨询有限公司  </w:t>
      </w:r>
      <w:r>
        <w:rPr>
          <w:rFonts w:hint="eastAsia" w:ascii="宋体" w:hAnsi="宋体"/>
          <w:color w:val="000000" w:themeColor="text1"/>
          <w:highlight w:val="none"/>
          <w14:textFill>
            <w14:solidFill>
              <w14:schemeClr w14:val="tx1"/>
            </w14:solidFill>
          </w14:textFill>
        </w:rPr>
        <w:t>（盖章）</w:t>
      </w:r>
    </w:p>
    <w:p>
      <w:pPr>
        <w:tabs>
          <w:tab w:val="left" w:pos="6300"/>
        </w:tabs>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w:t>
      </w:r>
      <w:r>
        <w:rPr>
          <w:rFonts w:hint="eastAsia" w:ascii="宋体" w:hAnsi="宋体"/>
          <w:color w:val="000000" w:themeColor="text1"/>
          <w:highlight w:val="none"/>
          <w:u w:val="single"/>
          <w14:textFill>
            <w14:solidFill>
              <w14:schemeClr w14:val="tx1"/>
            </w14:solidFill>
          </w14:textFill>
        </w:rPr>
        <w:t xml:space="preserve">     徐如锐      </w:t>
      </w:r>
      <w:r>
        <w:rPr>
          <w:rFonts w:hint="eastAsia" w:ascii="宋体" w:hAnsi="宋体"/>
          <w:color w:val="000000" w:themeColor="text1"/>
          <w:highlight w:val="none"/>
          <w14:textFill>
            <w14:solidFill>
              <w14:schemeClr w14:val="tx1"/>
            </w14:solidFill>
          </w14:textFill>
        </w:rPr>
        <w:t>（签字或盖章）</w:t>
      </w:r>
    </w:p>
    <w:p>
      <w:pPr>
        <w:spacing w:line="540" w:lineRule="exac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绍兴市越城区云东路中富大厦9楼</w:t>
      </w:r>
    </w:p>
    <w:p>
      <w:pPr>
        <w:spacing w:line="540" w:lineRule="exac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邮政编码：</w:t>
      </w:r>
      <w:r>
        <w:rPr>
          <w:rFonts w:hint="eastAsia" w:ascii="宋体" w:hAnsi="宋体"/>
          <w:color w:val="000000" w:themeColor="text1"/>
          <w:highlight w:val="none"/>
          <w:u w:val="single"/>
          <w14:textFill>
            <w14:solidFill>
              <w14:schemeClr w14:val="tx1"/>
            </w14:solidFill>
          </w14:textFill>
        </w:rPr>
        <w:t xml:space="preserve">   312000   </w:t>
      </w:r>
    </w:p>
    <w:p>
      <w:pPr>
        <w:spacing w:line="540" w:lineRule="exac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联系电话：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18657587980  </w:t>
      </w:r>
      <w:r>
        <w:rPr>
          <w:rFonts w:hint="eastAsia" w:ascii="宋体" w:hAnsi="宋体"/>
          <w:color w:val="000000" w:themeColor="text1"/>
          <w:highlight w:val="none"/>
          <w14:textFill>
            <w14:solidFill>
              <w14:schemeClr w14:val="tx1"/>
            </w14:solidFill>
          </w14:textFill>
        </w:rPr>
        <w:t xml:space="preserve">  传真：</w:t>
      </w:r>
      <w:r>
        <w:rPr>
          <w:rFonts w:hint="eastAsia" w:ascii="宋体" w:hAnsi="宋体"/>
          <w:color w:val="000000" w:themeColor="text1"/>
          <w:highlight w:val="none"/>
          <w:u w:val="single"/>
          <w14:textFill>
            <w14:solidFill>
              <w14:schemeClr w14:val="tx1"/>
            </w14:solidFill>
          </w14:textFill>
        </w:rPr>
        <w:t xml:space="preserve"> / </w:t>
      </w:r>
    </w:p>
    <w:p>
      <w:pPr>
        <w:spacing w:line="54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金生钦</w:t>
      </w:r>
      <w:r>
        <w:rPr>
          <w:rFonts w:hint="eastAsia" w:ascii="宋体" w:hAnsi="宋体"/>
          <w:color w:val="000000" w:themeColor="text1"/>
          <w:highlight w:val="none"/>
          <w:u w:val="single"/>
          <w14:textFill>
            <w14:solidFill>
              <w14:schemeClr w14:val="tx1"/>
            </w14:solidFill>
          </w14:textFill>
        </w:rPr>
        <w:t xml:space="preserve">    </w:t>
      </w:r>
    </w:p>
    <w:p>
      <w:pPr>
        <w:spacing w:line="540" w:lineRule="exac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签发日期：</w:t>
      </w:r>
      <w:r>
        <w:rPr>
          <w:rFonts w:hint="eastAsia" w:ascii="宋体" w:hAnsi="宋体"/>
          <w:color w:val="000000" w:themeColor="text1"/>
          <w:highlight w:val="none"/>
          <w:u w:val="single"/>
          <w14:textFill>
            <w14:solidFill>
              <w14:schemeClr w14:val="tx1"/>
            </w14:solidFill>
          </w14:textFill>
        </w:rPr>
        <w:t xml:space="preserve"> 2023</w:t>
      </w:r>
      <w:r>
        <w:rPr>
          <w:rFonts w:hint="eastAsia"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tabs>
          <w:tab w:val="left" w:pos="360"/>
          <w:tab w:val="left" w:pos="720"/>
          <w:tab w:val="left" w:pos="900"/>
        </w:tabs>
        <w:spacing w:line="360" w:lineRule="auto"/>
        <w:ind w:left="359" w:leftChars="171"/>
        <w:jc w:val="center"/>
        <w:rPr>
          <w:rFonts w:ascii="宋体" w:hAnsi="宋体"/>
          <w:color w:val="000000" w:themeColor="text1"/>
          <w:szCs w:val="21"/>
          <w:highlight w:val="none"/>
          <w14:textFill>
            <w14:solidFill>
              <w14:schemeClr w14:val="tx1"/>
            </w14:solidFill>
          </w14:textFill>
        </w:rPr>
      </w:pPr>
    </w:p>
    <w:p>
      <w:pPr>
        <w:tabs>
          <w:tab w:val="left" w:pos="360"/>
          <w:tab w:val="left" w:pos="720"/>
          <w:tab w:val="left" w:pos="900"/>
        </w:tabs>
        <w:spacing w:line="360" w:lineRule="auto"/>
        <w:ind w:left="359" w:leftChars="171"/>
        <w:jc w:val="center"/>
        <w:rPr>
          <w:rFonts w:ascii="宋体" w:hAnsi="宋体"/>
          <w:color w:val="000000" w:themeColor="text1"/>
          <w:szCs w:val="21"/>
          <w:highlight w:val="none"/>
          <w14:textFill>
            <w14:solidFill>
              <w14:schemeClr w14:val="tx1"/>
            </w14:solidFill>
          </w14:textFill>
        </w:rPr>
      </w:pPr>
    </w:p>
    <w:p>
      <w:pPr>
        <w:tabs>
          <w:tab w:val="left" w:pos="360"/>
          <w:tab w:val="left" w:pos="720"/>
          <w:tab w:val="left" w:pos="900"/>
        </w:tabs>
        <w:spacing w:line="360" w:lineRule="auto"/>
        <w:ind w:left="359" w:leftChars="171"/>
        <w:jc w:val="center"/>
        <w:rPr>
          <w:rFonts w:ascii="宋体" w:hAnsi="宋体"/>
          <w:color w:val="000000" w:themeColor="text1"/>
          <w:szCs w:val="21"/>
          <w:highlight w:val="none"/>
          <w14:textFill>
            <w14:solidFill>
              <w14:schemeClr w14:val="tx1"/>
            </w14:solidFill>
          </w14:textFill>
        </w:rPr>
      </w:pPr>
    </w:p>
    <w:p>
      <w:pPr>
        <w:tabs>
          <w:tab w:val="left" w:pos="360"/>
          <w:tab w:val="left" w:pos="720"/>
          <w:tab w:val="left" w:pos="900"/>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备案单位意见：</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（备案章）</w:t>
      </w:r>
    </w:p>
    <w:p>
      <w:pPr>
        <w:tabs>
          <w:tab w:val="left" w:pos="360"/>
          <w:tab w:val="left" w:pos="720"/>
          <w:tab w:val="left" w:pos="900"/>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 办 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（签字或盖章）</w:t>
      </w:r>
    </w:p>
    <w:p>
      <w:pPr>
        <w:tabs>
          <w:tab w:val="left" w:pos="360"/>
          <w:tab w:val="left" w:pos="720"/>
          <w:tab w:val="left" w:pos="900"/>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备案日期：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tabs>
          <w:tab w:val="left" w:pos="360"/>
          <w:tab w:val="left" w:pos="720"/>
          <w:tab w:val="left" w:pos="900"/>
        </w:tabs>
        <w:spacing w:line="480" w:lineRule="exact"/>
        <w:rPr>
          <w:rFonts w:ascii="宋体" w:hAnsi="宋体"/>
          <w:color w:val="000000" w:themeColor="text1"/>
          <w:highlight w:val="none"/>
          <w14:textFill>
            <w14:solidFill>
              <w14:schemeClr w14:val="tx1"/>
            </w14:solidFill>
          </w14:textFill>
        </w:rPr>
      </w:pPr>
    </w:p>
    <w:p>
      <w:pPr>
        <w:tabs>
          <w:tab w:val="left" w:pos="360"/>
          <w:tab w:val="left" w:pos="720"/>
          <w:tab w:val="left" w:pos="900"/>
        </w:tabs>
        <w:spacing w:line="360" w:lineRule="auto"/>
        <w:ind w:firstLine="525" w:firstLineChars="250"/>
        <w:rPr>
          <w:rFonts w:ascii="宋体" w:hAnsi="宋体"/>
          <w:color w:val="000000" w:themeColor="text1"/>
          <w:szCs w:val="21"/>
          <w:highlight w:val="none"/>
          <w14:textFill>
            <w14:solidFill>
              <w14:schemeClr w14:val="tx1"/>
            </w14:solidFill>
          </w14:textFill>
        </w:rPr>
      </w:pPr>
    </w:p>
    <w:p>
      <w:pPr>
        <w:ind w:right="720"/>
        <w:rPr>
          <w:rFonts w:ascii="宋体" w:hAnsi="宋体"/>
          <w:color w:val="000000" w:themeColor="text1"/>
          <w:sz w:val="44"/>
          <w:szCs w:val="44"/>
          <w:highlight w:val="none"/>
          <w14:textFill>
            <w14:solidFill>
              <w14:schemeClr w14:val="tx1"/>
            </w14:solidFill>
          </w14:textFill>
        </w:rPr>
      </w:pPr>
    </w:p>
    <w:p>
      <w:pPr>
        <w:ind w:right="720"/>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目  录</w:t>
      </w:r>
    </w:p>
    <w:p>
      <w:pPr>
        <w:spacing w:line="4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第一章  招标公告 ----------------------------------------------------------------3</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  投标人须知</w:t>
      </w:r>
    </w:p>
    <w:p>
      <w:pPr>
        <w:spacing w:line="420" w:lineRule="exact"/>
        <w:ind w:firstLine="840" w:firstLineChars="4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投标人须知前附表 ------------------------------------------------------------7</w:t>
      </w:r>
    </w:p>
    <w:p>
      <w:pPr>
        <w:spacing w:line="420" w:lineRule="exact"/>
        <w:ind w:firstLine="840" w:firstLineChars="4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一、总则 -------------------------------------------------------------------13</w:t>
      </w:r>
    </w:p>
    <w:p>
      <w:pPr>
        <w:spacing w:line="420" w:lineRule="exact"/>
        <w:ind w:firstLine="840" w:firstLineChars="4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二、招标文件----------------------------------------------------------------15</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三、投标报价 ---------------------------------------------------------------15</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四、投标文件的编制----------------------------------------------------------16</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五、投标文件的递交 ---------------------------------------------------------18</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六、开标 -------------------------------------------------------------------19</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七、评标--------------------------------------------------------------------20</w:t>
      </w:r>
    </w:p>
    <w:p>
      <w:pPr>
        <w:spacing w:line="420" w:lineRule="exact"/>
        <w:ind w:firstLine="84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八、中标 -------------------------------------------------------------------24</w:t>
      </w:r>
    </w:p>
    <w:p>
      <w:pPr>
        <w:spacing w:line="420" w:lineRule="exact"/>
        <w:ind w:firstLine="840" w:firstLineChars="4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九、授予合同----------------------------------------------------------------24</w:t>
      </w:r>
    </w:p>
    <w:p>
      <w:pPr>
        <w:spacing w:line="420" w:lineRule="exact"/>
        <w:ind w:firstLine="880" w:firstLineChars="400"/>
        <w:rPr>
          <w:rFonts w:ascii="宋体" w:hAnsi="宋体"/>
          <w:color w:val="000000" w:themeColor="text1"/>
          <w:kern w:val="0"/>
          <w:sz w:val="22"/>
          <w:szCs w:val="21"/>
          <w:highlight w:val="none"/>
          <w14:textFill>
            <w14:solidFill>
              <w14:schemeClr w14:val="tx1"/>
            </w14:solidFill>
          </w14:textFill>
        </w:rPr>
      </w:pPr>
      <w:r>
        <w:rPr>
          <w:rFonts w:hint="eastAsia" w:ascii="宋体" w:hAnsi="宋体"/>
          <w:color w:val="000000" w:themeColor="text1"/>
          <w:kern w:val="0"/>
          <w:sz w:val="22"/>
          <w:szCs w:val="21"/>
          <w:highlight w:val="none"/>
          <w14:textFill>
            <w14:solidFill>
              <w14:schemeClr w14:val="tx1"/>
            </w14:solidFill>
          </w14:textFill>
        </w:rPr>
        <w:t>十、重新招标和不再招标</w:t>
      </w:r>
      <w:r>
        <w:rPr>
          <w:rFonts w:hint="eastAsia" w:ascii="宋体" w:hAnsi="宋体"/>
          <w:color w:val="000000" w:themeColor="text1"/>
          <w:szCs w:val="21"/>
          <w:highlight w:val="none"/>
          <w14:textFill>
            <w14:solidFill>
              <w14:schemeClr w14:val="tx1"/>
            </w14:solidFill>
          </w14:textFill>
        </w:rPr>
        <w:t>-----------------------------------------------------24</w:t>
      </w:r>
    </w:p>
    <w:p>
      <w:pPr>
        <w:spacing w:line="460" w:lineRule="exact"/>
        <w:ind w:firstLine="880" w:firstLineChars="4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 w:val="22"/>
          <w:szCs w:val="21"/>
          <w:highlight w:val="none"/>
          <w14:textFill>
            <w14:solidFill>
              <w14:schemeClr w14:val="tx1"/>
            </w14:solidFill>
          </w14:textFill>
        </w:rPr>
        <w:t>十一、纪律和监督</w:t>
      </w:r>
      <w:r>
        <w:rPr>
          <w:rFonts w:hint="eastAsia" w:ascii="宋体" w:hAnsi="宋体"/>
          <w:color w:val="000000" w:themeColor="text1"/>
          <w:szCs w:val="21"/>
          <w:highlight w:val="none"/>
          <w14:textFill>
            <w14:solidFill>
              <w14:schemeClr w14:val="tx1"/>
            </w14:solidFill>
          </w14:textFill>
        </w:rPr>
        <w:t>-----------------------------------------------------------25</w:t>
      </w:r>
    </w:p>
    <w:p>
      <w:pPr>
        <w:spacing w:line="4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第三章  合同主要协议条款--------------------------------------------------------26</w:t>
      </w:r>
    </w:p>
    <w:p>
      <w:pPr>
        <w:spacing w:line="4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第四章  技术规范及设计文件------------------------------------------------------43</w:t>
      </w:r>
    </w:p>
    <w:p>
      <w:pPr>
        <w:spacing w:line="220" w:lineRule="atLeast"/>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  投标文件（附表件）------------------------------------------------------44</w:t>
      </w:r>
    </w:p>
    <w:p>
      <w:pPr>
        <w:spacing w:line="360" w:lineRule="auto"/>
        <w:jc w:val="center"/>
        <w:rPr>
          <w:rFonts w:ascii="宋体" w:hAnsi="宋体"/>
          <w:bCs/>
          <w:color w:val="000000" w:themeColor="text1"/>
          <w:kern w:val="16"/>
          <w:position w:val="6"/>
          <w:sz w:val="44"/>
          <w:szCs w:val="4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br w:type="page"/>
      </w:r>
      <w:r>
        <w:rPr>
          <w:rFonts w:hint="eastAsia" w:ascii="宋体" w:hAnsi="宋体"/>
          <w:bCs/>
          <w:color w:val="000000" w:themeColor="text1"/>
          <w:kern w:val="16"/>
          <w:position w:val="6"/>
          <w:sz w:val="44"/>
          <w:szCs w:val="44"/>
          <w:highlight w:val="none"/>
          <w14:textFill>
            <w14:solidFill>
              <w14:schemeClr w14:val="tx1"/>
            </w14:solidFill>
          </w14:textFill>
        </w:rPr>
        <w:t>第一章  招标公告</w:t>
      </w:r>
    </w:p>
    <w:p>
      <w:pPr>
        <w:spacing w:line="360" w:lineRule="auto"/>
        <w:jc w:val="center"/>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绍兴市本级海塘安澜工程（曹娥江大闸段）全过程工程咨询</w:t>
      </w:r>
      <w:r>
        <w:rPr>
          <w:rFonts w:hint="eastAsia" w:eastAsia="仿宋_GB2312"/>
          <w:color w:val="000000" w:themeColor="text1"/>
          <w:sz w:val="28"/>
          <w:szCs w:val="28"/>
          <w:highlight w:val="none"/>
          <w14:textFill>
            <w14:solidFill>
              <w14:schemeClr w14:val="tx1"/>
            </w14:solidFill>
          </w14:textFill>
        </w:rPr>
        <w:t>招标公告</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1.招标条件</w:t>
      </w:r>
    </w:p>
    <w:p>
      <w:pPr>
        <w:widowControl/>
        <w:spacing w:line="400" w:lineRule="exact"/>
        <w:ind w:firstLine="420"/>
        <w:rPr>
          <w:rFonts w:ascii="宋体" w:hAnsi="宋体" w:cs="宋体"/>
          <w:b/>
          <w:color w:val="000000" w:themeColor="text1"/>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本招标项目</w:t>
      </w:r>
      <w:r>
        <w:rPr>
          <w:rFonts w:hint="eastAsia" w:ascii="宋体" w:hAnsi="宋体" w:cs="宋体"/>
          <w:b/>
          <w:color w:val="000000" w:themeColor="text1"/>
          <w:szCs w:val="21"/>
          <w:highlight w:val="none"/>
          <w:u w:val="single"/>
          <w14:textFill>
            <w14:solidFill>
              <w14:schemeClr w14:val="tx1"/>
            </w14:solidFill>
          </w14:textFill>
        </w:rPr>
        <w:t>绍兴市本级海塘安澜工程（曹娥江大闸段）全过程工程咨询</w:t>
      </w:r>
      <w:r>
        <w:rPr>
          <w:rFonts w:ascii="宋体" w:hAnsi="宋体" w:cs="Arial"/>
          <w:color w:val="000000" w:themeColor="text1"/>
          <w:kern w:val="0"/>
          <w:szCs w:val="21"/>
          <w:highlight w:val="none"/>
          <w14:textFill>
            <w14:solidFill>
              <w14:schemeClr w14:val="tx1"/>
            </w14:solidFill>
          </w14:textFill>
        </w:rPr>
        <w:t>（项目名称）已由</w:t>
      </w:r>
      <w:r>
        <w:rPr>
          <w:rFonts w:hint="eastAsia" w:ascii="宋体" w:hAnsi="宋体" w:cs="宋体"/>
          <w:b/>
          <w:color w:val="000000" w:themeColor="text1"/>
          <w:szCs w:val="21"/>
          <w:highlight w:val="none"/>
          <w:u w:val="single"/>
          <w14:textFill>
            <w14:solidFill>
              <w14:schemeClr w14:val="tx1"/>
            </w14:solidFill>
          </w14:textFill>
        </w:rPr>
        <w:t xml:space="preserve"> 浙江省发展和改革委员会</w:t>
      </w:r>
      <w:r>
        <w:rPr>
          <w:rFonts w:hint="eastAsia" w:ascii="宋体" w:hAnsi="宋体" w:cs="宋体"/>
          <w:color w:val="000000" w:themeColor="text1"/>
          <w:kern w:val="0"/>
          <w:szCs w:val="21"/>
          <w:highlight w:val="none"/>
          <w14:textFill>
            <w14:solidFill>
              <w14:schemeClr w14:val="tx1"/>
            </w14:solidFill>
          </w14:textFill>
        </w:rPr>
        <w:t>（项目审批、核准或备案机关名称）以</w:t>
      </w:r>
      <w:r>
        <w:rPr>
          <w:rFonts w:hint="eastAsia" w:ascii="宋体" w:hAnsi="宋体" w:cs="宋体"/>
          <w:b/>
          <w:bCs/>
          <w:color w:val="000000" w:themeColor="text1"/>
          <w:kern w:val="0"/>
          <w:szCs w:val="21"/>
          <w:highlight w:val="none"/>
          <w:u w:val="single"/>
          <w14:textFill>
            <w14:solidFill>
              <w14:schemeClr w14:val="tx1"/>
            </w14:solidFill>
          </w14:textFill>
        </w:rPr>
        <w:t>2112-330000-04-01-253824</w:t>
      </w:r>
      <w:r>
        <w:rPr>
          <w:rFonts w:hint="eastAsia" w:ascii="宋体" w:hAnsi="宋体" w:cs="宋体"/>
          <w:bCs/>
          <w:color w:val="000000" w:themeColor="text1"/>
          <w:szCs w:val="21"/>
          <w:highlight w:val="none"/>
          <w14:textFill>
            <w14:solidFill>
              <w14:schemeClr w14:val="tx1"/>
            </w14:solidFill>
          </w14:textFill>
        </w:rPr>
        <w:t>(批文名</w:t>
      </w:r>
      <w:r>
        <w:rPr>
          <w:rFonts w:hint="eastAsia" w:ascii="宋体" w:hAnsi="宋体" w:cs="宋体"/>
          <w:bCs/>
          <w:color w:val="000000" w:themeColor="text1"/>
          <w:kern w:val="0"/>
          <w:szCs w:val="21"/>
          <w:highlight w:val="none"/>
          <w14:textFill>
            <w14:solidFill>
              <w14:schemeClr w14:val="tx1"/>
            </w14:solidFill>
          </w14:textFill>
        </w:rPr>
        <w:t>称</w:t>
      </w:r>
      <w:r>
        <w:rPr>
          <w:rFonts w:hint="eastAsia" w:ascii="宋体" w:hAnsi="宋体" w:cs="宋体"/>
          <w:color w:val="000000" w:themeColor="text1"/>
          <w:kern w:val="0"/>
          <w:szCs w:val="21"/>
          <w:highlight w:val="none"/>
          <w14:textFill>
            <w14:solidFill>
              <w14:schemeClr w14:val="tx1"/>
            </w14:solidFill>
          </w14:textFill>
        </w:rPr>
        <w:t>及编号）</w:t>
      </w:r>
      <w:r>
        <w:rPr>
          <w:rFonts w:ascii="宋体" w:hAnsi="宋体" w:cs="Arial"/>
          <w:color w:val="000000" w:themeColor="text1"/>
          <w:kern w:val="0"/>
          <w:szCs w:val="21"/>
          <w:highlight w:val="none"/>
          <w14:textFill>
            <w14:solidFill>
              <w14:schemeClr w14:val="tx1"/>
            </w14:solidFill>
          </w14:textFill>
        </w:rPr>
        <w:t>（批文名称及编号）批准建设，招标人为</w:t>
      </w:r>
      <w:r>
        <w:rPr>
          <w:rFonts w:hint="eastAsia" w:ascii="宋体" w:hAnsi="宋体" w:cs="宋体"/>
          <w:b/>
          <w:color w:val="000000" w:themeColor="text1"/>
          <w:szCs w:val="21"/>
          <w:highlight w:val="none"/>
          <w:u w:val="single"/>
          <w14:textFill>
            <w14:solidFill>
              <w14:schemeClr w14:val="tx1"/>
            </w14:solidFill>
          </w14:textFill>
        </w:rPr>
        <w:t xml:space="preserve"> 绍兴市曹娥江大闸投资开发有限公司</w:t>
      </w:r>
      <w:r>
        <w:rPr>
          <w:rFonts w:ascii="宋体" w:hAnsi="宋体" w:cs="Arial"/>
          <w:color w:val="000000" w:themeColor="text1"/>
          <w:kern w:val="0"/>
          <w:szCs w:val="21"/>
          <w:highlight w:val="none"/>
          <w14:textFill>
            <w14:solidFill>
              <w14:schemeClr w14:val="tx1"/>
            </w14:solidFill>
          </w14:textFill>
        </w:rPr>
        <w:t>，建设资金来自</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宋体"/>
          <w:b/>
          <w:color w:val="000000" w:themeColor="text1"/>
          <w:kern w:val="0"/>
          <w:szCs w:val="21"/>
          <w:highlight w:val="none"/>
          <w:u w:val="single"/>
          <w14:textFill>
            <w14:solidFill>
              <w14:schemeClr w14:val="tx1"/>
            </w14:solidFill>
          </w14:textFill>
        </w:rPr>
        <w:t xml:space="preserve">财政 </w:t>
      </w:r>
      <w:r>
        <w:rPr>
          <w:rFonts w:ascii="宋体" w:hAnsi="宋体" w:cs="Arial"/>
          <w:color w:val="000000" w:themeColor="text1"/>
          <w:kern w:val="0"/>
          <w:szCs w:val="21"/>
          <w:highlight w:val="none"/>
          <w14:textFill>
            <w14:solidFill>
              <w14:schemeClr w14:val="tx1"/>
            </w14:solidFill>
          </w14:textFill>
        </w:rPr>
        <w:t>（资金来源）。项目已具备招标条件，现对该项目的</w:t>
      </w:r>
      <w:r>
        <w:rPr>
          <w:rFonts w:hint="eastAsia" w:ascii="宋体" w:hAnsi="宋体" w:cs="宋体"/>
          <w:b/>
          <w:color w:val="000000" w:themeColor="text1"/>
          <w:szCs w:val="21"/>
          <w:highlight w:val="none"/>
          <w:u w:val="single"/>
          <w14:textFill>
            <w14:solidFill>
              <w14:schemeClr w14:val="tx1"/>
            </w14:solidFill>
          </w14:textFill>
        </w:rPr>
        <w:t>全过程工程咨询</w:t>
      </w:r>
      <w:r>
        <w:rPr>
          <w:rFonts w:ascii="宋体" w:hAnsi="宋体" w:cs="Arial"/>
          <w:color w:val="000000" w:themeColor="text1"/>
          <w:kern w:val="0"/>
          <w:szCs w:val="21"/>
          <w:highlight w:val="none"/>
          <w14:textFill>
            <w14:solidFill>
              <w14:schemeClr w14:val="tx1"/>
            </w14:solidFill>
          </w14:textFill>
        </w:rPr>
        <w:t>进行公开招标。</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2.项目概况与招标范围</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2.1 建设地点：</w:t>
      </w:r>
      <w:r>
        <w:rPr>
          <w:rFonts w:hint="eastAsia" w:ascii="宋体" w:hAnsi="宋体" w:cs="Arial"/>
          <w:b/>
          <w:bCs/>
          <w:color w:val="000000" w:themeColor="text1"/>
          <w:kern w:val="0"/>
          <w:szCs w:val="21"/>
          <w:highlight w:val="none"/>
          <w:u w:val="single"/>
          <w14:textFill>
            <w14:solidFill>
              <w14:schemeClr w14:val="tx1"/>
            </w14:solidFill>
          </w14:textFill>
        </w:rPr>
        <w:t xml:space="preserve"> 绍兴市曹娥江大闸枢纽工程现场</w:t>
      </w:r>
      <w:r>
        <w:rPr>
          <w:rFonts w:ascii="宋体" w:hAnsi="宋体" w:cs="Arial"/>
          <w:b/>
          <w:bCs/>
          <w:color w:val="000000" w:themeColor="text1"/>
          <w:kern w:val="0"/>
          <w:szCs w:val="21"/>
          <w:highlight w:val="none"/>
          <w14:textFill>
            <w14:solidFill>
              <w14:schemeClr w14:val="tx1"/>
            </w14:solidFill>
          </w14:textFill>
        </w:rPr>
        <w:t>。</w:t>
      </w:r>
    </w:p>
    <w:p>
      <w:pPr>
        <w:widowControl/>
        <w:spacing w:line="400" w:lineRule="exact"/>
        <w:rPr>
          <w:rFonts w:ascii="宋体" w:hAnsi="宋体" w:cs="宋体"/>
          <w:b/>
          <w:bCs/>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2.2 建设规模：</w:t>
      </w:r>
      <w:r>
        <w:rPr>
          <w:rFonts w:hint="eastAsia" w:ascii="宋体" w:hAnsi="宋体" w:cs="Arial"/>
          <w:color w:val="000000" w:themeColor="text1"/>
          <w:kern w:val="0"/>
          <w:szCs w:val="21"/>
          <w:highlight w:val="none"/>
          <w:u w:val="single"/>
          <w14:textFill>
            <w14:solidFill>
              <w14:schemeClr w14:val="tx1"/>
            </w14:solidFill>
          </w14:textFill>
        </w:rPr>
        <w:t>本工程防潮标准由 100 年一遇提升至 300 年一遇，工程等别为Ⅰ等。（1）提标加固曹娥江大闸枢纽1.6km，包括挡潮泄洪闸0.7公里、堵坝和导流堤0.9公里；（2）提标加固两侧连接段海塘760m，包括左岸九七丘260m、右岸九四丘500m；（3）提标加固左岸盘头1座，新建护塘河护岸500m，新建鱼道进口1处，生产辅助用房1380m2，现有集控楼内部改造2400m2。（4）新建水文化景观节点1处，面积24400m2。改造提升九七丘堤后景观20280m2、导流堤园区景观面积10345m2，新建绿道1600m。（5）生态提质绿化面积175930m2，塘河生态修复500m。总投资约61186万元，本项目工程建安费暂定约47729万元。</w:t>
      </w:r>
    </w:p>
    <w:p>
      <w:pPr>
        <w:widowControl/>
        <w:spacing w:line="400" w:lineRule="exact"/>
        <w:jc w:val="left"/>
        <w:rPr>
          <w:rFonts w:ascii="宋体" w:hAnsi="宋体" w:cs="仿宋_GB2312"/>
          <w:color w:val="000000" w:themeColor="text1"/>
          <w:kern w:val="16"/>
          <w:szCs w:val="21"/>
          <w:highlight w:val="none"/>
          <w:u w:val="single"/>
          <w14:textFill>
            <w14:solidFill>
              <w14:schemeClr w14:val="tx1"/>
            </w14:solidFill>
          </w14:textFill>
        </w:rPr>
      </w:pPr>
      <w:r>
        <w:rPr>
          <w:rFonts w:ascii="宋体" w:hAnsi="宋体" w:cs="Arial"/>
          <w:b/>
          <w:bCs/>
          <w:color w:val="000000" w:themeColor="text1"/>
          <w:kern w:val="0"/>
          <w:szCs w:val="21"/>
          <w:highlight w:val="none"/>
          <w14:textFill>
            <w14:solidFill>
              <w14:schemeClr w14:val="tx1"/>
            </w14:solidFill>
          </w14:textFill>
        </w:rPr>
        <w:t>2.3</w:t>
      </w:r>
      <w:r>
        <w:rPr>
          <w:rFonts w:ascii="宋体" w:hAnsi="宋体" w:cs="Arial"/>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16"/>
          <w:szCs w:val="21"/>
          <w:highlight w:val="none"/>
          <w:u w:val="single"/>
          <w14:textFill>
            <w14:solidFill>
              <w14:schemeClr w14:val="tx1"/>
            </w14:solidFill>
          </w14:textFill>
        </w:rPr>
        <w:t>招标范围：综合性咨询，主要包括项目策划、项目报批报建验收管理、设计管理、合同管理、进度管理、安全管理、质量管理、投资管理、信息管理、风险管理、技术管理等；专项咨询，主要包括施工图审查、招标代理、全过程造价咨询（工程量清单及预算编制、施工阶段造价控制、结算审核、竣工决算编制等）、第三方质量检测、施工期安全监测、水保和环保监测、专家组巡查、工程验收服务（含各类专项验收、技术鉴定和完（竣）工验收等）、绩效评价等。招标估算价：约1503万元，其中第三方质量检测费约163万元。</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2.4工程类别：</w:t>
      </w:r>
      <w:r>
        <w:rPr>
          <w:rFonts w:hint="eastAsia" w:ascii="宋体" w:hAnsi="宋体" w:cs="宋体"/>
          <w:b/>
          <w:color w:val="000000" w:themeColor="text1"/>
          <w:szCs w:val="21"/>
          <w:highlight w:val="none"/>
          <w:u w:val="single"/>
          <w14:textFill>
            <w14:solidFill>
              <w14:schemeClr w14:val="tx1"/>
            </w14:solidFill>
          </w14:textFill>
        </w:rPr>
        <w:t xml:space="preserve"> 全过程工程咨询</w:t>
      </w:r>
      <w:r>
        <w:rPr>
          <w:rFonts w:hint="eastAsia" w:ascii="宋体" w:hAnsi="宋体"/>
          <w:i/>
          <w:color w:val="000000" w:themeColor="text1"/>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w:t>
      </w:r>
    </w:p>
    <w:p>
      <w:pPr>
        <w:widowControl/>
        <w:spacing w:line="400" w:lineRule="exact"/>
        <w:rPr>
          <w:rFonts w:ascii="宋体" w:hAnsi="宋体" w:cs="宋体"/>
          <w:b/>
          <w:color w:val="000000" w:themeColor="text1"/>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2.5 计划工期：</w:t>
      </w:r>
      <w:r>
        <w:rPr>
          <w:rFonts w:hint="eastAsia" w:ascii="宋体" w:hAnsi="宋体" w:cs="仿宋_GB2312"/>
          <w:bCs/>
          <w:color w:val="000000" w:themeColor="text1"/>
          <w:kern w:val="16"/>
          <w:szCs w:val="21"/>
          <w:highlight w:val="none"/>
          <w:u w:val="single"/>
          <w14:textFill>
            <w14:solidFill>
              <w14:schemeClr w14:val="tx1"/>
            </w14:solidFill>
          </w14:textFill>
        </w:rPr>
        <w:t>自合同签订之日起，至工程竣工验收、财务决算审计结束且缺陷责任期满，同时完成招标范围内所有工作内容之日止。</w:t>
      </w:r>
    </w:p>
    <w:p>
      <w:pPr>
        <w:widowControl/>
        <w:spacing w:line="400" w:lineRule="exact"/>
        <w:rPr>
          <w:rFonts w:ascii="宋体" w:hAnsi="宋体" w:cs="Arial"/>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2.6 质量要求：</w:t>
      </w:r>
      <w:r>
        <w:rPr>
          <w:rFonts w:hint="eastAsia" w:ascii="宋体" w:hAnsi="宋体" w:cs="宋体"/>
          <w:b/>
          <w:color w:val="000000" w:themeColor="text1"/>
          <w:szCs w:val="21"/>
          <w:highlight w:val="none"/>
          <w:u w:val="single"/>
          <w14:textFill>
            <w14:solidFill>
              <w14:schemeClr w14:val="tx1"/>
            </w14:solidFill>
          </w14:textFill>
        </w:rPr>
        <w:t>合格</w:t>
      </w:r>
      <w:r>
        <w:rPr>
          <w:rFonts w:ascii="宋体" w:hAnsi="宋体" w:cs="Arial"/>
          <w:color w:val="000000" w:themeColor="text1"/>
          <w:kern w:val="0"/>
          <w:szCs w:val="21"/>
          <w:highlight w:val="none"/>
          <w14:textFill>
            <w14:solidFill>
              <w14:schemeClr w14:val="tx1"/>
            </w14:solidFill>
          </w14:textFill>
        </w:rPr>
        <w:t>。</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2.7标段划分：</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  / </w:t>
      </w:r>
      <w:r>
        <w:rPr>
          <w:rFonts w:ascii="宋体" w:hAnsi="宋体" w:cs="Arial"/>
          <w:color w:val="000000" w:themeColor="text1"/>
          <w:kern w:val="0"/>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2.8资格审查方式：</w:t>
      </w:r>
      <w:r>
        <w:rPr>
          <w:rFonts w:hint="eastAsia" w:ascii="宋体" w:hAnsi="宋体" w:cs="宋体"/>
          <w:b/>
          <w:color w:val="000000" w:themeColor="text1"/>
          <w:szCs w:val="21"/>
          <w:highlight w:val="none"/>
          <w:u w:val="single"/>
          <w14:textFill>
            <w14:solidFill>
              <w14:schemeClr w14:val="tx1"/>
            </w14:solidFill>
          </w14:textFill>
        </w:rPr>
        <w:t xml:space="preserve"> 资格后审</w:t>
      </w:r>
      <w:r>
        <w:rPr>
          <w:rFonts w:ascii="宋体" w:hAnsi="宋体" w:cs="Arial"/>
          <w:color w:val="000000" w:themeColor="text1"/>
          <w:kern w:val="0"/>
          <w:szCs w:val="21"/>
          <w:highlight w:val="none"/>
          <w:u w:val="single"/>
          <w14:textFill>
            <w14:solidFill>
              <w14:schemeClr w14:val="tx1"/>
            </w14:solidFill>
          </w14:textFill>
        </w:rPr>
        <w:t>。</w:t>
      </w:r>
      <w:r>
        <w:rPr>
          <w:rFonts w:ascii="宋体" w:hAnsi="宋体" w:cs="Arial"/>
          <w:color w:val="000000" w:themeColor="text1"/>
          <w:kern w:val="0"/>
          <w:szCs w:val="21"/>
          <w:highlight w:val="none"/>
          <w14:textFill>
            <w14:solidFill>
              <w14:schemeClr w14:val="tx1"/>
            </w14:solidFill>
          </w14:textFill>
        </w:rPr>
        <w:t xml:space="preserve">  </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 xml:space="preserve">3.投标人资格要求 </w:t>
      </w:r>
    </w:p>
    <w:p>
      <w:pPr>
        <w:spacing w:line="400" w:lineRule="exact"/>
        <w:rPr>
          <w:rFonts w:ascii="宋体" w:hAnsi="宋体" w:cs="Arial"/>
          <w:b/>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3.1本次招标要求投标人具备</w:t>
      </w:r>
      <w:r>
        <w:rPr>
          <w:rFonts w:hint="eastAsia" w:ascii="宋体" w:hAnsi="宋体" w:cs="Arial"/>
          <w:color w:val="000000" w:themeColor="text1"/>
          <w:kern w:val="0"/>
          <w:szCs w:val="21"/>
          <w:highlight w:val="none"/>
          <w14:textFill>
            <w14:solidFill>
              <w14:schemeClr w14:val="tx1"/>
            </w14:solidFill>
          </w14:textFill>
        </w:rPr>
        <w:t>以下条件</w:t>
      </w:r>
      <w:r>
        <w:rPr>
          <w:rFonts w:hint="eastAsia" w:ascii="宋体" w:hAnsi="宋体" w:cs="Arial"/>
          <w:b/>
          <w:color w:val="000000" w:themeColor="text1"/>
          <w:kern w:val="0"/>
          <w:szCs w:val="21"/>
          <w:highlight w:val="none"/>
          <w14:textFill>
            <w14:solidFill>
              <w14:schemeClr w14:val="tx1"/>
            </w14:solidFill>
          </w14:textFill>
        </w:rPr>
        <w:t>：</w:t>
      </w:r>
    </w:p>
    <w:p>
      <w:pPr>
        <w:spacing w:line="400" w:lineRule="exact"/>
        <w:rPr>
          <w:rFonts w:ascii="宋体" w:hAnsi="宋体" w:cs="Arial"/>
          <w:b/>
          <w:color w:val="000000" w:themeColor="text1"/>
          <w:kern w:val="0"/>
          <w:szCs w:val="21"/>
          <w:highlight w:val="none"/>
          <w14:textFill>
            <w14:solidFill>
              <w14:schemeClr w14:val="tx1"/>
            </w14:solidFill>
          </w14:textFill>
        </w:rPr>
      </w:pPr>
      <w:r>
        <w:rPr>
          <w:rFonts w:hint="eastAsia" w:ascii="宋体" w:hAnsi="宋体" w:cs="Arial"/>
          <w:b/>
          <w:color w:val="000000" w:themeColor="text1"/>
          <w:kern w:val="0"/>
          <w:szCs w:val="21"/>
          <w:highlight w:val="none"/>
          <w14:textFill>
            <w14:solidFill>
              <w14:schemeClr w14:val="tx1"/>
            </w14:solidFill>
          </w14:textFill>
        </w:rPr>
        <w:t>3.1.1资质资格要求具备以下条件：</w:t>
      </w:r>
    </w:p>
    <w:p>
      <w:pPr>
        <w:widowControl/>
        <w:spacing w:line="400" w:lineRule="exact"/>
        <w:ind w:firstLine="420" w:firstLineChars="200"/>
        <w:rPr>
          <w:rFonts w:ascii="宋体" w:hAnsi="宋体" w:cs="仿宋_GB2312"/>
          <w:bCs/>
          <w:color w:val="000000" w:themeColor="text1"/>
          <w:kern w:val="16"/>
          <w:szCs w:val="21"/>
          <w:highlight w:val="none"/>
          <w:u w:val="singl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①工程咨询单位甲级资信证书（水利水电）。</w:t>
      </w:r>
    </w:p>
    <w:p>
      <w:pPr>
        <w:widowControl/>
        <w:spacing w:line="400" w:lineRule="exact"/>
        <w:ind w:firstLine="420"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②投标人自2018年1月1日[以竣工（或完工）验收报告(或记录)时间为准]以来，单独或以牵头人身份完成过总投资2亿元及以上的水利工程项目管理或代建或全过程工程咨询[全过程工程咨询必须含有综合性咨询（项目管理）、全过程造价咨询]。须提供中标通知书、合同原件和竣工（或完工）验收报告（或记录）的复印件加盖投标单位公章。如上述材料中未能体现业绩项目规模、类型的，则还须提供项目所在地行业主管部门或业主单位出具的证明复印件（需加盖提供单位公章）</w:t>
      </w:r>
      <w:r>
        <w:rPr>
          <w:rFonts w:hint="eastAsia" w:ascii="宋体" w:hAnsi="宋体" w:cs="Arial"/>
          <w:color w:val="000000" w:themeColor="text1"/>
          <w:kern w:val="0"/>
          <w:szCs w:val="21"/>
          <w:highlight w:val="none"/>
          <w:u w:val="single"/>
          <w14:textFill>
            <w14:solidFill>
              <w14:schemeClr w14:val="tx1"/>
            </w14:solidFill>
          </w14:textFill>
        </w:rPr>
        <w:t>。</w:t>
      </w:r>
    </w:p>
    <w:p>
      <w:pPr>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b/>
          <w:color w:val="000000" w:themeColor="text1"/>
          <w:kern w:val="0"/>
          <w:szCs w:val="21"/>
          <w:highlight w:val="none"/>
          <w14:textFill>
            <w14:solidFill>
              <w14:schemeClr w14:val="tx1"/>
            </w14:solidFill>
          </w14:textFill>
        </w:rPr>
        <w:t>3.1.2</w:t>
      </w:r>
      <w:r>
        <w:rPr>
          <w:rFonts w:hint="eastAsia" w:ascii="宋体" w:hAnsi="宋体" w:cs="Arial"/>
          <w:color w:val="000000" w:themeColor="text1"/>
          <w:kern w:val="0"/>
          <w:szCs w:val="21"/>
          <w:highlight w:val="none"/>
          <w14:textFill>
            <w14:solidFill>
              <w14:schemeClr w14:val="tx1"/>
            </w14:solidFill>
          </w14:textFill>
        </w:rPr>
        <w:t>拟派项目总负责人、分项负责人资格要求：</w:t>
      </w:r>
    </w:p>
    <w:p>
      <w:pPr>
        <w:widowControl/>
        <w:snapToGrid w:val="0"/>
        <w:spacing w:line="400" w:lineRule="exact"/>
        <w:ind w:firstLine="420" w:firstLineChars="200"/>
        <w:rPr>
          <w:b/>
          <w:color w:val="000000" w:themeColor="text1"/>
          <w:szCs w:val="21"/>
          <w:highlight w:val="none"/>
          <w:u w:val="singl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①</w:t>
      </w:r>
      <w:r>
        <w:rPr>
          <w:rFonts w:hint="eastAsia"/>
          <w:b/>
          <w:color w:val="000000" w:themeColor="text1"/>
          <w:szCs w:val="21"/>
          <w:highlight w:val="none"/>
          <w:u w:val="single"/>
          <w14:textFill>
            <w14:solidFill>
              <w14:schemeClr w14:val="tx1"/>
            </w14:solidFill>
          </w14:textFill>
        </w:rPr>
        <w:t>项目总负责人要求：具备有注册咨询工程师（投资）或一级建造师（水利水电工程）或注册土木工程师（水利水电工程）或水利部注册监理工程师（水利工程）。须提供有效证明文件。</w:t>
      </w:r>
      <w:r>
        <w:rPr>
          <w:rFonts w:hint="eastAsia" w:ascii="宋体" w:hAnsi="宋体" w:cs="Arial"/>
          <w:b/>
          <w:bCs/>
          <w:color w:val="000000" w:themeColor="text1"/>
          <w:kern w:val="0"/>
          <w:szCs w:val="21"/>
          <w:highlight w:val="none"/>
          <w:u w:val="single"/>
          <w14:textFill>
            <w14:solidFill>
              <w14:schemeClr w14:val="tx1"/>
            </w14:solidFill>
          </w14:textFill>
        </w:rPr>
        <w:t>若联合体投标的，</w:t>
      </w:r>
      <w:r>
        <w:rPr>
          <w:rFonts w:hint="eastAsia"/>
          <w:b/>
          <w:color w:val="000000" w:themeColor="text1"/>
          <w:szCs w:val="21"/>
          <w:highlight w:val="none"/>
          <w:u w:val="single"/>
          <w14:textFill>
            <w14:solidFill>
              <w14:schemeClr w14:val="tx1"/>
            </w14:solidFill>
          </w14:textFill>
        </w:rPr>
        <w:t>项目总负责人</w:t>
      </w:r>
      <w:r>
        <w:rPr>
          <w:rFonts w:hint="eastAsia" w:ascii="宋体" w:hAnsi="宋体" w:cs="Arial"/>
          <w:b/>
          <w:bCs/>
          <w:color w:val="000000" w:themeColor="text1"/>
          <w:kern w:val="0"/>
          <w:szCs w:val="21"/>
          <w:highlight w:val="none"/>
          <w:u w:val="single"/>
          <w14:textFill>
            <w14:solidFill>
              <w14:schemeClr w14:val="tx1"/>
            </w14:solidFill>
          </w14:textFill>
        </w:rPr>
        <w:t>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widowControl/>
        <w:snapToGrid w:val="0"/>
        <w:spacing w:line="400" w:lineRule="exact"/>
        <w:ind w:firstLine="422" w:firstLineChars="200"/>
        <w:rPr>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t>②技术负责人：具备有注册咨询工程师（投资）或一级建造师（水利水电工程）或注册土木工程师（水利水电工程）或水利部注册监理工程师（水利工程）。须提供有效证明文件。</w:t>
      </w:r>
      <w:r>
        <w:rPr>
          <w:rFonts w:hint="eastAsia" w:ascii="宋体" w:hAnsi="宋体" w:cs="Arial"/>
          <w:b/>
          <w:bCs/>
          <w:color w:val="000000" w:themeColor="text1"/>
          <w:kern w:val="0"/>
          <w:szCs w:val="21"/>
          <w:highlight w:val="none"/>
          <w:u w:val="single"/>
          <w14:textFill>
            <w14:solidFill>
              <w14:schemeClr w14:val="tx1"/>
            </w14:solidFill>
          </w14:textFill>
        </w:rPr>
        <w:t>若联合体投标的，</w:t>
      </w:r>
      <w:r>
        <w:rPr>
          <w:rFonts w:hint="eastAsia"/>
          <w:b/>
          <w:color w:val="000000" w:themeColor="text1"/>
          <w:szCs w:val="21"/>
          <w:highlight w:val="none"/>
          <w:u w:val="single"/>
          <w14:textFill>
            <w14:solidFill>
              <w14:schemeClr w14:val="tx1"/>
            </w14:solidFill>
          </w14:textFill>
        </w:rPr>
        <w:t>技术负责人</w:t>
      </w:r>
      <w:r>
        <w:rPr>
          <w:rFonts w:hint="eastAsia" w:ascii="宋体" w:hAnsi="宋体" w:cs="Arial"/>
          <w:b/>
          <w:bCs/>
          <w:color w:val="000000" w:themeColor="text1"/>
          <w:kern w:val="0"/>
          <w:szCs w:val="21"/>
          <w:highlight w:val="none"/>
          <w:u w:val="single"/>
          <w14:textFill>
            <w14:solidFill>
              <w14:schemeClr w14:val="tx1"/>
            </w14:solidFill>
          </w14:textFill>
        </w:rPr>
        <w:t>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spacing w:line="400" w:lineRule="exact"/>
        <w:ind w:firstLine="422" w:firstLineChars="200"/>
        <w:rPr>
          <w:rFonts w:hint="eastAsia" w:ascii="宋体" w:hAnsi="宋体" w:eastAsia="宋体" w:cs="Arial"/>
          <w:b/>
          <w:bCs/>
          <w:color w:val="000000" w:themeColor="text1"/>
          <w:kern w:val="0"/>
          <w:szCs w:val="21"/>
          <w:highlight w:val="none"/>
          <w:u w:val="single"/>
          <w:lang w:eastAsia="zh-CN"/>
          <w14:textFill>
            <w14:solidFill>
              <w14:schemeClr w14:val="tx1"/>
            </w14:solidFill>
          </w14:textFill>
        </w:rPr>
      </w:pPr>
      <w:r>
        <w:rPr>
          <w:rFonts w:hint="eastAsia" w:ascii="宋体" w:hAnsi="宋体" w:cs="Arial"/>
          <w:b/>
          <w:bCs/>
          <w:color w:val="000000" w:themeColor="text1"/>
          <w:kern w:val="0"/>
          <w:szCs w:val="21"/>
          <w:highlight w:val="none"/>
          <w:u w:val="single"/>
          <w14:textFill>
            <w14:solidFill>
              <w14:schemeClr w14:val="tx1"/>
            </w14:solidFill>
          </w14:textFill>
        </w:rPr>
        <w:fldChar w:fldCharType="begin"/>
      </w:r>
      <w:r>
        <w:rPr>
          <w:rFonts w:hint="eastAsia" w:ascii="宋体" w:hAnsi="宋体" w:cs="Arial"/>
          <w:b/>
          <w:bCs/>
          <w:color w:val="000000" w:themeColor="text1"/>
          <w:kern w:val="0"/>
          <w:szCs w:val="21"/>
          <w:highlight w:val="none"/>
          <w:u w:val="single"/>
          <w14:textFill>
            <w14:solidFill>
              <w14:schemeClr w14:val="tx1"/>
            </w14:solidFill>
          </w14:textFill>
        </w:rPr>
        <w:instrText xml:space="preserve"> = 3 \* GB3 \* MERGEFORMAT </w:instrText>
      </w:r>
      <w:r>
        <w:rPr>
          <w:rFonts w:hint="eastAsia" w:ascii="宋体" w:hAnsi="宋体" w:cs="Arial"/>
          <w:b/>
          <w:bCs/>
          <w:color w:val="000000" w:themeColor="text1"/>
          <w:kern w:val="0"/>
          <w:szCs w:val="21"/>
          <w:highlight w:val="none"/>
          <w:u w:val="single"/>
          <w14:textFill>
            <w14:solidFill>
              <w14:schemeClr w14:val="tx1"/>
            </w14:solidFill>
          </w14:textFill>
        </w:rPr>
        <w:fldChar w:fldCharType="separate"/>
      </w:r>
      <w:r>
        <w:rPr>
          <w:rFonts w:hint="eastAsia" w:ascii="宋体" w:hAnsi="宋体" w:cs="Arial"/>
          <w:b/>
          <w:bCs/>
          <w:color w:val="000000" w:themeColor="text1"/>
          <w:kern w:val="0"/>
          <w:szCs w:val="21"/>
          <w:highlight w:val="none"/>
          <w:u w:val="single"/>
          <w14:textFill>
            <w14:solidFill>
              <w14:schemeClr w14:val="tx1"/>
            </w14:solidFill>
          </w14:textFill>
        </w:rPr>
        <w:t>③</w:t>
      </w:r>
      <w:r>
        <w:rPr>
          <w:rFonts w:hint="eastAsia" w:ascii="宋体" w:hAnsi="宋体" w:cs="Arial"/>
          <w:b/>
          <w:bCs/>
          <w:color w:val="000000" w:themeColor="text1"/>
          <w:kern w:val="0"/>
          <w:szCs w:val="21"/>
          <w:highlight w:val="none"/>
          <w:u w:val="single"/>
          <w14:textFill>
            <w14:solidFill>
              <w14:schemeClr w14:val="tx1"/>
            </w14:solidFill>
          </w14:textFill>
        </w:rPr>
        <w:fldChar w:fldCharType="end"/>
      </w:r>
      <w:r>
        <w:rPr>
          <w:rFonts w:hint="eastAsia" w:ascii="宋体" w:hAnsi="宋体" w:cs="Arial"/>
          <w:b/>
          <w:bCs/>
          <w:color w:val="000000" w:themeColor="text1"/>
          <w:kern w:val="0"/>
          <w:szCs w:val="21"/>
          <w:highlight w:val="none"/>
          <w:u w:val="single"/>
          <w14:textFill>
            <w14:solidFill>
              <w14:schemeClr w14:val="tx1"/>
            </w14:solidFill>
          </w14:textFill>
        </w:rPr>
        <w:t>综合性咨询管理负责人：须具有注册咨询工程师（投资）或一级建造师（水利水电工程）或注册土木工程师（水利水电工程）。须提供有效证明文件。若联合体投标的，综合性咨询管理负责人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spacing w:line="400" w:lineRule="exact"/>
        <w:ind w:firstLine="420"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 4 \* GB3 \* MERGEFORMAT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④</w:t>
      </w:r>
      <w:r>
        <w:rPr>
          <w:rFonts w:hint="eastAsia"/>
          <w:color w:val="000000" w:themeColor="text1"/>
          <w:highlight w:val="none"/>
          <w14:textFill>
            <w14:solidFill>
              <w14:schemeClr w14:val="tx1"/>
            </w14:solidFill>
          </w14:textFill>
        </w:rPr>
        <w:fldChar w:fldCharType="end"/>
      </w:r>
      <w:r>
        <w:rPr>
          <w:rFonts w:hint="eastAsia" w:ascii="宋体" w:hAnsi="宋体" w:cs="Arial"/>
          <w:b/>
          <w:bCs/>
          <w:color w:val="000000" w:themeColor="text1"/>
          <w:kern w:val="0"/>
          <w:szCs w:val="21"/>
          <w:highlight w:val="none"/>
          <w:u w:val="single"/>
          <w14:textFill>
            <w14:solidFill>
              <w14:schemeClr w14:val="tx1"/>
            </w14:solidFill>
          </w14:textFill>
        </w:rPr>
        <w:t>造价咨询负责人：须具有一级注册造价工程师（水利水电工程）。须提供有效证明文件。</w:t>
      </w:r>
    </w:p>
    <w:p>
      <w:pPr>
        <w:widowControl/>
        <w:spacing w:line="400" w:lineRule="exact"/>
        <w:ind w:firstLine="422" w:firstLineChars="200"/>
        <w:rPr>
          <w:rFonts w:ascii="宋体" w:hAnsi="宋体" w:cs="宋体"/>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t>上述人员须为投标企业在职职工</w:t>
      </w:r>
      <w:r>
        <w:rPr>
          <w:rFonts w:hint="eastAsia" w:ascii="宋体" w:hAnsi="宋体" w:cs="宋体"/>
          <w:b/>
          <w:bCs/>
          <w:color w:val="000000" w:themeColor="text1"/>
          <w:kern w:val="0"/>
          <w:highlight w:val="none"/>
          <w:u w:val="single"/>
          <w14:textFill>
            <w14:solidFill>
              <w14:schemeClr w14:val="tx1"/>
            </w14:solidFill>
          </w14:textFill>
        </w:rPr>
        <w:t>（不包括离、退休返聘人员）</w:t>
      </w:r>
      <w:r>
        <w:rPr>
          <w:rFonts w:hint="eastAsia"/>
          <w:b/>
          <w:color w:val="000000" w:themeColor="text1"/>
          <w:szCs w:val="21"/>
          <w:highlight w:val="none"/>
          <w:u w:val="single"/>
          <w14:textFill>
            <w14:solidFill>
              <w14:schemeClr w14:val="tx1"/>
            </w14:solidFill>
          </w14:textFill>
        </w:rPr>
        <w:t>，</w:t>
      </w:r>
      <w:r>
        <w:rPr>
          <w:rFonts w:hint="eastAsia" w:ascii="宋体" w:hAnsi="宋体" w:cs="宋体"/>
          <w:b/>
          <w:color w:val="000000" w:themeColor="text1"/>
          <w:szCs w:val="21"/>
          <w:highlight w:val="none"/>
          <w:u w:val="single"/>
          <w14:textFill>
            <w14:solidFill>
              <w14:schemeClr w14:val="tx1"/>
            </w14:solidFill>
          </w14:textFill>
        </w:rPr>
        <w:t>须提供缴费期限包含2022年12月至2023年2月的投标人注册地所属社保机构养老保险交纳清单或证明（缴费单位和投标单位名称必须一致）。若为事业编制的，以提供缴费期限包含2022年12月至2023年2月由人事代理中心出具的社保证明（需加盖人事代理中心证明专用章）。非独立法人的分公司社保，也予以认可，并加盖社保缴费证明专用章）。</w:t>
      </w:r>
    </w:p>
    <w:p>
      <w:pPr>
        <w:spacing w:line="400" w:lineRule="exact"/>
        <w:ind w:firstLine="422"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ascii="宋体" w:hAnsi="宋体" w:cs="Arial"/>
          <w:b/>
          <w:bCs/>
          <w:color w:val="000000" w:themeColor="text1"/>
          <w:kern w:val="0"/>
          <w:szCs w:val="21"/>
          <w:highlight w:val="none"/>
          <w:u w:val="single"/>
          <w14:textFill>
            <w14:solidFill>
              <w14:schemeClr w14:val="tx1"/>
            </w14:solidFill>
          </w14:textFill>
        </w:rPr>
        <w:t>说明：拟派</w:t>
      </w:r>
      <w:r>
        <w:rPr>
          <w:rFonts w:hint="eastAsia"/>
          <w:b/>
          <w:color w:val="000000" w:themeColor="text1"/>
          <w:szCs w:val="21"/>
          <w:highlight w:val="none"/>
          <w:u w:val="single"/>
          <w14:textFill>
            <w14:solidFill>
              <w14:schemeClr w14:val="tx1"/>
            </w14:solidFill>
          </w14:textFill>
        </w:rPr>
        <w:t>项目总负责人、技术负责人、</w:t>
      </w:r>
      <w:r>
        <w:rPr>
          <w:rFonts w:hint="eastAsia" w:ascii="宋体" w:hAnsi="宋体" w:cs="Arial"/>
          <w:b/>
          <w:bCs/>
          <w:color w:val="000000" w:themeColor="text1"/>
          <w:kern w:val="0"/>
          <w:szCs w:val="21"/>
          <w:highlight w:val="none"/>
          <w:u w:val="single"/>
          <w14:textFill>
            <w14:solidFill>
              <w14:schemeClr w14:val="tx1"/>
            </w14:solidFill>
          </w14:textFill>
        </w:rPr>
        <w:t>综合性咨询管理负责人、造价咨询负责人不得相互兼任。</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3.2主要设备、材料要求：</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宋体"/>
          <w:i/>
          <w:color w:val="000000" w:themeColor="text1"/>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w:t>
      </w:r>
    </w:p>
    <w:p>
      <w:pPr>
        <w:widowControl/>
        <w:spacing w:line="400" w:lineRule="exact"/>
        <w:rPr>
          <w:rFonts w:ascii="宋体" w:hAnsi="宋体" w:cs="宋体"/>
          <w:b/>
          <w:color w:val="000000" w:themeColor="text1"/>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3.3其他要求：</w:t>
      </w:r>
    </w:p>
    <w:p>
      <w:pPr>
        <w:widowControl/>
        <w:spacing w:line="400" w:lineRule="exact"/>
        <w:jc w:val="left"/>
        <w:rPr>
          <w:rFonts w:ascii="宋体" w:hAnsi="宋体" w:cs="宋体"/>
          <w:b/>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r>
        <w:rPr>
          <w:rFonts w:hint="eastAsia" w:ascii="宋体" w:hAnsi="宋体" w:cs="宋体"/>
          <w:b/>
          <w:color w:val="000000" w:themeColor="text1"/>
          <w:kern w:val="0"/>
          <w:highlight w:val="none"/>
          <w14:textFill>
            <w14:solidFill>
              <w14:schemeClr w14:val="tx1"/>
            </w14:solidFill>
          </w14:textFill>
        </w:rPr>
        <w:t>企业具有绍兴市公共资源交易中心工程建设项目年度登记资格并在有效期内（联合体投标的则联合体各方均需满足）。</w:t>
      </w:r>
    </w:p>
    <w:p>
      <w:pPr>
        <w:widowControl/>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投标人、项目总负责人、技术负责人、</w:t>
      </w:r>
      <w:r>
        <w:rPr>
          <w:rFonts w:hint="eastAsia" w:ascii="宋体" w:hAnsi="宋体" w:cs="Arial"/>
          <w:b/>
          <w:bCs/>
          <w:color w:val="000000" w:themeColor="text1"/>
          <w:kern w:val="0"/>
          <w:szCs w:val="21"/>
          <w:highlight w:val="none"/>
          <w14:textFill>
            <w14:solidFill>
              <w14:schemeClr w14:val="tx1"/>
            </w14:solidFill>
          </w14:textFill>
        </w:rPr>
        <w:t>综合性咨询管理负责人、造价咨询负责人</w:t>
      </w:r>
      <w:r>
        <w:rPr>
          <w:rFonts w:hint="eastAsia" w:ascii="宋体" w:hAnsi="宋体" w:cs="宋体"/>
          <w:b/>
          <w:bCs/>
          <w:color w:val="000000" w:themeColor="text1"/>
          <w:highlight w:val="none"/>
          <w14:textFill>
            <w14:solidFill>
              <w14:schemeClr w14:val="tx1"/>
            </w14:solidFill>
          </w14:textFill>
        </w:rPr>
        <w:t>近5年无行贿犯罪记录（投标人提供承诺书）。</w:t>
      </w:r>
      <w:r>
        <w:rPr>
          <w:rFonts w:hint="eastAsia" w:ascii="宋体" w:hAnsi="宋体" w:cs="宋体"/>
          <w:b/>
          <w:kern w:val="0"/>
          <w:highlight w:val="none"/>
          <w:lang w:val="zh-CN"/>
        </w:rPr>
        <w:t>（联合体投标的则无行贿犯罪记录承诺书联合体各方均需盖章）</w:t>
      </w:r>
      <w:r>
        <w:rPr>
          <w:rFonts w:hint="eastAsia" w:ascii="宋体" w:hAnsi="宋体"/>
          <w:b/>
          <w:bCs/>
          <w:szCs w:val="21"/>
          <w:highlight w:val="none"/>
          <w:lang w:val="zh-CN"/>
        </w:rPr>
        <w:t>。</w:t>
      </w:r>
    </w:p>
    <w:p>
      <w:pPr>
        <w:widowControl/>
        <w:spacing w:line="400" w:lineRule="exact"/>
        <w:rPr>
          <w:rStyle w:val="52"/>
          <w:rFonts w:hint="eastAsia" w:ascii="宋体" w:hAnsi="宋体"/>
          <w:b/>
          <w:szCs w:val="21"/>
          <w:highlight w:val="none"/>
          <w:u w:val="single"/>
          <w:lang w:val="zh-CN"/>
        </w:rPr>
      </w:pPr>
      <w:r>
        <w:rPr>
          <w:rFonts w:ascii="宋体" w:hAnsi="宋体" w:cs="Arial"/>
          <w:color w:val="000000" w:themeColor="text1"/>
          <w:kern w:val="0"/>
          <w:szCs w:val="21"/>
          <w:highlight w:val="none"/>
          <w14:textFill>
            <w14:solidFill>
              <w14:schemeClr w14:val="tx1"/>
            </w14:solidFill>
          </w14:textFill>
        </w:rPr>
        <w:t>3.4 本次招标</w:t>
      </w:r>
      <w:r>
        <w:rPr>
          <w:rFonts w:hint="eastAsia" w:ascii="宋体" w:hAnsi="宋体" w:cs="仿宋_GB2312"/>
          <w:b/>
          <w:color w:val="000000" w:themeColor="text1"/>
          <w:kern w:val="16"/>
          <w:szCs w:val="21"/>
          <w:highlight w:val="none"/>
          <w:u w:val="single"/>
          <w14:textFill>
            <w14:solidFill>
              <w14:schemeClr w14:val="tx1"/>
            </w14:solidFill>
          </w14:textFill>
        </w:rPr>
        <w:t>接受</w:t>
      </w:r>
      <w:r>
        <w:rPr>
          <w:rFonts w:ascii="宋体" w:hAnsi="宋体" w:cs="Arial"/>
          <w:color w:val="000000" w:themeColor="text1"/>
          <w:kern w:val="0"/>
          <w:szCs w:val="21"/>
          <w:highlight w:val="none"/>
          <w14:textFill>
            <w14:solidFill>
              <w14:schemeClr w14:val="tx1"/>
            </w14:solidFill>
          </w14:textFill>
        </w:rPr>
        <w:t>联合体投标。</w:t>
      </w:r>
      <w:r>
        <w:rPr>
          <w:rFonts w:ascii="宋体" w:hAnsi="宋体" w:cs="Arial"/>
          <w:kern w:val="0"/>
          <w:szCs w:val="21"/>
          <w:highlight w:val="none"/>
        </w:rPr>
        <w:t>联合体投标的，应满足下列要求：</w:t>
      </w:r>
      <w:r>
        <w:rPr>
          <w:rStyle w:val="52"/>
          <w:rFonts w:hint="eastAsia" w:ascii="宋体" w:hAnsi="宋体"/>
          <w:b/>
          <w:szCs w:val="21"/>
          <w:highlight w:val="none"/>
          <w:u w:val="single"/>
          <w:lang w:val="zh-CN"/>
        </w:rPr>
        <w:t>①联合体牵头人需具有</w:t>
      </w:r>
      <w:r>
        <w:rPr>
          <w:rStyle w:val="52"/>
          <w:rFonts w:hint="eastAsia" w:ascii="宋体" w:hAnsi="宋体"/>
          <w:b/>
          <w:szCs w:val="21"/>
          <w:highlight w:val="none"/>
          <w:u w:val="single"/>
        </w:rPr>
        <w:t>3.1.1款中的</w:t>
      </w:r>
      <w:r>
        <w:rPr>
          <w:rStyle w:val="52"/>
          <w:rFonts w:hint="eastAsia" w:ascii="宋体" w:hAnsi="宋体"/>
          <w:b/>
          <w:szCs w:val="21"/>
          <w:highlight w:val="none"/>
          <w:u w:val="single"/>
          <w:lang w:val="zh-CN"/>
        </w:rPr>
        <w:t>①、②项资格；②联合体各方签订共同投标协议，授权牵头人代表所有联合体成员负责投标和合同实施阶段的主办、协调工作。联合体成员不得再以自己名义单独投标，也不得组成新的联合体或参加其他联合体在同一项目中投标；③联合体成员（含牵头人)不得超过</w:t>
      </w:r>
      <w:r>
        <w:rPr>
          <w:rStyle w:val="52"/>
          <w:rFonts w:hint="eastAsia" w:ascii="宋体" w:hAnsi="宋体"/>
          <w:b/>
          <w:szCs w:val="21"/>
          <w:highlight w:val="none"/>
          <w:u w:val="single"/>
        </w:rPr>
        <w:t>2</w:t>
      </w:r>
      <w:r>
        <w:rPr>
          <w:rStyle w:val="52"/>
          <w:rFonts w:hint="eastAsia" w:ascii="宋体" w:hAnsi="宋体"/>
          <w:b/>
          <w:szCs w:val="21"/>
          <w:highlight w:val="none"/>
          <w:u w:val="single"/>
          <w:lang w:val="zh-CN"/>
        </w:rPr>
        <w:t>家；</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3.5 各投标人均可就上述标段中的</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w:t>
      </w:r>
      <w:r>
        <w:rPr>
          <w:rFonts w:ascii="宋体" w:hAnsi="宋体" w:cs="Arial"/>
          <w:color w:val="000000" w:themeColor="text1"/>
          <w:kern w:val="0"/>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（具体数量）个标段投标。</w:t>
      </w:r>
    </w:p>
    <w:p>
      <w:pPr>
        <w:widowControl/>
        <w:spacing w:line="400" w:lineRule="exact"/>
        <w:rPr>
          <w:rFonts w:ascii="??" w:hAnsi="??" w:cs="??"/>
          <w:b/>
          <w:bCs/>
          <w:color w:val="000000" w:themeColor="text1"/>
          <w:kern w:val="44"/>
          <w:highlight w:val="none"/>
          <w14:textFill>
            <w14:solidFill>
              <w14:schemeClr w14:val="tx1"/>
            </w14:solidFill>
          </w14:textFill>
        </w:rPr>
      </w:pPr>
      <w:r>
        <w:rPr>
          <w:rFonts w:hint="eastAsia" w:ascii="??" w:hAnsi="??" w:cs="??"/>
          <w:b/>
          <w:bCs/>
          <w:color w:val="000000" w:themeColor="text1"/>
          <w:kern w:val="44"/>
          <w:highlight w:val="none"/>
          <w14:textFill>
            <w14:solidFill>
              <w14:schemeClr w14:val="tx1"/>
            </w14:solidFill>
          </w14:textFill>
        </w:rPr>
        <w:t>4.招标文件获取</w:t>
      </w:r>
    </w:p>
    <w:p>
      <w:pPr>
        <w:widowControl/>
        <w:spacing w:line="400" w:lineRule="exact"/>
        <w:jc w:val="left"/>
        <w:rPr>
          <w:color w:val="000000" w:themeColor="text1"/>
          <w:highlight w:val="none"/>
          <w14:textFill>
            <w14:solidFill>
              <w14:schemeClr w14:val="tx1"/>
            </w14:solidFill>
          </w14:textFill>
        </w:rPr>
      </w:pPr>
      <w:r>
        <w:rPr>
          <w:rFonts w:ascii="宋体" w:hAnsi="宋体" w:cs="Arial"/>
          <w:color w:val="000000" w:themeColor="text1"/>
          <w:kern w:val="0"/>
          <w:highlight w:val="none"/>
          <w14:textFill>
            <w14:solidFill>
              <w14:schemeClr w14:val="tx1"/>
            </w14:solidFill>
          </w14:textFill>
        </w:rPr>
        <w:t>4.1 凡有意参加投标者，请于</w:t>
      </w:r>
      <w:r>
        <w:rPr>
          <w:rFonts w:hint="eastAsia" w:ascii="宋体" w:hAnsi="宋体" w:cs="宋体"/>
          <w:iCs/>
          <w:color w:val="000000" w:themeColor="text1"/>
          <w:highlight w:val="none"/>
          <w:u w:val="single"/>
          <w14:textFill>
            <w14:solidFill>
              <w14:schemeClr w14:val="tx1"/>
            </w14:solidFill>
          </w14:textFill>
        </w:rPr>
        <w:t>2023</w:t>
      </w:r>
      <w:r>
        <w:rPr>
          <w:rFonts w:ascii="宋体" w:hAnsi="宋体" w:cs="Arial"/>
          <w:color w:val="000000" w:themeColor="text1"/>
          <w:kern w:val="0"/>
          <w:highlight w:val="none"/>
          <w14:textFill>
            <w14:solidFill>
              <w14:schemeClr w14:val="tx1"/>
            </w14:solidFill>
          </w14:textFill>
        </w:rPr>
        <w:t>年</w:t>
      </w:r>
      <w:r>
        <w:rPr>
          <w:rFonts w:hint="eastAsia" w:ascii="宋体" w:hAnsi="宋体" w:cs="宋体"/>
          <w:iCs/>
          <w:color w:val="000000" w:themeColor="text1"/>
          <w:highlight w:val="none"/>
          <w:u w:val="single"/>
          <w14:textFill>
            <w14:solidFill>
              <w14:schemeClr w14:val="tx1"/>
            </w14:solidFill>
          </w14:textFill>
        </w:rPr>
        <w:t xml:space="preserve">   </w:t>
      </w:r>
      <w:r>
        <w:rPr>
          <w:rFonts w:ascii="宋体" w:hAnsi="宋体" w:cs="Arial"/>
          <w:color w:val="000000" w:themeColor="text1"/>
          <w:kern w:val="0"/>
          <w:highlight w:val="none"/>
          <w14:textFill>
            <w14:solidFill>
              <w14:schemeClr w14:val="tx1"/>
            </w14:solidFill>
          </w14:textFill>
        </w:rPr>
        <w:t>月</w:t>
      </w:r>
      <w:r>
        <w:rPr>
          <w:rFonts w:hint="eastAsia" w:ascii="宋体" w:hAnsi="宋体" w:cs="宋体"/>
          <w:iCs/>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u w:val="single"/>
          <w:lang w:val="en-US" w:eastAsia="zh-CN"/>
          <w14:textFill>
            <w14:solidFill>
              <w14:schemeClr w14:val="tx1"/>
            </w14:solidFill>
          </w14:textFill>
        </w:rPr>
        <w:t xml:space="preserve"> </w:t>
      </w:r>
      <w:r>
        <w:rPr>
          <w:rFonts w:hint="eastAsia" w:ascii="宋体" w:hAnsi="宋体" w:cs="宋体"/>
          <w:iCs/>
          <w:color w:val="000000" w:themeColor="text1"/>
          <w:highlight w:val="none"/>
          <w:u w:val="single"/>
          <w14:textFill>
            <w14:solidFill>
              <w14:schemeClr w14:val="tx1"/>
            </w14:solidFill>
          </w14:textFill>
        </w:rPr>
        <w:t xml:space="preserve"> </w:t>
      </w:r>
      <w:r>
        <w:rPr>
          <w:rFonts w:ascii="宋体" w:hAnsi="宋体" w:cs="Arial"/>
          <w:color w:val="000000" w:themeColor="text1"/>
          <w:kern w:val="0"/>
          <w:highlight w:val="none"/>
          <w14:textFill>
            <w14:solidFill>
              <w14:schemeClr w14:val="tx1"/>
            </w14:solidFill>
          </w14:textFill>
        </w:rPr>
        <w:t>日</w:t>
      </w:r>
      <w:r>
        <w:rPr>
          <w:rFonts w:hint="eastAsia" w:ascii="宋体" w:hAnsi="宋体" w:cs="Arial"/>
          <w:color w:val="000000" w:themeColor="text1"/>
          <w:kern w:val="0"/>
          <w:highlight w:val="none"/>
          <w:u w:val="single"/>
          <w14:textFill>
            <w14:solidFill>
              <w14:schemeClr w14:val="tx1"/>
            </w14:solidFill>
          </w14:textFill>
        </w:rPr>
        <w:t>8:30</w:t>
      </w:r>
      <w:r>
        <w:rPr>
          <w:rFonts w:hint="eastAsia" w:ascii="宋体" w:hAnsi="宋体" w:cs="Arial"/>
          <w:color w:val="000000" w:themeColor="text1"/>
          <w:kern w:val="0"/>
          <w:highlight w:val="none"/>
          <w14:textFill>
            <w14:solidFill>
              <w14:schemeClr w14:val="tx1"/>
            </w14:solidFill>
          </w14:textFill>
        </w:rPr>
        <w:t>时</w:t>
      </w:r>
      <w:r>
        <w:rPr>
          <w:rFonts w:ascii="宋体" w:hAnsi="宋体" w:cs="Arial"/>
          <w:color w:val="000000" w:themeColor="text1"/>
          <w:kern w:val="0"/>
          <w:highlight w:val="none"/>
          <w14:textFill>
            <w14:solidFill>
              <w14:schemeClr w14:val="tx1"/>
            </w14:solidFill>
          </w14:textFill>
        </w:rPr>
        <w:t>至</w:t>
      </w:r>
      <w:r>
        <w:rPr>
          <w:rFonts w:hint="eastAsia" w:ascii="宋体" w:hAnsi="宋体" w:cs="Arial"/>
          <w:color w:val="000000" w:themeColor="text1"/>
          <w:kern w:val="0"/>
          <w:highlight w:val="none"/>
          <w:u w:val="single"/>
          <w14:textFill>
            <w14:solidFill>
              <w14:schemeClr w14:val="tx1"/>
            </w14:solidFill>
          </w14:textFill>
        </w:rPr>
        <w:t>2023</w:t>
      </w:r>
      <w:r>
        <w:rPr>
          <w:rFonts w:ascii="宋体" w:hAnsi="宋体" w:cs="Arial"/>
          <w:color w:val="000000" w:themeColor="text1"/>
          <w:kern w:val="0"/>
          <w:highlight w:val="none"/>
          <w14:textFill>
            <w14:solidFill>
              <w14:schemeClr w14:val="tx1"/>
            </w14:solidFill>
          </w14:textFill>
        </w:rPr>
        <w:t>年</w:t>
      </w:r>
      <w:r>
        <w:rPr>
          <w:rFonts w:hint="eastAsia" w:ascii="宋体" w:hAnsi="宋体" w:cs="宋体"/>
          <w:iCs/>
          <w:color w:val="000000" w:themeColor="text1"/>
          <w:highlight w:val="none"/>
          <w:u w:val="single"/>
          <w14:textFill>
            <w14:solidFill>
              <w14:schemeClr w14:val="tx1"/>
            </w14:solidFill>
          </w14:textFill>
        </w:rPr>
        <w:t xml:space="preserve">   </w:t>
      </w:r>
      <w:r>
        <w:rPr>
          <w:rFonts w:ascii="宋体" w:hAnsi="宋体" w:cs="Arial"/>
          <w:color w:val="000000" w:themeColor="text1"/>
          <w:kern w:val="0"/>
          <w:highlight w:val="none"/>
          <w14:textFill>
            <w14:solidFill>
              <w14:schemeClr w14:val="tx1"/>
            </w14:solidFill>
          </w14:textFill>
        </w:rPr>
        <w:t>月</w:t>
      </w:r>
      <w:r>
        <w:rPr>
          <w:rFonts w:hint="eastAsia" w:ascii="宋体" w:hAnsi="宋体" w:cs="宋体"/>
          <w:iCs/>
          <w:color w:val="000000" w:themeColor="text1"/>
          <w:highlight w:val="none"/>
          <w:u w:val="single"/>
          <w14:textFill>
            <w14:solidFill>
              <w14:schemeClr w14:val="tx1"/>
            </w14:solidFill>
          </w14:textFill>
        </w:rPr>
        <w:t xml:space="preserve">   </w:t>
      </w:r>
      <w:r>
        <w:rPr>
          <w:rFonts w:ascii="宋体" w:hAnsi="宋体" w:cs="Arial"/>
          <w:color w:val="000000" w:themeColor="text1"/>
          <w:kern w:val="0"/>
          <w:highlight w:val="none"/>
          <w14:textFill>
            <w14:solidFill>
              <w14:schemeClr w14:val="tx1"/>
            </w14:solidFill>
          </w14:textFill>
        </w:rPr>
        <w:t>日</w:t>
      </w:r>
      <w:r>
        <w:rPr>
          <w:rFonts w:hint="eastAsia" w:ascii="宋体" w:hAnsi="宋体" w:cs="Arial"/>
          <w:color w:val="000000" w:themeColor="text1"/>
          <w:kern w:val="0"/>
          <w:highlight w:val="none"/>
          <w:u w:val="single"/>
          <w14:textFill>
            <w14:solidFill>
              <w14:schemeClr w14:val="tx1"/>
            </w14:solidFill>
          </w14:textFill>
        </w:rPr>
        <w:t>17:00</w:t>
      </w:r>
      <w:r>
        <w:rPr>
          <w:rFonts w:hint="eastAsia" w:ascii="宋体" w:hAnsi="宋体" w:cs="Arial"/>
          <w:color w:val="000000" w:themeColor="text1"/>
          <w:kern w:val="0"/>
          <w:highlight w:val="none"/>
          <w14:textFill>
            <w14:solidFill>
              <w14:schemeClr w14:val="tx1"/>
            </w14:solidFill>
          </w14:textFill>
        </w:rPr>
        <w:t>时</w:t>
      </w:r>
      <w:r>
        <w:rPr>
          <w:rFonts w:ascii="宋体" w:hAnsi="宋体" w:cs="Arial"/>
          <w:color w:val="000000" w:themeColor="text1"/>
          <w:kern w:val="0"/>
          <w:highlight w:val="none"/>
          <w14:textFill>
            <w14:solidFill>
              <w14:schemeClr w14:val="tx1"/>
            </w14:solidFill>
          </w14:textFill>
        </w:rPr>
        <w:t>在</w:t>
      </w:r>
      <w:r>
        <w:rPr>
          <w:rFonts w:hint="eastAsia" w:ascii="宋体" w:hAnsi="宋体" w:cs="Arial"/>
          <w:color w:val="000000" w:themeColor="text1"/>
          <w:kern w:val="0"/>
          <w:highlight w:val="none"/>
          <w14:textFill>
            <w14:solidFill>
              <w14:schemeClr w14:val="tx1"/>
            </w14:solidFill>
          </w14:textFill>
        </w:rPr>
        <w:t>绍兴市公共资源交易中心电子招投标交易平台（</w:t>
      </w:r>
      <w:r>
        <w:rPr>
          <w:rFonts w:ascii="宋体" w:hAnsi="宋体" w:cs="Arial"/>
          <w:color w:val="000000" w:themeColor="text1"/>
          <w:kern w:val="0"/>
          <w:szCs w:val="21"/>
          <w:highlight w:val="none"/>
          <w14:textFill>
            <w14:solidFill>
              <w14:schemeClr w14:val="tx1"/>
            </w14:solidFill>
          </w14:textFill>
        </w:rPr>
        <w:t>http://p.ggb.sx.gov.cn:6081/TPBidder/</w:t>
      </w:r>
      <w:r>
        <w:rPr>
          <w:rFonts w:hint="eastAsia" w:ascii="宋体" w:hAnsi="宋体" w:cs="Arial"/>
          <w:color w:val="000000" w:themeColor="text1"/>
          <w:kern w:val="0"/>
          <w:highlight w:val="none"/>
          <w14:textFill>
            <w14:solidFill>
              <w14:schemeClr w14:val="tx1"/>
            </w14:solidFill>
          </w14:textFill>
        </w:rPr>
        <w:t>）自行下载招标文件</w:t>
      </w:r>
      <w:r>
        <w:rPr>
          <w:rFonts w:ascii="宋体" w:hAnsi="宋体" w:cs="Arial"/>
          <w:color w:val="000000" w:themeColor="text1"/>
          <w:kern w:val="0"/>
          <w:highlight w:val="none"/>
          <w14:textFill>
            <w14:solidFill>
              <w14:schemeClr w14:val="tx1"/>
            </w14:solidFill>
          </w14:textFill>
        </w:rPr>
        <w:t>，</w:t>
      </w:r>
      <w:r>
        <w:rPr>
          <w:rFonts w:hint="eastAsia"/>
          <w:color w:val="000000" w:themeColor="text1"/>
          <w:highlight w:val="none"/>
          <w14:textFill>
            <w14:solidFill>
              <w14:schemeClr w14:val="tx1"/>
            </w14:solidFill>
          </w14:textFill>
        </w:rPr>
        <w:t>截止期后交易平台不再提供下载服务;未在规定时间内获取招标文件的，不接受其投标。</w:t>
      </w:r>
    </w:p>
    <w:p>
      <w:pPr>
        <w:widowControl/>
        <w:spacing w:line="400" w:lineRule="exact"/>
        <w:rPr>
          <w:rFonts w:ascii="宋体" w:hAnsi="宋体" w:cs="Arial"/>
          <w:color w:val="000000" w:themeColor="text1"/>
          <w:kern w:val="0"/>
          <w:highlight w:val="none"/>
          <w14:textFill>
            <w14:solidFill>
              <w14:schemeClr w14:val="tx1"/>
            </w14:solidFill>
          </w14:textFill>
        </w:rPr>
      </w:pPr>
      <w:r>
        <w:rPr>
          <w:rFonts w:ascii="宋体" w:hAnsi="宋体" w:cs="Arial"/>
          <w:color w:val="000000" w:themeColor="text1"/>
          <w:kern w:val="0"/>
          <w:highlight w:val="none"/>
          <w14:textFill>
            <w14:solidFill>
              <w14:schemeClr w14:val="tx1"/>
            </w14:solidFill>
          </w14:textFill>
        </w:rPr>
        <w:t>4.2 招标文件每套售价</w:t>
      </w:r>
      <w:r>
        <w:rPr>
          <w:rFonts w:hint="eastAsia" w:ascii="宋体" w:hAnsi="宋体" w:cs="Arial"/>
          <w:color w:val="000000" w:themeColor="text1"/>
          <w:kern w:val="0"/>
          <w:highlight w:val="none"/>
          <w:u w:val="single"/>
          <w14:textFill>
            <w14:solidFill>
              <w14:schemeClr w14:val="tx1"/>
            </w14:solidFill>
          </w14:textFill>
        </w:rPr>
        <w:t xml:space="preserve"> / </w:t>
      </w:r>
      <w:r>
        <w:rPr>
          <w:rFonts w:ascii="宋体" w:hAnsi="宋体" w:cs="Arial"/>
          <w:color w:val="000000" w:themeColor="text1"/>
          <w:kern w:val="0"/>
          <w:highlight w:val="none"/>
          <w14:textFill>
            <w14:solidFill>
              <w14:schemeClr w14:val="tx1"/>
            </w14:solidFill>
          </w14:textFill>
        </w:rPr>
        <w:t>元，售后不退。图纸押金</w:t>
      </w:r>
      <w:r>
        <w:rPr>
          <w:rFonts w:hint="eastAsia" w:ascii="宋体" w:hAnsi="宋体" w:cs="Arial"/>
          <w:color w:val="000000" w:themeColor="text1"/>
          <w:kern w:val="0"/>
          <w:highlight w:val="none"/>
          <w:u w:val="single"/>
          <w14:textFill>
            <w14:solidFill>
              <w14:schemeClr w14:val="tx1"/>
            </w14:solidFill>
          </w14:textFill>
        </w:rPr>
        <w:t xml:space="preserve">  / </w:t>
      </w:r>
      <w:r>
        <w:rPr>
          <w:rFonts w:ascii="宋体" w:hAnsi="宋体" w:cs="Arial"/>
          <w:color w:val="000000" w:themeColor="text1"/>
          <w:kern w:val="0"/>
          <w:highlight w:val="none"/>
          <w14:textFill>
            <w14:solidFill>
              <w14:schemeClr w14:val="tx1"/>
            </w14:solidFill>
          </w14:textFill>
        </w:rPr>
        <w:t>元，在退还图纸时退还（不计利息）。</w:t>
      </w:r>
    </w:p>
    <w:p>
      <w:pPr>
        <w:widowControl/>
        <w:spacing w:line="400" w:lineRule="exact"/>
        <w:rPr>
          <w:rFonts w:ascii="??" w:hAnsi="??" w:cs="??"/>
          <w:b/>
          <w:bCs/>
          <w:color w:val="000000" w:themeColor="text1"/>
          <w:kern w:val="44"/>
          <w:highlight w:val="none"/>
          <w14:textFill>
            <w14:solidFill>
              <w14:schemeClr w14:val="tx1"/>
            </w14:solidFill>
          </w14:textFill>
        </w:rPr>
      </w:pPr>
      <w:r>
        <w:rPr>
          <w:rFonts w:hint="eastAsia" w:ascii="??" w:hAnsi="??" w:cs="??"/>
          <w:b/>
          <w:bCs/>
          <w:color w:val="000000" w:themeColor="text1"/>
          <w:kern w:val="44"/>
          <w:highlight w:val="none"/>
          <w14:textFill>
            <w14:solidFill>
              <w14:schemeClr w14:val="tx1"/>
            </w14:solidFill>
          </w14:textFill>
        </w:rPr>
        <w:t>5.投标保证金</w:t>
      </w:r>
    </w:p>
    <w:p>
      <w:pPr>
        <w:pStyle w:val="71"/>
        <w:shd w:val="clear" w:color="auto" w:fill="FFFFFF"/>
        <w:spacing w:line="400" w:lineRule="exact"/>
        <w:ind w:firstLine="420" w:firstLineChars="200"/>
        <w:rPr>
          <w:color w:val="000000" w:themeColor="text1"/>
          <w:sz w:val="21"/>
          <w:szCs w:val="21"/>
          <w:highlight w:val="none"/>
          <w14:textFill>
            <w14:solidFill>
              <w14:schemeClr w14:val="tx1"/>
            </w14:solidFill>
          </w14:textFill>
        </w:rPr>
      </w:pPr>
      <w:r>
        <w:rPr>
          <w:rFonts w:cs="Arial"/>
          <w:color w:val="000000" w:themeColor="text1"/>
          <w:sz w:val="21"/>
          <w:szCs w:val="21"/>
          <w:highlight w:val="none"/>
          <w14:textFill>
            <w14:solidFill>
              <w14:schemeClr w14:val="tx1"/>
            </w14:solidFill>
          </w14:textFill>
        </w:rPr>
        <w:t>本</w:t>
      </w:r>
      <w:r>
        <w:rPr>
          <w:rFonts w:hint="eastAsia" w:cs="Arial"/>
          <w:color w:val="000000" w:themeColor="text1"/>
          <w:sz w:val="21"/>
          <w:szCs w:val="21"/>
          <w:highlight w:val="none"/>
          <w14:textFill>
            <w14:solidFill>
              <w14:schemeClr w14:val="tx1"/>
            </w14:solidFill>
          </w14:textFill>
        </w:rPr>
        <w:t>项目</w:t>
      </w:r>
      <w:r>
        <w:rPr>
          <w:rFonts w:cs="Arial"/>
          <w:color w:val="000000" w:themeColor="text1"/>
          <w:sz w:val="21"/>
          <w:szCs w:val="21"/>
          <w:highlight w:val="none"/>
          <w14:textFill>
            <w14:solidFill>
              <w14:schemeClr w14:val="tx1"/>
            </w14:solidFill>
          </w14:textFill>
        </w:rPr>
        <w:t>需缴纳投标保证金</w:t>
      </w:r>
      <w:r>
        <w:rPr>
          <w:rFonts w:hint="eastAsia" w:cs="Arial"/>
          <w:b/>
          <w:bCs/>
          <w:color w:val="000000" w:themeColor="text1"/>
          <w:sz w:val="21"/>
          <w:szCs w:val="21"/>
          <w:highlight w:val="none"/>
          <w:u w:val="single"/>
          <w14:textFill>
            <w14:solidFill>
              <w14:schemeClr w14:val="tx1"/>
            </w14:solidFill>
          </w14:textFill>
        </w:rPr>
        <w:t xml:space="preserve">    </w:t>
      </w:r>
      <w:r>
        <w:rPr>
          <w:rFonts w:cs="Arial"/>
          <w:color w:val="000000" w:themeColor="text1"/>
          <w:sz w:val="21"/>
          <w:szCs w:val="21"/>
          <w:highlight w:val="none"/>
          <w14:textFill>
            <w14:solidFill>
              <w14:schemeClr w14:val="tx1"/>
            </w14:solidFill>
          </w14:textFill>
        </w:rPr>
        <w:t>万元,</w:t>
      </w:r>
      <w:r>
        <w:rPr>
          <w:rFonts w:hint="eastAsia"/>
          <w:color w:val="000000" w:themeColor="text1"/>
          <w:sz w:val="21"/>
          <w:szCs w:val="21"/>
          <w:highlight w:val="none"/>
          <w14:textFill>
            <w14:solidFill>
              <w14:schemeClr w14:val="tx1"/>
            </w14:solidFill>
          </w14:textFill>
        </w:rPr>
        <w:t xml:space="preserve"> 投标保证金在投标人自行获取招标文件后，</w:t>
      </w:r>
      <w:r>
        <w:rPr>
          <w:rFonts w:hint="eastAsia"/>
          <w:color w:val="000000" w:themeColor="text1"/>
          <w:sz w:val="21"/>
          <w:szCs w:val="21"/>
          <w:highlight w:val="none"/>
          <w:u w:val="single"/>
          <w14:textFill>
            <w14:solidFill>
              <w14:schemeClr w14:val="tx1"/>
            </w14:solidFill>
          </w14:textFill>
        </w:rPr>
        <w:t>2023</w:t>
      </w:r>
      <w:r>
        <w:rPr>
          <w:rFonts w:hint="eastAsia"/>
          <w:color w:val="000000" w:themeColor="text1"/>
          <w:sz w:val="21"/>
          <w:szCs w:val="21"/>
          <w:highlight w:val="none"/>
          <w14:textFill>
            <w14:solidFill>
              <w14:schemeClr w14:val="tx1"/>
            </w14:solidFill>
          </w14:textFill>
        </w:rPr>
        <w:t>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日</w:t>
      </w:r>
      <w:r>
        <w:rPr>
          <w:rFonts w:hint="eastAsia"/>
          <w:color w:val="000000" w:themeColor="text1"/>
          <w:sz w:val="21"/>
          <w:szCs w:val="21"/>
          <w:highlight w:val="none"/>
          <w:u w:val="single"/>
          <w14:textFill>
            <w14:solidFill>
              <w14:schemeClr w14:val="tx1"/>
            </w14:solidFill>
          </w14:textFill>
        </w:rPr>
        <w:t>17:00</w:t>
      </w:r>
      <w:r>
        <w:rPr>
          <w:rFonts w:hint="eastAsia"/>
          <w:color w:val="000000" w:themeColor="text1"/>
          <w:sz w:val="21"/>
          <w:szCs w:val="21"/>
          <w:highlight w:val="none"/>
          <w14:textFill>
            <w14:solidFill>
              <w14:schemeClr w14:val="tx1"/>
            </w14:solidFill>
          </w14:textFill>
        </w:rPr>
        <w:t>时前缴纳</w:t>
      </w:r>
      <w:r>
        <w:rPr>
          <w:rFonts w:hint="eastAsia"/>
          <w:color w:val="000000" w:themeColor="text1"/>
          <w:kern w:val="2"/>
          <w:sz w:val="21"/>
          <w:szCs w:val="21"/>
          <w:highlight w:val="none"/>
          <w14:textFill>
            <w14:solidFill>
              <w14:schemeClr w14:val="tx1"/>
            </w14:solidFill>
          </w14:textFill>
        </w:rPr>
        <w:t>。</w:t>
      </w:r>
      <w:r>
        <w:rPr>
          <w:rFonts w:hint="eastAsia"/>
          <w:color w:val="000000" w:themeColor="text1"/>
          <w:sz w:val="21"/>
          <w:szCs w:val="21"/>
          <w:highlight w:val="none"/>
          <w14:textFill>
            <w14:solidFill>
              <w14:schemeClr w14:val="tx1"/>
            </w14:solidFill>
          </w14:textFill>
        </w:rPr>
        <w:t xml:space="preserve">缴纳方式为： </w:t>
      </w:r>
    </w:p>
    <w:p>
      <w:pPr>
        <w:widowControl/>
        <w:spacing w:line="400" w:lineRule="exact"/>
        <w:ind w:firstLine="420" w:firstLineChars="200"/>
        <w:rPr>
          <w:rFonts w:ascii="宋体" w:hAnsi="宋体" w:cs="Arial"/>
          <w:bCs/>
          <w:color w:val="000000" w:themeColor="text1"/>
          <w:kern w:val="0"/>
          <w:szCs w:val="21"/>
          <w:highlight w:val="none"/>
          <w14:textFill>
            <w14:solidFill>
              <w14:schemeClr w14:val="tx1"/>
            </w14:solidFill>
          </w14:textFill>
        </w:rPr>
      </w:pPr>
      <w:r>
        <w:rPr>
          <w:rFonts w:hint="eastAsia" w:ascii="宋体" w:hAnsi="宋体" w:cs="Arial"/>
          <w:bCs/>
          <w:color w:val="000000" w:themeColor="text1"/>
          <w:kern w:val="0"/>
          <w:szCs w:val="21"/>
          <w:highlight w:val="none"/>
          <w14:textFill>
            <w14:solidFill>
              <w14:schemeClr w14:val="tx1"/>
            </w14:solidFill>
          </w14:textFill>
        </w:rPr>
        <w:t xml:space="preserve">（1）投标人基本账户开具的银行票据，即汇票、电汇、转账支票等(不包括现金）。保证金缴入账户：账户一：开户单位名称：绍兴市公共资源交易中心保证金专户，开户行:绍兴银行营业部；账号： </w:t>
      </w:r>
      <w:r>
        <w:rPr>
          <w:rFonts w:hint="eastAsia" w:ascii="宋体" w:hAnsi="宋体" w:cs="Arial"/>
          <w:bCs/>
          <w:color w:val="000000" w:themeColor="text1"/>
          <w:kern w:val="0"/>
          <w:szCs w:val="21"/>
          <w:highlight w:val="none"/>
          <w:u w:val="single"/>
          <w14:textFill>
            <w14:solidFill>
              <w14:schemeClr w14:val="tx1"/>
            </w14:solidFill>
          </w14:textFill>
        </w:rPr>
        <w:t xml:space="preserve">                         </w:t>
      </w:r>
      <w:r>
        <w:rPr>
          <w:rFonts w:hint="eastAsia" w:ascii="宋体" w:hAnsi="宋体" w:cs="Arial"/>
          <w:bCs/>
          <w:color w:val="000000" w:themeColor="text1"/>
          <w:kern w:val="0"/>
          <w:szCs w:val="21"/>
          <w:highlight w:val="none"/>
          <w14:textFill>
            <w14:solidFill>
              <w14:schemeClr w14:val="tx1"/>
            </w14:solidFill>
          </w14:textFill>
        </w:rPr>
        <w:t xml:space="preserve"> ；账户二：开户单位名称：绍兴市公共资源交易中心保证金专户，开户行:中信银行绍兴城东支行；账号：</w:t>
      </w:r>
      <w:r>
        <w:rPr>
          <w:rFonts w:hint="eastAsia" w:ascii="宋体" w:hAnsi="宋体" w:cs="Arial"/>
          <w:bCs/>
          <w:color w:val="000000" w:themeColor="text1"/>
          <w:kern w:val="0"/>
          <w:szCs w:val="21"/>
          <w:highlight w:val="none"/>
          <w:u w:val="single"/>
          <w14:textFill>
            <w14:solidFill>
              <w14:schemeClr w14:val="tx1"/>
            </w14:solidFill>
          </w14:textFill>
        </w:rPr>
        <w:t xml:space="preserve">                   </w:t>
      </w:r>
      <w:r>
        <w:rPr>
          <w:rFonts w:hint="eastAsia" w:ascii="宋体" w:hAnsi="宋体" w:cs="Arial"/>
          <w:bCs/>
          <w:color w:val="000000" w:themeColor="text1"/>
          <w:kern w:val="0"/>
          <w:szCs w:val="21"/>
          <w:highlight w:val="none"/>
          <w14:textFill>
            <w14:solidFill>
              <w14:schemeClr w14:val="tx1"/>
            </w14:solidFill>
          </w14:textFill>
        </w:rPr>
        <w:t>；投标人可自主选择以上账户之一缴纳投标保证金。</w:t>
      </w:r>
    </w:p>
    <w:p>
      <w:pPr>
        <w:widowControl/>
        <w:spacing w:line="400" w:lineRule="exact"/>
        <w:ind w:firstLine="420" w:firstLineChars="200"/>
        <w:rPr>
          <w:rFonts w:ascii="宋体" w:hAnsi="宋体" w:cs="Arial"/>
          <w:bCs/>
          <w:color w:val="000000" w:themeColor="text1"/>
          <w:kern w:val="0"/>
          <w:szCs w:val="21"/>
          <w:highlight w:val="none"/>
          <w14:textFill>
            <w14:solidFill>
              <w14:schemeClr w14:val="tx1"/>
            </w14:solidFill>
          </w14:textFill>
        </w:rPr>
      </w:pPr>
      <w:r>
        <w:rPr>
          <w:rFonts w:hint="eastAsia" w:ascii="宋体" w:hAnsi="宋体" w:cs="Arial"/>
          <w:bCs/>
          <w:color w:val="000000" w:themeColor="text1"/>
          <w:kern w:val="0"/>
          <w:szCs w:val="21"/>
          <w:highlight w:val="none"/>
          <w14:textFill>
            <w14:solidFill>
              <w14:schemeClr w14:val="tx1"/>
            </w14:solidFill>
          </w14:textFill>
        </w:rPr>
        <w:t>（2）招标人接受绍兴市公共资源交易中心出具的“投标保证金联保证明”作为投标保证金缴纳凭证，投标人不用另行提供其他证明材料。</w:t>
      </w:r>
    </w:p>
    <w:p>
      <w:pPr>
        <w:widowControl/>
        <w:spacing w:line="400" w:lineRule="exact"/>
        <w:ind w:firstLine="420" w:firstLineChars="200"/>
        <w:rPr>
          <w:rFonts w:ascii="宋体" w:hAnsi="宋体" w:cs="Arial"/>
          <w:bCs/>
          <w:color w:val="000000" w:themeColor="text1"/>
          <w:kern w:val="0"/>
          <w:szCs w:val="21"/>
          <w:highlight w:val="none"/>
          <w14:textFill>
            <w14:solidFill>
              <w14:schemeClr w14:val="tx1"/>
            </w14:solidFill>
          </w14:textFill>
        </w:rPr>
      </w:pPr>
      <w:r>
        <w:rPr>
          <w:rFonts w:hint="eastAsia" w:ascii="宋体" w:hAnsi="宋体" w:cs="Arial"/>
          <w:bCs/>
          <w:color w:val="000000" w:themeColor="text1"/>
          <w:kern w:val="0"/>
          <w:szCs w:val="21"/>
          <w:highlight w:val="none"/>
          <w14:textFill>
            <w14:solidFill>
              <w14:schemeClr w14:val="tx1"/>
            </w14:solidFill>
          </w14:textFill>
        </w:rPr>
        <w:t>（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widowControl/>
        <w:spacing w:line="400" w:lineRule="exact"/>
        <w:rPr>
          <w:rFonts w:ascii="宋体" w:hAnsi="宋体" w:cs="Arial"/>
          <w:b/>
          <w:bCs/>
          <w:color w:val="000000" w:themeColor="text1"/>
          <w:kern w:val="0"/>
          <w:szCs w:val="21"/>
          <w:highlight w:val="none"/>
          <w14:textFill>
            <w14:solidFill>
              <w14:schemeClr w14:val="tx1"/>
            </w14:solidFill>
          </w14:textFill>
        </w:rPr>
      </w:pPr>
      <w:r>
        <w:rPr>
          <w:rFonts w:ascii="宋体" w:hAnsi="宋体" w:cs="Arial"/>
          <w:b/>
          <w:bCs/>
          <w:color w:val="000000" w:themeColor="text1"/>
          <w:kern w:val="0"/>
          <w:szCs w:val="21"/>
          <w:highlight w:val="none"/>
          <w14:textFill>
            <w14:solidFill>
              <w14:schemeClr w14:val="tx1"/>
            </w14:solidFill>
          </w14:textFill>
        </w:rPr>
        <w:t>6.其他有关内容</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6.1评标入围方法：</w:t>
      </w:r>
      <w:r>
        <w:rPr>
          <w:rFonts w:hint="eastAsia" w:ascii="宋体" w:hAnsi="宋体"/>
          <w:b/>
          <w:iCs/>
          <w:color w:val="000000" w:themeColor="text1"/>
          <w:szCs w:val="21"/>
          <w:highlight w:val="none"/>
          <w:u w:val="single"/>
          <w14:textFill>
            <w14:solidFill>
              <w14:schemeClr w14:val="tx1"/>
            </w14:solidFill>
          </w14:textFill>
        </w:rPr>
        <w:t>全部入围。</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6.2评标方法：</w:t>
      </w:r>
      <w:r>
        <w:rPr>
          <w:rFonts w:hint="eastAsia" w:ascii="宋体" w:hAnsi="宋体"/>
          <w:b/>
          <w:color w:val="000000" w:themeColor="text1"/>
          <w:szCs w:val="21"/>
          <w:highlight w:val="none"/>
          <w:u w:val="single"/>
          <w14:textFill>
            <w14:solidFill>
              <w14:schemeClr w14:val="tx1"/>
            </w14:solidFill>
          </w14:textFill>
        </w:rPr>
        <w:t>综合评估</w:t>
      </w:r>
      <w:r>
        <w:rPr>
          <w:rFonts w:hint="eastAsia" w:ascii="宋体" w:hAnsi="宋体"/>
          <w:b/>
          <w:color w:val="000000" w:themeColor="text1"/>
          <w:spacing w:val="-20"/>
          <w:szCs w:val="21"/>
          <w:highlight w:val="none"/>
          <w:u w:val="single"/>
          <w14:textFill>
            <w14:solidFill>
              <w14:schemeClr w14:val="tx1"/>
            </w14:solidFill>
          </w14:textFill>
        </w:rPr>
        <w:t>法（</w:t>
      </w:r>
      <w:r>
        <w:rPr>
          <w:rFonts w:hint="eastAsia" w:ascii="宋体" w:hAnsi="宋体"/>
          <w:b/>
          <w:color w:val="000000" w:themeColor="text1"/>
          <w:szCs w:val="21"/>
          <w:highlight w:val="none"/>
          <w:u w:val="single"/>
          <w14:textFill>
            <w14:solidFill>
              <w14:schemeClr w14:val="tx1"/>
            </w14:solidFill>
          </w14:textFill>
        </w:rPr>
        <w:t>设技术标</w:t>
      </w:r>
      <w:r>
        <w:rPr>
          <w:rFonts w:hint="eastAsia" w:ascii="宋体" w:hAnsi="宋体"/>
          <w:b/>
          <w:iCs/>
          <w:color w:val="000000" w:themeColor="text1"/>
          <w:szCs w:val="21"/>
          <w:highlight w:val="none"/>
          <w:u w:val="single"/>
          <w14:textFill>
            <w14:solidFill>
              <w14:schemeClr w14:val="tx1"/>
            </w14:solidFill>
          </w14:textFill>
        </w:rPr>
        <w:t>，本工程不采用电子投标和辅助评标）。</w:t>
      </w:r>
    </w:p>
    <w:p>
      <w:pPr>
        <w:widowControl/>
        <w:spacing w:line="400" w:lineRule="exact"/>
        <w:rPr>
          <w:rFonts w:ascii="宋体" w:hAnsi="宋体" w:cs="Arial"/>
          <w:b/>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6.3中标方式：</w:t>
      </w:r>
      <w:r>
        <w:rPr>
          <w:rFonts w:hint="eastAsia" w:ascii="宋体" w:hAnsi="宋体"/>
          <w:b/>
          <w:color w:val="000000" w:themeColor="text1"/>
          <w:szCs w:val="21"/>
          <w:highlight w:val="none"/>
          <w:u w:val="single"/>
          <w14:textFill>
            <w14:solidFill>
              <w14:schemeClr w14:val="tx1"/>
            </w14:solidFill>
          </w14:textFill>
        </w:rPr>
        <w:t>最高分中标</w:t>
      </w:r>
      <w:r>
        <w:rPr>
          <w:rFonts w:ascii="宋体" w:hAnsi="宋体" w:cs="Arial"/>
          <w:b/>
          <w:color w:val="000000" w:themeColor="text1"/>
          <w:kern w:val="0"/>
          <w:szCs w:val="21"/>
          <w:highlight w:val="none"/>
          <w:u w:val="single"/>
          <w14:textFill>
            <w14:solidFill>
              <w14:schemeClr w14:val="tx1"/>
            </w14:solidFill>
          </w14:textFill>
        </w:rPr>
        <w:t>。</w:t>
      </w:r>
    </w:p>
    <w:p>
      <w:pPr>
        <w:widowControl/>
        <w:spacing w:line="400" w:lineRule="exact"/>
        <w:rPr>
          <w:rFonts w:ascii="宋体" w:hAnsi="宋体" w:cs="Arial"/>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6.</w:t>
      </w:r>
      <w:r>
        <w:rPr>
          <w:rFonts w:hint="eastAsia" w:ascii="宋体" w:hAnsi="宋体" w:cs="Arial"/>
          <w:color w:val="000000" w:themeColor="text1"/>
          <w:kern w:val="0"/>
          <w:szCs w:val="21"/>
          <w:highlight w:val="none"/>
          <w14:textFill>
            <w14:solidFill>
              <w14:schemeClr w14:val="tx1"/>
            </w14:solidFill>
          </w14:textFill>
        </w:rPr>
        <w:t>4投标文件的递交</w:t>
      </w:r>
      <w:r>
        <w:rPr>
          <w:rFonts w:ascii="宋体" w:hAnsi="宋体" w:cs="Arial"/>
          <w:color w:val="000000" w:themeColor="text1"/>
          <w:kern w:val="0"/>
          <w:szCs w:val="21"/>
          <w:highlight w:val="none"/>
          <w14:textFill>
            <w14:solidFill>
              <w14:schemeClr w14:val="tx1"/>
            </w14:solidFill>
          </w14:textFill>
        </w:rPr>
        <w:t>：</w:t>
      </w:r>
      <w:r>
        <w:rPr>
          <w:rFonts w:hint="eastAsia" w:ascii="宋体" w:hAnsi="宋体" w:cs="Arial"/>
          <w:color w:val="000000" w:themeColor="text1"/>
          <w:kern w:val="0"/>
          <w:szCs w:val="21"/>
          <w:highlight w:val="none"/>
          <w14:textFill>
            <w14:solidFill>
              <w14:schemeClr w14:val="tx1"/>
            </w14:solidFill>
          </w14:textFill>
        </w:rPr>
        <w:t>投标文件递交的截止时间为</w:t>
      </w:r>
      <w:r>
        <w:rPr>
          <w:rFonts w:hint="eastAsia" w:ascii="宋体" w:hAnsi="宋体" w:cs="Arial"/>
          <w:b/>
          <w:color w:val="000000" w:themeColor="text1"/>
          <w:kern w:val="0"/>
          <w:szCs w:val="21"/>
          <w:highlight w:val="none"/>
          <w:u w:val="single"/>
          <w14:textFill>
            <w14:solidFill>
              <w14:schemeClr w14:val="tx1"/>
            </w14:solidFill>
          </w14:textFill>
        </w:rPr>
        <w:t>2023</w:t>
      </w:r>
      <w:r>
        <w:rPr>
          <w:rFonts w:hint="eastAsia" w:ascii="宋体" w:hAnsi="宋体" w:cs="Arial"/>
          <w:color w:val="000000" w:themeColor="text1"/>
          <w:kern w:val="0"/>
          <w:szCs w:val="21"/>
          <w:highlight w:val="none"/>
          <w14:textFill>
            <w14:solidFill>
              <w14:schemeClr w14:val="tx1"/>
            </w14:solidFill>
          </w14:textFill>
        </w:rPr>
        <w:t>年</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14:textFill>
            <w14:solidFill>
              <w14:schemeClr w14:val="tx1"/>
            </w14:solidFill>
          </w14:textFill>
        </w:rPr>
        <w:t>月</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14:textFill>
            <w14:solidFill>
              <w14:schemeClr w14:val="tx1"/>
            </w14:solidFill>
          </w14:textFill>
        </w:rPr>
        <w:t>日</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14:textFill>
            <w14:solidFill>
              <w14:schemeClr w14:val="tx1"/>
            </w14:solidFill>
          </w14:textFill>
        </w:rPr>
        <w:t>时，地点为</w:t>
      </w:r>
      <w:r>
        <w:rPr>
          <w:rFonts w:hint="eastAsia" w:ascii="宋体" w:hAnsi="宋体" w:cs="Arial"/>
          <w:b/>
          <w:color w:val="000000" w:themeColor="text1"/>
          <w:kern w:val="0"/>
          <w:szCs w:val="21"/>
          <w:highlight w:val="none"/>
          <w:u w:val="single"/>
          <w14:textFill>
            <w14:solidFill>
              <w14:schemeClr w14:val="tx1"/>
            </w14:solidFill>
          </w14:textFill>
        </w:rPr>
        <w:t>绍兴市公共资源交易中心四楼指定开标室</w:t>
      </w:r>
      <w:r>
        <w:rPr>
          <w:rFonts w:hint="eastAsia" w:ascii="宋体" w:hAnsi="宋体" w:cs="Arial"/>
          <w:color w:val="000000" w:themeColor="text1"/>
          <w:kern w:val="0"/>
          <w:szCs w:val="21"/>
          <w:highlight w:val="none"/>
          <w:u w:val="single"/>
          <w14:textFill>
            <w14:solidFill>
              <w14:schemeClr w14:val="tx1"/>
            </w14:solidFill>
          </w14:textFill>
        </w:rPr>
        <w:t>。</w:t>
      </w:r>
    </w:p>
    <w:p>
      <w:pPr>
        <w:pStyle w:val="21"/>
        <w:spacing w:line="400" w:lineRule="exact"/>
        <w:ind w:firstLine="0" w:firstLineChars="0"/>
        <w:rPr>
          <w:rFonts w:ascii="??" w:hAnsi="??" w:cs="宋体"/>
          <w:color w:val="000000" w:themeColor="text1"/>
          <w:kern w:val="0"/>
          <w:szCs w:val="21"/>
          <w:highlight w:val="none"/>
          <w14:textFill>
            <w14:solidFill>
              <w14:schemeClr w14:val="tx1"/>
            </w14:solidFill>
          </w14:textFill>
        </w:rPr>
      </w:pPr>
      <w:r>
        <w:rPr>
          <w:rFonts w:hint="eastAsia" w:ascii="??" w:hAnsi="??" w:cs="宋体"/>
          <w:color w:val="000000" w:themeColor="text1"/>
          <w:kern w:val="0"/>
          <w:szCs w:val="21"/>
          <w:highlight w:val="none"/>
          <w14:textFill>
            <w14:solidFill>
              <w14:schemeClr w14:val="tx1"/>
            </w14:solidFill>
          </w14:textFill>
        </w:rPr>
        <w:t>6.5本项目采用“不见面”开标方式，不强制要求投标人参加现场开标会。</w:t>
      </w:r>
    </w:p>
    <w:p>
      <w:pPr>
        <w:pStyle w:val="21"/>
        <w:spacing w:line="400" w:lineRule="exact"/>
        <w:ind w:firstLine="0" w:firstLineChars="0"/>
        <w:rPr>
          <w:rFonts w:ascii="??" w:hAnsi="??" w:cs="宋体"/>
          <w:color w:val="000000" w:themeColor="text1"/>
          <w:kern w:val="0"/>
          <w:szCs w:val="21"/>
          <w:highlight w:val="none"/>
          <w14:textFill>
            <w14:solidFill>
              <w14:schemeClr w14:val="tx1"/>
            </w14:solidFill>
          </w14:textFill>
        </w:rPr>
      </w:pPr>
      <w:r>
        <w:rPr>
          <w:rFonts w:hint="eastAsia" w:ascii="??" w:hAnsi="??" w:cs="宋体"/>
          <w:color w:val="000000" w:themeColor="text1"/>
          <w:kern w:val="0"/>
          <w:szCs w:val="21"/>
          <w:highlight w:val="none"/>
          <w14:textFill>
            <w14:solidFill>
              <w14:schemeClr w14:val="tx1"/>
            </w14:solidFill>
          </w14:textFill>
        </w:rPr>
        <w:t>6.6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7.发布公告的媒介</w:t>
      </w:r>
    </w:p>
    <w:p>
      <w:pPr>
        <w:widowControl/>
        <w:spacing w:line="400" w:lineRule="exact"/>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本次招标公告同时在</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  </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u w:val="singl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（发布公告的媒介名称）上发布。</w:t>
      </w:r>
    </w:p>
    <w:p>
      <w:pPr>
        <w:widowControl/>
        <w:spacing w:line="400" w:lineRule="exact"/>
        <w:rPr>
          <w:rFonts w:ascii="宋体" w:hAnsi="宋体" w:cs="Arial"/>
          <w:b/>
          <w:color w:val="000000" w:themeColor="text1"/>
          <w:kern w:val="0"/>
          <w:szCs w:val="21"/>
          <w:highlight w:val="none"/>
          <w14:textFill>
            <w14:solidFill>
              <w14:schemeClr w14:val="tx1"/>
            </w14:solidFill>
          </w14:textFill>
        </w:rPr>
      </w:pPr>
      <w:r>
        <w:rPr>
          <w:rFonts w:hint="eastAsia" w:ascii="宋体" w:hAnsi="宋体" w:cs="Arial"/>
          <w:b/>
          <w:color w:val="000000" w:themeColor="text1"/>
          <w:kern w:val="0"/>
          <w:szCs w:val="21"/>
          <w:highlight w:val="none"/>
          <w14:textFill>
            <w14:solidFill>
              <w14:schemeClr w14:val="tx1"/>
            </w14:solidFill>
          </w14:textFill>
        </w:rPr>
        <w:t>8.</w:t>
      </w:r>
      <w:r>
        <w:rPr>
          <w:rFonts w:ascii="宋体" w:hAnsi="宋体" w:cs="Arial"/>
          <w:b/>
          <w:color w:val="000000" w:themeColor="text1"/>
          <w:kern w:val="0"/>
          <w:szCs w:val="21"/>
          <w:highlight w:val="none"/>
          <w14:textFill>
            <w14:solidFill>
              <w14:schemeClr w14:val="tx1"/>
            </w14:solidFill>
          </w14:textFill>
        </w:rPr>
        <w:t>若本公告相关内容与正式发出的招标文件不一致，以正式发出的招标文件为准。</w:t>
      </w:r>
    </w:p>
    <w:p>
      <w:pPr>
        <w:widowControl/>
        <w:tabs>
          <w:tab w:val="left" w:pos="2694"/>
        </w:tabs>
        <w:spacing w:line="400" w:lineRule="exact"/>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 xml:space="preserve">9.联系方式 </w:t>
      </w:r>
    </w:p>
    <w:p>
      <w:pPr>
        <w:widowControl/>
        <w:tabs>
          <w:tab w:val="left" w:pos="2694"/>
        </w:tabs>
        <w:spacing w:line="400" w:lineRule="exact"/>
        <w:ind w:left="-141" w:leftChars="-67"/>
        <w:rPr>
          <w:rFonts w:ascii="宋体" w:hAnsi="宋体" w:cs="Arial"/>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招标人：</w:t>
      </w:r>
      <w:r>
        <w:rPr>
          <w:rFonts w:hint="eastAsia" w:ascii="宋体" w:hAnsi="宋体" w:cs="Arial"/>
          <w:color w:val="000000" w:themeColor="text1"/>
          <w:kern w:val="0"/>
          <w:szCs w:val="21"/>
          <w:highlight w:val="none"/>
          <w:u w:val="single"/>
          <w14:textFill>
            <w14:solidFill>
              <w14:schemeClr w14:val="tx1"/>
            </w14:solidFill>
          </w14:textFill>
        </w:rPr>
        <w:t xml:space="preserve"> 绍兴市曹娥江大闸投资开发有限公司 </w:t>
      </w:r>
      <w:r>
        <w:rPr>
          <w:rFonts w:ascii="宋体" w:hAnsi="宋体" w:cs="Arial"/>
          <w:color w:val="000000" w:themeColor="text1"/>
          <w:kern w:val="0"/>
          <w:szCs w:val="21"/>
          <w:highlight w:val="none"/>
          <w14:textFill>
            <w14:solidFill>
              <w14:schemeClr w14:val="tx1"/>
            </w14:solidFill>
          </w14:textFill>
        </w:rPr>
        <w:t>招标代理机构：</w:t>
      </w:r>
      <w:r>
        <w:rPr>
          <w:rFonts w:hint="eastAsia" w:ascii="宋体" w:hAnsi="宋体"/>
          <w:color w:val="000000" w:themeColor="text1"/>
          <w:szCs w:val="21"/>
          <w:highlight w:val="none"/>
          <w:u w:val="single"/>
          <w14:textFill>
            <w14:solidFill>
              <w14:schemeClr w14:val="tx1"/>
            </w14:solidFill>
          </w14:textFill>
        </w:rPr>
        <w:t>浙江鼎峰工程咨询有限公司</w:t>
      </w:r>
    </w:p>
    <w:p>
      <w:pPr>
        <w:widowControl/>
        <w:tabs>
          <w:tab w:val="left" w:pos="2694"/>
        </w:tabs>
        <w:spacing w:line="400" w:lineRule="exact"/>
        <w:ind w:left="-141" w:leftChars="-67"/>
        <w:rPr>
          <w:rFonts w:ascii="宋体" w:hAnsi="宋体" w:cs="Arial"/>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地  址：</w:t>
      </w:r>
      <w:r>
        <w:rPr>
          <w:rFonts w:hint="eastAsia" w:ascii="宋体" w:hAnsi="宋体"/>
          <w:color w:val="000000" w:themeColor="text1"/>
          <w:highlight w:val="none"/>
          <w:u w:val="single"/>
          <w14:textFill>
            <w14:solidFill>
              <w14:schemeClr w14:val="tx1"/>
            </w14:solidFill>
          </w14:textFill>
        </w:rPr>
        <w:t xml:space="preserve">绍兴市越城区凤林西路166号        </w:t>
      </w:r>
      <w:r>
        <w:rPr>
          <w:rFonts w:ascii="宋体" w:hAnsi="宋体" w:cs="Arial"/>
          <w:color w:val="000000" w:themeColor="text1"/>
          <w:kern w:val="0"/>
          <w:szCs w:val="21"/>
          <w:highlight w:val="none"/>
          <w14:textFill>
            <w14:solidFill>
              <w14:schemeClr w14:val="tx1"/>
            </w14:solidFill>
          </w14:textFill>
        </w:rPr>
        <w:t>地址：</w:t>
      </w:r>
      <w:r>
        <w:rPr>
          <w:rFonts w:hint="eastAsia" w:ascii="宋体" w:hAnsi="宋体" w:cs="Arial"/>
          <w:color w:val="000000" w:themeColor="text1"/>
          <w:kern w:val="0"/>
          <w:szCs w:val="21"/>
          <w:highlight w:val="none"/>
          <w:u w:val="single"/>
          <w14:textFill>
            <w14:solidFill>
              <w14:schemeClr w14:val="tx1"/>
            </w14:solidFill>
          </w14:textFill>
        </w:rPr>
        <w:t>绍兴市绍兴市越城区云东路中富大厦9楼</w:t>
      </w:r>
    </w:p>
    <w:p>
      <w:pPr>
        <w:widowControl/>
        <w:tabs>
          <w:tab w:val="left" w:pos="2694"/>
        </w:tabs>
        <w:spacing w:line="400" w:lineRule="exact"/>
        <w:ind w:left="-141" w:leftChars="-67"/>
        <w:rPr>
          <w:rFonts w:ascii="宋体" w:hAnsi="宋体" w:cs="Arial"/>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联系人：</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杨伟军</w:t>
      </w:r>
      <w:r>
        <w:rPr>
          <w:rFonts w:hint="eastAsia"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联 系 人：</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金生钦          </w:t>
      </w:r>
    </w:p>
    <w:p>
      <w:pPr>
        <w:widowControl/>
        <w:tabs>
          <w:tab w:val="left" w:pos="2694"/>
        </w:tabs>
        <w:spacing w:line="400" w:lineRule="exact"/>
        <w:ind w:left="-141" w:leftChars="-67"/>
        <w:rPr>
          <w:rFonts w:ascii="宋体" w:hAnsi="宋体" w:cs="Arial"/>
          <w:color w:val="000000" w:themeColor="text1"/>
          <w:kern w:val="0"/>
          <w:szCs w:val="21"/>
          <w:highlight w:val="non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电  话：</w:t>
      </w:r>
      <w:r>
        <w:rPr>
          <w:rFonts w:hint="eastAsia" w:ascii="宋体" w:hAnsi="宋体" w:cs="Arial"/>
          <w:color w:val="000000" w:themeColor="text1"/>
          <w:kern w:val="0"/>
          <w:szCs w:val="21"/>
          <w:highlight w:val="none"/>
          <w:u w:val="single"/>
          <w14:textFill>
            <w14:solidFill>
              <w14:schemeClr w14:val="tx1"/>
            </w14:solidFill>
          </w14:textFill>
        </w:rPr>
        <w:t xml:space="preserve">   0575-85153136    </w:t>
      </w:r>
      <w:r>
        <w:rPr>
          <w:rFonts w:hint="eastAsia" w:ascii="宋体" w:hAnsi="宋体" w:cs="Arial"/>
          <w:color w:val="000000" w:themeColor="text1"/>
          <w:kern w:val="0"/>
          <w:szCs w:val="21"/>
          <w:highlight w:val="none"/>
          <w14:textFill>
            <w14:solidFill>
              <w14:schemeClr w14:val="tx1"/>
            </w14:solidFill>
          </w14:textFill>
        </w:rPr>
        <w:t xml:space="preserve">                </w:t>
      </w:r>
      <w:r>
        <w:rPr>
          <w:rFonts w:ascii="宋体" w:hAnsi="宋体" w:cs="Arial"/>
          <w:color w:val="000000" w:themeColor="text1"/>
          <w:kern w:val="0"/>
          <w:szCs w:val="21"/>
          <w:highlight w:val="none"/>
          <w14:textFill>
            <w14:solidFill>
              <w14:schemeClr w14:val="tx1"/>
            </w14:solidFill>
          </w14:textFill>
        </w:rPr>
        <w:t>电    话：</w:t>
      </w:r>
      <w:r>
        <w:rPr>
          <w:rFonts w:ascii="宋体" w:hAnsi="宋体" w:cs="Arial"/>
          <w:color w:val="000000" w:themeColor="text1"/>
          <w:kern w:val="0"/>
          <w:szCs w:val="21"/>
          <w:highlight w:val="none"/>
          <w:u w:val="single"/>
          <w14:textFill>
            <w14:solidFill>
              <w14:schemeClr w14:val="tx1"/>
            </w14:solidFill>
          </w14:textFill>
        </w:rPr>
        <w:t xml:space="preserve"> </w:t>
      </w:r>
      <w:r>
        <w:rPr>
          <w:rFonts w:hint="eastAsia" w:ascii="宋体" w:hAnsi="宋体" w:cs="Arial"/>
          <w:color w:val="000000" w:themeColor="text1"/>
          <w:kern w:val="0"/>
          <w:szCs w:val="21"/>
          <w:highlight w:val="none"/>
          <w:u w:val="single"/>
          <w14:textFill>
            <w14:solidFill>
              <w14:schemeClr w14:val="tx1"/>
            </w14:solidFill>
          </w14:textFill>
        </w:rPr>
        <w:t xml:space="preserve">18657587980      </w:t>
      </w:r>
      <w:r>
        <w:rPr>
          <w:rFonts w:ascii="宋体" w:hAnsi="宋体" w:cs="Arial"/>
          <w:color w:val="000000" w:themeColor="text1"/>
          <w:kern w:val="0"/>
          <w:szCs w:val="21"/>
          <w:highlight w:val="none"/>
          <w:u w:val="single"/>
          <w14:textFill>
            <w14:solidFill>
              <w14:schemeClr w14:val="tx1"/>
            </w14:solidFill>
          </w14:textFill>
        </w:rPr>
        <w:t xml:space="preserve"> </w:t>
      </w:r>
    </w:p>
    <w:p>
      <w:pPr>
        <w:widowControl/>
        <w:tabs>
          <w:tab w:val="left" w:pos="652"/>
          <w:tab w:val="left" w:pos="9050"/>
        </w:tabs>
        <w:spacing w:line="400" w:lineRule="exact"/>
        <w:rPr>
          <w:rStyle w:val="25"/>
          <w:rFonts w:ascii="宋体" w:hAnsi="宋体"/>
          <w:b w:val="0"/>
          <w:color w:val="000000" w:themeColor="text1"/>
          <w:highlight w:val="none"/>
          <w14:textFill>
            <w14:solidFill>
              <w14:schemeClr w14:val="tx1"/>
            </w14:solidFill>
          </w14:textFill>
        </w:rPr>
      </w:pPr>
    </w:p>
    <w:p>
      <w:pPr>
        <w:widowControl/>
        <w:tabs>
          <w:tab w:val="left" w:pos="652"/>
          <w:tab w:val="left" w:pos="9050"/>
        </w:tabs>
        <w:spacing w:line="400" w:lineRule="exact"/>
        <w:jc w:val="right"/>
        <w:rPr>
          <w:rStyle w:val="25"/>
          <w:rFonts w:ascii="宋体" w:hAnsi="宋体"/>
          <w:b w:val="0"/>
          <w:color w:val="000000" w:themeColor="text1"/>
          <w:highlight w:val="none"/>
          <w14:textFill>
            <w14:solidFill>
              <w14:schemeClr w14:val="tx1"/>
            </w14:solidFill>
          </w14:textFill>
        </w:rPr>
      </w:pPr>
      <w:r>
        <w:rPr>
          <w:rStyle w:val="25"/>
          <w:rFonts w:hint="eastAsia" w:ascii="宋体" w:hAnsi="宋体"/>
          <w:b w:val="0"/>
          <w:color w:val="000000" w:themeColor="text1"/>
          <w:highlight w:val="none"/>
          <w14:textFill>
            <w14:solidFill>
              <w14:schemeClr w14:val="tx1"/>
            </w14:solidFill>
          </w14:textFill>
        </w:rPr>
        <w:t xml:space="preserve">招 标 </w:t>
      </w:r>
      <w:r>
        <w:rPr>
          <w:rFonts w:hint="eastAsia" w:ascii="宋体" w:hAnsi="宋体"/>
          <w:color w:val="000000" w:themeColor="text1"/>
          <w:highlight w:val="none"/>
          <w14:textFill>
            <w14:solidFill>
              <w14:schemeClr w14:val="tx1"/>
            </w14:solidFill>
          </w14:textFill>
        </w:rPr>
        <w:t>人（盖章）：</w:t>
      </w:r>
      <w:r>
        <w:rPr>
          <w:rFonts w:hint="eastAsia" w:ascii="宋体" w:hAnsi="宋体" w:cs="Arial"/>
          <w:color w:val="000000" w:themeColor="text1"/>
          <w:kern w:val="0"/>
          <w:szCs w:val="21"/>
          <w:highlight w:val="none"/>
          <w:u w:val="single"/>
          <w14:textFill>
            <w14:solidFill>
              <w14:schemeClr w14:val="tx1"/>
            </w14:solidFill>
          </w14:textFill>
        </w:rPr>
        <w:t>绍兴市曹娥江大闸投资开发有限公司</w:t>
      </w:r>
    </w:p>
    <w:p>
      <w:pPr>
        <w:widowControl/>
        <w:tabs>
          <w:tab w:val="left" w:pos="652"/>
          <w:tab w:val="left" w:pos="9050"/>
        </w:tabs>
        <w:wordWrap w:val="0"/>
        <w:spacing w:line="400" w:lineRule="exact"/>
        <w:jc w:val="right"/>
        <w:rPr>
          <w:rStyle w:val="25"/>
          <w:rFonts w:ascii="宋体" w:hAnsi="宋体"/>
          <w:b w:val="0"/>
          <w:color w:val="000000" w:themeColor="text1"/>
          <w:highlight w:val="none"/>
          <w14:textFill>
            <w14:solidFill>
              <w14:schemeClr w14:val="tx1"/>
            </w14:solidFill>
          </w14:textFill>
        </w:rPr>
      </w:pPr>
      <w:r>
        <w:rPr>
          <w:rStyle w:val="25"/>
          <w:rFonts w:hint="eastAsia" w:ascii="宋体" w:hAnsi="宋体"/>
          <w:b w:val="0"/>
          <w:color w:val="000000" w:themeColor="text1"/>
          <w:highlight w:val="none"/>
          <w14:textFill>
            <w14:solidFill>
              <w14:schemeClr w14:val="tx1"/>
            </w14:solidFill>
          </w14:textFill>
        </w:rPr>
        <w:t>代理机构（盖章）：</w:t>
      </w:r>
      <w:r>
        <w:rPr>
          <w:rFonts w:hint="eastAsia" w:ascii="宋体" w:hAnsi="宋体"/>
          <w:bCs/>
          <w:color w:val="000000" w:themeColor="text1"/>
          <w:highlight w:val="none"/>
          <w:u w:val="single"/>
          <w14:textFill>
            <w14:solidFill>
              <w14:schemeClr w14:val="tx1"/>
            </w14:solidFill>
          </w14:textFill>
        </w:rPr>
        <w:t>浙江鼎峰工程咨询有限公司</w:t>
      </w:r>
    </w:p>
    <w:p>
      <w:pPr>
        <w:spacing w:line="400" w:lineRule="exact"/>
        <w:jc w:val="right"/>
        <w:rPr>
          <w:rFonts w:ascii="宋体" w:hAnsi="宋体"/>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2023</w:t>
      </w:r>
      <w:r>
        <w:rPr>
          <w:rFonts w:hint="eastAsia"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widowControl/>
        <w:tabs>
          <w:tab w:val="left" w:pos="652"/>
          <w:tab w:val="left" w:pos="9050"/>
        </w:tabs>
        <w:spacing w:line="440" w:lineRule="exact"/>
        <w:ind w:firstLine="2951" w:firstLineChars="1400"/>
        <w:jc w:val="right"/>
        <w:rPr>
          <w:rFonts w:ascii="Arial" w:hAnsi="Arial" w:cs="Arial"/>
          <w:color w:val="000000" w:themeColor="text1"/>
          <w:kern w:val="0"/>
          <w:sz w:val="24"/>
          <w:highlight w:val="none"/>
          <w14:textFill>
            <w14:solidFill>
              <w14:schemeClr w14:val="tx1"/>
            </w14:solidFill>
          </w14:textFill>
        </w:rPr>
      </w:pPr>
      <w:r>
        <w:rPr>
          <w:rStyle w:val="25"/>
          <w:rFonts w:hint="eastAsia" w:ascii="宋体" w:hAnsi="宋体" w:cs="宋体"/>
          <w:color w:val="000000" w:themeColor="text1"/>
          <w:szCs w:val="21"/>
          <w:highlight w:val="none"/>
          <w14:textFill>
            <w14:solidFill>
              <w14:schemeClr w14:val="tx1"/>
            </w14:solidFill>
          </w14:textFill>
        </w:rPr>
        <w:t xml:space="preserve">                  </w:t>
      </w:r>
      <w:r>
        <w:rPr>
          <w:rStyle w:val="25"/>
          <w:rFonts w:hint="eastAsia" w:ascii="宋体" w:hAnsi="宋体" w:cs="宋体"/>
          <w:b w:val="0"/>
          <w:color w:val="000000" w:themeColor="text1"/>
          <w:szCs w:val="21"/>
          <w:highlight w:val="none"/>
          <w14:textFill>
            <w14:solidFill>
              <w14:schemeClr w14:val="tx1"/>
            </w14:solidFill>
          </w14:textFill>
        </w:rPr>
        <w:t xml:space="preserve">   </w:t>
      </w:r>
    </w:p>
    <w:p>
      <w:pPr>
        <w:widowControl/>
        <w:snapToGrid w:val="0"/>
        <w:ind w:right="480"/>
        <w:rPr>
          <w:rFonts w:ascii="Arial" w:hAnsi="Arial" w:cs="Arial"/>
          <w:color w:val="000000" w:themeColor="text1"/>
          <w:kern w:val="0"/>
          <w:sz w:val="24"/>
          <w:highlight w:val="none"/>
          <w14:textFill>
            <w14:solidFill>
              <w14:schemeClr w14:val="tx1"/>
            </w14:solidFill>
          </w14:textFill>
        </w:rPr>
      </w:pPr>
    </w:p>
    <w:p>
      <w:pPr>
        <w:widowControl/>
        <w:snapToGrid w:val="0"/>
        <w:spacing w:line="312" w:lineRule="auto"/>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招标管理机构意见：                                  绍兴市公共资源交易中心意见：</w:t>
      </w:r>
    </w:p>
    <w:p>
      <w:pPr>
        <w:widowControl/>
        <w:snapToGrid w:val="0"/>
        <w:spacing w:line="312" w:lineRule="auto"/>
        <w:ind w:firstLine="945" w:firstLineChars="450"/>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年</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月</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日</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年</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月</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日</w:t>
      </w:r>
    </w:p>
    <w:p>
      <w:pPr>
        <w:widowControl/>
        <w:snapToGrid w:val="0"/>
        <w:spacing w:line="312" w:lineRule="auto"/>
        <w:rPr>
          <w:rFonts w:ascii="Arial" w:hAnsi="Arial" w:cs="Arial"/>
          <w:color w:val="000000" w:themeColor="text1"/>
          <w:kern w:val="0"/>
          <w:szCs w:val="21"/>
          <w:highlight w:val="none"/>
          <w14:textFill>
            <w14:solidFill>
              <w14:schemeClr w14:val="tx1"/>
            </w14:solidFill>
          </w14:textFill>
        </w:rPr>
      </w:pPr>
    </w:p>
    <w:p>
      <w:pPr>
        <w:widowControl/>
        <w:snapToGrid w:val="0"/>
        <w:spacing w:line="312" w:lineRule="auto"/>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备注：1、委托中介机构代理的，尚需提供工程建设项目招标代理业务承接情况表。</w:t>
      </w:r>
    </w:p>
    <w:p>
      <w:pPr>
        <w:widowControl/>
        <w:numPr>
          <w:ilvl w:val="0"/>
          <w:numId w:val="1"/>
        </w:numPr>
        <w:snapToGrid w:val="0"/>
        <w:spacing w:line="312" w:lineRule="auto"/>
        <w:jc w:val="center"/>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本表一式三份，招标人、招投标管理机构、中心各一份</w:t>
      </w:r>
      <w:r>
        <w:rPr>
          <w:rFonts w:ascii="宋体" w:hAnsi="宋体"/>
          <w:color w:val="000000" w:themeColor="text1"/>
          <w:szCs w:val="21"/>
          <w:highlight w:val="none"/>
          <w14:textFill>
            <w14:solidFill>
              <w14:schemeClr w14:val="tx1"/>
            </w14:solidFill>
          </w14:textFill>
        </w:rPr>
        <w:br w:type="page"/>
      </w:r>
      <w:r>
        <w:rPr>
          <w:rFonts w:hint="eastAsia" w:ascii="宋体" w:hAnsi="宋体"/>
          <w:bCs/>
          <w:color w:val="000000" w:themeColor="text1"/>
          <w:kern w:val="16"/>
          <w:position w:val="6"/>
          <w:sz w:val="44"/>
          <w:szCs w:val="44"/>
          <w:highlight w:val="none"/>
          <w14:textFill>
            <w14:solidFill>
              <w14:schemeClr w14:val="tx1"/>
            </w14:solidFill>
          </w14:textFill>
        </w:rPr>
        <w:t>第二章 投标人须知</w:t>
      </w:r>
    </w:p>
    <w:p>
      <w:pPr>
        <w:spacing w:line="340" w:lineRule="exact"/>
        <w:ind w:left="141" w:leftChars="67" w:firstLine="2"/>
        <w:jc w:val="left"/>
        <w:rPr>
          <w:rFonts w:ascii="宋体" w:hAnsi="宋体"/>
          <w:color w:val="000000" w:themeColor="text1"/>
          <w:kern w:val="16"/>
          <w:sz w:val="28"/>
          <w:szCs w:val="28"/>
          <w:highlight w:val="none"/>
          <w14:textFill>
            <w14:solidFill>
              <w14:schemeClr w14:val="tx1"/>
            </w14:solidFill>
          </w14:textFill>
        </w:rPr>
      </w:pPr>
      <w:r>
        <w:rPr>
          <w:rFonts w:hint="eastAsia" w:ascii="宋体" w:hAnsi="宋体"/>
          <w:color w:val="000000" w:themeColor="text1"/>
          <w:kern w:val="16"/>
          <w:sz w:val="28"/>
          <w:szCs w:val="28"/>
          <w:highlight w:val="none"/>
          <w14:textFill>
            <w14:solidFill>
              <w14:schemeClr w14:val="tx1"/>
            </w14:solidFill>
          </w14:textFill>
        </w:rPr>
        <w:t>投标人须知前附表</w:t>
      </w:r>
    </w:p>
    <w:tbl>
      <w:tblPr>
        <w:tblStyle w:val="22"/>
        <w:tblW w:w="1318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6797"/>
        <w:gridCol w:w="4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64" w:hRule="atLeast"/>
        </w:trPr>
        <w:tc>
          <w:tcPr>
            <w:tcW w:w="710"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项号</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内   容</w:t>
            </w:r>
          </w:p>
        </w:tc>
        <w:tc>
          <w:tcPr>
            <w:tcW w:w="6797" w:type="dxa"/>
            <w:vAlign w:val="center"/>
          </w:tcPr>
          <w:p>
            <w:pPr>
              <w:tabs>
                <w:tab w:val="left" w:pos="540"/>
              </w:tabs>
              <w:spacing w:line="440" w:lineRule="exact"/>
              <w:jc w:val="center"/>
              <w:rPr>
                <w:rFonts w:ascii="宋体" w:hAnsi="宋体"/>
                <w:color w:val="000000" w:themeColor="text1"/>
                <w:kern w:val="16"/>
                <w:sz w:val="24"/>
                <w:highlight w:val="none"/>
                <w14:textFill>
                  <w14:solidFill>
                    <w14:schemeClr w14:val="tx1"/>
                  </w14:solidFill>
                </w14:textFill>
              </w:rPr>
            </w:pPr>
            <w:r>
              <w:rPr>
                <w:rFonts w:hint="eastAsia" w:ascii="宋体" w:hAnsi="宋体"/>
                <w:color w:val="000000" w:themeColor="text1"/>
                <w:kern w:val="16"/>
                <w:sz w:val="24"/>
                <w:highlight w:val="none"/>
                <w14:textFill>
                  <w14:solidFill>
                    <w14:schemeClr w14:val="tx1"/>
                  </w14:solidFill>
                </w14:textFill>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20"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工程名称</w:t>
            </w:r>
          </w:p>
        </w:tc>
        <w:tc>
          <w:tcPr>
            <w:tcW w:w="6797" w:type="dxa"/>
            <w:vAlign w:val="center"/>
          </w:tcPr>
          <w:p>
            <w:pPr>
              <w:tabs>
                <w:tab w:val="left" w:pos="540"/>
              </w:tabs>
              <w:spacing w:line="320" w:lineRule="exact"/>
              <w:jc w:val="left"/>
              <w:rPr>
                <w:rFonts w:ascii="宋体" w:hAnsi="宋体" w:cs="宋体"/>
                <w:b/>
                <w:bCs/>
                <w:color w:val="000000" w:themeColor="text1"/>
                <w:kern w:val="0"/>
                <w:szCs w:val="21"/>
                <w:highlight w:val="none"/>
                <w:u w:val="single"/>
                <w14:textFill>
                  <w14:solidFill>
                    <w14:schemeClr w14:val="tx1"/>
                  </w14:solidFill>
                </w14:textFill>
              </w:rPr>
            </w:pPr>
            <w:r>
              <w:rPr>
                <w:rFonts w:hint="eastAsia" w:ascii="宋体" w:hAnsi="宋体" w:cs="宋体"/>
                <w:b/>
                <w:bCs/>
                <w:color w:val="000000" w:themeColor="text1"/>
                <w:kern w:val="0"/>
                <w:szCs w:val="21"/>
                <w:highlight w:val="none"/>
                <w:u w:val="single"/>
                <w14:textFill>
                  <w14:solidFill>
                    <w14:schemeClr w14:val="tx1"/>
                  </w14:solidFill>
                </w14:textFill>
              </w:rPr>
              <w:t>绍兴市本级海塘安澜工程（曹娥江大闸段）全过程工程咨询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34"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建设地点</w:t>
            </w:r>
          </w:p>
        </w:tc>
        <w:tc>
          <w:tcPr>
            <w:tcW w:w="6797" w:type="dxa"/>
            <w:vAlign w:val="center"/>
          </w:tcPr>
          <w:p>
            <w:pPr>
              <w:tabs>
                <w:tab w:val="left" w:pos="540"/>
              </w:tabs>
              <w:spacing w:line="320" w:lineRule="exact"/>
              <w:jc w:val="left"/>
              <w:rPr>
                <w:rFonts w:ascii="宋体" w:hAnsi="宋体" w:cs="宋体"/>
                <w:b/>
                <w:bCs/>
                <w:color w:val="000000" w:themeColor="text1"/>
                <w:kern w:val="0"/>
                <w:szCs w:val="21"/>
                <w:highlight w:val="none"/>
                <w:u w:val="single"/>
                <w14:textFill>
                  <w14:solidFill>
                    <w14:schemeClr w14:val="tx1"/>
                  </w14:solidFill>
                </w14:textFill>
              </w:rPr>
            </w:pPr>
            <w:r>
              <w:rPr>
                <w:rFonts w:hint="eastAsia" w:ascii="宋体" w:hAnsi="宋体" w:cs="宋体"/>
                <w:b/>
                <w:bCs/>
                <w:color w:val="000000" w:themeColor="text1"/>
                <w:kern w:val="0"/>
                <w:szCs w:val="21"/>
                <w:highlight w:val="none"/>
                <w:u w:val="single"/>
                <w14:textFill>
                  <w14:solidFill>
                    <w14:schemeClr w14:val="tx1"/>
                  </w14:solidFill>
                </w14:textFill>
              </w:rPr>
              <w:t xml:space="preserve"> 绍兴市曹娥江大闸枢纽工程现场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64"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3</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建设规模</w:t>
            </w:r>
          </w:p>
        </w:tc>
        <w:tc>
          <w:tcPr>
            <w:tcW w:w="6797" w:type="dxa"/>
            <w:vAlign w:val="center"/>
          </w:tcPr>
          <w:p>
            <w:pPr>
              <w:tabs>
                <w:tab w:val="left" w:pos="540"/>
              </w:tabs>
              <w:spacing w:line="320" w:lineRule="exact"/>
              <w:jc w:val="left"/>
              <w:rPr>
                <w:rFonts w:ascii="宋体" w:hAnsi="宋体" w:cs="宋体"/>
                <w:b/>
                <w:bCs/>
                <w:color w:val="000000" w:themeColor="text1"/>
                <w:kern w:val="0"/>
                <w:szCs w:val="21"/>
                <w:highlight w:val="none"/>
                <w:u w:val="single"/>
                <w14:textFill>
                  <w14:solidFill>
                    <w14:schemeClr w14:val="tx1"/>
                  </w14:solidFill>
                </w14:textFill>
              </w:rPr>
            </w:pPr>
            <w:r>
              <w:rPr>
                <w:rFonts w:hint="eastAsia" w:ascii="宋体" w:hAnsi="宋体" w:cs="Arial"/>
                <w:b/>
                <w:bCs/>
                <w:color w:val="000000" w:themeColor="text1"/>
                <w:kern w:val="0"/>
                <w:szCs w:val="21"/>
                <w:highlight w:val="none"/>
                <w:u w:val="single"/>
                <w14:textFill>
                  <w14:solidFill>
                    <w14:schemeClr w14:val="tx1"/>
                  </w14:solidFill>
                </w14:textFill>
              </w:rPr>
              <w:t>本工程防潮标准由 100 年一遇提升至 300 年一遇，工程等别为Ⅰ等。（1）提标加固曹娥江大闸枢纽1.6km，包括挡潮泄洪闸0.7公里、堵坝和导流堤0.9公里；（2）提标加固两侧连接段海塘760m，包括左岸九七丘260m、右岸九四丘500m；（3）提标加固左岸盘头1座，新建护塘河护岸500m，新建鱼道进口1处，生产辅助用房1380m2，现有集控楼内部改造2400m2。（4）新建水文化景观节点1处，面积24400m2。改造提升九七丘堤后景观20280m2、导流堤园区景观面积10345m2，新建绿道1600m。（5）生态提质绿化面积175930m2，塘河生态修复500m。总投资约61186万元，本项目工程建安费暂定约47729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62"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4</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建设资金来源</w:t>
            </w:r>
          </w:p>
        </w:tc>
        <w:tc>
          <w:tcPr>
            <w:tcW w:w="6797" w:type="dxa"/>
            <w:vAlign w:val="center"/>
          </w:tcPr>
          <w:p>
            <w:pPr>
              <w:tabs>
                <w:tab w:val="left" w:pos="540"/>
              </w:tabs>
              <w:spacing w:line="320" w:lineRule="exact"/>
              <w:jc w:val="left"/>
              <w:rPr>
                <w:rFonts w:ascii="宋体" w:hAnsi="宋体"/>
                <w:b/>
                <w:color w:val="000000" w:themeColor="text1"/>
                <w:kern w:val="16"/>
                <w:szCs w:val="21"/>
                <w:highlight w:val="none"/>
                <w14:textFill>
                  <w14:solidFill>
                    <w14:schemeClr w14:val="tx1"/>
                  </w14:solidFill>
                </w14:textFill>
              </w:rPr>
            </w:pPr>
            <w:r>
              <w:rPr>
                <w:rFonts w:hint="eastAsia" w:ascii="宋体" w:hAnsi="宋体" w:cs="宋体"/>
                <w:b/>
                <w:bCs/>
                <w:color w:val="000000" w:themeColor="text1"/>
                <w:kern w:val="0"/>
                <w:szCs w:val="21"/>
                <w:highlight w:val="none"/>
                <w:u w:val="single"/>
                <w14:textFill>
                  <w14:solidFill>
                    <w14:schemeClr w14:val="tx1"/>
                  </w14:solidFill>
                </w14:textFill>
              </w:rPr>
              <w:t xml:space="preserve">财政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27"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5</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招标估算价</w:t>
            </w:r>
          </w:p>
        </w:tc>
        <w:tc>
          <w:tcPr>
            <w:tcW w:w="6797" w:type="dxa"/>
            <w:vAlign w:val="center"/>
          </w:tcPr>
          <w:p>
            <w:pPr>
              <w:tabs>
                <w:tab w:val="left" w:pos="540"/>
              </w:tabs>
              <w:spacing w:line="440" w:lineRule="exact"/>
              <w:jc w:val="left"/>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招标估算价：</w:t>
            </w:r>
            <w:r>
              <w:rPr>
                <w:rFonts w:hint="eastAsia" w:ascii="宋体" w:hAnsi="宋体" w:cs="仿宋_GB2312"/>
                <w:color w:val="000000" w:themeColor="text1"/>
                <w:kern w:val="16"/>
                <w:szCs w:val="21"/>
                <w:highlight w:val="none"/>
                <w:u w:val="single"/>
                <w14:textFill>
                  <w14:solidFill>
                    <w14:schemeClr w14:val="tx1"/>
                  </w14:solidFill>
                </w14:textFill>
              </w:rPr>
              <w:t>约1503万元，其中第三方质量检测费约163万元。。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19"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6</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质量标准</w:t>
            </w:r>
          </w:p>
        </w:tc>
        <w:tc>
          <w:tcPr>
            <w:tcW w:w="6797" w:type="dxa"/>
            <w:vAlign w:val="center"/>
          </w:tcPr>
          <w:p>
            <w:pPr>
              <w:tabs>
                <w:tab w:val="left" w:pos="540"/>
              </w:tabs>
              <w:spacing w:line="320" w:lineRule="exact"/>
              <w:jc w:val="left"/>
              <w:rPr>
                <w:rFonts w:ascii="宋体" w:hAnsi="宋体"/>
                <w:b/>
                <w:color w:val="000000" w:themeColor="text1"/>
                <w:kern w:val="16"/>
                <w:szCs w:val="21"/>
                <w:highlight w:val="none"/>
                <w14:textFill>
                  <w14:solidFill>
                    <w14:schemeClr w14:val="tx1"/>
                  </w14:solidFill>
                </w14:textFill>
              </w:rPr>
            </w:pPr>
            <w:r>
              <w:rPr>
                <w:rFonts w:hint="eastAsia" w:ascii="宋体" w:hAnsi="宋体"/>
                <w:b/>
                <w:color w:val="000000" w:themeColor="text1"/>
                <w:kern w:val="16"/>
                <w:szCs w:val="21"/>
                <w:highlight w:val="none"/>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59"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7</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招标范围</w:t>
            </w:r>
          </w:p>
        </w:tc>
        <w:tc>
          <w:tcPr>
            <w:tcW w:w="6797" w:type="dxa"/>
            <w:vAlign w:val="center"/>
          </w:tcPr>
          <w:p>
            <w:pPr>
              <w:spacing w:line="400" w:lineRule="exact"/>
              <w:rPr>
                <w:color w:val="000000" w:themeColor="text1"/>
                <w:highlight w:val="non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综合性咨询，主要包括项目策划、项目报批报建、验收管理、设计管理、合同管理、进度管理、安全管理、质量管理、投资管理、信息管理、风险管理、技术管理等；专项咨询，主要包括施工图审查、招标代理、全过程造价咨询（工程量清单及预算编制、施工阶段造价控制、结算审核、竣工决算编制等）、第三方质量检测、施工期安全监测、水保和环保监测、专家组巡查、工程验收服务（含各类专项验收、技术鉴定和完（竣）工验收等）、绩效评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80"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8</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服务期限</w:t>
            </w:r>
          </w:p>
        </w:tc>
        <w:tc>
          <w:tcPr>
            <w:tcW w:w="6797" w:type="dxa"/>
            <w:vAlign w:val="center"/>
          </w:tcPr>
          <w:p>
            <w:pPr>
              <w:tabs>
                <w:tab w:val="left" w:pos="540"/>
              </w:tabs>
              <w:spacing w:line="320" w:lineRule="exact"/>
              <w:jc w:val="left"/>
              <w:rPr>
                <w:rFonts w:ascii="宋体" w:hAnsi="宋体" w:cs="宋体"/>
                <w:color w:val="000000" w:themeColor="text1"/>
                <w:kern w:val="0"/>
                <w:highlight w:val="non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自合同签订之日起，至工程竣工验收、财务决算审计结束且缺陷责任期满，同时完成招标范围内所有工作内容之日止。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16"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9</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投标人资质等级要求</w:t>
            </w:r>
          </w:p>
        </w:tc>
        <w:tc>
          <w:tcPr>
            <w:tcW w:w="6797" w:type="dxa"/>
            <w:vAlign w:val="center"/>
          </w:tcPr>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资质资格要求具备以下条件：</w:t>
            </w:r>
          </w:p>
          <w:p>
            <w:pPr>
              <w:widowControl/>
              <w:spacing w:line="400" w:lineRule="exact"/>
              <w:ind w:firstLine="420" w:firstLineChars="200"/>
              <w:rPr>
                <w:rFonts w:ascii="宋体" w:hAnsi="宋体" w:cs="仿宋_GB2312"/>
                <w:bCs/>
                <w:color w:val="000000" w:themeColor="text1"/>
                <w:kern w:val="16"/>
                <w:szCs w:val="21"/>
                <w:highlight w:val="none"/>
                <w:u w:val="singl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①工程咨询单位甲级资信证书（水利水电）。</w:t>
            </w:r>
          </w:p>
          <w:p>
            <w:pPr>
              <w:widowControl/>
              <w:spacing w:line="400" w:lineRule="exact"/>
              <w:ind w:firstLine="420"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ascii="宋体" w:hAnsi="宋体" w:cs="仿宋_GB2312"/>
                <w:bCs/>
                <w:color w:val="000000" w:themeColor="text1"/>
                <w:kern w:val="16"/>
                <w:szCs w:val="21"/>
                <w:highlight w:val="none"/>
                <w:u w:val="single"/>
                <w14:textFill>
                  <w14:solidFill>
                    <w14:schemeClr w14:val="tx1"/>
                  </w14:solidFill>
                </w14:textFill>
              </w:rPr>
              <w:t>②投标人自2018年1月1日[以竣工（或完工）验收报告(或记录)时间为准]以来，单独或以牵头人身份完成过总投资2亿元及以上的水利工程项目管理或代建或全过程工程咨询[全过程工程咨询必须含有综合性咨询（项目管理）、全过程造价咨询]。须提供中标通知书、合同原件和竣工（或完工）验收报告（或记录）的复印件加盖投标单位公章。如上述材料中未能体现业绩项目规模、类型的，则还须提供项目所在地行业主管部门或业主单位出具的证明复印件（需加盖提供单位公章）</w:t>
            </w:r>
            <w:r>
              <w:rPr>
                <w:rFonts w:hint="eastAsia" w:ascii="宋体" w:hAnsi="宋体" w:cs="Arial"/>
                <w:color w:val="000000" w:themeColor="text1"/>
                <w:kern w:val="0"/>
                <w:szCs w:val="21"/>
                <w:highlight w:val="none"/>
                <w:u w:val="single"/>
                <w14:textFill>
                  <w14:solidFill>
                    <w14:schemeClr w14:val="tx1"/>
                  </w14:solidFill>
                </w14:textFill>
              </w:rPr>
              <w:t>。</w:t>
            </w:r>
          </w:p>
          <w:p>
            <w:pPr>
              <w:widowControl/>
              <w:snapToGrid w:val="0"/>
              <w:spacing w:line="380" w:lineRule="exact"/>
              <w:ind w:firstLine="420" w:firstLineChars="200"/>
              <w:rPr>
                <w:rFonts w:hint="eastAsia" w:ascii="宋体" w:hAnsi="宋体" w:eastAsia="宋体" w:cs="宋体"/>
                <w:color w:val="000000" w:themeColor="text1"/>
                <w:highlight w:val="none"/>
                <w:lang w:val="zh-CN"/>
                <w14:textFill>
                  <w14:solidFill>
                    <w14:schemeClr w14:val="tx1"/>
                  </w14:solidFill>
                </w14:textFill>
              </w:rPr>
            </w:pPr>
            <w:r>
              <w:rPr>
                <w:color w:val="000000" w:themeColor="text1"/>
                <w:highlight w:val="none"/>
                <w14:textFill>
                  <w14:solidFill>
                    <w14:schemeClr w14:val="tx1"/>
                  </w14:solidFill>
                </w14:textFill>
              </w:rPr>
              <w:t>本次招标</w:t>
            </w:r>
            <w:r>
              <w:rPr>
                <w:rFonts w:hint="eastAsia"/>
                <w:b/>
                <w:bCs/>
                <w:color w:val="000000" w:themeColor="text1"/>
                <w:highlight w:val="none"/>
                <w:u w:val="single"/>
                <w14:textFill>
                  <w14:solidFill>
                    <w14:schemeClr w14:val="tx1"/>
                  </w14:solidFill>
                </w14:textFill>
              </w:rPr>
              <w:t xml:space="preserve"> 接受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联合体投标。</w:t>
            </w:r>
            <w:r>
              <w:rPr>
                <w:rFonts w:ascii="宋体" w:hAnsi="宋体" w:cs="Arial"/>
                <w:kern w:val="0"/>
                <w:szCs w:val="21"/>
                <w:highlight w:val="none"/>
              </w:rPr>
              <w:t>联合体投标的，应满足下列要求：</w:t>
            </w:r>
            <w:r>
              <w:rPr>
                <w:rStyle w:val="52"/>
                <w:rFonts w:hint="eastAsia" w:ascii="宋体" w:hAnsi="宋体"/>
                <w:b/>
                <w:szCs w:val="21"/>
                <w:highlight w:val="none"/>
                <w:u w:val="single"/>
                <w:lang w:val="zh-CN"/>
              </w:rPr>
              <w:t>①联合体牵头人需具有</w:t>
            </w:r>
            <w:r>
              <w:rPr>
                <w:rStyle w:val="52"/>
                <w:rFonts w:hint="eastAsia" w:ascii="宋体" w:hAnsi="宋体"/>
                <w:b/>
                <w:szCs w:val="21"/>
                <w:highlight w:val="none"/>
                <w:u w:val="single"/>
              </w:rPr>
              <w:t>3.1.1款中的</w:t>
            </w:r>
            <w:r>
              <w:rPr>
                <w:rStyle w:val="52"/>
                <w:rFonts w:hint="eastAsia" w:ascii="宋体" w:hAnsi="宋体"/>
                <w:b/>
                <w:szCs w:val="21"/>
                <w:highlight w:val="none"/>
                <w:u w:val="single"/>
                <w:lang w:val="zh-CN"/>
              </w:rPr>
              <w:t>①、②项资格；②联合体各方签订共同投标协议，授权牵头人代表所有联合体成员负责投标和合同实施阶段的主办、协调工作。联合体成员不得再以自己名义单独投标，也不得组成新的联合体或参加其他联合体在同一项目中投标；③联合体成员（含牵头人)不得超过</w:t>
            </w:r>
            <w:r>
              <w:rPr>
                <w:rStyle w:val="52"/>
                <w:rFonts w:hint="eastAsia" w:ascii="宋体" w:hAnsi="宋体"/>
                <w:b/>
                <w:szCs w:val="21"/>
                <w:highlight w:val="none"/>
                <w:u w:val="single"/>
              </w:rPr>
              <w:t>2</w:t>
            </w:r>
            <w:r>
              <w:rPr>
                <w:rStyle w:val="52"/>
                <w:rFonts w:hint="eastAsia" w:ascii="宋体" w:hAnsi="宋体"/>
                <w:b/>
                <w:szCs w:val="21"/>
                <w:highlight w:val="none"/>
                <w:u w:val="single"/>
                <w:lang w:val="zh-CN"/>
              </w:rPr>
              <w:t>家；</w:t>
            </w:r>
          </w:p>
          <w:p>
            <w:pPr>
              <w:widowControl/>
              <w:spacing w:line="400" w:lineRule="exact"/>
              <w:rPr>
                <w:rFonts w:ascii="宋体" w:hAnsi="宋体" w:cs="宋体"/>
                <w:b/>
                <w:color w:val="000000" w:themeColor="text1"/>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其他要求：</w:t>
            </w:r>
          </w:p>
          <w:p>
            <w:pPr>
              <w:widowControl/>
              <w:spacing w:line="400" w:lineRule="exact"/>
              <w:jc w:val="left"/>
              <w:rPr>
                <w:rFonts w:ascii="宋体" w:hAnsi="宋体" w:cs="宋体"/>
                <w:b/>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r>
              <w:rPr>
                <w:rFonts w:hint="eastAsia" w:ascii="宋体" w:hAnsi="宋体" w:cs="宋体"/>
                <w:b/>
                <w:color w:val="000000" w:themeColor="text1"/>
                <w:kern w:val="0"/>
                <w:highlight w:val="none"/>
                <w14:textFill>
                  <w14:solidFill>
                    <w14:schemeClr w14:val="tx1"/>
                  </w14:solidFill>
                </w14:textFill>
              </w:rPr>
              <w:t>企业具有绍兴市公共资源交易中心工程建设项目年度登记资格并在有效期内（联合体投标的则联合体各方均需满足）。</w:t>
            </w:r>
          </w:p>
          <w:p>
            <w:pPr>
              <w:widowControl/>
              <w:spacing w:line="40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投标人、项目总负责人、技术负责人、</w:t>
            </w:r>
            <w:r>
              <w:rPr>
                <w:rFonts w:hint="eastAsia" w:ascii="宋体" w:hAnsi="宋体" w:cs="Arial"/>
                <w:b/>
                <w:bCs/>
                <w:color w:val="000000" w:themeColor="text1"/>
                <w:kern w:val="0"/>
                <w:szCs w:val="21"/>
                <w:highlight w:val="none"/>
                <w14:textFill>
                  <w14:solidFill>
                    <w14:schemeClr w14:val="tx1"/>
                  </w14:solidFill>
                </w14:textFill>
              </w:rPr>
              <w:t>综合性咨询管理负责人、造价咨询负责人</w:t>
            </w:r>
            <w:r>
              <w:rPr>
                <w:rFonts w:hint="eastAsia" w:ascii="宋体" w:hAnsi="宋体" w:cs="宋体"/>
                <w:b/>
                <w:bCs/>
                <w:color w:val="000000" w:themeColor="text1"/>
                <w:highlight w:val="none"/>
                <w14:textFill>
                  <w14:solidFill>
                    <w14:schemeClr w14:val="tx1"/>
                  </w14:solidFill>
                </w14:textFill>
              </w:rPr>
              <w:t>近5年无行贿犯罪记录（投标人提供承诺书）。</w:t>
            </w:r>
            <w:r>
              <w:rPr>
                <w:rFonts w:hint="eastAsia" w:ascii="宋体" w:hAnsi="宋体" w:cs="宋体"/>
                <w:b/>
                <w:kern w:val="0"/>
                <w:highlight w:val="none"/>
                <w:lang w:val="zh-CN"/>
              </w:rPr>
              <w:t>（联合体投标的则无行贿犯罪记录承诺书联合体各方均需盖章）</w:t>
            </w:r>
            <w:r>
              <w:rPr>
                <w:rFonts w:hint="eastAsia" w:ascii="宋体" w:hAnsi="宋体"/>
                <w:b/>
                <w:bCs/>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282"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10</w:t>
            </w:r>
          </w:p>
        </w:tc>
        <w:tc>
          <w:tcPr>
            <w:tcW w:w="1559" w:type="dxa"/>
            <w:vAlign w:val="center"/>
          </w:tcPr>
          <w:p>
            <w:pPr>
              <w:widowControl/>
              <w:snapToGrid w:val="0"/>
              <w:jc w:val="center"/>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拟派项目总负责人、技术负责人、</w:t>
            </w:r>
            <w:r>
              <w:rPr>
                <w:rFonts w:hint="eastAsia" w:ascii="宋体" w:hAnsi="宋体" w:cs="Arial"/>
                <w:color w:val="000000" w:themeColor="text1"/>
                <w:szCs w:val="21"/>
                <w:highlight w:val="none"/>
                <w14:textFill>
                  <w14:solidFill>
                    <w14:schemeClr w14:val="tx1"/>
                  </w14:solidFill>
                </w14:textFill>
              </w:rPr>
              <w:t>综合性咨询管理负责人、</w:t>
            </w:r>
            <w:r>
              <w:rPr>
                <w:rFonts w:hint="eastAsia" w:ascii="宋体" w:hAnsi="宋体" w:cs="Arial"/>
                <w:color w:val="000000" w:themeColor="text1"/>
                <w:kern w:val="0"/>
                <w:szCs w:val="21"/>
                <w:highlight w:val="none"/>
                <w14:textFill>
                  <w14:solidFill>
                    <w14:schemeClr w14:val="tx1"/>
                  </w14:solidFill>
                </w14:textFill>
              </w:rPr>
              <w:t>造价咨询负责人资格要求</w:t>
            </w:r>
          </w:p>
        </w:tc>
        <w:tc>
          <w:tcPr>
            <w:tcW w:w="6797" w:type="dxa"/>
            <w:vAlign w:val="center"/>
          </w:tcPr>
          <w:p>
            <w:pPr>
              <w:widowControl/>
              <w:snapToGrid w:val="0"/>
              <w:spacing w:line="400" w:lineRule="exact"/>
              <w:ind w:firstLine="420" w:firstLineChars="200"/>
              <w:rPr>
                <w:b/>
                <w:color w:val="000000" w:themeColor="text1"/>
                <w:szCs w:val="21"/>
                <w:highlight w:val="none"/>
                <w:u w:val="singl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①</w:t>
            </w:r>
            <w:r>
              <w:rPr>
                <w:rFonts w:hint="eastAsia"/>
                <w:b/>
                <w:color w:val="000000" w:themeColor="text1"/>
                <w:szCs w:val="21"/>
                <w:highlight w:val="none"/>
                <w:u w:val="single"/>
                <w14:textFill>
                  <w14:solidFill>
                    <w14:schemeClr w14:val="tx1"/>
                  </w14:solidFill>
                </w14:textFill>
              </w:rPr>
              <w:t>项目总负责人要求：具备有注册咨询工程师（投资）或一级建造师（水利水电工程）或注册土木工程师（水利水电工程）或水利部注册监理工程师（水利工程）。须提供有效证明文件。</w:t>
            </w:r>
            <w:r>
              <w:rPr>
                <w:rFonts w:hint="eastAsia" w:ascii="宋体" w:hAnsi="宋体" w:cs="Arial"/>
                <w:b/>
                <w:bCs/>
                <w:color w:val="000000" w:themeColor="text1"/>
                <w:kern w:val="0"/>
                <w:szCs w:val="21"/>
                <w:highlight w:val="none"/>
                <w:u w:val="single"/>
                <w14:textFill>
                  <w14:solidFill>
                    <w14:schemeClr w14:val="tx1"/>
                  </w14:solidFill>
                </w14:textFill>
              </w:rPr>
              <w:t>若联合体投标的，</w:t>
            </w:r>
            <w:r>
              <w:rPr>
                <w:rFonts w:hint="eastAsia"/>
                <w:b/>
                <w:color w:val="000000" w:themeColor="text1"/>
                <w:szCs w:val="21"/>
                <w:highlight w:val="none"/>
                <w:u w:val="single"/>
                <w14:textFill>
                  <w14:solidFill>
                    <w14:schemeClr w14:val="tx1"/>
                  </w14:solidFill>
                </w14:textFill>
              </w:rPr>
              <w:t>项目总负责人</w:t>
            </w:r>
            <w:r>
              <w:rPr>
                <w:rFonts w:hint="eastAsia" w:ascii="宋体" w:hAnsi="宋体" w:cs="Arial"/>
                <w:b/>
                <w:bCs/>
                <w:color w:val="000000" w:themeColor="text1"/>
                <w:kern w:val="0"/>
                <w:szCs w:val="21"/>
                <w:highlight w:val="none"/>
                <w:u w:val="single"/>
                <w14:textFill>
                  <w14:solidFill>
                    <w14:schemeClr w14:val="tx1"/>
                  </w14:solidFill>
                </w14:textFill>
              </w:rPr>
              <w:t>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widowControl/>
              <w:snapToGrid w:val="0"/>
              <w:spacing w:line="400" w:lineRule="exact"/>
              <w:ind w:firstLine="422" w:firstLineChars="200"/>
              <w:rPr>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t>②技术负责人：具备有注册咨询工程师（投资）或一级建造师（水利水电工程）或注册土木工程师（水利水电工程）或水利部注册监理工程师（水利工程）。须提供有效证明文件。</w:t>
            </w:r>
            <w:r>
              <w:rPr>
                <w:rFonts w:hint="eastAsia" w:ascii="宋体" w:hAnsi="宋体" w:cs="Arial"/>
                <w:b/>
                <w:bCs/>
                <w:color w:val="000000" w:themeColor="text1"/>
                <w:kern w:val="0"/>
                <w:szCs w:val="21"/>
                <w:highlight w:val="none"/>
                <w:u w:val="single"/>
                <w14:textFill>
                  <w14:solidFill>
                    <w14:schemeClr w14:val="tx1"/>
                  </w14:solidFill>
                </w14:textFill>
              </w:rPr>
              <w:t>若联合体投标的，</w:t>
            </w:r>
            <w:r>
              <w:rPr>
                <w:rFonts w:hint="eastAsia"/>
                <w:b/>
                <w:color w:val="000000" w:themeColor="text1"/>
                <w:szCs w:val="21"/>
                <w:highlight w:val="none"/>
                <w:u w:val="single"/>
                <w14:textFill>
                  <w14:solidFill>
                    <w14:schemeClr w14:val="tx1"/>
                  </w14:solidFill>
                </w14:textFill>
              </w:rPr>
              <w:t>技术负责人</w:t>
            </w:r>
            <w:r>
              <w:rPr>
                <w:rFonts w:hint="eastAsia" w:ascii="宋体" w:hAnsi="宋体" w:cs="Arial"/>
                <w:b/>
                <w:bCs/>
                <w:color w:val="000000" w:themeColor="text1"/>
                <w:kern w:val="0"/>
                <w:szCs w:val="21"/>
                <w:highlight w:val="none"/>
                <w:u w:val="single"/>
                <w14:textFill>
                  <w14:solidFill>
                    <w14:schemeClr w14:val="tx1"/>
                  </w14:solidFill>
                </w14:textFill>
              </w:rPr>
              <w:t>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spacing w:line="400" w:lineRule="exact"/>
              <w:ind w:firstLine="422"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ascii="宋体" w:hAnsi="宋体" w:cs="Arial"/>
                <w:b/>
                <w:bCs/>
                <w:color w:val="000000" w:themeColor="text1"/>
                <w:kern w:val="0"/>
                <w:szCs w:val="21"/>
                <w:highlight w:val="none"/>
                <w:u w:val="single"/>
                <w14:textFill>
                  <w14:solidFill>
                    <w14:schemeClr w14:val="tx1"/>
                  </w14:solidFill>
                </w14:textFill>
              </w:rPr>
              <w:fldChar w:fldCharType="begin"/>
            </w:r>
            <w:r>
              <w:rPr>
                <w:rFonts w:hint="eastAsia" w:ascii="宋体" w:hAnsi="宋体" w:cs="Arial"/>
                <w:b/>
                <w:bCs/>
                <w:color w:val="000000" w:themeColor="text1"/>
                <w:kern w:val="0"/>
                <w:szCs w:val="21"/>
                <w:highlight w:val="none"/>
                <w:u w:val="single"/>
                <w14:textFill>
                  <w14:solidFill>
                    <w14:schemeClr w14:val="tx1"/>
                  </w14:solidFill>
                </w14:textFill>
              </w:rPr>
              <w:instrText xml:space="preserve"> = 3 \* GB3 \* MERGEFORMAT </w:instrText>
            </w:r>
            <w:r>
              <w:rPr>
                <w:rFonts w:hint="eastAsia" w:ascii="宋体" w:hAnsi="宋体" w:cs="Arial"/>
                <w:b/>
                <w:bCs/>
                <w:color w:val="000000" w:themeColor="text1"/>
                <w:kern w:val="0"/>
                <w:szCs w:val="21"/>
                <w:highlight w:val="none"/>
                <w:u w:val="single"/>
                <w14:textFill>
                  <w14:solidFill>
                    <w14:schemeClr w14:val="tx1"/>
                  </w14:solidFill>
                </w14:textFill>
              </w:rPr>
              <w:fldChar w:fldCharType="separate"/>
            </w:r>
            <w:r>
              <w:rPr>
                <w:rFonts w:hint="eastAsia" w:ascii="宋体" w:hAnsi="宋体" w:cs="Arial"/>
                <w:b/>
                <w:bCs/>
                <w:color w:val="000000" w:themeColor="text1"/>
                <w:kern w:val="0"/>
                <w:szCs w:val="21"/>
                <w:highlight w:val="none"/>
                <w:u w:val="single"/>
                <w14:textFill>
                  <w14:solidFill>
                    <w14:schemeClr w14:val="tx1"/>
                  </w14:solidFill>
                </w14:textFill>
              </w:rPr>
              <w:t>③</w:t>
            </w:r>
            <w:r>
              <w:rPr>
                <w:rFonts w:hint="eastAsia" w:ascii="宋体" w:hAnsi="宋体" w:cs="Arial"/>
                <w:b/>
                <w:bCs/>
                <w:color w:val="000000" w:themeColor="text1"/>
                <w:kern w:val="0"/>
                <w:szCs w:val="21"/>
                <w:highlight w:val="none"/>
                <w:u w:val="single"/>
                <w14:textFill>
                  <w14:solidFill>
                    <w14:schemeClr w14:val="tx1"/>
                  </w14:solidFill>
                </w14:textFill>
              </w:rPr>
              <w:fldChar w:fldCharType="end"/>
            </w:r>
            <w:r>
              <w:rPr>
                <w:rFonts w:hint="eastAsia" w:ascii="宋体" w:hAnsi="宋体" w:cs="Arial"/>
                <w:b/>
                <w:bCs/>
                <w:color w:val="000000" w:themeColor="text1"/>
                <w:kern w:val="0"/>
                <w:szCs w:val="21"/>
                <w:highlight w:val="none"/>
                <w:u w:val="single"/>
                <w14:textFill>
                  <w14:solidFill>
                    <w14:schemeClr w14:val="tx1"/>
                  </w14:solidFill>
                </w14:textFill>
              </w:rPr>
              <w:t>综合性咨询管理负责人：须具有注册咨询工程师（投资）或一级建造师（水利水电工程）或注册土木工程师（水利水电工程）。须提供有效证明文件。若联合体投标的，综合性咨询管理负责人须为联合体牵头人单位人员</w:t>
            </w:r>
            <w:r>
              <w:rPr>
                <w:rFonts w:hint="eastAsia" w:ascii="宋体" w:hAnsi="宋体" w:cs="Arial"/>
                <w:b/>
                <w:bCs/>
                <w:color w:val="000000" w:themeColor="text1"/>
                <w:kern w:val="0"/>
                <w:szCs w:val="21"/>
                <w:highlight w:val="none"/>
                <w:u w:val="single"/>
                <w:lang w:eastAsia="zh-CN"/>
                <w14:textFill>
                  <w14:solidFill>
                    <w14:schemeClr w14:val="tx1"/>
                  </w14:solidFill>
                </w14:textFill>
              </w:rPr>
              <w:t>。</w:t>
            </w:r>
          </w:p>
          <w:p>
            <w:pPr>
              <w:spacing w:line="400" w:lineRule="exact"/>
              <w:ind w:firstLine="420"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 4 \* GB3 \* MERGEFORMAT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④</w:t>
            </w:r>
            <w:r>
              <w:rPr>
                <w:rFonts w:hint="eastAsia"/>
                <w:color w:val="000000" w:themeColor="text1"/>
                <w:highlight w:val="none"/>
                <w14:textFill>
                  <w14:solidFill>
                    <w14:schemeClr w14:val="tx1"/>
                  </w14:solidFill>
                </w14:textFill>
              </w:rPr>
              <w:fldChar w:fldCharType="end"/>
            </w:r>
            <w:r>
              <w:rPr>
                <w:rFonts w:hint="eastAsia" w:ascii="宋体" w:hAnsi="宋体" w:cs="Arial"/>
                <w:b/>
                <w:bCs/>
                <w:color w:val="000000" w:themeColor="text1"/>
                <w:kern w:val="0"/>
                <w:szCs w:val="21"/>
                <w:highlight w:val="none"/>
                <w:u w:val="single"/>
                <w14:textFill>
                  <w14:solidFill>
                    <w14:schemeClr w14:val="tx1"/>
                  </w14:solidFill>
                </w14:textFill>
              </w:rPr>
              <w:t>造价咨询负责人：须具有一级注册造价工程师（水利水电工程）。须提供有效证明文件。</w:t>
            </w:r>
          </w:p>
          <w:p>
            <w:pPr>
              <w:widowControl/>
              <w:spacing w:line="400" w:lineRule="exact"/>
              <w:ind w:firstLine="422" w:firstLineChars="200"/>
              <w:rPr>
                <w:rFonts w:ascii="宋体" w:hAnsi="宋体" w:cs="宋体"/>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t>上述人员须为投标企业在职职工</w:t>
            </w:r>
            <w:r>
              <w:rPr>
                <w:rFonts w:hint="eastAsia" w:ascii="宋体" w:hAnsi="宋体" w:cs="宋体"/>
                <w:b/>
                <w:bCs/>
                <w:color w:val="000000" w:themeColor="text1"/>
                <w:kern w:val="0"/>
                <w:highlight w:val="none"/>
                <w:u w:val="single"/>
                <w14:textFill>
                  <w14:solidFill>
                    <w14:schemeClr w14:val="tx1"/>
                  </w14:solidFill>
                </w14:textFill>
              </w:rPr>
              <w:t>（不包括离、退休返聘人员）</w:t>
            </w:r>
            <w:r>
              <w:rPr>
                <w:rFonts w:hint="eastAsia"/>
                <w:b/>
                <w:color w:val="000000" w:themeColor="text1"/>
                <w:szCs w:val="21"/>
                <w:highlight w:val="none"/>
                <w:u w:val="single"/>
                <w14:textFill>
                  <w14:solidFill>
                    <w14:schemeClr w14:val="tx1"/>
                  </w14:solidFill>
                </w14:textFill>
              </w:rPr>
              <w:t>，</w:t>
            </w:r>
            <w:r>
              <w:rPr>
                <w:rFonts w:hint="eastAsia" w:ascii="宋体" w:hAnsi="宋体" w:cs="宋体"/>
                <w:b/>
                <w:color w:val="000000" w:themeColor="text1"/>
                <w:szCs w:val="21"/>
                <w:highlight w:val="none"/>
                <w:u w:val="single"/>
                <w14:textFill>
                  <w14:solidFill>
                    <w14:schemeClr w14:val="tx1"/>
                  </w14:solidFill>
                </w14:textFill>
              </w:rPr>
              <w:t>须提供缴费期限包含2022年12月至2023年2月的投标人注册地所属社保机构养老保险交纳清单或证明（缴费单位和投标单位名称必须一致）。若为事业编制的，以提供缴费期限包含2022年12月至2023年2月由人事代理中心出具的社保证明（需加盖人事代理中心证明专用章）。非独立法人的分公司社保，也予以认可，并加盖社保缴费证明专用章）。</w:t>
            </w:r>
          </w:p>
          <w:p>
            <w:pPr>
              <w:spacing w:line="400" w:lineRule="exact"/>
              <w:ind w:firstLine="422" w:firstLineChars="200"/>
              <w:rPr>
                <w:rFonts w:ascii="宋体" w:hAnsi="宋体" w:cs="Arial"/>
                <w:b/>
                <w:bCs/>
                <w:color w:val="000000" w:themeColor="text1"/>
                <w:kern w:val="0"/>
                <w:szCs w:val="21"/>
                <w:highlight w:val="none"/>
                <w:u w:val="single"/>
                <w14:textFill>
                  <w14:solidFill>
                    <w14:schemeClr w14:val="tx1"/>
                  </w14:solidFill>
                </w14:textFill>
              </w:rPr>
            </w:pPr>
            <w:r>
              <w:rPr>
                <w:rFonts w:hint="eastAsia" w:ascii="宋体" w:hAnsi="宋体" w:cs="Arial"/>
                <w:b/>
                <w:bCs/>
                <w:color w:val="000000" w:themeColor="text1"/>
                <w:kern w:val="0"/>
                <w:szCs w:val="21"/>
                <w:highlight w:val="none"/>
                <w:u w:val="single"/>
                <w14:textFill>
                  <w14:solidFill>
                    <w14:schemeClr w14:val="tx1"/>
                  </w14:solidFill>
                </w14:textFill>
              </w:rPr>
              <w:t>说明：拟派</w:t>
            </w:r>
            <w:r>
              <w:rPr>
                <w:rFonts w:hint="eastAsia"/>
                <w:b/>
                <w:color w:val="000000" w:themeColor="text1"/>
                <w:szCs w:val="21"/>
                <w:highlight w:val="none"/>
                <w:u w:val="single"/>
                <w14:textFill>
                  <w14:solidFill>
                    <w14:schemeClr w14:val="tx1"/>
                  </w14:solidFill>
                </w14:textFill>
              </w:rPr>
              <w:t>项目总负责人、技术负责人、</w:t>
            </w:r>
            <w:r>
              <w:rPr>
                <w:rFonts w:hint="eastAsia" w:ascii="宋体" w:hAnsi="宋体" w:cs="Arial"/>
                <w:b/>
                <w:bCs/>
                <w:color w:val="000000" w:themeColor="text1"/>
                <w:kern w:val="0"/>
                <w:szCs w:val="21"/>
                <w:highlight w:val="none"/>
                <w:u w:val="single"/>
                <w14:textFill>
                  <w14:solidFill>
                    <w14:schemeClr w14:val="tx1"/>
                  </w14:solidFill>
                </w14:textFill>
              </w:rPr>
              <w:t>综合性咨询管理负责人、造价咨询负责人不得相互兼任。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27"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11</w:t>
            </w:r>
          </w:p>
        </w:tc>
        <w:tc>
          <w:tcPr>
            <w:tcW w:w="1559" w:type="dxa"/>
            <w:vAlign w:val="center"/>
          </w:tcPr>
          <w:p>
            <w:pPr>
              <w:tabs>
                <w:tab w:val="left" w:pos="540"/>
              </w:tabs>
              <w:spacing w:line="44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服务费计算</w:t>
            </w:r>
          </w:p>
        </w:tc>
        <w:tc>
          <w:tcPr>
            <w:tcW w:w="6797" w:type="dxa"/>
            <w:vAlign w:val="center"/>
          </w:tcPr>
          <w:p>
            <w:pPr>
              <w:widowControl/>
              <w:spacing w:line="400" w:lineRule="exact"/>
              <w:ind w:firstLine="420" w:firstLineChars="200"/>
              <w:rPr>
                <w:highlight w:val="none"/>
              </w:rPr>
            </w:pPr>
            <w:r>
              <w:rPr>
                <w:rFonts w:hint="eastAsia"/>
                <w:highlight w:val="none"/>
              </w:rPr>
              <w:t>服务费计费基数标准：参照《浙江省物价局关于进一步完善工程造价咨询服务收费的通知（浙价服〔2009〕84号）》文件、《招标代理服务收费管理暂行办法》（计价格[2002]1980号）、发改价格〔2011〕534号等。本项目总费用=总价承包部分咨询费（除第三方质量检测以外的其他咨询费）+单价承包部分咨询费（第三方质量检测费）</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（1）项目综合性咨询（主要协助业主报批报建、相关专家技术服务和协助项目管理）费按</w:t>
            </w:r>
            <w:r>
              <w:rPr>
                <w:rFonts w:hint="eastAsia" w:ascii="宋体" w:hAnsi="宋体" w:cs="宋体"/>
                <w:b/>
                <w:szCs w:val="21"/>
                <w:highlight w:val="none"/>
                <w:u w:val="single"/>
              </w:rPr>
              <w:t>460</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（2）施工图审查费按</w:t>
            </w:r>
            <w:r>
              <w:rPr>
                <w:rFonts w:hint="eastAsia" w:ascii="宋体" w:hAnsi="宋体" w:cs="宋体"/>
                <w:b/>
                <w:szCs w:val="21"/>
                <w:highlight w:val="none"/>
                <w:u w:val="single"/>
              </w:rPr>
              <w:t>178</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3）施工阶段全过程工程造价控制、设计概算编制或审核以各部分工程审定后累计标底价（不含预留金、保险费）为基准计算，并参照浙价服【2009】84号文件（施工阶段全过程工程造价控制收费标准+设计概算编制或审核收费标准）×65％。工程量清单及招标控制价编制暂按</w:t>
            </w:r>
            <w:r>
              <w:rPr>
                <w:rStyle w:val="52"/>
                <w:rFonts w:hint="eastAsia" w:ascii="宋体" w:hAnsi="宋体"/>
                <w:b/>
                <w:szCs w:val="21"/>
                <w:highlight w:val="none"/>
                <w:u w:val="single"/>
              </w:rPr>
              <w:t>57</w:t>
            </w:r>
            <w:r>
              <w:rPr>
                <w:rStyle w:val="52"/>
                <w:rFonts w:hint="eastAsia" w:ascii="宋体" w:hAnsi="宋体"/>
                <w:bCs/>
                <w:szCs w:val="21"/>
                <w:highlight w:val="none"/>
              </w:rPr>
              <w:t>万元计取，全工程跟踪审计暂按</w:t>
            </w:r>
            <w:r>
              <w:rPr>
                <w:rStyle w:val="52"/>
                <w:rFonts w:hint="eastAsia" w:ascii="宋体" w:hAnsi="宋体"/>
                <w:b/>
                <w:szCs w:val="21"/>
                <w:highlight w:val="none"/>
                <w:u w:val="single"/>
              </w:rPr>
              <w:t>105</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（4）安全监测费暂按</w:t>
            </w:r>
            <w:r>
              <w:rPr>
                <w:rStyle w:val="52"/>
                <w:rFonts w:hint="eastAsia" w:ascii="宋体" w:hAnsi="宋体"/>
                <w:b/>
                <w:szCs w:val="21"/>
                <w:highlight w:val="none"/>
                <w:u w:val="single"/>
              </w:rPr>
              <w:t>80</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(5)水土保持监测、验收费暂按</w:t>
            </w:r>
            <w:r>
              <w:rPr>
                <w:rStyle w:val="52"/>
                <w:rFonts w:hint="eastAsia" w:ascii="宋体" w:hAnsi="宋体"/>
                <w:b/>
                <w:szCs w:val="21"/>
                <w:highlight w:val="none"/>
                <w:u w:val="single"/>
              </w:rPr>
              <w:t>73</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(6)环境保护监测、验收费暂按</w:t>
            </w:r>
            <w:r>
              <w:rPr>
                <w:rStyle w:val="52"/>
                <w:rFonts w:hint="eastAsia" w:ascii="宋体" w:hAnsi="宋体"/>
                <w:b/>
                <w:szCs w:val="21"/>
                <w:highlight w:val="none"/>
                <w:u w:val="single"/>
              </w:rPr>
              <w:t>105</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7)招标代理费以招标项目累计中标价（不含预留金、保险费）为基准计算，并参照国家计委计价格【2002】1980号文件及发改价格〔2011〕534号中的收费标准基数的80%。即招标代理费收费为：标准收费×80％。（注：若项目招标失败，需要重新招标的，不再追加中介服务费；政府采购代理相关费用已包含在内，不再单独计取）。招标代理费暂按</w:t>
            </w:r>
            <w:r>
              <w:rPr>
                <w:rStyle w:val="52"/>
                <w:rFonts w:hint="eastAsia" w:ascii="宋体" w:hAnsi="宋体"/>
                <w:b/>
                <w:szCs w:val="21"/>
                <w:highlight w:val="none"/>
                <w:u w:val="single"/>
              </w:rPr>
              <w:t>39</w:t>
            </w:r>
            <w:r>
              <w:rPr>
                <w:rStyle w:val="52"/>
                <w:rFonts w:hint="eastAsia" w:ascii="宋体" w:hAnsi="宋体"/>
                <w:bCs/>
                <w:szCs w:val="21"/>
                <w:highlight w:val="none"/>
              </w:rPr>
              <w:t>万元计取.</w:t>
            </w:r>
          </w:p>
          <w:p>
            <w:pPr>
              <w:pStyle w:val="8"/>
              <w:ind w:firstLine="0" w:firstLineChars="0"/>
              <w:rPr>
                <w:rStyle w:val="52"/>
                <w:rFonts w:ascii="宋体" w:hAnsi="宋体"/>
                <w:bCs/>
                <w:szCs w:val="21"/>
                <w:highlight w:val="none"/>
              </w:rPr>
            </w:pPr>
          </w:p>
          <w:p>
            <w:pPr>
              <w:pStyle w:val="8"/>
              <w:rPr>
                <w:rStyle w:val="52"/>
                <w:rFonts w:ascii="宋体" w:hAnsi="宋体"/>
                <w:bCs/>
                <w:szCs w:val="21"/>
                <w:highlight w:val="none"/>
              </w:rPr>
            </w:pPr>
            <w:r>
              <w:rPr>
                <w:rStyle w:val="52"/>
                <w:rFonts w:hint="eastAsia" w:ascii="宋体" w:hAnsi="宋体"/>
                <w:bCs/>
                <w:szCs w:val="21"/>
                <w:highlight w:val="none"/>
              </w:rPr>
              <w:t>（8)第三方检测</w:t>
            </w:r>
          </w:p>
          <w:tbl>
            <w:tblPr>
              <w:tblStyle w:val="22"/>
              <w:tblW w:w="6059" w:type="dxa"/>
              <w:tblInd w:w="93" w:type="dxa"/>
              <w:tblLayout w:type="fixed"/>
              <w:tblCellMar>
                <w:top w:w="0" w:type="dxa"/>
                <w:left w:w="108" w:type="dxa"/>
                <w:bottom w:w="0" w:type="dxa"/>
                <w:right w:w="108" w:type="dxa"/>
              </w:tblCellMar>
            </w:tblPr>
            <w:tblGrid>
              <w:gridCol w:w="567"/>
              <w:gridCol w:w="1653"/>
              <w:gridCol w:w="1385"/>
              <w:gridCol w:w="718"/>
              <w:gridCol w:w="924"/>
              <w:gridCol w:w="812"/>
            </w:tblGrid>
            <w:tr>
              <w:trPr>
                <w:trHeight w:val="628" w:hRule="atLeast"/>
                <w:tblHead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序号</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检测项目</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检测方法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单位</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数量</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备注</w:t>
                  </w: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相对密度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个</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17</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抗压强度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钻芯法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87</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抗压强度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回弹法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23</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砌筑质量</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撬挖</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5</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厚度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钻芯法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6</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压实度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灌水法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6</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7</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混合料击实</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个</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完整性</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低应变</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71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9</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竖向承载力</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静载试验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62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10</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水平承载力</w:t>
                  </w:r>
                </w:p>
              </w:tc>
              <w:tc>
                <w:tcPr>
                  <w:tcW w:w="138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水平推力试验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11</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抗冻强度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机口取样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12</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抗渗强度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机口取样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13</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完整性</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钻芯法</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m</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40</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62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14</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完整性</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声波透射法</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面</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9</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62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15</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完整性、竖向承载力</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高应变</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16</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钢筋笼长度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磁测井法</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17</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梢径、长度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18</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压实度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环刀取样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20</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19</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渗透系数</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环刀取样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20</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土方击实</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取样</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个</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62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21</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钢筋保护层厚度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电磁感应法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6</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22</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注浆试验</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孔</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23</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焊缝</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超声波法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扇</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19</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93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24</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钢板厚度</w:t>
                  </w:r>
                </w:p>
              </w:tc>
              <w:tc>
                <w:tcPr>
                  <w:tcW w:w="138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超声波法</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个构件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95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93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25</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防腐涂层厚度</w:t>
                  </w:r>
                </w:p>
              </w:tc>
              <w:tc>
                <w:tcPr>
                  <w:tcW w:w="138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电磁感应</w:t>
                  </w:r>
                </w:p>
              </w:tc>
              <w:tc>
                <w:tcPr>
                  <w:tcW w:w="718"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个构件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95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26</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安全性能</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台</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27</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电气检测</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面</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78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09"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28</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电气检测</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台</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4645"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29</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lang w:bidi="ar"/>
                    </w:rPr>
                  </w:pPr>
                  <w:r>
                    <w:rPr>
                      <w:color w:val="000000"/>
                      <w:kern w:val="0"/>
                      <w:sz w:val="24"/>
                      <w:highlight w:val="none"/>
                      <w:lang w:bidi="ar"/>
                    </w:rPr>
                    <w:t>变压器绕组连同套管的直流</w:t>
                  </w:r>
                </w:p>
                <w:p>
                  <w:pPr>
                    <w:widowControl/>
                    <w:jc w:val="center"/>
                    <w:textAlignment w:val="center"/>
                    <w:rPr>
                      <w:color w:val="000000"/>
                      <w:sz w:val="24"/>
                      <w:highlight w:val="none"/>
                    </w:rPr>
                  </w:pPr>
                  <w:r>
                    <w:rPr>
                      <w:color w:val="000000"/>
                      <w:kern w:val="0"/>
                      <w:sz w:val="24"/>
                      <w:highlight w:val="none"/>
                      <w:lang w:bidi="ar"/>
                    </w:rPr>
                    <w:t>电阻、电压比、三相变压器接线组别和单相变压器极性、铁心</w:t>
                  </w:r>
                </w:p>
                <w:p>
                  <w:pPr>
                    <w:widowControl/>
                    <w:jc w:val="center"/>
                    <w:textAlignment w:val="center"/>
                    <w:rPr>
                      <w:color w:val="000000"/>
                      <w:sz w:val="24"/>
                      <w:highlight w:val="none"/>
                    </w:rPr>
                  </w:pPr>
                  <w:r>
                    <w:rPr>
                      <w:color w:val="000000"/>
                      <w:kern w:val="0"/>
                      <w:sz w:val="24"/>
                      <w:highlight w:val="none"/>
                      <w:lang w:bidi="ar"/>
                    </w:rPr>
                    <w:t>及紧固件绝缘、绕组连同套管的绝缘电阻</w:t>
                  </w:r>
                </w:p>
                <w:p>
                  <w:pPr>
                    <w:widowControl/>
                    <w:jc w:val="center"/>
                    <w:textAlignment w:val="center"/>
                    <w:rPr>
                      <w:color w:val="000000"/>
                      <w:sz w:val="24"/>
                      <w:highlight w:val="none"/>
                    </w:rPr>
                  </w:pPr>
                  <w:r>
                    <w:rPr>
                      <w:color w:val="000000"/>
                      <w:kern w:val="0"/>
                      <w:sz w:val="24"/>
                      <w:highlight w:val="none"/>
                      <w:lang w:bidi="ar"/>
                    </w:rPr>
                    <w:t>与吸收比、相序、接地</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台</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6</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628"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30</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绝缘电阻、耐压试验</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现场检测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30</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1864"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31</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结构高程、垂直度、厚度、断面尺寸、平整度及外观尺寸测量等</w:t>
                  </w:r>
                </w:p>
              </w:tc>
              <w:tc>
                <w:tcPr>
                  <w:tcW w:w="138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现场量测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color w:val="000000"/>
                      <w:sz w:val="24"/>
                      <w:highlight w:val="none"/>
                    </w:rPr>
                  </w:pPr>
                </w:p>
              </w:tc>
            </w:tr>
            <w:tr>
              <w:tblPrEx>
                <w:tblCellMar>
                  <w:top w:w="0" w:type="dxa"/>
                  <w:left w:w="108" w:type="dxa"/>
                  <w:bottom w:w="0" w:type="dxa"/>
                  <w:right w:w="108" w:type="dxa"/>
                </w:tblCellMar>
              </w:tblPrEx>
              <w:trPr>
                <w:trHeight w:val="1864"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32</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比表面积（水泥细度）、标准稠度、凝结时间、安定性、强度</w:t>
                  </w:r>
                </w:p>
              </w:tc>
              <w:tc>
                <w:tcPr>
                  <w:tcW w:w="1385" w:type="dxa"/>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水泥</w:t>
                  </w:r>
                </w:p>
              </w:tc>
            </w:tr>
            <w:tr>
              <w:tblPrEx>
                <w:tblCellMar>
                  <w:top w:w="0" w:type="dxa"/>
                  <w:left w:w="108" w:type="dxa"/>
                  <w:bottom w:w="0" w:type="dxa"/>
                  <w:right w:w="108" w:type="dxa"/>
                </w:tblCellMar>
              </w:tblPrEx>
              <w:trPr>
                <w:trHeight w:val="2173"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33</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细度模数、含泥量（石粉）、泥块含量、氯离子含量、表观密度、堆积密度</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砂</w:t>
                  </w:r>
                </w:p>
              </w:tc>
            </w:tr>
            <w:tr>
              <w:tblPrEx>
                <w:tblCellMar>
                  <w:top w:w="0" w:type="dxa"/>
                  <w:left w:w="108" w:type="dxa"/>
                  <w:bottom w:w="0" w:type="dxa"/>
                  <w:right w:w="108" w:type="dxa"/>
                </w:tblCellMar>
              </w:tblPrEx>
              <w:trPr>
                <w:trHeight w:val="2173"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34</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颗分、含泥量、压碎指标值、超逊径、表观密度、堆积密度、泥块含量</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8</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碎石</w:t>
                  </w:r>
                </w:p>
              </w:tc>
            </w:tr>
            <w:tr>
              <w:tblPrEx>
                <w:tblCellMar>
                  <w:top w:w="0" w:type="dxa"/>
                  <w:left w:w="108" w:type="dxa"/>
                  <w:bottom w:w="0" w:type="dxa"/>
                  <w:right w:w="108" w:type="dxa"/>
                </w:tblCellMar>
              </w:tblPrEx>
              <w:trPr>
                <w:trHeight w:val="1555"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35</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屈服强度、抗拉强度、伸长率、冷弯、重量偏差</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钢筋</w:t>
                  </w:r>
                </w:p>
              </w:tc>
            </w:tr>
            <w:tr>
              <w:tblPrEx>
                <w:tblCellMar>
                  <w:top w:w="0" w:type="dxa"/>
                  <w:left w:w="108" w:type="dxa"/>
                  <w:bottom w:w="0" w:type="dxa"/>
                  <w:right w:w="108" w:type="dxa"/>
                </w:tblCellMar>
              </w:tblPrEx>
              <w:trPr>
                <w:trHeight w:val="93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36</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钢筋焊接接头抗拉强度、冷弯等</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15</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钢筋接头</w:t>
                  </w:r>
                </w:p>
              </w:tc>
            </w:tr>
            <w:tr>
              <w:tblPrEx>
                <w:tblCellMar>
                  <w:top w:w="0" w:type="dxa"/>
                  <w:left w:w="108" w:type="dxa"/>
                  <w:bottom w:w="0" w:type="dxa"/>
                  <w:right w:w="108" w:type="dxa"/>
                </w:tblCellMar>
              </w:tblPrEx>
              <w:trPr>
                <w:trHeight w:val="93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37</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单轴抗压强度、软化系数</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6</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块石</w:t>
                  </w:r>
                </w:p>
              </w:tc>
            </w:tr>
            <w:tr>
              <w:tblPrEx>
                <w:tblCellMar>
                  <w:top w:w="0" w:type="dxa"/>
                  <w:left w:w="108" w:type="dxa"/>
                  <w:bottom w:w="0" w:type="dxa"/>
                  <w:right w:w="108" w:type="dxa"/>
                </w:tblCellMar>
              </w:tblPrEx>
              <w:trPr>
                <w:trHeight w:val="93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38</w:t>
                  </w:r>
                </w:p>
              </w:tc>
              <w:tc>
                <w:tcPr>
                  <w:tcW w:w="1653"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厚度、抗拉强度、断后伸长率</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止水铜片</w:t>
                  </w:r>
                </w:p>
              </w:tc>
            </w:tr>
            <w:tr>
              <w:tblPrEx>
                <w:tblCellMar>
                  <w:top w:w="0" w:type="dxa"/>
                  <w:left w:w="108" w:type="dxa"/>
                  <w:bottom w:w="0" w:type="dxa"/>
                  <w:right w:w="108" w:type="dxa"/>
                </w:tblCellMar>
              </w:tblPrEx>
              <w:trPr>
                <w:trHeight w:val="2173"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39</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单位面积质量、厚度、拉伸（撕裂）强度、延伸率、顶破强度、渗透系数</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土工布</w:t>
                  </w:r>
                </w:p>
              </w:tc>
            </w:tr>
            <w:tr>
              <w:tblPrEx>
                <w:tblCellMar>
                  <w:top w:w="0" w:type="dxa"/>
                  <w:left w:w="108" w:type="dxa"/>
                  <w:bottom w:w="0" w:type="dxa"/>
                  <w:right w:w="108" w:type="dxa"/>
                </w:tblCellMar>
              </w:tblPrEx>
              <w:trPr>
                <w:trHeight w:val="1864"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40</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尺寸、环刚度、拉伸、冲击性能、纵向回缩率、静液压强度</w:t>
                  </w:r>
                </w:p>
              </w:tc>
              <w:tc>
                <w:tcPr>
                  <w:tcW w:w="1385"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塑料管材</w:t>
                  </w:r>
                </w:p>
              </w:tc>
            </w:tr>
            <w:tr>
              <w:tblPrEx>
                <w:tblCellMar>
                  <w:top w:w="0" w:type="dxa"/>
                  <w:left w:w="108" w:type="dxa"/>
                  <w:bottom w:w="0" w:type="dxa"/>
                  <w:right w:w="108" w:type="dxa"/>
                </w:tblCellMar>
              </w:tblPrEx>
              <w:trPr>
                <w:trHeight w:val="1864"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41</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硬度、拉伸强度、扯断伸长率、压缩永久变形、撕裂强度</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4"/>
                      <w:highlight w:val="none"/>
                    </w:rPr>
                  </w:pPr>
                  <w:r>
                    <w:rPr>
                      <w:color w:val="000000"/>
                      <w:kern w:val="0"/>
                      <w:sz w:val="24"/>
                      <w:highlight w:val="none"/>
                      <w:lang w:bidi="ar"/>
                    </w:rPr>
                    <w:t>取样，室内试验</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2</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4"/>
                      <w:highlight w:val="none"/>
                    </w:rPr>
                  </w:pPr>
                  <w:r>
                    <w:rPr>
                      <w:color w:val="000000"/>
                      <w:kern w:val="0"/>
                      <w:sz w:val="24"/>
                      <w:highlight w:val="none"/>
                      <w:lang w:bidi="ar"/>
                    </w:rPr>
                    <w:t>止水带</w:t>
                  </w:r>
                </w:p>
              </w:tc>
            </w:tr>
            <w:tr>
              <w:tblPrEx>
                <w:tblCellMar>
                  <w:top w:w="0" w:type="dxa"/>
                  <w:left w:w="108" w:type="dxa"/>
                  <w:bottom w:w="0" w:type="dxa"/>
                  <w:right w:w="108" w:type="dxa"/>
                </w:tblCellMar>
              </w:tblPrEx>
              <w:trPr>
                <w:trHeight w:val="1246"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kern w:val="0"/>
                      <w:sz w:val="24"/>
                      <w:highlight w:val="none"/>
                      <w:lang w:bidi="ar"/>
                    </w:rPr>
                  </w:pPr>
                  <w:r>
                    <w:rPr>
                      <w:color w:val="000000"/>
                      <w:kern w:val="0"/>
                      <w:sz w:val="24"/>
                      <w:highlight w:val="none"/>
                      <w:lang w:bidi="ar"/>
                    </w:rPr>
                    <w:t>42</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kern w:val="0"/>
                      <w:sz w:val="24"/>
                      <w:highlight w:val="none"/>
                      <w:lang w:bidi="ar"/>
                    </w:rPr>
                  </w:pPr>
                  <w:r>
                    <w:rPr>
                      <w:color w:val="000000"/>
                      <w:kern w:val="0"/>
                      <w:sz w:val="24"/>
                      <w:highlight w:val="none"/>
                      <w:lang w:bidi="ar"/>
                    </w:rPr>
                    <w:t>下游抛石防冲槽地貌图像</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kern w:val="0"/>
                      <w:sz w:val="24"/>
                      <w:highlight w:val="none"/>
                      <w:lang w:bidi="ar"/>
                    </w:rPr>
                  </w:pPr>
                  <w:r>
                    <w:rPr>
                      <w:color w:val="000000"/>
                      <w:kern w:val="0"/>
                      <w:sz w:val="24"/>
                      <w:highlight w:val="none"/>
                      <w:lang w:bidi="ar"/>
                    </w:rPr>
                    <w:t>声呐侧扫</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color w:val="auto"/>
                      <w:kern w:val="0"/>
                      <w:sz w:val="24"/>
                      <w:highlight w:val="none"/>
                      <w:lang w:bidi="ar"/>
                    </w:rPr>
                  </w:pPr>
                  <w:r>
                    <w:rPr>
                      <w:rFonts w:hint="eastAsia"/>
                      <w:color w:val="auto"/>
                      <w:kern w:val="0"/>
                      <w:sz w:val="24"/>
                      <w:highlight w:val="none"/>
                      <w:lang w:bidi="ar"/>
                    </w:rPr>
                    <w:t>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kern w:val="0"/>
                      <w:sz w:val="24"/>
                      <w:highlight w:val="none"/>
                      <w:lang w:bidi="ar"/>
                    </w:rPr>
                  </w:pPr>
                  <w:r>
                    <w:rPr>
                      <w:color w:val="auto"/>
                      <w:kern w:val="0"/>
                      <w:sz w:val="24"/>
                      <w:highlight w:val="none"/>
                      <w:lang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kern w:val="0"/>
                      <w:sz w:val="24"/>
                      <w:highlight w:val="none"/>
                      <w:lang w:bidi="ar"/>
                    </w:rPr>
                  </w:pPr>
                  <w:r>
                    <w:rPr>
                      <w:rStyle w:val="72"/>
                      <w:rFonts w:ascii="Times New Roman" w:hAnsi="Times New Roman" w:cs="Times New Roman"/>
                      <w:color w:val="auto"/>
                      <w:highlight w:val="none"/>
                      <w:lang w:bidi="ar"/>
                    </w:rPr>
                    <w:t>满足竣工验收要求</w:t>
                  </w:r>
                </w:p>
              </w:tc>
            </w:tr>
            <w:tr>
              <w:tblPrEx>
                <w:tblCellMar>
                  <w:top w:w="0" w:type="dxa"/>
                  <w:left w:w="108" w:type="dxa"/>
                  <w:bottom w:w="0" w:type="dxa"/>
                  <w:right w:w="108" w:type="dxa"/>
                </w:tblCellMar>
              </w:tblPrEx>
              <w:trPr>
                <w:trHeight w:val="1256"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kern w:val="0"/>
                      <w:sz w:val="24"/>
                      <w:highlight w:val="none"/>
                      <w:lang w:bidi="ar"/>
                    </w:rPr>
                  </w:pPr>
                  <w:r>
                    <w:rPr>
                      <w:color w:val="000000"/>
                      <w:kern w:val="0"/>
                      <w:sz w:val="24"/>
                      <w:highlight w:val="none"/>
                      <w:lang w:bidi="ar"/>
                    </w:rPr>
                    <w:t>43</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kern w:val="0"/>
                      <w:sz w:val="24"/>
                      <w:highlight w:val="none"/>
                      <w:lang w:bidi="ar"/>
                    </w:rPr>
                  </w:pPr>
                  <w:r>
                    <w:rPr>
                      <w:color w:val="000000"/>
                      <w:kern w:val="0"/>
                      <w:sz w:val="24"/>
                      <w:highlight w:val="none"/>
                      <w:lang w:bidi="ar"/>
                    </w:rPr>
                    <w:t>闸底板脱空注浆后探测</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kern w:val="0"/>
                      <w:sz w:val="24"/>
                      <w:highlight w:val="none"/>
                      <w:lang w:bidi="ar"/>
                    </w:rPr>
                  </w:pPr>
                  <w:r>
                    <w:rPr>
                      <w:color w:val="000000"/>
                      <w:kern w:val="0"/>
                      <w:sz w:val="24"/>
                      <w:highlight w:val="none"/>
                      <w:lang w:bidi="ar"/>
                    </w:rPr>
                    <w:t>探地雷达探测</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color w:val="auto"/>
                      <w:kern w:val="0"/>
                      <w:sz w:val="24"/>
                      <w:highlight w:val="none"/>
                      <w:lang w:bidi="ar"/>
                    </w:rPr>
                  </w:pPr>
                  <w:r>
                    <w:rPr>
                      <w:rFonts w:hint="eastAsia"/>
                      <w:color w:val="auto"/>
                      <w:kern w:val="0"/>
                      <w:sz w:val="24"/>
                      <w:highlight w:val="none"/>
                      <w:lang w:bidi="ar"/>
                    </w:rPr>
                    <w:t>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kern w:val="0"/>
                      <w:sz w:val="24"/>
                      <w:highlight w:val="none"/>
                      <w:lang w:bidi="ar"/>
                    </w:rPr>
                  </w:pPr>
                  <w:r>
                    <w:rPr>
                      <w:color w:val="auto"/>
                      <w:kern w:val="0"/>
                      <w:sz w:val="24"/>
                      <w:highlight w:val="none"/>
                      <w:lang w:bidi="ar"/>
                    </w:rPr>
                    <w:t>1</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kern w:val="0"/>
                      <w:sz w:val="24"/>
                      <w:highlight w:val="none"/>
                      <w:lang w:bidi="ar"/>
                    </w:rPr>
                  </w:pPr>
                  <w:r>
                    <w:rPr>
                      <w:rStyle w:val="72"/>
                      <w:rFonts w:ascii="Times New Roman" w:hAnsi="Times New Roman" w:cs="Times New Roman"/>
                      <w:color w:val="auto"/>
                      <w:highlight w:val="none"/>
                      <w:lang w:bidi="ar"/>
                    </w:rPr>
                    <w:t>满足竣工验收要求</w:t>
                  </w:r>
                </w:p>
              </w:tc>
            </w:tr>
          </w:tbl>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注：检测费用单价以浙江省水利工程检测协会发布的《浙江省水利工程质量检测费用调研报告》为参考。</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第三方检测费暂按</w:t>
            </w:r>
            <w:r>
              <w:rPr>
                <w:rStyle w:val="52"/>
                <w:rFonts w:hint="eastAsia" w:ascii="宋体" w:hAnsi="宋体"/>
                <w:b/>
                <w:szCs w:val="21"/>
                <w:highlight w:val="none"/>
                <w:u w:val="single"/>
              </w:rPr>
              <w:t>163</w:t>
            </w:r>
            <w:r>
              <w:rPr>
                <w:rStyle w:val="52"/>
                <w:rFonts w:hint="eastAsia" w:ascii="宋体" w:hAnsi="宋体"/>
                <w:bCs/>
                <w:szCs w:val="21"/>
                <w:highlight w:val="none"/>
              </w:rPr>
              <w:t>万元计取（如出现下列项目外的工作内容，则双方协商确定）</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因施工工期延误或其它原因造成建设期延长（疫情防控、重大活动等不可控因素除外），提供6个月免费服务期；超出6个月免费服务期的，不作调整。</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(9)专家专家组定期巡查暂按</w:t>
            </w:r>
            <w:r>
              <w:rPr>
                <w:rStyle w:val="52"/>
                <w:rFonts w:hint="eastAsia" w:ascii="宋体" w:hAnsi="宋体"/>
                <w:b/>
                <w:szCs w:val="21"/>
                <w:highlight w:val="none"/>
                <w:u w:val="single"/>
              </w:rPr>
              <w:t>43</w:t>
            </w:r>
            <w:r>
              <w:rPr>
                <w:rStyle w:val="52"/>
                <w:rFonts w:hint="eastAsia" w:ascii="宋体" w:hAnsi="宋体"/>
                <w:bCs/>
                <w:szCs w:val="21"/>
                <w:highlight w:val="none"/>
              </w:rPr>
              <w:t>万元计取</w:t>
            </w:r>
          </w:p>
          <w:p>
            <w:pPr>
              <w:widowControl/>
              <w:snapToGrid w:val="0"/>
              <w:spacing w:line="380" w:lineRule="exact"/>
              <w:rPr>
                <w:rStyle w:val="52"/>
                <w:rFonts w:ascii="宋体" w:hAnsi="宋体"/>
                <w:bCs/>
                <w:szCs w:val="21"/>
                <w:highlight w:val="none"/>
              </w:rPr>
            </w:pPr>
            <w:r>
              <w:rPr>
                <w:rStyle w:val="52"/>
                <w:rFonts w:hint="eastAsia" w:ascii="宋体" w:hAnsi="宋体"/>
                <w:bCs/>
                <w:szCs w:val="21"/>
                <w:highlight w:val="none"/>
              </w:rPr>
              <w:t>(10)其余工程各项验收暂按</w:t>
            </w:r>
            <w:r>
              <w:rPr>
                <w:rStyle w:val="52"/>
                <w:rFonts w:hint="eastAsia" w:ascii="宋体" w:hAnsi="宋体"/>
                <w:b/>
                <w:szCs w:val="21"/>
                <w:highlight w:val="none"/>
                <w:u w:val="single"/>
              </w:rPr>
              <w:t>180</w:t>
            </w:r>
            <w:r>
              <w:rPr>
                <w:rStyle w:val="52"/>
                <w:rFonts w:hint="eastAsia" w:ascii="宋体" w:hAnsi="宋体"/>
                <w:bCs/>
                <w:szCs w:val="21"/>
                <w:highlight w:val="none"/>
              </w:rPr>
              <w:t>万元计取</w:t>
            </w:r>
          </w:p>
          <w:p>
            <w:pPr>
              <w:widowControl/>
              <w:snapToGrid w:val="0"/>
              <w:spacing w:line="380" w:lineRule="exact"/>
              <w:rPr>
                <w:highlight w:val="none"/>
              </w:rPr>
            </w:pPr>
            <w:r>
              <w:rPr>
                <w:rStyle w:val="52"/>
                <w:rFonts w:hint="eastAsia" w:ascii="宋体" w:hAnsi="宋体"/>
                <w:bCs/>
                <w:szCs w:val="21"/>
                <w:highlight w:val="none"/>
              </w:rPr>
              <w:t>(11)项目绩效评价暂按</w:t>
            </w:r>
            <w:r>
              <w:rPr>
                <w:rStyle w:val="52"/>
                <w:rFonts w:hint="eastAsia" w:ascii="宋体" w:hAnsi="宋体"/>
                <w:b/>
                <w:szCs w:val="21"/>
                <w:highlight w:val="none"/>
                <w:u w:val="single"/>
              </w:rPr>
              <w:t>20</w:t>
            </w:r>
            <w:r>
              <w:rPr>
                <w:rStyle w:val="52"/>
                <w:rFonts w:hint="eastAsia" w:ascii="宋体" w:hAnsi="宋体"/>
                <w:bCs/>
                <w:szCs w:val="21"/>
                <w:highlight w:val="none"/>
              </w:rPr>
              <w:t>万元计取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706"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12</w:t>
            </w:r>
          </w:p>
        </w:tc>
        <w:tc>
          <w:tcPr>
            <w:tcW w:w="1559" w:type="dxa"/>
            <w:vAlign w:val="center"/>
          </w:tcPr>
          <w:p>
            <w:pPr>
              <w:tabs>
                <w:tab w:val="left" w:pos="540"/>
              </w:tabs>
              <w:spacing w:line="440" w:lineRule="exact"/>
              <w:jc w:val="center"/>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投标报价方式</w:t>
            </w:r>
          </w:p>
        </w:tc>
        <w:tc>
          <w:tcPr>
            <w:tcW w:w="6797" w:type="dxa"/>
            <w:vAlign w:val="center"/>
          </w:tcPr>
          <w:p>
            <w:pPr>
              <w:adjustRightInd w:val="0"/>
              <w:snapToGrid w:val="0"/>
              <w:spacing w:line="380" w:lineRule="exact"/>
              <w:rPr>
                <w:rFonts w:ascii="宋体" w:hAnsi="宋体" w:cs="宋体"/>
                <w:color w:val="000000" w:themeColor="text1"/>
                <w:kern w:val="0"/>
                <w:szCs w:val="28"/>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本次招标设最高限价为1503万元，其中第三方检测费最高限价163万元。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52"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13</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jc w:val="center"/>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投标有效期</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为：60日历天（从投标截止之日算起）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7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14</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jc w:val="center"/>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投标保证金</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计人民币</w:t>
            </w:r>
            <w:r>
              <w:rPr>
                <w:rFonts w:hint="eastAsia" w:ascii="宋体" w:hAnsi="宋体"/>
                <w:b/>
                <w:color w:val="000000" w:themeColor="text1"/>
                <w:kern w:val="16"/>
                <w:position w:val="6"/>
                <w:szCs w:val="21"/>
                <w:highlight w:val="none"/>
                <w:u w:val="single"/>
                <w14:textFill>
                  <w14:solidFill>
                    <w14:schemeClr w14:val="tx1"/>
                  </w14:solidFill>
                </w14:textFill>
              </w:rPr>
              <w:t xml:space="preserve">      </w:t>
            </w:r>
            <w:r>
              <w:rPr>
                <w:rFonts w:hint="eastAsia" w:ascii="宋体" w:hAnsi="宋体"/>
                <w:b/>
                <w:color w:val="000000" w:themeColor="text1"/>
                <w:kern w:val="16"/>
                <w:position w:val="6"/>
                <w:szCs w:val="21"/>
                <w:highlight w:val="none"/>
                <w14:textFill>
                  <w14:solidFill>
                    <w14:schemeClr w14:val="tx1"/>
                  </w14:solidFill>
                </w14:textFill>
              </w:rPr>
              <w:t>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96"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15</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exact"/>
              <w:jc w:val="center"/>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招标人书面澄清时间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时间：2023年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807"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16</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投标人书面提问截止时间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时间：2023年   月   日 16时00 分</w:t>
            </w:r>
          </w:p>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地点：</w:t>
            </w:r>
            <w:r>
              <w:rPr>
                <w:rFonts w:hint="eastAsia" w:ascii="宋体" w:hAnsi="宋体" w:cs="宋体"/>
                <w:b/>
                <w:color w:val="000000" w:themeColor="text1"/>
                <w:szCs w:val="21"/>
                <w:highlight w:val="none"/>
                <w:u w:val="single"/>
                <w14:textFill>
                  <w14:solidFill>
                    <w14:schemeClr w14:val="tx1"/>
                  </w14:solidFill>
                </w14:textFill>
              </w:rPr>
              <w:t>绍兴市越城区云东路中富大厦9楼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750"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17</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招标人书面答疑时间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时间：2023年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1317"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18</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投标文件份数</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1、资格审查资料：1份正本，6份副本；</w:t>
            </w:r>
          </w:p>
          <w:p>
            <w:pPr>
              <w:tabs>
                <w:tab w:val="left" w:pos="540"/>
              </w:tabs>
              <w:spacing w:line="36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2、技术标：1份正本，6份副本；</w:t>
            </w:r>
          </w:p>
          <w:p>
            <w:pPr>
              <w:tabs>
                <w:tab w:val="left" w:pos="540"/>
              </w:tabs>
              <w:spacing w:line="36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3、商务标：1份正本，6份副本，电子投标文件1份（U盘）放在商务标包封中。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91"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19</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投标文件提交地点及截止时间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地点：绍兴市公共资源交易中心四楼指定开标室</w:t>
            </w:r>
          </w:p>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时间：2023年    月    日 09 时30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5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20</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开标时间及地点</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地点：绍兴市公共资源交易中心四楼指定开标室</w:t>
            </w:r>
          </w:p>
          <w:p>
            <w:pPr>
              <w:tabs>
                <w:tab w:val="left" w:pos="540"/>
              </w:tabs>
              <w:spacing w:line="440" w:lineRule="exact"/>
              <w:rPr>
                <w:rFonts w:ascii="宋体" w:hAnsi="宋体"/>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position w:val="6"/>
                <w:szCs w:val="21"/>
                <w:highlight w:val="none"/>
                <w14:textFill>
                  <w14:solidFill>
                    <w14:schemeClr w14:val="tx1"/>
                  </w14:solidFill>
                </w14:textFill>
              </w:rPr>
              <w:t>开始时间：2023年    月    日 09时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5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spacing w:line="300" w:lineRule="exact"/>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21</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00" w:lineRule="exact"/>
              <w:jc w:val="center"/>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开标会议要求</w:t>
            </w:r>
          </w:p>
        </w:tc>
        <w:tc>
          <w:tcPr>
            <w:tcW w:w="6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本项目采用投标人现场递交或邮寄投标文件递交。</w:t>
            </w:r>
          </w:p>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(1)采用现场递交的，将密封的投标文件在开标当日09:00时至09:30时递交至绍兴市公共资源交易中心四楼指定开标室，投标文件递交后即交即走。</w:t>
            </w:r>
          </w:p>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w:t>
            </w:r>
          </w:p>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投标人在开标现场不需要书面签字确认等有关操作。</w:t>
            </w:r>
          </w:p>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autoSpaceDE w:val="0"/>
              <w:autoSpaceDN w:val="0"/>
              <w:adjustRightInd w:val="0"/>
              <w:snapToGrid w:val="0"/>
              <w:spacing w:line="30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autoSpaceDE w:val="0"/>
              <w:autoSpaceDN w:val="0"/>
              <w:adjustRightInd w:val="0"/>
              <w:snapToGrid w:val="0"/>
              <w:spacing w:line="300" w:lineRule="exact"/>
              <w:ind w:right="-115" w:rightChars="-55" w:firstLine="420" w:firstLineChars="200"/>
              <w:rPr>
                <w:b/>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投标人的法定代表人或授权委托人、项目负责人等均可不参加开标会议。若投标人法定代表人或授权委托人不在现场参加开标会议的，投标人需向招标代理机构人员告知联系方式，以备询标等事宜。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64" w:hRule="atLeast"/>
        </w:trPr>
        <w:tc>
          <w:tcPr>
            <w:tcW w:w="710" w:type="dxa"/>
            <w:vAlign w:val="center"/>
          </w:tcPr>
          <w:p>
            <w:pPr>
              <w:tabs>
                <w:tab w:val="left" w:pos="360"/>
                <w:tab w:val="left" w:pos="720"/>
                <w:tab w:val="left" w:pos="900"/>
              </w:tabs>
              <w:spacing w:line="320" w:lineRule="exact"/>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22</w:t>
            </w:r>
          </w:p>
        </w:tc>
        <w:tc>
          <w:tcPr>
            <w:tcW w:w="8356" w:type="dxa"/>
            <w:gridSpan w:val="2"/>
            <w:vAlign w:val="center"/>
          </w:tcPr>
          <w:p>
            <w:pPr>
              <w:pStyle w:val="61"/>
              <w:widowControl w:val="0"/>
              <w:pBdr>
                <w:bottom w:val="none" w:color="auto" w:sz="0" w:space="0"/>
              </w:pBdr>
              <w:tabs>
                <w:tab w:val="left" w:pos="540"/>
              </w:tabs>
              <w:spacing w:before="0" w:beforeAutospacing="0" w:after="0" w:afterAutospacing="0" w:line="320" w:lineRule="exact"/>
              <w:jc w:val="both"/>
              <w:rPr>
                <w:rFonts w:hint="default" w:ascii="宋体" w:eastAsia="宋体"/>
                <w:color w:val="000000" w:themeColor="text1"/>
                <w:kern w:val="16"/>
                <w:position w:val="6"/>
                <w:sz w:val="21"/>
                <w:szCs w:val="21"/>
                <w:highlight w:val="none"/>
                <w14:textFill>
                  <w14:solidFill>
                    <w14:schemeClr w14:val="tx1"/>
                  </w14:solidFill>
                </w14:textFill>
              </w:rPr>
            </w:pPr>
            <w:r>
              <w:rPr>
                <w:rFonts w:ascii="宋体" w:eastAsia="宋体"/>
                <w:color w:val="000000" w:themeColor="text1"/>
                <w:kern w:val="16"/>
                <w:position w:val="6"/>
                <w:sz w:val="21"/>
                <w:szCs w:val="21"/>
                <w:highlight w:val="none"/>
                <w14:textFill>
                  <w14:solidFill>
                    <w14:schemeClr w14:val="tx1"/>
                  </w14:solidFill>
                </w14:textFill>
              </w:rPr>
              <w:t>投标人代表出席开标会</w:t>
            </w:r>
            <w:r>
              <w:rPr>
                <w:rFonts w:ascii="宋体" w:eastAsia="宋体"/>
                <w:b/>
                <w:color w:val="000000" w:themeColor="text1"/>
                <w:kern w:val="16"/>
                <w:position w:val="6"/>
                <w:sz w:val="21"/>
                <w:szCs w:val="21"/>
                <w:highlight w:val="none"/>
                <w14:textFill>
                  <w14:solidFill>
                    <w14:schemeClr w14:val="tx1"/>
                  </w14:solidFill>
                </w14:textFill>
              </w:rPr>
              <w:t>（联合体投标的指联合体牵头人）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805" w:hRule="atLeast"/>
        </w:trPr>
        <w:tc>
          <w:tcPr>
            <w:tcW w:w="710" w:type="dxa"/>
            <w:vAlign w:val="center"/>
          </w:tcPr>
          <w:p>
            <w:pPr>
              <w:tabs>
                <w:tab w:val="left" w:pos="360"/>
                <w:tab w:val="left" w:pos="720"/>
                <w:tab w:val="left" w:pos="900"/>
              </w:tabs>
              <w:spacing w:line="280" w:lineRule="exact"/>
              <w:rPr>
                <w:rFonts w:ascii="宋体" w:hAnsi="宋体"/>
                <w:color w:val="000000" w:themeColor="text1"/>
                <w:spacing w:val="60"/>
                <w:szCs w:val="21"/>
                <w:highlight w:val="none"/>
                <w14:textFill>
                  <w14:solidFill>
                    <w14:schemeClr w14:val="tx1"/>
                  </w14:solidFill>
                </w14:textFill>
              </w:rPr>
            </w:pPr>
          </w:p>
        </w:tc>
        <w:tc>
          <w:tcPr>
            <w:tcW w:w="8356" w:type="dxa"/>
            <w:gridSpan w:val="2"/>
            <w:vAlign w:val="center"/>
          </w:tcPr>
          <w:p>
            <w:pPr>
              <w:pStyle w:val="54"/>
              <w:numPr>
                <w:ilvl w:val="0"/>
                <w:numId w:val="2"/>
              </w:numPr>
              <w:spacing w:line="280" w:lineRule="exact"/>
              <w:ind w:firstLineChars="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公开招标项目</w:t>
            </w:r>
          </w:p>
          <w:p>
            <w:pPr>
              <w:spacing w:line="280" w:lineRule="exact"/>
              <w:ind w:left="8" w:leftChars="4"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项目建安估算价在3000万元以下的项目，投标人的法定代表人或其授权委托人及项目负责人应参加开标。</w:t>
            </w:r>
          </w:p>
          <w:p>
            <w:pPr>
              <w:spacing w:line="280" w:lineRule="exact"/>
              <w:ind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项目建安估算价在3000万元以上的项目，</w:t>
            </w:r>
            <w:r>
              <w:rPr>
                <w:rFonts w:hint="eastAsia" w:ascii="宋体" w:hAnsi="宋体"/>
                <w:dstrike/>
                <w:color w:val="000000" w:themeColor="text1"/>
                <w:kern w:val="16"/>
                <w:szCs w:val="21"/>
                <w:highlight w:val="none"/>
                <w14:textFill>
                  <w14:solidFill>
                    <w14:schemeClr w14:val="tx1"/>
                  </w14:solidFill>
                </w14:textFill>
              </w:rPr>
              <w:t>企业注册地在绍兴市行政区域范围外的</w:t>
            </w:r>
            <w:r>
              <w:rPr>
                <w:rFonts w:ascii="宋体" w:hAnsi="宋体"/>
                <w:dstrike/>
                <w:color w:val="000000" w:themeColor="text1"/>
                <w:kern w:val="16"/>
                <w:szCs w:val="21"/>
                <w:highlight w:val="none"/>
                <w14:textFill>
                  <w14:solidFill>
                    <w14:schemeClr w14:val="tx1"/>
                  </w14:solidFill>
                </w14:textFill>
              </w:rPr>
              <w:t>投标人法定代表人</w:t>
            </w:r>
            <w:r>
              <w:rPr>
                <w:rFonts w:hint="eastAsia" w:ascii="宋体" w:hAnsi="宋体"/>
                <w:dstrike/>
                <w:color w:val="000000" w:themeColor="text1"/>
                <w:kern w:val="16"/>
                <w:szCs w:val="21"/>
                <w:highlight w:val="none"/>
                <w14:textFill>
                  <w14:solidFill>
                    <w14:schemeClr w14:val="tx1"/>
                  </w14:solidFill>
                </w14:textFill>
              </w:rPr>
              <w:t>或企业负责人或技术负责人应</w:t>
            </w:r>
            <w:r>
              <w:rPr>
                <w:rFonts w:hint="eastAsia" w:ascii="宋体" w:hAnsi="宋体"/>
                <w:dstrike/>
                <w:color w:val="000000" w:themeColor="text1"/>
                <w:highlight w:val="none"/>
                <w14:textFill>
                  <w14:solidFill>
                    <w14:schemeClr w14:val="tx1"/>
                  </w14:solidFill>
                </w14:textFill>
              </w:rPr>
              <w:t>参加开标，投标人法定代表人或企业负责人或技术负责人因故无法准时出席开标的，可在投标截止时间前到绍兴市区公证机构现场公证签署具体投标项目的授权委托书。项目负责人应同时参加开标。</w:t>
            </w:r>
          </w:p>
          <w:p>
            <w:pPr>
              <w:spacing w:line="280" w:lineRule="exact"/>
              <w:ind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项目建安估算价在1亿元以上的项目，</w:t>
            </w:r>
            <w:r>
              <w:rPr>
                <w:rFonts w:hint="eastAsia" w:ascii="宋体" w:hAnsi="宋体"/>
                <w:dstrike/>
                <w:color w:val="000000" w:themeColor="text1"/>
                <w:kern w:val="16"/>
                <w:szCs w:val="21"/>
                <w:highlight w:val="none"/>
                <w14:textFill>
                  <w14:solidFill>
                    <w14:schemeClr w14:val="tx1"/>
                  </w14:solidFill>
                </w14:textFill>
              </w:rPr>
              <w:t>企业注册地在绍兴市行政区域范围外的</w:t>
            </w:r>
            <w:r>
              <w:rPr>
                <w:rFonts w:ascii="宋体" w:hAnsi="宋体"/>
                <w:dstrike/>
                <w:color w:val="000000" w:themeColor="text1"/>
                <w:kern w:val="16"/>
                <w:szCs w:val="21"/>
                <w:highlight w:val="none"/>
                <w14:textFill>
                  <w14:solidFill>
                    <w14:schemeClr w14:val="tx1"/>
                  </w14:solidFill>
                </w14:textFill>
              </w:rPr>
              <w:t>投标人</w:t>
            </w:r>
            <w:r>
              <w:rPr>
                <w:rFonts w:hint="eastAsia" w:ascii="宋体" w:hAnsi="宋体"/>
                <w:dstrike/>
                <w:color w:val="000000" w:themeColor="text1"/>
                <w:kern w:val="16"/>
                <w:szCs w:val="21"/>
                <w:highlight w:val="none"/>
                <w14:textFill>
                  <w14:solidFill>
                    <w14:schemeClr w14:val="tx1"/>
                  </w14:solidFill>
                </w14:textFill>
              </w:rPr>
              <w:t>，</w:t>
            </w:r>
            <w:r>
              <w:rPr>
                <w:rFonts w:hint="eastAsia" w:ascii="宋体" w:hAnsi="宋体"/>
                <w:dstrike/>
                <w:color w:val="000000" w:themeColor="text1"/>
                <w:highlight w:val="none"/>
                <w14:textFill>
                  <w14:solidFill>
                    <w14:schemeClr w14:val="tx1"/>
                  </w14:solidFill>
                </w14:textFill>
              </w:rPr>
              <w:t>必须由投标人法定代表人</w:t>
            </w:r>
            <w:r>
              <w:rPr>
                <w:rFonts w:hint="eastAsia" w:ascii="宋体" w:hAnsi="宋体"/>
                <w:dstrike/>
                <w:color w:val="000000" w:themeColor="text1"/>
                <w:kern w:val="16"/>
                <w:szCs w:val="21"/>
                <w:highlight w:val="none"/>
                <w14:textFill>
                  <w14:solidFill>
                    <w14:schemeClr w14:val="tx1"/>
                  </w14:solidFill>
                </w14:textFill>
              </w:rPr>
              <w:t>或企业负责人或技术负责人</w:t>
            </w:r>
            <w:r>
              <w:rPr>
                <w:rFonts w:hint="eastAsia" w:ascii="宋体" w:hAnsi="宋体"/>
                <w:dstrike/>
                <w:color w:val="000000" w:themeColor="text1"/>
                <w:highlight w:val="none"/>
                <w14:textFill>
                  <w14:solidFill>
                    <w14:schemeClr w14:val="tx1"/>
                  </w14:solidFill>
                </w14:textFill>
              </w:rPr>
              <w:t>亲自参加开标。项目负责人应同时参加开标。</w:t>
            </w:r>
          </w:p>
          <w:p>
            <w:pPr>
              <w:spacing w:line="280" w:lineRule="exact"/>
              <w:ind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投标人的法定代表人、企业负责人、技术负责人应与市公共资源交易中心会员登记中企业资质证书的内容一致，否则视为自愿放弃投标。</w:t>
            </w:r>
          </w:p>
          <w:p>
            <w:pPr>
              <w:spacing w:line="280" w:lineRule="exact"/>
              <w:ind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绍兴市行政区域范围内企业可直接委托法定代表授权委托人及项目负责人参加开标。</w:t>
            </w:r>
          </w:p>
          <w:p>
            <w:pPr>
              <w:pStyle w:val="54"/>
              <w:numPr>
                <w:ilvl w:val="0"/>
                <w:numId w:val="2"/>
              </w:numPr>
              <w:spacing w:line="280" w:lineRule="exact"/>
              <w:ind w:firstLineChars="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邀请招标项目</w:t>
            </w:r>
          </w:p>
          <w:p>
            <w:pPr>
              <w:spacing w:line="280" w:lineRule="exact"/>
              <w:ind w:left="42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投标人的法定代表人或其授权委托人及项目负责人应参加开标。</w:t>
            </w:r>
          </w:p>
          <w:p>
            <w:pPr>
              <w:spacing w:line="280" w:lineRule="exact"/>
              <w:ind w:left="32" w:firstLine="386" w:firstLineChars="184"/>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3、投标人法定代表人或企业负责人或技术负责人或授权委托人及项目负责人均须随带本人居民二代身份证准时参加开标，否则视为自愿放弃投标。</w:t>
            </w:r>
          </w:p>
          <w:p>
            <w:pPr>
              <w:spacing w:line="280" w:lineRule="exact"/>
              <w:ind w:firstLine="420" w:firstLineChars="200"/>
              <w:rPr>
                <w:rFonts w:ascii="宋体" w:hAnsi="宋体"/>
                <w:dstrike/>
                <w:color w:val="000000" w:themeColor="text1"/>
                <w:highlight w:val="none"/>
                <w14:textFill>
                  <w14:solidFill>
                    <w14:schemeClr w14:val="tx1"/>
                  </w14:solidFill>
                </w14:textFill>
              </w:rPr>
            </w:pPr>
            <w:r>
              <w:rPr>
                <w:rFonts w:hint="eastAsia" w:ascii="宋体" w:hAnsi="宋体"/>
                <w:dstrike/>
                <w:color w:val="000000" w:themeColor="text1"/>
                <w:highlight w:val="none"/>
                <w14:textFill>
                  <w14:solidFill>
                    <w14:schemeClr w14:val="tx1"/>
                  </w14:solidFill>
                </w14:textFill>
              </w:rPr>
              <w:t>4、授权委托人参加开标的，应出示授权委托书，否则不接受其投标。</w:t>
            </w:r>
          </w:p>
          <w:p>
            <w:pPr>
              <w:pStyle w:val="61"/>
              <w:widowControl w:val="0"/>
              <w:pBdr>
                <w:bottom w:val="none" w:color="auto" w:sz="0" w:space="0"/>
              </w:pBdr>
              <w:tabs>
                <w:tab w:val="left" w:pos="540"/>
              </w:tabs>
              <w:spacing w:before="0" w:beforeAutospacing="0" w:after="0" w:afterAutospacing="0" w:line="280" w:lineRule="exact"/>
              <w:ind w:firstLine="420" w:firstLineChars="200"/>
              <w:jc w:val="both"/>
              <w:rPr>
                <w:rFonts w:hint="default" w:ascii="宋体" w:eastAsia="宋体"/>
                <w:color w:val="000000" w:themeColor="text1"/>
                <w:kern w:val="16"/>
                <w:position w:val="6"/>
                <w:sz w:val="21"/>
                <w:szCs w:val="21"/>
                <w:highlight w:val="none"/>
                <w14:textFill>
                  <w14:solidFill>
                    <w14:schemeClr w14:val="tx1"/>
                  </w14:solidFill>
                </w14:textFill>
              </w:rPr>
            </w:pPr>
            <w:r>
              <w:rPr>
                <w:rFonts w:ascii="宋体" w:eastAsia="宋体"/>
                <w:dstrike/>
                <w:color w:val="000000" w:themeColor="text1"/>
                <w:sz w:val="21"/>
                <w:szCs w:val="21"/>
                <w:highlight w:val="none"/>
                <w14:textFill>
                  <w14:solidFill>
                    <w14:schemeClr w14:val="tx1"/>
                  </w14:solidFill>
                </w14:textFill>
              </w:rPr>
              <w:t>5、投标人法定代表人的授权委托人必须为绍兴市公共资源交易中心交易员，否则不接受其投标。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25" w:hRule="atLeast"/>
        </w:trPr>
        <w:tc>
          <w:tcPr>
            <w:tcW w:w="710" w:type="dxa"/>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23</w:t>
            </w:r>
          </w:p>
        </w:tc>
        <w:tc>
          <w:tcPr>
            <w:tcW w:w="8356" w:type="dxa"/>
            <w:gridSpan w:val="2"/>
            <w:vAlign w:val="center"/>
          </w:tcPr>
          <w:p>
            <w:pPr>
              <w:pStyle w:val="61"/>
              <w:widowControl w:val="0"/>
              <w:pBdr>
                <w:bottom w:val="none" w:color="auto" w:sz="0" w:space="0"/>
              </w:pBdr>
              <w:tabs>
                <w:tab w:val="left" w:pos="540"/>
              </w:tabs>
              <w:spacing w:before="0" w:beforeAutospacing="0" w:after="0" w:afterAutospacing="0" w:line="440" w:lineRule="exact"/>
              <w:jc w:val="both"/>
              <w:rPr>
                <w:rFonts w:hint="default" w:ascii="宋体" w:eastAsia="宋体"/>
                <w:color w:val="000000" w:themeColor="text1"/>
                <w:kern w:val="16"/>
                <w:position w:val="6"/>
                <w:sz w:val="21"/>
                <w:szCs w:val="21"/>
                <w:highlight w:val="none"/>
                <w14:textFill>
                  <w14:solidFill>
                    <w14:schemeClr w14:val="tx1"/>
                  </w14:solidFill>
                </w14:textFill>
              </w:rPr>
            </w:pPr>
            <w:r>
              <w:rPr>
                <w:rFonts w:ascii="宋体" w:eastAsia="宋体"/>
                <w:color w:val="000000" w:themeColor="text1"/>
                <w:kern w:val="16"/>
                <w:position w:val="6"/>
                <w:sz w:val="21"/>
                <w:szCs w:val="21"/>
                <w:highlight w:val="none"/>
                <w14:textFill>
                  <w14:solidFill>
                    <w14:schemeClr w14:val="tx1"/>
                  </w14:solidFill>
                </w14:textFill>
              </w:rPr>
              <w:t>中标公示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1313" w:hRule="atLeast"/>
        </w:trPr>
        <w:tc>
          <w:tcPr>
            <w:tcW w:w="710" w:type="dxa"/>
            <w:vAlign w:val="center"/>
          </w:tcPr>
          <w:p>
            <w:pPr>
              <w:tabs>
                <w:tab w:val="left" w:pos="360"/>
                <w:tab w:val="left" w:pos="720"/>
                <w:tab w:val="left" w:pos="900"/>
              </w:tabs>
              <w:spacing w:line="700" w:lineRule="exact"/>
              <w:jc w:val="center"/>
              <w:rPr>
                <w:rFonts w:ascii="宋体" w:hAnsi="宋体"/>
                <w:color w:val="000000" w:themeColor="text1"/>
                <w:spacing w:val="60"/>
                <w:szCs w:val="21"/>
                <w:highlight w:val="none"/>
                <w14:textFill>
                  <w14:solidFill>
                    <w14:schemeClr w14:val="tx1"/>
                  </w14:solidFill>
                </w14:textFill>
              </w:rPr>
            </w:pPr>
          </w:p>
        </w:tc>
        <w:tc>
          <w:tcPr>
            <w:tcW w:w="8356" w:type="dxa"/>
            <w:gridSpan w:val="2"/>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在中标通知书发出前，招标人将中标候选人的情况（有业绩要求的，包括业绩）在市公共资源交易中心及其网站予以公示，公示期为3个工作日。公示期间招标人可对中标候选人的人员证书及业绩原件进行核查。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512"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24</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210" w:firstLine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招标人补充的其他内容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147"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25</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评标委员会推荐中标侯选人数量</w:t>
            </w:r>
            <w:r>
              <w:rPr>
                <w:rFonts w:hint="eastAsia" w:ascii="宋体" w:hAnsi="宋体"/>
                <w:b/>
                <w:color w:val="000000" w:themeColor="text1"/>
                <w:highlight w:val="none"/>
                <w:u w:val="singl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名</w:t>
            </w:r>
          </w:p>
        </w:tc>
        <w:tc>
          <w:tcPr>
            <w:tcW w:w="4117" w:type="dxa"/>
            <w:vAlign w:val="center"/>
          </w:tcPr>
          <w:p>
            <w:pPr>
              <w:spacing w:line="288" w:lineRule="auto"/>
              <w:rPr>
                <w:rFonts w:ascii="宋体" w:hAnsi="宋体"/>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464"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26</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评标委员会推荐的中标候选人在公示期间，被举报、投诉存在有资质、资格、报价、业绩等方面缺陷不能作为中标人时，招标人将在有关部门调查核实后的七天内，在原入围的投标人中重新评标：商务标按原</w:t>
            </w:r>
            <w:r>
              <w:rPr>
                <w:rFonts w:hint="eastAsia" w:ascii="宋体" w:hAnsi="宋体" w:cs="宋体"/>
                <w:iCs/>
                <w:color w:val="000000" w:themeColor="text1"/>
                <w:kern w:val="0"/>
                <w:highlight w:val="none"/>
                <w14:textFill>
                  <w14:solidFill>
                    <w14:schemeClr w14:val="tx1"/>
                  </w14:solidFill>
                </w14:textFill>
              </w:rPr>
              <w:t>浮动率</w:t>
            </w:r>
            <w:r>
              <w:rPr>
                <w:rFonts w:hint="eastAsia" w:ascii="宋体" w:hAnsi="宋体"/>
                <w:color w:val="000000" w:themeColor="text1"/>
                <w:highlight w:val="none"/>
                <w14:textFill>
                  <w14:solidFill>
                    <w14:schemeClr w14:val="tx1"/>
                  </w14:solidFill>
                </w14:textFill>
              </w:rPr>
              <w:t>报价法评标，重新报价并重新抽取基准</w:t>
            </w:r>
            <w:r>
              <w:rPr>
                <w:rFonts w:hint="eastAsia" w:ascii="宋体" w:hAnsi="宋体" w:cs="宋体"/>
                <w:iCs/>
                <w:color w:val="000000" w:themeColor="text1"/>
                <w:kern w:val="0"/>
                <w:highlight w:val="none"/>
                <w14:textFill>
                  <w14:solidFill>
                    <w14:schemeClr w14:val="tx1"/>
                  </w14:solidFill>
                </w14:textFill>
              </w:rPr>
              <w:t>浮动率</w:t>
            </w:r>
            <w:r>
              <w:rPr>
                <w:rFonts w:hint="eastAsia" w:ascii="宋体" w:hAnsi="宋体"/>
                <w:color w:val="000000" w:themeColor="text1"/>
                <w:highlight w:val="none"/>
                <w14:textFill>
                  <w14:solidFill>
                    <w14:schemeClr w14:val="tx1"/>
                  </w14:solidFill>
                </w14:textFill>
              </w:rPr>
              <w:t>；技术标保留原分值，重新定标。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419"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27</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本项目招标评标采用</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Arial"/>
                <w:b/>
                <w:color w:val="000000" w:themeColor="text1"/>
                <w:kern w:val="0"/>
                <w:szCs w:val="21"/>
                <w:highlight w:val="none"/>
                <w:u w:val="single"/>
                <w14:textFill>
                  <w14:solidFill>
                    <w14:schemeClr w14:val="tx1"/>
                  </w14:solidFill>
                </w14:textFill>
              </w:rPr>
              <w:t>综合评估法</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方式评标。</w:t>
            </w:r>
          </w:p>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中标方式：</w:t>
            </w:r>
            <w:r>
              <w:rPr>
                <w:rFonts w:hint="eastAsia" w:ascii="宋体" w:hAnsi="宋体" w:cs="Arial"/>
                <w:b/>
                <w:color w:val="000000" w:themeColor="text1"/>
                <w:kern w:val="0"/>
                <w:szCs w:val="21"/>
                <w:highlight w:val="none"/>
                <w:u w:val="single"/>
                <w14:textFill>
                  <w14:solidFill>
                    <w14:schemeClr w14:val="tx1"/>
                  </w14:solidFill>
                </w14:textFill>
              </w:rPr>
              <w:t>总得分最高者为中标候选人。若出现总得分相同的情况，由报价低者中标；若报价也相同，由招标人当场抽签确定中标候选人。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599"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28</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评标专家确定方式：</w:t>
            </w:r>
            <w:r>
              <w:rPr>
                <w:rFonts w:hint="eastAsia" w:ascii="宋体" w:hAnsi="宋体" w:cs="仿宋_GB2312"/>
                <w:bCs/>
                <w:color w:val="000000" w:themeColor="text1"/>
                <w:kern w:val="16"/>
                <w:szCs w:val="21"/>
                <w:highlight w:val="none"/>
                <w:u w:val="single"/>
                <w14:textFill>
                  <w14:solidFill>
                    <w14:schemeClr w14:val="tx1"/>
                  </w14:solidFill>
                </w14:textFill>
              </w:rPr>
              <w:t>本项目有关技术、经济等方面的专家从专家库中抽取。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016"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29</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关于盖章：</w:t>
            </w:r>
          </w:p>
          <w:p>
            <w:pPr>
              <w:ind w:firstLine="422" w:firstLineChars="200"/>
              <w:rPr>
                <w:rFonts w:ascii="宋体" w:hAnsi="宋体" w:cs="宋体"/>
                <w:b/>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除特别说明之外，联合体投标的，投标人盖章处及法定代表人或其委托代理人签字盖章处可只由联合体牵头人签章。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164"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000000" w:themeColor="text1"/>
                <w:spacing w:val="60"/>
                <w:szCs w:val="21"/>
                <w:highlight w:val="none"/>
                <w14:textFill>
                  <w14:solidFill>
                    <w14:schemeClr w14:val="tx1"/>
                  </w14:solidFill>
                </w14:textFill>
              </w:rPr>
            </w:pPr>
            <w:r>
              <w:rPr>
                <w:rFonts w:hint="eastAsia" w:ascii="宋体" w:hAnsi="宋体"/>
                <w:color w:val="000000" w:themeColor="text1"/>
                <w:spacing w:val="60"/>
                <w:szCs w:val="21"/>
                <w:highlight w:val="none"/>
                <w14:textFill>
                  <w14:solidFill>
                    <w14:schemeClr w14:val="tx1"/>
                  </w14:solidFill>
                </w14:textFill>
              </w:rPr>
              <w:t>30</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2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履约担保：</w:t>
            </w:r>
          </w:p>
          <w:p>
            <w:pPr>
              <w:autoSpaceDE w:val="0"/>
              <w:autoSpaceDN w:val="0"/>
              <w:adjustRightInd w:val="0"/>
              <w:snapToGrid w:val="0"/>
              <w:spacing w:line="32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全过程工程咨询人在收到中标通知书30日内，签订合同后须向项目业主提交履约保证金，逾期未提交履约保证金作违约处理，按合同违约条例执行。投标保证金不予退还，给招标人造成的损失超过投标保证金数额的，全过程工程咨询人还应当对超过部分予以赔偿。</w:t>
            </w:r>
          </w:p>
          <w:p>
            <w:pPr>
              <w:autoSpaceDE w:val="0"/>
              <w:autoSpaceDN w:val="0"/>
              <w:adjustRightInd w:val="0"/>
              <w:snapToGrid w:val="0"/>
              <w:spacing w:line="320" w:lineRule="exact"/>
              <w:ind w:right="-115" w:rightChars="-55" w:firstLine="420" w:firstLineChars="200"/>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全过程工程咨询人以银行转账或银行保函或保险公司保险等的形式，向项目业主提供合同价2%的履约担保。履约担保分质量、工期两部分，所占比例：质量1%、工期1%。如有违约，按合同违约责任扣除部分或全部履约保证金。待履行合同完毕且工程竣工验收合格后，项目业主无息退还全过程工程咨询人的履约保证金。如联合体投标的则为联合体牵头人提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279" w:hRule="atLeast"/>
        </w:trPr>
        <w:tc>
          <w:tcPr>
            <w:tcW w:w="710"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2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autoSpaceDE w:val="0"/>
              <w:autoSpaceDN w:val="0"/>
              <w:adjustRightInd w:val="0"/>
              <w:snapToGrid w:val="0"/>
              <w:spacing w:line="32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highlight w:val="none"/>
              </w:rPr>
              <w:fldChar w:fldCharType="begin"/>
            </w:r>
            <w:r>
              <w:rPr>
                <w:highlight w:val="none"/>
              </w:rP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rPr>
                <w:highlight w:val="none"/>
              </w:rPr>
              <w:fldChar w:fldCharType="separate"/>
            </w:r>
            <w:r>
              <w:rPr>
                <w:rFonts w:hint="eastAsia" w:ascii="宋体" w:hAnsi="宋体"/>
                <w:color w:val="000000" w:themeColor="text1"/>
                <w:szCs w:val="21"/>
                <w:highlight w:val="none"/>
                <w14:textFill>
                  <w14:solidFill>
                    <w14:schemeClr w14:val="tx1"/>
                  </w14:solidFill>
                </w14:textFill>
              </w:rPr>
              <w:t>开标过程中要求投标人进行澄清、说明或者补正的，须通过指定的电子邮箱649701617@qq.com作出澄清、说明或者补正，提交澄清、说明或补正的时间为接到工作人员电话通知后半小时内。请投标单位期间电话保持畅通，如未及时接听电话，视为放弃澄清、说明或补正的权利；</w:t>
            </w:r>
            <w:r>
              <w:rPr>
                <w:rFonts w:hint="eastAsia" w:ascii="宋体" w:hAnsi="宋体"/>
                <w:color w:val="000000" w:themeColor="text1"/>
                <w:szCs w:val="21"/>
                <w:highlight w:val="none"/>
                <w14:textFill>
                  <w14:solidFill>
                    <w14:schemeClr w14:val="tx1"/>
                  </w14:solidFill>
                </w14:textFill>
              </w:rPr>
              <w:fldChar w:fldCharType="end"/>
            </w:r>
          </w:p>
          <w:p>
            <w:pPr>
              <w:autoSpaceDE w:val="0"/>
              <w:autoSpaceDN w:val="0"/>
              <w:adjustRightInd w:val="0"/>
              <w:snapToGrid w:val="0"/>
              <w:spacing w:line="320" w:lineRule="exact"/>
              <w:ind w:right="-115" w:rightChars="-5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3、取消投标人法定代表人或授权委托人到场签字要求，取消开标记录表签字要求；</w:t>
            </w:r>
          </w:p>
          <w:p>
            <w:pPr>
              <w:autoSpaceDE w:val="0"/>
              <w:autoSpaceDN w:val="0"/>
              <w:adjustRightInd w:val="0"/>
              <w:snapToGrid w:val="0"/>
              <w:spacing w:line="320" w:lineRule="exact"/>
              <w:ind w:right="-115" w:rightChars="-55" w:firstLine="420" w:firstLineChars="200"/>
              <w:rPr>
                <w:rFonts w:ascii="宋体" w:hAnsi="宋体"/>
                <w:color w:val="000000" w:themeColor="text1"/>
                <w:highlight w:val="none"/>
                <w:shd w:val="clear" w:color="auto" w:fill="FCFCFC"/>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4、由代理机构工作人员现场在招标办监督下核验投标文件密封性并开启投标文件，组织评审，并对开评标活动进行全程录音录像。</w:t>
            </w:r>
          </w:p>
        </w:tc>
      </w:tr>
    </w:tbl>
    <w:p>
      <w:pPr>
        <w:spacing w:line="460" w:lineRule="exact"/>
        <w:jc w:val="center"/>
        <w:rPr>
          <w:rFonts w:ascii="宋体" w:hAnsi="宋体"/>
          <w:color w:val="000000" w:themeColor="text1"/>
          <w:kern w:val="16"/>
          <w:position w:val="6"/>
          <w:sz w:val="32"/>
          <w:szCs w:val="32"/>
          <w:highlight w:val="none"/>
          <w14:textFill>
            <w14:solidFill>
              <w14:schemeClr w14:val="tx1"/>
            </w14:solidFill>
          </w14:textFill>
        </w:rPr>
      </w:pPr>
      <w:r>
        <w:rPr>
          <w:rFonts w:ascii="宋体" w:hAnsi="宋体"/>
          <w:bCs/>
          <w:color w:val="000000" w:themeColor="text1"/>
          <w:kern w:val="16"/>
          <w:position w:val="6"/>
          <w:sz w:val="32"/>
          <w:szCs w:val="32"/>
          <w:highlight w:val="none"/>
          <w14:textFill>
            <w14:solidFill>
              <w14:schemeClr w14:val="tx1"/>
            </w14:solidFill>
          </w14:textFill>
        </w:rPr>
        <w:br w:type="page"/>
      </w:r>
      <w:r>
        <w:rPr>
          <w:rFonts w:hint="eastAsia" w:ascii="宋体" w:hAnsi="宋体"/>
          <w:bCs/>
          <w:color w:val="000000" w:themeColor="text1"/>
          <w:kern w:val="16"/>
          <w:position w:val="6"/>
          <w:sz w:val="32"/>
          <w:szCs w:val="32"/>
          <w:highlight w:val="none"/>
          <w14:textFill>
            <w14:solidFill>
              <w14:schemeClr w14:val="tx1"/>
            </w14:solidFill>
          </w14:textFill>
        </w:rPr>
        <w:t>一、总    则</w:t>
      </w:r>
    </w:p>
    <w:p>
      <w:pPr>
        <w:tabs>
          <w:tab w:val="left" w:pos="0"/>
          <w:tab w:val="left" w:pos="720"/>
          <w:tab w:val="left" w:pos="900"/>
        </w:tabs>
        <w:spacing w:line="420" w:lineRule="exact"/>
        <w:ind w:firstLine="470" w:firstLineChars="224"/>
        <w:rPr>
          <w:rFonts w:ascii="宋体" w:hAnsi="宋体"/>
          <w:b/>
          <w:color w:val="000000" w:themeColor="text1"/>
          <w:kern w:val="16"/>
          <w:position w:val="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（一）工程说明</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本工程说明详见投标须知前附表。</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w:t>
      </w:r>
      <w:r>
        <w:rPr>
          <w:rFonts w:ascii="宋体" w:hAnsi="宋体"/>
          <w:color w:val="000000" w:themeColor="text1"/>
          <w:kern w:val="16"/>
          <w:szCs w:val="21"/>
          <w:highlight w:val="none"/>
          <w14:textFill>
            <w14:solidFill>
              <w14:schemeClr w14:val="tx1"/>
            </w14:solidFill>
          </w14:textFill>
        </w:rPr>
        <w:t>投标单位资格要求</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1.1</w:t>
      </w:r>
      <w:r>
        <w:rPr>
          <w:rFonts w:ascii="宋体" w:hAnsi="宋体"/>
          <w:color w:val="000000" w:themeColor="text1"/>
          <w:kern w:val="16"/>
          <w:szCs w:val="21"/>
          <w:highlight w:val="none"/>
          <w14:textFill>
            <w14:solidFill>
              <w14:schemeClr w14:val="tx1"/>
            </w14:solidFill>
          </w14:textFill>
        </w:rPr>
        <w:t>投标人应具备资格：</w:t>
      </w:r>
      <w:r>
        <w:rPr>
          <w:rFonts w:hint="eastAsia" w:ascii="宋体" w:hAnsi="宋体"/>
          <w:color w:val="000000" w:themeColor="text1"/>
          <w:kern w:val="16"/>
          <w:szCs w:val="21"/>
          <w:highlight w:val="none"/>
          <w14:textFill>
            <w14:solidFill>
              <w14:schemeClr w14:val="tx1"/>
            </w14:solidFill>
          </w14:textFill>
        </w:rPr>
        <w:t>详见前附表要求。</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1.2</w:t>
      </w:r>
      <w:r>
        <w:rPr>
          <w:rFonts w:ascii="宋体" w:hAnsi="宋体"/>
          <w:color w:val="000000" w:themeColor="text1"/>
          <w:kern w:val="16"/>
          <w:szCs w:val="21"/>
          <w:highlight w:val="none"/>
          <w14:textFill>
            <w14:solidFill>
              <w14:schemeClr w14:val="tx1"/>
            </w14:solidFill>
          </w14:textFill>
        </w:rPr>
        <w:t>项目</w:t>
      </w:r>
      <w:r>
        <w:rPr>
          <w:rFonts w:hint="eastAsia" w:ascii="宋体" w:hAnsi="宋体"/>
          <w:color w:val="000000" w:themeColor="text1"/>
          <w:kern w:val="16"/>
          <w:szCs w:val="21"/>
          <w:highlight w:val="none"/>
          <w14:textFill>
            <w14:solidFill>
              <w14:schemeClr w14:val="tx1"/>
            </w14:solidFill>
          </w14:textFill>
        </w:rPr>
        <w:t>总</w:t>
      </w:r>
      <w:r>
        <w:rPr>
          <w:rFonts w:ascii="宋体" w:hAnsi="宋体"/>
          <w:color w:val="000000" w:themeColor="text1"/>
          <w:kern w:val="16"/>
          <w:szCs w:val="21"/>
          <w:highlight w:val="none"/>
          <w14:textFill>
            <w14:solidFill>
              <w14:schemeClr w14:val="tx1"/>
            </w14:solidFill>
          </w14:textFill>
        </w:rPr>
        <w:t>负责人</w:t>
      </w:r>
      <w:r>
        <w:rPr>
          <w:rFonts w:hint="eastAsia" w:ascii="宋体" w:hAnsi="宋体"/>
          <w:color w:val="000000" w:themeColor="text1"/>
          <w:kern w:val="16"/>
          <w:szCs w:val="21"/>
          <w:highlight w:val="none"/>
          <w14:textFill>
            <w14:solidFill>
              <w14:schemeClr w14:val="tx1"/>
            </w14:solidFill>
          </w14:textFill>
        </w:rPr>
        <w:t>、技术负责人、综合性咨询管理负责人、造价咨询负责人</w:t>
      </w:r>
      <w:r>
        <w:rPr>
          <w:rFonts w:ascii="宋体" w:hAnsi="宋体"/>
          <w:color w:val="000000" w:themeColor="text1"/>
          <w:kern w:val="16"/>
          <w:szCs w:val="21"/>
          <w:highlight w:val="none"/>
          <w14:textFill>
            <w14:solidFill>
              <w14:schemeClr w14:val="tx1"/>
            </w14:solidFill>
          </w14:textFill>
        </w:rPr>
        <w:t>资质等级要求：</w:t>
      </w:r>
      <w:r>
        <w:rPr>
          <w:rFonts w:hint="eastAsia" w:ascii="宋体" w:hAnsi="宋体"/>
          <w:color w:val="000000" w:themeColor="text1"/>
          <w:kern w:val="16"/>
          <w:szCs w:val="21"/>
          <w:highlight w:val="none"/>
          <w14:textFill>
            <w14:solidFill>
              <w14:schemeClr w14:val="tx1"/>
            </w14:solidFill>
          </w14:textFill>
        </w:rPr>
        <w:t>详见前附表要求。</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1.3投标人不得存在下列情形之一，否则其投标作无效处理。</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 xml:space="preserve">.1 </w:t>
      </w:r>
      <w:r>
        <w:rPr>
          <w:rFonts w:hint="eastAsia" w:ascii="宋体" w:hAnsi="宋体"/>
          <w:color w:val="000000" w:themeColor="text1"/>
          <w:kern w:val="16"/>
          <w:szCs w:val="21"/>
          <w:highlight w:val="none"/>
          <w14:textFill>
            <w14:solidFill>
              <w14:schemeClr w14:val="tx1"/>
            </w14:solidFill>
          </w14:textFill>
        </w:rPr>
        <w:t>为招标人不具有独立法人资格的附属机构（单位）；</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w:t>
      </w:r>
      <w:r>
        <w:rPr>
          <w:rFonts w:hint="eastAsia" w:ascii="宋体" w:hAnsi="宋体"/>
          <w:color w:val="000000" w:themeColor="text1"/>
          <w:kern w:val="16"/>
          <w:szCs w:val="21"/>
          <w:highlight w:val="none"/>
          <w14:textFill>
            <w14:solidFill>
              <w14:schemeClr w14:val="tx1"/>
            </w14:solidFill>
          </w14:textFill>
        </w:rPr>
        <w:t>2与本标段的其他投标人相互存在控股、管理关系的；</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w:t>
      </w:r>
      <w:r>
        <w:rPr>
          <w:rFonts w:hint="eastAsia" w:ascii="宋体" w:hAnsi="宋体"/>
          <w:color w:val="000000" w:themeColor="text1"/>
          <w:kern w:val="16"/>
          <w:szCs w:val="21"/>
          <w:highlight w:val="none"/>
          <w14:textFill>
            <w14:solidFill>
              <w14:schemeClr w14:val="tx1"/>
            </w14:solidFill>
          </w14:textFill>
        </w:rPr>
        <w:t>3与本标段的其他投标人具有同一单位负责人的；</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w:t>
      </w:r>
      <w:r>
        <w:rPr>
          <w:rFonts w:hint="eastAsia" w:ascii="宋体" w:hAnsi="宋体"/>
          <w:color w:val="000000" w:themeColor="text1"/>
          <w:kern w:val="16"/>
          <w:szCs w:val="21"/>
          <w:highlight w:val="none"/>
          <w14:textFill>
            <w14:solidFill>
              <w14:schemeClr w14:val="tx1"/>
            </w14:solidFill>
          </w14:textFill>
        </w:rPr>
        <w:t>4被责令停业的；</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w:t>
      </w:r>
      <w:r>
        <w:rPr>
          <w:rFonts w:hint="eastAsia" w:ascii="宋体" w:hAnsi="宋体"/>
          <w:color w:val="000000" w:themeColor="text1"/>
          <w:kern w:val="16"/>
          <w:szCs w:val="21"/>
          <w:highlight w:val="none"/>
          <w14:textFill>
            <w14:solidFill>
              <w14:schemeClr w14:val="tx1"/>
            </w14:solidFill>
          </w14:textFill>
        </w:rPr>
        <w:t>5被暂停或取消投标资格的；</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w:t>
      </w:r>
      <w:r>
        <w:rPr>
          <w:rFonts w:hint="eastAsia" w:ascii="宋体" w:hAnsi="宋体"/>
          <w:color w:val="000000" w:themeColor="text1"/>
          <w:kern w:val="16"/>
          <w:szCs w:val="21"/>
          <w:highlight w:val="none"/>
          <w14:textFill>
            <w14:solidFill>
              <w14:schemeClr w14:val="tx1"/>
            </w14:solidFill>
          </w14:textFill>
        </w:rPr>
        <w:t>6财产被接管或冻结的。</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（三）招标方式</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本工程按照《中华人民共和国招标投标法》及与之相配套的法规、规章及</w:t>
      </w:r>
      <w:r>
        <w:rPr>
          <w:rFonts w:hint="eastAsia" w:ascii="宋体" w:hAnsi="宋体"/>
          <w:bCs/>
          <w:color w:val="000000" w:themeColor="text1"/>
          <w:kern w:val="16"/>
          <w:szCs w:val="21"/>
          <w:highlight w:val="none"/>
          <w:u w:val="single"/>
          <w14:textFill>
            <w14:solidFill>
              <w14:schemeClr w14:val="tx1"/>
            </w14:solidFill>
          </w14:textFill>
        </w:rPr>
        <w:t xml:space="preserve"> </w:t>
      </w:r>
      <w:r>
        <w:rPr>
          <w:rFonts w:hint="eastAsia" w:ascii="宋体" w:hAnsi="宋体"/>
          <w:b/>
          <w:bCs/>
          <w:color w:val="000000" w:themeColor="text1"/>
          <w:kern w:val="16"/>
          <w:szCs w:val="21"/>
          <w:highlight w:val="none"/>
          <w:u w:val="single"/>
          <w14:textFill>
            <w14:solidFill>
              <w14:schemeClr w14:val="tx1"/>
            </w14:solidFill>
          </w14:textFill>
        </w:rPr>
        <w:t xml:space="preserve">/ </w:t>
      </w:r>
      <w:r>
        <w:rPr>
          <w:rFonts w:hint="eastAsia" w:ascii="宋体" w:hAnsi="宋体"/>
          <w:color w:val="000000" w:themeColor="text1"/>
          <w:kern w:val="16"/>
          <w:szCs w:val="21"/>
          <w:highlight w:val="none"/>
          <w14:textFill>
            <w14:solidFill>
              <w14:schemeClr w14:val="tx1"/>
            </w14:solidFill>
          </w14:textFill>
        </w:rPr>
        <w:t>文件，采用</w:t>
      </w:r>
      <w:r>
        <w:rPr>
          <w:rFonts w:hint="eastAsia" w:ascii="宋体" w:hAnsi="宋体"/>
          <w:b/>
          <w:bCs/>
          <w:color w:val="000000" w:themeColor="text1"/>
          <w:kern w:val="16"/>
          <w:szCs w:val="21"/>
          <w:highlight w:val="none"/>
          <w:u w:val="single"/>
          <w14:textFill>
            <w14:solidFill>
              <w14:schemeClr w14:val="tx1"/>
            </w14:solidFill>
          </w14:textFill>
        </w:rPr>
        <w:t>公开</w:t>
      </w:r>
      <w:r>
        <w:rPr>
          <w:rFonts w:hint="eastAsia" w:ascii="宋体" w:hAnsi="宋体"/>
          <w:color w:val="000000" w:themeColor="text1"/>
          <w:kern w:val="16"/>
          <w:szCs w:val="21"/>
          <w:highlight w:val="none"/>
          <w14:textFill>
            <w14:solidFill>
              <w14:schemeClr w14:val="tx1"/>
            </w14:solidFill>
          </w14:textFill>
        </w:rPr>
        <w:t>的方式，择优选定中标人。</w:t>
      </w:r>
    </w:p>
    <w:p>
      <w:pPr>
        <w:tabs>
          <w:tab w:val="left" w:pos="0"/>
          <w:tab w:val="left" w:pos="720"/>
          <w:tab w:val="left" w:pos="90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（四）招标范围及工作任务</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 xml:space="preserve">本工程招标范围详见投标须知前附表 </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（五）投标费用</w:t>
      </w:r>
    </w:p>
    <w:p>
      <w:pPr>
        <w:tabs>
          <w:tab w:val="left" w:pos="0"/>
        </w:tabs>
        <w:spacing w:line="42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投标人应承担其参加招标活动自身所发生的费用。</w:t>
      </w:r>
    </w:p>
    <w:p>
      <w:pPr>
        <w:tabs>
          <w:tab w:val="left" w:pos="0"/>
        </w:tabs>
        <w:spacing w:line="42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本招标文件收取工本费</w:t>
      </w:r>
      <w:r>
        <w:rPr>
          <w:rFonts w:hint="eastAsia" w:ascii="宋体" w:hAnsi="宋体"/>
          <w:color w:val="000000" w:themeColor="text1"/>
          <w:kern w:val="16"/>
          <w:szCs w:val="21"/>
          <w:highlight w:val="none"/>
          <w:u w:val="single"/>
          <w14:textFill>
            <w14:solidFill>
              <w14:schemeClr w14:val="tx1"/>
            </w14:solidFill>
          </w14:textFill>
        </w:rPr>
        <w:t xml:space="preserve"> / </w:t>
      </w:r>
      <w:r>
        <w:rPr>
          <w:rFonts w:hint="eastAsia" w:ascii="宋体" w:hAnsi="宋体"/>
          <w:color w:val="000000" w:themeColor="text1"/>
          <w:kern w:val="16"/>
          <w:szCs w:val="21"/>
          <w:highlight w:val="none"/>
          <w14:textFill>
            <w14:solidFill>
              <w14:schemeClr w14:val="tx1"/>
            </w14:solidFill>
          </w14:textFill>
        </w:rPr>
        <w:t>元/份。</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（六）</w:t>
      </w:r>
      <w:r>
        <w:rPr>
          <w:rFonts w:ascii="宋体" w:hAnsi="宋体"/>
          <w:color w:val="000000" w:themeColor="text1"/>
          <w:kern w:val="16"/>
          <w:szCs w:val="21"/>
          <w:highlight w:val="none"/>
          <w14:textFill>
            <w14:solidFill>
              <w14:schemeClr w14:val="tx1"/>
            </w14:solidFill>
          </w14:textFill>
        </w:rPr>
        <w:t>投标保证金</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1.1投标人应按</w:t>
      </w:r>
      <w:r>
        <w:rPr>
          <w:rFonts w:hint="eastAsia" w:ascii="宋体" w:hAnsi="宋体"/>
          <w:color w:val="000000" w:themeColor="text1"/>
          <w:kern w:val="16"/>
          <w:szCs w:val="21"/>
          <w:highlight w:val="none"/>
          <w14:textFill>
            <w14:solidFill>
              <w14:schemeClr w14:val="tx1"/>
            </w14:solidFill>
          </w14:textFill>
        </w:rPr>
        <w:t>招标公告中</w:t>
      </w:r>
      <w:r>
        <w:rPr>
          <w:rFonts w:ascii="宋体" w:hAnsi="宋体"/>
          <w:color w:val="000000" w:themeColor="text1"/>
          <w:kern w:val="16"/>
          <w:szCs w:val="21"/>
          <w:highlight w:val="none"/>
          <w14:textFill>
            <w14:solidFill>
              <w14:schemeClr w14:val="tx1"/>
            </w14:solidFill>
          </w14:textFill>
        </w:rPr>
        <w:t>规定的金额、形式、时间提交投标保证金，作为其是否响应招标文件的实质性内容。</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1.2 投标保证金形式</w:t>
      </w:r>
      <w:r>
        <w:rPr>
          <w:rFonts w:hint="eastAsia" w:ascii="宋体" w:hAnsi="宋体"/>
          <w:color w:val="000000" w:themeColor="text1"/>
          <w:kern w:val="16"/>
          <w:szCs w:val="21"/>
          <w:highlight w:val="none"/>
          <w14:textFill>
            <w14:solidFill>
              <w14:schemeClr w14:val="tx1"/>
            </w14:solidFill>
          </w14:textFill>
        </w:rPr>
        <w:t>：见招标公告。</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 xml:space="preserve"> 投标保证金的提交</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3</w:t>
      </w: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联合体投标的，投标保证金由联合体牵头人递交。</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4</w:t>
      </w:r>
      <w:r>
        <w:rPr>
          <w:rFonts w:ascii="宋体" w:hAnsi="宋体"/>
          <w:color w:val="000000" w:themeColor="text1"/>
          <w:kern w:val="16"/>
          <w:szCs w:val="21"/>
          <w:highlight w:val="none"/>
          <w14:textFill>
            <w14:solidFill>
              <w14:schemeClr w14:val="tx1"/>
            </w14:solidFill>
          </w14:textFill>
        </w:rPr>
        <w:t>投标保证金的退还时间</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1.4.1中标人的投标保证金将在合同签订后5日内退还。</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1.4.2未中标的投标人的投标保证金在中标通知书发出后5日内予以退还。</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若投标人有下列情况之一，将被没收投标保证金：</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.1投标人未经招标人的同意而放弃投标的；</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.2投标人在</w:t>
      </w:r>
      <w:r>
        <w:rPr>
          <w:rFonts w:hint="eastAsia" w:ascii="宋体" w:hAnsi="宋体"/>
          <w:color w:val="000000" w:themeColor="text1"/>
          <w:kern w:val="16"/>
          <w:szCs w:val="21"/>
          <w:highlight w:val="none"/>
          <w14:textFill>
            <w14:solidFill>
              <w14:schemeClr w14:val="tx1"/>
            </w14:solidFill>
          </w14:textFill>
        </w:rPr>
        <w:t>规定</w:t>
      </w:r>
      <w:r>
        <w:rPr>
          <w:rFonts w:ascii="宋体" w:hAnsi="宋体"/>
          <w:color w:val="000000" w:themeColor="text1"/>
          <w:kern w:val="16"/>
          <w:szCs w:val="21"/>
          <w:highlight w:val="none"/>
          <w14:textFill>
            <w14:solidFill>
              <w14:schemeClr w14:val="tx1"/>
            </w14:solidFill>
          </w14:textFill>
        </w:rPr>
        <w:t>投标有效期内</w:t>
      </w:r>
      <w:r>
        <w:rPr>
          <w:rFonts w:hint="eastAsia" w:ascii="宋体" w:hAnsi="宋体"/>
          <w:color w:val="000000" w:themeColor="text1"/>
          <w:kern w:val="16"/>
          <w:szCs w:val="21"/>
          <w:highlight w:val="none"/>
          <w14:textFill>
            <w14:solidFill>
              <w14:schemeClr w14:val="tx1"/>
            </w14:solidFill>
          </w14:textFill>
        </w:rPr>
        <w:t>撤销或修改其已生效的</w:t>
      </w:r>
      <w:r>
        <w:rPr>
          <w:rFonts w:ascii="宋体" w:hAnsi="宋体"/>
          <w:color w:val="000000" w:themeColor="text1"/>
          <w:kern w:val="16"/>
          <w:szCs w:val="21"/>
          <w:highlight w:val="none"/>
          <w14:textFill>
            <w14:solidFill>
              <w14:schemeClr w14:val="tx1"/>
            </w14:solidFill>
          </w14:textFill>
        </w:rPr>
        <w:t>投标文件；</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.3 中标人未能在规定期限内向招标人提交合同履约担保或与招标人签署本项目合同；</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w:t>
      </w: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.4投标人在投标过程中有串标、弄虚作假等以不正当手段谋取中标的（鉴于投标人的行为已影响中标结果，因此，若发生时除没收投标保证金的同时，原中标无效，投标人并应依法承担相应的法律责任）；</w:t>
      </w:r>
    </w:p>
    <w:p>
      <w:pPr>
        <w:tabs>
          <w:tab w:val="left" w:pos="0"/>
        </w:tabs>
        <w:spacing w:line="420" w:lineRule="exact"/>
        <w:ind w:left="48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1.5.5其他不正当的投标行为</w:t>
      </w:r>
      <w:r>
        <w:rPr>
          <w:rFonts w:ascii="宋体" w:hAnsi="宋体"/>
          <w:color w:val="000000" w:themeColor="text1"/>
          <w:kern w:val="16"/>
          <w:szCs w:val="21"/>
          <w:highlight w:val="none"/>
          <w14:textFill>
            <w14:solidFill>
              <w14:schemeClr w14:val="tx1"/>
            </w14:solidFill>
          </w14:textFill>
        </w:rPr>
        <w:t>；</w:t>
      </w:r>
    </w:p>
    <w:p>
      <w:pPr>
        <w:tabs>
          <w:tab w:val="left" w:pos="0"/>
        </w:tabs>
        <w:spacing w:line="420" w:lineRule="exact"/>
        <w:ind w:left="48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1.5.6企业或项目总负责人或技术负责人或综合性咨询管理负责人或造价咨询负责人有行贿犯罪记录。</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（七）</w:t>
      </w:r>
      <w:r>
        <w:rPr>
          <w:rFonts w:ascii="宋体" w:hAnsi="宋体"/>
          <w:color w:val="000000" w:themeColor="text1"/>
          <w:kern w:val="16"/>
          <w:szCs w:val="21"/>
          <w:highlight w:val="none"/>
          <w14:textFill>
            <w14:solidFill>
              <w14:schemeClr w14:val="tx1"/>
            </w14:solidFill>
          </w14:textFill>
        </w:rPr>
        <w:t>踏勘现场</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1.1投标</w:t>
      </w:r>
      <w:r>
        <w:rPr>
          <w:rFonts w:hint="eastAsia" w:ascii="宋体" w:hAnsi="宋体"/>
          <w:color w:val="000000" w:themeColor="text1"/>
          <w:kern w:val="16"/>
          <w:szCs w:val="21"/>
          <w:highlight w:val="none"/>
          <w14:textFill>
            <w14:solidFill>
              <w14:schemeClr w14:val="tx1"/>
            </w14:solidFill>
          </w14:textFill>
        </w:rPr>
        <w:t>人</w:t>
      </w:r>
      <w:r>
        <w:rPr>
          <w:rFonts w:ascii="宋体" w:hAnsi="宋体"/>
          <w:color w:val="000000" w:themeColor="text1"/>
          <w:kern w:val="16"/>
          <w:szCs w:val="21"/>
          <w:highlight w:val="none"/>
          <w14:textFill>
            <w14:solidFill>
              <w14:schemeClr w14:val="tx1"/>
            </w14:solidFill>
          </w14:textFill>
        </w:rPr>
        <w:t>如有需要应自行组织踏勘现场，招标人不另行组织。</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1.2投标人踏勘现场所产生的费用自理。</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1.3招标人在踏勘现场中介绍的工程场地和相关的周边环境情况，供投标人在编制投标文件时参考，招标人不对投标人据此作出的任何判断和决策负责。</w:t>
      </w:r>
    </w:p>
    <w:p>
      <w:pPr>
        <w:tabs>
          <w:tab w:val="left" w:pos="0"/>
        </w:tabs>
        <w:spacing w:line="42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1.4经招标人允许，投标人可为踏勘目的进入招标人的项目现场， 但投标人不得因此使招标人承担有关的责任和蒙受损失。除招标人原因外，投标人应自行承担踏勘现场的责任和风险。</w:t>
      </w:r>
    </w:p>
    <w:p>
      <w:pPr>
        <w:tabs>
          <w:tab w:val="left" w:pos="0"/>
        </w:tabs>
        <w:spacing w:line="420" w:lineRule="exact"/>
        <w:ind w:firstLine="540" w:firstLineChars="225"/>
        <w:rPr>
          <w:rFonts w:ascii="宋体" w:hAnsi="宋体"/>
          <w:color w:val="000000" w:themeColor="text1"/>
          <w:kern w:val="16"/>
          <w:sz w:val="24"/>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二、招标文件</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（一）招标文件的组成</w:t>
      </w:r>
    </w:p>
    <w:p>
      <w:pPr>
        <w:tabs>
          <w:tab w:val="left" w:pos="0"/>
        </w:tabs>
        <w:spacing w:line="40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招标文件由投标须知前附表、投标须知、合同主要协议条款、技术规范及设计文件、投标文件（附表件）等。</w:t>
      </w:r>
    </w:p>
    <w:p>
      <w:pPr>
        <w:tabs>
          <w:tab w:val="left" w:pos="0"/>
        </w:tabs>
        <w:spacing w:line="40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投标人应认真阅读招标文件中所有事项、格式、条款和规范要求等，若投标人的投标文件没有对招标文件做出实质性响应，该投标将被拒绝。</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w:t>
      </w:r>
      <w:r>
        <w:rPr>
          <w:rFonts w:ascii="宋体" w:hAnsi="宋体"/>
          <w:color w:val="000000" w:themeColor="text1"/>
          <w:kern w:val="16"/>
          <w:szCs w:val="21"/>
          <w:highlight w:val="none"/>
          <w14:textFill>
            <w14:solidFill>
              <w14:schemeClr w14:val="tx1"/>
            </w14:solidFill>
          </w14:textFill>
        </w:rPr>
        <w:t>招标文件的修改</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1.1</w:t>
      </w:r>
      <w:r>
        <w:rPr>
          <w:rFonts w:ascii="宋体" w:hAnsi="宋体"/>
          <w:color w:val="000000" w:themeColor="text1"/>
          <w:kern w:val="16"/>
          <w:szCs w:val="21"/>
          <w:highlight w:val="none"/>
          <w14:textFill>
            <w14:solidFill>
              <w14:schemeClr w14:val="tx1"/>
            </w14:solidFill>
          </w14:textFill>
        </w:rPr>
        <w:t>在投标截止日期</w:t>
      </w:r>
      <w:r>
        <w:rPr>
          <w:rFonts w:hint="eastAsia" w:ascii="宋体" w:hAnsi="宋体"/>
          <w:color w:val="000000" w:themeColor="text1"/>
          <w:kern w:val="16"/>
          <w:szCs w:val="21"/>
          <w:highlight w:val="none"/>
          <w14:textFill>
            <w14:solidFill>
              <w14:schemeClr w14:val="tx1"/>
            </w14:solidFill>
          </w14:textFill>
        </w:rPr>
        <w:t>15日</w:t>
      </w:r>
      <w:r>
        <w:rPr>
          <w:rFonts w:ascii="宋体" w:hAnsi="宋体"/>
          <w:color w:val="000000" w:themeColor="text1"/>
          <w:kern w:val="16"/>
          <w:szCs w:val="21"/>
          <w:highlight w:val="none"/>
          <w14:textFill>
            <w14:solidFill>
              <w14:schemeClr w14:val="tx1"/>
            </w14:solidFill>
          </w14:textFill>
        </w:rPr>
        <w:t>前，招标（代理）单位可能会以补充招标文件的方式修改招标文件，作为招标文件的组成部分，对投标单位起约束作用</w:t>
      </w:r>
      <w:r>
        <w:rPr>
          <w:rFonts w:hint="eastAsia" w:ascii="宋体" w:hAnsi="宋体"/>
          <w:color w:val="000000" w:themeColor="text1"/>
          <w:kern w:val="16"/>
          <w:szCs w:val="21"/>
          <w:highlight w:val="none"/>
          <w14:textFill>
            <w14:solidFill>
              <w14:schemeClr w14:val="tx1"/>
            </w14:solidFill>
          </w14:textFill>
        </w:rPr>
        <w:t>。</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1.2</w:t>
      </w:r>
      <w:r>
        <w:rPr>
          <w:rFonts w:ascii="宋体" w:hAnsi="宋体"/>
          <w:color w:val="000000" w:themeColor="text1"/>
          <w:kern w:val="16"/>
          <w:szCs w:val="21"/>
          <w:highlight w:val="none"/>
          <w14:textFill>
            <w14:solidFill>
              <w14:schemeClr w14:val="tx1"/>
            </w14:solidFill>
          </w14:textFill>
        </w:rPr>
        <w:t>当发出招标补充文件的时间距离投标截止时间过短时，招标人将适当延迟投标截止时间，以确保投标人在编制投标文件时有充足的时间对招标补充文件的内容进行理解。具体时间在招标补充文件中予以明确。</w:t>
      </w:r>
    </w:p>
    <w:p>
      <w:pPr>
        <w:tabs>
          <w:tab w:val="left" w:pos="0"/>
        </w:tabs>
        <w:spacing w:line="40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（三）招标文件的解释</w:t>
      </w:r>
    </w:p>
    <w:p>
      <w:pPr>
        <w:tabs>
          <w:tab w:val="left" w:pos="0"/>
        </w:tabs>
        <w:spacing w:line="40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在获得招标文件后，若有问题需要澄清，应于收到招标文件后按投标须知前附表载明日期，以书面形式(包括书面文件、电传、传真、电报等)向招标人提出，招标人将以书面形式或招标答疑会的方式予以解答，答复将送给所有获得招标文件的投标人。</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三、投标报价</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（一）投标报价</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1、本工程报价以投标须知前附表载明的方式进行编制。</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2、本工程报价取费参照《浙江省物价局关于进一步完善工程造价咨询服务收费的通知（浙价服〔2009〕84号）》文件、《招标代理服务收费管理暂行办法》（计价格[2002]1980号）、发改价格〔2011〕534号等收费标准。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3、投标报价书写规范说明：</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①投标文件中报价（包括</w:t>
      </w:r>
      <w:r>
        <w:rPr>
          <w:rFonts w:hint="eastAsia" w:ascii="宋体" w:hAnsi="宋体" w:cs="宋体"/>
          <w:iCs/>
          <w:color w:val="000000" w:themeColor="text1"/>
          <w:kern w:val="0"/>
          <w:highlight w:val="none"/>
          <w14:textFill>
            <w14:solidFill>
              <w14:schemeClr w14:val="tx1"/>
            </w14:solidFill>
          </w14:textFill>
        </w:rPr>
        <w:t>浮动率</w:t>
      </w:r>
      <w:r>
        <w:rPr>
          <w:rFonts w:hint="eastAsia" w:ascii="宋体" w:hAnsi="宋体"/>
          <w:color w:val="000000" w:themeColor="text1"/>
          <w:kern w:val="16"/>
          <w:szCs w:val="21"/>
          <w:highlight w:val="none"/>
          <w14:textFill>
            <w14:solidFill>
              <w14:schemeClr w14:val="tx1"/>
            </w14:solidFill>
          </w14:textFill>
        </w:rPr>
        <w:t>，下同）填写要求为大写的，应用中文（中文大、小写均可）书写，数值表述清晰即可，但不得出现除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②投标文件中对同一内容有多处报价的，出现报价不一致时，按以下办法处理：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（1）大写与小写不一致的，以大写为准（大写或者小写书写不规范的，或未填写的按第“①”条处理）；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（2）有二个及以上大写报价且数值大小有不一致的，按废标处理；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（3）无大写报价的，但有二个以上小写报价且数值大小有不一致的，按废标处理。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（二）投标货币</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投标报价中涉及的货币币种全部采用人民币表示。</w:t>
      </w:r>
    </w:p>
    <w:p>
      <w:pPr>
        <w:tabs>
          <w:tab w:val="left" w:pos="0"/>
        </w:tabs>
        <w:spacing w:line="420" w:lineRule="exact"/>
        <w:rPr>
          <w:rFonts w:ascii="宋体" w:hAnsi="宋体"/>
          <w:color w:val="000000" w:themeColor="text1"/>
          <w:kern w:val="16"/>
          <w:sz w:val="44"/>
          <w:szCs w:val="44"/>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四、投标文件的编制</w:t>
      </w:r>
    </w:p>
    <w:p>
      <w:pPr>
        <w:tabs>
          <w:tab w:val="left" w:pos="0"/>
        </w:tabs>
        <w:spacing w:line="400" w:lineRule="exact"/>
        <w:ind w:firstLine="420" w:firstLineChars="200"/>
        <w:rPr>
          <w:rFonts w:ascii="宋体" w:hAnsi="宋体"/>
          <w:b/>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（一）投标文件的组成</w:t>
      </w:r>
    </w:p>
    <w:p>
      <w:pPr>
        <w:tabs>
          <w:tab w:val="left" w:pos="0"/>
        </w:tabs>
        <w:spacing w:line="400" w:lineRule="exact"/>
        <w:ind w:firstLine="420"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投标单位的投标文件应包括资格审查资料、技术标和商务标。</w:t>
      </w:r>
      <w:r>
        <w:rPr>
          <w:rFonts w:hint="eastAsia" w:ascii="宋体" w:hAnsi="宋体"/>
          <w:b/>
          <w:bCs/>
          <w:color w:val="000000" w:themeColor="text1"/>
          <w:kern w:val="16"/>
          <w:szCs w:val="21"/>
          <w:highlight w:val="none"/>
          <w14:textFill>
            <w14:solidFill>
              <w14:schemeClr w14:val="tx1"/>
            </w14:solidFill>
          </w14:textFill>
        </w:rPr>
        <w:t>（联合体投标的，第五章附表件格式中，除有特殊说明外，其余表格只需联合体牵头人签字盖章即可）</w:t>
      </w:r>
    </w:p>
    <w:p>
      <w:pPr>
        <w:tabs>
          <w:tab w:val="left" w:pos="0"/>
        </w:tabs>
        <w:spacing w:line="400" w:lineRule="exact"/>
        <w:ind w:firstLine="422" w:firstLineChars="200"/>
        <w:rPr>
          <w:rFonts w:ascii="宋体" w:hAnsi="宋体"/>
          <w:b/>
          <w:color w:val="000000" w:themeColor="text1"/>
          <w:kern w:val="16"/>
          <w:szCs w:val="21"/>
          <w:highlight w:val="none"/>
          <w14:textFill>
            <w14:solidFill>
              <w14:schemeClr w14:val="tx1"/>
            </w14:solidFill>
          </w14:textFill>
        </w:rPr>
      </w:pPr>
      <w:r>
        <w:rPr>
          <w:rFonts w:hint="eastAsia" w:ascii="宋体" w:hAnsi="宋体"/>
          <w:b/>
          <w:color w:val="000000" w:themeColor="text1"/>
          <w:kern w:val="16"/>
          <w:szCs w:val="21"/>
          <w:highlight w:val="none"/>
          <w14:textFill>
            <w14:solidFill>
              <w14:schemeClr w14:val="tx1"/>
            </w14:solidFill>
          </w14:textFill>
        </w:rPr>
        <w:t>1、资格审查文件</w:t>
      </w:r>
      <w:r>
        <w:rPr>
          <w:rFonts w:ascii="宋体" w:hAnsi="宋体"/>
          <w:b/>
          <w:color w:val="000000" w:themeColor="text1"/>
          <w:kern w:val="16"/>
          <w:szCs w:val="21"/>
          <w:highlight w:val="none"/>
          <w14:textFill>
            <w14:solidFill>
              <w14:schemeClr w14:val="tx1"/>
            </w14:solidFill>
          </w14:textFill>
        </w:rPr>
        <w:t>包括下列内容</w:t>
      </w:r>
      <w:r>
        <w:rPr>
          <w:rFonts w:hint="eastAsia" w:ascii="宋体" w:hAnsi="宋体"/>
          <w:b/>
          <w:color w:val="000000" w:themeColor="text1"/>
          <w:kern w:val="16"/>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（1）封面（</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2</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法定代表人身份证明书</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3</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投标文件签署授权委托书（如有，详见第五章投标文件格式）；</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4</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承诺书</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5</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联合体投标协议书</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如有，详见第五章投标文件格式</w:t>
      </w:r>
      <w:r>
        <w:rPr>
          <w:rFonts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6</w:t>
      </w:r>
      <w:r>
        <w:rPr>
          <w:rFonts w:ascii="宋体" w:hAnsi="宋体" w:cs="Arial"/>
          <w:color w:val="000000" w:themeColor="text1"/>
          <w:szCs w:val="21"/>
          <w:highlight w:val="none"/>
          <w14:textFill>
            <w14:solidFill>
              <w14:schemeClr w14:val="tx1"/>
            </w14:solidFill>
          </w14:textFill>
        </w:rPr>
        <w:t>）投标人基本情况表（</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7</w:t>
      </w:r>
      <w:r>
        <w:rPr>
          <w:rFonts w:ascii="宋体" w:hAnsi="宋体" w:cs="Arial"/>
          <w:color w:val="000000" w:themeColor="text1"/>
          <w:szCs w:val="21"/>
          <w:highlight w:val="none"/>
          <w14:textFill>
            <w14:solidFill>
              <w14:schemeClr w14:val="tx1"/>
            </w14:solidFill>
          </w14:textFill>
        </w:rPr>
        <w:t>）企业营业执照</w:t>
      </w:r>
      <w:r>
        <w:rPr>
          <w:rFonts w:hint="eastAsia" w:ascii="宋体" w:hAnsi="宋体" w:cs="Arial"/>
          <w:color w:val="000000" w:themeColor="text1"/>
          <w:szCs w:val="21"/>
          <w:highlight w:val="none"/>
          <w14:textFill>
            <w14:solidFill>
              <w14:schemeClr w14:val="tx1"/>
            </w14:solidFill>
          </w14:textFill>
        </w:rPr>
        <w:t>复印件；</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8</w:t>
      </w:r>
      <w:r>
        <w:rPr>
          <w:rFonts w:ascii="宋体" w:hAnsi="宋体" w:cs="Arial"/>
          <w:color w:val="000000" w:themeColor="text1"/>
          <w:szCs w:val="21"/>
          <w:highlight w:val="none"/>
          <w14:textFill>
            <w14:solidFill>
              <w14:schemeClr w14:val="tx1"/>
            </w14:solidFill>
          </w14:textFill>
        </w:rPr>
        <w:t>）资质证书</w:t>
      </w:r>
      <w:r>
        <w:rPr>
          <w:rFonts w:hint="eastAsia" w:ascii="宋体" w:hAnsi="宋体" w:cs="Arial"/>
          <w:color w:val="000000" w:themeColor="text1"/>
          <w:szCs w:val="21"/>
          <w:highlight w:val="none"/>
          <w14:textFill>
            <w14:solidFill>
              <w14:schemeClr w14:val="tx1"/>
            </w14:solidFill>
          </w14:textFill>
        </w:rPr>
        <w:t>复印件</w:t>
      </w:r>
      <w:r>
        <w:rPr>
          <w:rFonts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9</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拟投入本项目的项目总负责人简历表</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（10）拟投入本项目的技术负责人简历表（详见第五章投标文件格式）</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11</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拟投入本项目的综合性咨询管理负责人简历表</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（12）拟投入本项目的造价咨询负责人简历表</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详见第五章投标文件格式</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w:t>
      </w:r>
    </w:p>
    <w:p>
      <w:pPr>
        <w:tabs>
          <w:tab w:val="left" w:pos="0"/>
        </w:tabs>
        <w:spacing w:line="400" w:lineRule="exact"/>
        <w:ind w:firstLine="540"/>
        <w:rPr>
          <w:rFonts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lang w:val="zh-CN"/>
          <w14:textFill>
            <w14:solidFill>
              <w14:schemeClr w14:val="tx1"/>
            </w14:solidFill>
          </w14:textFill>
        </w:rPr>
        <w:t>）浙江省外企业须经浙江省住建厅备案的证明材料复印件（浙江省内企业不作要求）（联合体投标的，具备</w:t>
      </w:r>
      <w:r>
        <w:rPr>
          <w:rFonts w:hint="eastAsia" w:ascii="宋体" w:hAnsi="宋体"/>
          <w:bCs/>
          <w:color w:val="000000" w:themeColor="text1"/>
          <w:szCs w:val="21"/>
          <w:highlight w:val="none"/>
          <w14:textFill>
            <w14:solidFill>
              <w14:schemeClr w14:val="tx1"/>
            </w14:solidFill>
          </w14:textFill>
        </w:rPr>
        <w:t>资质要求的</w:t>
      </w:r>
      <w:r>
        <w:rPr>
          <w:rFonts w:hint="eastAsia" w:ascii="宋体" w:hAnsi="宋体"/>
          <w:bCs/>
          <w:color w:val="000000" w:themeColor="text1"/>
          <w:szCs w:val="21"/>
          <w:highlight w:val="none"/>
          <w:lang w:val="zh-CN"/>
          <w14:textFill>
            <w14:solidFill>
              <w14:schemeClr w14:val="tx1"/>
            </w14:solidFill>
          </w14:textFill>
        </w:rPr>
        <w:t>单位须符合上述要求）；</w:t>
      </w:r>
    </w:p>
    <w:p>
      <w:pPr>
        <w:tabs>
          <w:tab w:val="left" w:pos="0"/>
        </w:tabs>
        <w:spacing w:line="400" w:lineRule="exact"/>
        <w:ind w:firstLine="54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1</w:t>
      </w:r>
      <w:r>
        <w:rPr>
          <w:rFonts w:ascii="宋体" w:hAnsi="宋体" w:cs="Arial"/>
          <w:color w:val="000000" w:themeColor="text1"/>
          <w:szCs w:val="21"/>
          <w:highlight w:val="none"/>
          <w14:textFill>
            <w14:solidFill>
              <w14:schemeClr w14:val="tx1"/>
            </w14:solidFill>
          </w14:textFill>
        </w:rPr>
        <w:t>4）</w:t>
      </w:r>
      <w:r>
        <w:rPr>
          <w:rFonts w:hint="eastAsia" w:ascii="宋体" w:hAnsi="宋体" w:cs="Arial"/>
          <w:color w:val="000000" w:themeColor="text1"/>
          <w:szCs w:val="21"/>
          <w:highlight w:val="none"/>
          <w14:textFill>
            <w14:solidFill>
              <w14:schemeClr w14:val="tx1"/>
            </w14:solidFill>
          </w14:textFill>
        </w:rPr>
        <w:t>拟派项目总负责人、技术负责人、综合性咨询管理负责人、造价咨询负责人须为投标企业在职职工</w:t>
      </w:r>
      <w:r>
        <w:rPr>
          <w:rFonts w:hint="eastAsia" w:ascii="宋体" w:hAnsi="宋体" w:cs="宋体"/>
          <w:color w:val="000000" w:themeColor="text1"/>
          <w:kern w:val="0"/>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不包括离退休返聘人员），须提供缴费期限包含2022年12月至2023年2月的投标人所属社保机构养老保险交纳清单或证明为准（缴费单位和投标单位名称必须一致，并加盖社保缴费证明专用章或电子专用章），非独立法人的分公司社保证明有效。若为事业编制的，以提供缴费期限包含2022年12月至2023年2月由人事代理中心出具的社保证明（需加盖人事代理中心证明专用章）；</w:t>
      </w:r>
    </w:p>
    <w:p>
      <w:pPr>
        <w:tabs>
          <w:tab w:val="left" w:pos="0"/>
        </w:tabs>
        <w:spacing w:line="400" w:lineRule="exact"/>
        <w:ind w:firstLine="540"/>
        <w:rPr>
          <w:rFonts w:ascii="宋体" w:hAnsi="宋体" w:cs="Arial"/>
          <w:b/>
          <w:bCs/>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1</w:t>
      </w:r>
      <w:r>
        <w:rPr>
          <w:rFonts w:ascii="宋体" w:hAnsi="宋体" w:cs="Arial"/>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投标人、项目总负责人、技术负责人、综合性咨询管理负责人、造价咨询负责人近5年无行贿犯罪记录，格式自拟；</w:t>
      </w:r>
      <w:r>
        <w:rPr>
          <w:rFonts w:hint="eastAsia" w:ascii="宋体" w:hAnsi="宋体" w:cs="宋体"/>
          <w:b/>
          <w:kern w:val="0"/>
          <w:highlight w:val="none"/>
          <w:lang w:val="zh-CN"/>
        </w:rPr>
        <w:t>（联合体投标的则无行贿犯罪记录承诺书联合体各方均需盖章）</w:t>
      </w:r>
    </w:p>
    <w:p>
      <w:pPr>
        <w:tabs>
          <w:tab w:val="left" w:pos="0"/>
        </w:tabs>
        <w:spacing w:line="400" w:lineRule="exact"/>
        <w:ind w:firstLine="540"/>
        <w:rPr>
          <w:rFonts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（16）其他资料：招标公告中资质要求业绩证明材料：</w:t>
      </w:r>
      <w:r>
        <w:rPr>
          <w:rFonts w:hint="eastAsia" w:ascii="宋体" w:hAnsi="宋体" w:cs="仿宋_GB2312"/>
          <w:bCs/>
          <w:color w:val="000000" w:themeColor="text1"/>
          <w:kern w:val="16"/>
          <w:szCs w:val="21"/>
          <w:highlight w:val="none"/>
          <w:u w:val="single"/>
          <w14:textFill>
            <w14:solidFill>
              <w14:schemeClr w14:val="tx1"/>
            </w14:solidFill>
          </w14:textFill>
        </w:rPr>
        <w:t>须提供中标通知书、合同原件和竣工（或完工）验收报告（或记录）的复印件加盖投标单位公章。如上述材料中未能体现业绩项目规模、类型的，则还须提供项目所在地行业主管部门或业主单位出具的证明复印件（需加盖提供单位公章）</w:t>
      </w:r>
      <w:r>
        <w:rPr>
          <w:rFonts w:hint="eastAsia" w:ascii="宋体" w:hAnsi="宋体" w:cs="Arial"/>
          <w:b/>
          <w:bCs/>
          <w:color w:val="000000" w:themeColor="text1"/>
          <w:szCs w:val="21"/>
          <w:highlight w:val="none"/>
          <w14:textFill>
            <w14:solidFill>
              <w14:schemeClr w14:val="tx1"/>
            </w14:solidFill>
          </w14:textFill>
        </w:rPr>
        <w:t>。</w:t>
      </w:r>
    </w:p>
    <w:p>
      <w:pPr>
        <w:tabs>
          <w:tab w:val="left" w:pos="0"/>
        </w:tabs>
        <w:spacing w:line="400" w:lineRule="exact"/>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不能提供资格审查资料的任何一项或不符合资格审查要求的投标人为资格审查不合格。</w:t>
      </w:r>
    </w:p>
    <w:p>
      <w:pPr>
        <w:tabs>
          <w:tab w:val="left" w:pos="0"/>
        </w:tabs>
        <w:spacing w:line="400" w:lineRule="exact"/>
        <w:ind w:firstLine="422" w:firstLineChars="200"/>
        <w:rPr>
          <w:rFonts w:ascii="Arial" w:hAnsi="宋体" w:cs="Arial"/>
          <w:b/>
          <w:bCs/>
          <w:color w:val="000000" w:themeColor="text1"/>
          <w:szCs w:val="21"/>
          <w:highlight w:val="none"/>
          <w14:textFill>
            <w14:solidFill>
              <w14:schemeClr w14:val="tx1"/>
            </w14:solidFill>
          </w14:textFill>
        </w:rPr>
      </w:pPr>
      <w:r>
        <w:rPr>
          <w:rFonts w:hint="eastAsia" w:ascii="Arial" w:hAnsi="宋体" w:cs="Arial"/>
          <w:b/>
          <w:bCs/>
          <w:color w:val="000000" w:themeColor="text1"/>
          <w:szCs w:val="21"/>
          <w:highlight w:val="none"/>
          <w14:textFill>
            <w14:solidFill>
              <w14:schemeClr w14:val="tx1"/>
            </w14:solidFill>
          </w14:textFill>
        </w:rPr>
        <w:t>2、技术标包括但不限于下列内容：</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（1）封面</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详见第五章投标文件格式</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2</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拟投入本项目人员情况及进场时间一览表</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详见第五章投标文件格式</w:t>
      </w:r>
      <w:r>
        <w:rPr>
          <w:rFonts w:ascii="宋体" w:hAnsi="宋体"/>
          <w:b/>
          <w:bCs/>
          <w:color w:val="000000" w:themeColor="text1"/>
          <w:kern w:val="16"/>
          <w:szCs w:val="21"/>
          <w:highlight w:val="none"/>
          <w14:textFill>
            <w14:solidFill>
              <w14:schemeClr w14:val="tx1"/>
            </w14:solidFill>
          </w14:textFill>
        </w:rPr>
        <w:t>）；</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3</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投标人工程业绩表</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详见第五章投标文件格式</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w:t>
      </w:r>
    </w:p>
    <w:p>
      <w:pPr>
        <w:tabs>
          <w:tab w:val="left" w:pos="0"/>
        </w:tabs>
        <w:spacing w:line="400" w:lineRule="exact"/>
        <w:ind w:firstLine="422" w:firstLineChars="200"/>
        <w:rPr>
          <w:rFonts w:ascii="宋体" w:hAnsi="宋体"/>
          <w:b/>
          <w:bCs/>
          <w:kern w:val="16"/>
          <w:szCs w:val="21"/>
          <w:highlight w:val="none"/>
        </w:rPr>
      </w:pPr>
      <w:r>
        <w:rPr>
          <w:rFonts w:ascii="宋体" w:hAnsi="宋体"/>
          <w:b/>
          <w:bCs/>
          <w:kern w:val="16"/>
          <w:szCs w:val="21"/>
          <w:highlight w:val="none"/>
        </w:rPr>
        <w:t>（</w:t>
      </w:r>
      <w:r>
        <w:rPr>
          <w:rFonts w:hint="eastAsia" w:ascii="宋体" w:hAnsi="宋体"/>
          <w:b/>
          <w:bCs/>
          <w:kern w:val="16"/>
          <w:szCs w:val="21"/>
          <w:highlight w:val="none"/>
        </w:rPr>
        <w:t>4</w:t>
      </w:r>
      <w:r>
        <w:rPr>
          <w:rFonts w:ascii="宋体" w:hAnsi="宋体"/>
          <w:b/>
          <w:bCs/>
          <w:kern w:val="16"/>
          <w:szCs w:val="21"/>
          <w:highlight w:val="none"/>
        </w:rPr>
        <w:t>）</w:t>
      </w:r>
      <w:r>
        <w:rPr>
          <w:rFonts w:hint="eastAsia" w:ascii="宋体" w:hAnsi="宋体"/>
          <w:b/>
          <w:bCs/>
          <w:kern w:val="16"/>
          <w:szCs w:val="21"/>
          <w:highlight w:val="none"/>
        </w:rPr>
        <w:t>项目总负责人/技术负责人工程业绩表（详见第五章投标文件格式）；</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（5）全过程工程咨询服务总纲（方案）；</w:t>
      </w:r>
    </w:p>
    <w:p>
      <w:pPr>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（6）</w:t>
      </w:r>
      <w:r>
        <w:rPr>
          <w:rFonts w:hAnsi="宋体"/>
          <w:b/>
          <w:bCs/>
          <w:snapToGrid w:val="0"/>
          <w:color w:val="000000" w:themeColor="text1"/>
          <w:kern w:val="0"/>
          <w:szCs w:val="21"/>
          <w:highlight w:val="none"/>
          <w14:textFill>
            <w14:solidFill>
              <w14:schemeClr w14:val="tx1"/>
            </w14:solidFill>
          </w14:textFill>
        </w:rPr>
        <w:t>项目管理工作方案</w:t>
      </w:r>
      <w:r>
        <w:rPr>
          <w:rFonts w:hint="eastAsia" w:ascii="宋体" w:hAnsi="宋体"/>
          <w:b/>
          <w:bCs/>
          <w:color w:val="000000" w:themeColor="text1"/>
          <w:kern w:val="16"/>
          <w:szCs w:val="21"/>
          <w:highlight w:val="none"/>
          <w14:textFill>
            <w14:solidFill>
              <w14:schemeClr w14:val="tx1"/>
            </w14:solidFill>
          </w14:textFill>
        </w:rPr>
        <w:t>；</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（7）造价咨询服务方案；</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cs="宋体"/>
          <w:b/>
          <w:bCs/>
          <w:iCs/>
          <w:color w:val="000000" w:themeColor="text1"/>
          <w:kern w:val="0"/>
          <w:highlight w:val="none"/>
          <w14:textFill>
            <w14:solidFill>
              <w14:schemeClr w14:val="tx1"/>
            </w14:solidFill>
          </w14:textFill>
        </w:rPr>
        <w:t>（8）招标代理</w:t>
      </w:r>
      <w:r>
        <w:rPr>
          <w:rFonts w:hint="eastAsia" w:ascii="宋体" w:hAnsi="宋体"/>
          <w:b/>
          <w:bCs/>
          <w:color w:val="000000" w:themeColor="text1"/>
          <w:kern w:val="16"/>
          <w:szCs w:val="21"/>
          <w:highlight w:val="none"/>
          <w14:textFill>
            <w14:solidFill>
              <w14:schemeClr w14:val="tx1"/>
            </w14:solidFill>
          </w14:textFill>
        </w:rPr>
        <w:t>服务方案；</w:t>
      </w:r>
    </w:p>
    <w:p>
      <w:pPr>
        <w:pStyle w:val="8"/>
        <w:ind w:firstLine="422"/>
        <w:rPr>
          <w:b/>
          <w:bCs/>
          <w:snapToGrid w:val="0"/>
          <w:color w:val="000000" w:themeColor="text1"/>
          <w:sz w:val="22"/>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（9）</w:t>
      </w:r>
      <w:r>
        <w:rPr>
          <w:b/>
          <w:bCs/>
          <w:snapToGrid w:val="0"/>
          <w:color w:val="000000" w:themeColor="text1"/>
          <w:sz w:val="22"/>
          <w:highlight w:val="none"/>
          <w14:textFill>
            <w14:solidFill>
              <w14:schemeClr w14:val="tx1"/>
            </w14:solidFill>
          </w14:textFill>
        </w:rPr>
        <w:t>水土保持工作方案</w:t>
      </w:r>
      <w:r>
        <w:rPr>
          <w:rFonts w:hint="eastAsia"/>
          <w:b/>
          <w:bCs/>
          <w:snapToGrid w:val="0"/>
          <w:color w:val="000000" w:themeColor="text1"/>
          <w:sz w:val="22"/>
          <w:highlight w:val="none"/>
          <w14:textFill>
            <w14:solidFill>
              <w14:schemeClr w14:val="tx1"/>
            </w14:solidFill>
          </w14:textFill>
        </w:rPr>
        <w:t>；</w:t>
      </w:r>
    </w:p>
    <w:p>
      <w:pPr>
        <w:pStyle w:val="8"/>
        <w:ind w:firstLine="442"/>
        <w:rPr>
          <w:b/>
          <w:bCs/>
          <w:snapToGrid w:val="0"/>
          <w:color w:val="000000" w:themeColor="text1"/>
          <w:sz w:val="22"/>
          <w:highlight w:val="none"/>
          <w14:textFill>
            <w14:solidFill>
              <w14:schemeClr w14:val="tx1"/>
            </w14:solidFill>
          </w14:textFill>
        </w:rPr>
      </w:pPr>
      <w:r>
        <w:rPr>
          <w:rFonts w:hint="eastAsia"/>
          <w:b/>
          <w:bCs/>
          <w:snapToGrid w:val="0"/>
          <w:color w:val="000000" w:themeColor="text1"/>
          <w:sz w:val="22"/>
          <w:highlight w:val="none"/>
          <w14:textFill>
            <w14:solidFill>
              <w14:schemeClr w14:val="tx1"/>
            </w14:solidFill>
          </w14:textFill>
        </w:rPr>
        <w:t>（10）</w:t>
      </w:r>
      <w:r>
        <w:rPr>
          <w:b/>
          <w:bCs/>
          <w:snapToGrid w:val="0"/>
          <w:color w:val="000000" w:themeColor="text1"/>
          <w:sz w:val="22"/>
          <w:highlight w:val="none"/>
          <w14:textFill>
            <w14:solidFill>
              <w14:schemeClr w14:val="tx1"/>
            </w14:solidFill>
          </w14:textFill>
        </w:rPr>
        <w:t>环境保护工作方案</w:t>
      </w:r>
      <w:r>
        <w:rPr>
          <w:rFonts w:hint="eastAsia"/>
          <w:b/>
          <w:bCs/>
          <w:snapToGrid w:val="0"/>
          <w:color w:val="000000" w:themeColor="text1"/>
          <w:sz w:val="22"/>
          <w:highlight w:val="none"/>
          <w14:textFill>
            <w14:solidFill>
              <w14:schemeClr w14:val="tx1"/>
            </w14:solidFill>
          </w14:textFill>
        </w:rPr>
        <w:t>；</w:t>
      </w:r>
    </w:p>
    <w:p>
      <w:pPr>
        <w:pStyle w:val="8"/>
        <w:ind w:firstLine="442"/>
        <w:rPr>
          <w:b/>
          <w:bCs/>
          <w:snapToGrid w:val="0"/>
          <w:color w:val="000000" w:themeColor="text1"/>
          <w:sz w:val="22"/>
          <w:highlight w:val="none"/>
          <w14:textFill>
            <w14:solidFill>
              <w14:schemeClr w14:val="tx1"/>
            </w14:solidFill>
          </w14:textFill>
        </w:rPr>
      </w:pPr>
      <w:r>
        <w:rPr>
          <w:rFonts w:hint="eastAsia"/>
          <w:b/>
          <w:bCs/>
          <w:snapToGrid w:val="0"/>
          <w:color w:val="000000" w:themeColor="text1"/>
          <w:sz w:val="22"/>
          <w:highlight w:val="none"/>
          <w14:textFill>
            <w14:solidFill>
              <w14:schemeClr w14:val="tx1"/>
            </w14:solidFill>
          </w14:textFill>
        </w:rPr>
        <w:t>（11）</w:t>
      </w:r>
      <w:r>
        <w:rPr>
          <w:b/>
          <w:bCs/>
          <w:snapToGrid w:val="0"/>
          <w:color w:val="000000" w:themeColor="text1"/>
          <w:sz w:val="22"/>
          <w:highlight w:val="none"/>
          <w14:textFill>
            <w14:solidFill>
              <w14:schemeClr w14:val="tx1"/>
            </w14:solidFill>
          </w14:textFill>
        </w:rPr>
        <w:t>施工图审查工作方案</w:t>
      </w:r>
      <w:r>
        <w:rPr>
          <w:rFonts w:hint="eastAsia"/>
          <w:b/>
          <w:bCs/>
          <w:snapToGrid w:val="0"/>
          <w:color w:val="000000" w:themeColor="text1"/>
          <w:sz w:val="22"/>
          <w:highlight w:val="none"/>
          <w14:textFill>
            <w14:solidFill>
              <w14:schemeClr w14:val="tx1"/>
            </w14:solidFill>
          </w14:textFill>
        </w:rPr>
        <w:t>；</w:t>
      </w:r>
    </w:p>
    <w:p>
      <w:pPr>
        <w:pStyle w:val="8"/>
        <w:ind w:firstLine="442"/>
        <w:rPr>
          <w:b/>
          <w:bCs/>
          <w:snapToGrid w:val="0"/>
          <w:color w:val="000000" w:themeColor="text1"/>
          <w:sz w:val="22"/>
          <w:highlight w:val="none"/>
          <w14:textFill>
            <w14:solidFill>
              <w14:schemeClr w14:val="tx1"/>
            </w14:solidFill>
          </w14:textFill>
        </w:rPr>
      </w:pPr>
      <w:r>
        <w:rPr>
          <w:rFonts w:hint="eastAsia"/>
          <w:b/>
          <w:bCs/>
          <w:snapToGrid w:val="0"/>
          <w:color w:val="000000" w:themeColor="text1"/>
          <w:sz w:val="22"/>
          <w:highlight w:val="none"/>
          <w14:textFill>
            <w14:solidFill>
              <w14:schemeClr w14:val="tx1"/>
            </w14:solidFill>
          </w14:textFill>
        </w:rPr>
        <w:t>（12）施工期安全监测方案；</w:t>
      </w:r>
    </w:p>
    <w:p>
      <w:pPr>
        <w:pStyle w:val="8"/>
        <w:ind w:firstLine="422"/>
        <w:rPr>
          <w:rFonts w:ascii="宋体" w:hAnsi="宋体"/>
          <w:b/>
          <w:bCs/>
          <w:color w:val="000000" w:themeColor="text1"/>
          <w:kern w:val="16"/>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（13）</w:t>
      </w:r>
      <w:r>
        <w:rPr>
          <w:rFonts w:ascii="宋体" w:hAnsi="宋体" w:cs="Arial"/>
          <w:b/>
          <w:bCs/>
          <w:color w:val="000000" w:themeColor="text1"/>
          <w:szCs w:val="21"/>
          <w:highlight w:val="none"/>
          <w14:textFill>
            <w14:solidFill>
              <w14:schemeClr w14:val="tx1"/>
            </w14:solidFill>
          </w14:textFill>
        </w:rPr>
        <w:t>由投标人根据评标办法中</w:t>
      </w:r>
      <w:r>
        <w:rPr>
          <w:rFonts w:hint="eastAsia" w:ascii="宋体" w:hAnsi="宋体" w:cs="Arial"/>
          <w:b/>
          <w:bCs/>
          <w:color w:val="000000" w:themeColor="text1"/>
          <w:szCs w:val="21"/>
          <w:highlight w:val="none"/>
          <w14:textFill>
            <w14:solidFill>
              <w14:schemeClr w14:val="tx1"/>
            </w14:solidFill>
          </w14:textFill>
        </w:rPr>
        <w:t>技术标</w:t>
      </w:r>
      <w:r>
        <w:rPr>
          <w:rFonts w:ascii="宋体" w:hAnsi="宋体" w:cs="Arial"/>
          <w:b/>
          <w:bCs/>
          <w:color w:val="000000" w:themeColor="text1"/>
          <w:szCs w:val="21"/>
          <w:highlight w:val="none"/>
          <w14:textFill>
            <w14:solidFill>
              <w14:schemeClr w14:val="tx1"/>
            </w14:solidFill>
          </w14:textFill>
        </w:rPr>
        <w:t>评审的有关要求编制，所涉及资料的复印件均需编入</w:t>
      </w:r>
      <w:r>
        <w:rPr>
          <w:rFonts w:hint="eastAsia" w:ascii="宋体" w:hAnsi="宋体" w:cs="Arial"/>
          <w:b/>
          <w:bCs/>
          <w:color w:val="000000" w:themeColor="text1"/>
          <w:szCs w:val="21"/>
          <w:highlight w:val="none"/>
          <w14:textFill>
            <w14:solidFill>
              <w14:schemeClr w14:val="tx1"/>
            </w14:solidFill>
          </w14:textFill>
        </w:rPr>
        <w:t>技术</w:t>
      </w:r>
      <w:r>
        <w:rPr>
          <w:rFonts w:ascii="宋体" w:hAnsi="宋体" w:cs="Arial"/>
          <w:b/>
          <w:bCs/>
          <w:color w:val="000000" w:themeColor="text1"/>
          <w:szCs w:val="21"/>
          <w:highlight w:val="none"/>
          <w14:textFill>
            <w14:solidFill>
              <w14:schemeClr w14:val="tx1"/>
            </w14:solidFill>
          </w14:textFill>
        </w:rPr>
        <w:t>标</w:t>
      </w:r>
      <w:r>
        <w:rPr>
          <w:rFonts w:hint="eastAsia" w:ascii="宋体" w:hAnsi="宋体" w:cs="Arial"/>
          <w:b/>
          <w:bCs/>
          <w:color w:val="000000" w:themeColor="text1"/>
          <w:szCs w:val="21"/>
          <w:highlight w:val="none"/>
          <w14:textFill>
            <w14:solidFill>
              <w14:schemeClr w14:val="tx1"/>
            </w14:solidFill>
          </w14:textFill>
        </w:rPr>
        <w:t>文件</w:t>
      </w:r>
      <w:r>
        <w:rPr>
          <w:rFonts w:ascii="宋体" w:hAnsi="宋体" w:cs="Arial"/>
          <w:b/>
          <w:bCs/>
          <w:color w:val="000000" w:themeColor="text1"/>
          <w:szCs w:val="21"/>
          <w:highlight w:val="none"/>
          <w14:textFill>
            <w14:solidFill>
              <w14:schemeClr w14:val="tx1"/>
            </w14:solidFill>
          </w14:textFill>
        </w:rPr>
        <w:t>中</w:t>
      </w:r>
      <w:r>
        <w:rPr>
          <w:rFonts w:hint="eastAsia" w:ascii="宋体" w:hAnsi="宋体" w:cs="Arial"/>
          <w:b/>
          <w:bCs/>
          <w:color w:val="000000" w:themeColor="text1"/>
          <w:szCs w:val="21"/>
          <w:highlight w:val="none"/>
          <w14:textFill>
            <w14:solidFill>
              <w14:schemeClr w14:val="tx1"/>
            </w14:solidFill>
          </w14:textFill>
        </w:rPr>
        <w:t>。（与评标办法对照）</w:t>
      </w:r>
    </w:p>
    <w:p>
      <w:pPr>
        <w:tabs>
          <w:tab w:val="left" w:pos="0"/>
        </w:tabs>
        <w:spacing w:line="400" w:lineRule="exact"/>
        <w:ind w:firstLine="422" w:firstLineChars="200"/>
        <w:rPr>
          <w:rFonts w:ascii="宋体" w:hAnsi="宋体"/>
          <w:color w:val="000000" w:themeColor="text1"/>
          <w:kern w:val="16"/>
          <w:szCs w:val="21"/>
          <w:highlight w:val="none"/>
          <w14:textFill>
            <w14:solidFill>
              <w14:schemeClr w14:val="tx1"/>
            </w14:solidFill>
          </w14:textFill>
        </w:rPr>
      </w:pPr>
      <w:r>
        <w:rPr>
          <w:rFonts w:hint="eastAsia" w:ascii="Arial" w:hAnsi="宋体" w:cs="Arial"/>
          <w:b/>
          <w:bCs/>
          <w:color w:val="000000" w:themeColor="text1"/>
          <w:szCs w:val="21"/>
          <w:highlight w:val="none"/>
          <w14:textFill>
            <w14:solidFill>
              <w14:schemeClr w14:val="tx1"/>
            </w14:solidFill>
          </w14:textFill>
        </w:rPr>
        <w:t>3、商务标</w:t>
      </w:r>
      <w:r>
        <w:rPr>
          <w:rFonts w:ascii="Arial" w:hAnsi="宋体" w:cs="Arial"/>
          <w:b/>
          <w:bCs/>
          <w:color w:val="000000" w:themeColor="text1"/>
          <w:szCs w:val="21"/>
          <w:highlight w:val="none"/>
          <w14:textFill>
            <w14:solidFill>
              <w14:schemeClr w14:val="tx1"/>
            </w14:solidFill>
          </w14:textFill>
        </w:rPr>
        <w:t>包括下列内容：</w:t>
      </w:r>
    </w:p>
    <w:p>
      <w:pPr>
        <w:tabs>
          <w:tab w:val="left" w:pos="0"/>
        </w:tabs>
        <w:spacing w:line="400" w:lineRule="exact"/>
        <w:ind w:firstLine="422" w:firstLineChars="200"/>
        <w:rPr>
          <w:rFonts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（1）封面（</w:t>
      </w:r>
      <w:r>
        <w:rPr>
          <w:rFonts w:hint="eastAsia" w:ascii="宋体" w:hAnsi="宋体" w:cs="Arial"/>
          <w:b/>
          <w:bCs/>
          <w:color w:val="000000" w:themeColor="text1"/>
          <w:szCs w:val="21"/>
          <w:highlight w:val="none"/>
          <w14:textFill>
            <w14:solidFill>
              <w14:schemeClr w14:val="tx1"/>
            </w14:solidFill>
          </w14:textFill>
        </w:rPr>
        <w:t>详见第五章投标文件格式</w:t>
      </w:r>
      <w:r>
        <w:rPr>
          <w:rFonts w:ascii="宋体" w:hAnsi="宋体" w:cs="Arial"/>
          <w:b/>
          <w:bCs/>
          <w:color w:val="000000" w:themeColor="text1"/>
          <w:szCs w:val="21"/>
          <w:highlight w:val="none"/>
          <w14:textFill>
            <w14:solidFill>
              <w14:schemeClr w14:val="tx1"/>
            </w14:solidFill>
          </w14:textFill>
        </w:rPr>
        <w:t>）；</w:t>
      </w:r>
    </w:p>
    <w:p>
      <w:pPr>
        <w:tabs>
          <w:tab w:val="left" w:pos="0"/>
        </w:tabs>
        <w:spacing w:line="400" w:lineRule="exact"/>
        <w:ind w:firstLine="422" w:firstLineChars="200"/>
        <w:rPr>
          <w:rFonts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w:t>
      </w:r>
      <w:r>
        <w:rPr>
          <w:rFonts w:hint="eastAsia" w:ascii="宋体" w:hAnsi="宋体" w:cs="Arial"/>
          <w:b/>
          <w:bCs/>
          <w:color w:val="000000" w:themeColor="text1"/>
          <w:szCs w:val="21"/>
          <w:highlight w:val="none"/>
          <w14:textFill>
            <w14:solidFill>
              <w14:schemeClr w14:val="tx1"/>
            </w14:solidFill>
          </w14:textFill>
        </w:rPr>
        <w:t>2</w:t>
      </w:r>
      <w:r>
        <w:rPr>
          <w:rFonts w:ascii="宋体" w:hAnsi="宋体" w:cs="Arial"/>
          <w:b/>
          <w:bCs/>
          <w:color w:val="000000" w:themeColor="text1"/>
          <w:szCs w:val="21"/>
          <w:highlight w:val="none"/>
          <w14:textFill>
            <w14:solidFill>
              <w14:schemeClr w14:val="tx1"/>
            </w14:solidFill>
          </w14:textFill>
        </w:rPr>
        <w:t>）投标函（</w:t>
      </w:r>
      <w:r>
        <w:rPr>
          <w:rFonts w:hint="eastAsia" w:ascii="宋体" w:hAnsi="宋体" w:cs="Arial"/>
          <w:b/>
          <w:bCs/>
          <w:color w:val="000000" w:themeColor="text1"/>
          <w:szCs w:val="21"/>
          <w:highlight w:val="none"/>
          <w14:textFill>
            <w14:solidFill>
              <w14:schemeClr w14:val="tx1"/>
            </w14:solidFill>
          </w14:textFill>
        </w:rPr>
        <w:t>详见第五章投标文件格式</w:t>
      </w:r>
      <w:r>
        <w:rPr>
          <w:rFonts w:ascii="宋体" w:hAnsi="宋体" w:cs="Arial"/>
          <w:b/>
          <w:bCs/>
          <w:color w:val="000000" w:themeColor="text1"/>
          <w:szCs w:val="21"/>
          <w:highlight w:val="none"/>
          <w14:textFill>
            <w14:solidFill>
              <w14:schemeClr w14:val="tx1"/>
            </w14:solidFill>
          </w14:textFill>
        </w:rPr>
        <w:t>）；</w:t>
      </w:r>
    </w:p>
    <w:p>
      <w:pPr>
        <w:tabs>
          <w:tab w:val="left" w:pos="0"/>
        </w:tabs>
        <w:spacing w:line="400" w:lineRule="exact"/>
        <w:ind w:firstLine="422" w:firstLineChars="200"/>
        <w:rPr>
          <w:rFonts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w:t>
      </w:r>
      <w:r>
        <w:rPr>
          <w:rFonts w:hint="eastAsia" w:ascii="宋体" w:hAnsi="宋体" w:cs="Arial"/>
          <w:b/>
          <w:bCs/>
          <w:color w:val="000000" w:themeColor="text1"/>
          <w:szCs w:val="21"/>
          <w:highlight w:val="none"/>
          <w14:textFill>
            <w14:solidFill>
              <w14:schemeClr w14:val="tx1"/>
            </w14:solidFill>
          </w14:textFill>
        </w:rPr>
        <w:t>3</w:t>
      </w:r>
      <w:r>
        <w:rPr>
          <w:rFonts w:ascii="宋体" w:hAnsi="宋体" w:cs="Arial"/>
          <w:b/>
          <w:bCs/>
          <w:color w:val="000000" w:themeColor="text1"/>
          <w:szCs w:val="21"/>
          <w:highlight w:val="none"/>
          <w14:textFill>
            <w14:solidFill>
              <w14:schemeClr w14:val="tx1"/>
            </w14:solidFill>
          </w14:textFill>
        </w:rPr>
        <w:t>）投标人认为必要的其它说明</w:t>
      </w:r>
      <w:r>
        <w:rPr>
          <w:rFonts w:hint="eastAsia" w:ascii="宋体" w:hAnsi="宋体" w:cs="Arial"/>
          <w:b/>
          <w:bCs/>
          <w:color w:val="000000" w:themeColor="text1"/>
          <w:szCs w:val="21"/>
          <w:highlight w:val="none"/>
          <w14:textFill>
            <w14:solidFill>
              <w14:schemeClr w14:val="tx1"/>
            </w14:solidFill>
          </w14:textFill>
        </w:rPr>
        <w:t>。</w:t>
      </w:r>
    </w:p>
    <w:p>
      <w:pPr>
        <w:tabs>
          <w:tab w:val="left" w:pos="0"/>
        </w:tabs>
        <w:spacing w:line="400" w:lineRule="exact"/>
        <w:ind w:firstLine="422" w:firstLineChars="200"/>
        <w:rPr>
          <w:rFonts w:ascii="Arial" w:hAnsi="宋体" w:cs="Arial"/>
          <w:b/>
          <w:bCs/>
          <w:color w:val="000000" w:themeColor="text1"/>
          <w:szCs w:val="21"/>
          <w:highlight w:val="none"/>
          <w14:textFill>
            <w14:solidFill>
              <w14:schemeClr w14:val="tx1"/>
            </w14:solidFill>
          </w14:textFill>
        </w:rPr>
      </w:pPr>
      <w:r>
        <w:rPr>
          <w:rFonts w:hint="eastAsia" w:ascii="Arial" w:hAnsi="宋体" w:cs="Arial"/>
          <w:b/>
          <w:bCs/>
          <w:color w:val="000000" w:themeColor="text1"/>
          <w:szCs w:val="21"/>
          <w:highlight w:val="none"/>
          <w14:textFill>
            <w14:solidFill>
              <w14:schemeClr w14:val="tx1"/>
            </w14:solidFill>
          </w14:textFill>
        </w:rPr>
        <w:t>（二）投标文件格式要求</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投标单位应使用招标文件提供的附有格式，表格可以按同样格式扩展。投标文件若有格式上改变，</w:t>
      </w:r>
      <w:r>
        <w:rPr>
          <w:rFonts w:hint="eastAsia" w:ascii="宋体" w:hAnsi="宋体"/>
          <w:color w:val="000000" w:themeColor="text1"/>
          <w:kern w:val="16"/>
          <w:szCs w:val="21"/>
          <w:highlight w:val="none"/>
          <w14:textFill>
            <w14:solidFill>
              <w14:schemeClr w14:val="tx1"/>
            </w14:solidFill>
          </w14:textFill>
        </w:rPr>
        <w:t>但</w:t>
      </w:r>
      <w:r>
        <w:rPr>
          <w:rFonts w:ascii="宋体" w:hAnsi="宋体"/>
          <w:color w:val="000000" w:themeColor="text1"/>
          <w:kern w:val="16"/>
          <w:szCs w:val="21"/>
          <w:highlight w:val="none"/>
          <w14:textFill>
            <w14:solidFill>
              <w14:schemeClr w14:val="tx1"/>
            </w14:solidFill>
          </w14:textFill>
        </w:rPr>
        <w:t>不得</w:t>
      </w:r>
      <w:r>
        <w:rPr>
          <w:rFonts w:hint="eastAsia" w:ascii="宋体" w:hAnsi="宋体"/>
          <w:color w:val="000000" w:themeColor="text1"/>
          <w:kern w:val="16"/>
          <w:szCs w:val="21"/>
          <w:highlight w:val="none"/>
          <w14:textFill>
            <w14:solidFill>
              <w14:schemeClr w14:val="tx1"/>
            </w14:solidFill>
          </w14:textFill>
        </w:rPr>
        <w:t>改变其实质性内容</w:t>
      </w:r>
      <w:r>
        <w:rPr>
          <w:rFonts w:ascii="宋体" w:hAnsi="宋体"/>
          <w:color w:val="000000" w:themeColor="text1"/>
          <w:kern w:val="16"/>
          <w:szCs w:val="21"/>
          <w:highlight w:val="none"/>
          <w14:textFill>
            <w14:solidFill>
              <w14:schemeClr w14:val="tx1"/>
            </w14:solidFill>
          </w14:textFill>
        </w:rPr>
        <w:t>。</w:t>
      </w:r>
    </w:p>
    <w:p>
      <w:pPr>
        <w:tabs>
          <w:tab w:val="left" w:pos="0"/>
        </w:tabs>
        <w:spacing w:line="400" w:lineRule="exact"/>
        <w:ind w:firstLine="422" w:firstLineChars="200"/>
        <w:rPr>
          <w:rFonts w:ascii="Arial" w:hAnsi="宋体" w:cs="Arial"/>
          <w:b/>
          <w:bCs/>
          <w:color w:val="000000" w:themeColor="text1"/>
          <w:szCs w:val="21"/>
          <w:highlight w:val="none"/>
          <w14:textFill>
            <w14:solidFill>
              <w14:schemeClr w14:val="tx1"/>
            </w14:solidFill>
          </w14:textFill>
        </w:rPr>
      </w:pPr>
      <w:r>
        <w:rPr>
          <w:rFonts w:hint="eastAsia" w:ascii="Arial" w:hAnsi="宋体" w:cs="Arial"/>
          <w:b/>
          <w:bCs/>
          <w:color w:val="000000" w:themeColor="text1"/>
          <w:szCs w:val="21"/>
          <w:highlight w:val="none"/>
          <w14:textFill>
            <w14:solidFill>
              <w14:schemeClr w14:val="tx1"/>
            </w14:solidFill>
          </w14:textFill>
        </w:rPr>
        <w:t>（三）投标文件的份数、签署和包装</w:t>
      </w:r>
    </w:p>
    <w:p>
      <w:pPr>
        <w:tabs>
          <w:tab w:val="left" w:pos="0"/>
        </w:tabs>
        <w:spacing w:line="400" w:lineRule="exact"/>
        <w:ind w:firstLine="420" w:firstLineChars="200"/>
        <w:rPr>
          <w:rFonts w:ascii="宋体" w:hAnsi="宋体"/>
          <w:b/>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w:t>
      </w:r>
      <w:r>
        <w:rPr>
          <w:rFonts w:ascii="宋体" w:hAnsi="宋体"/>
          <w:color w:val="000000" w:themeColor="text1"/>
          <w:kern w:val="16"/>
          <w:szCs w:val="21"/>
          <w:highlight w:val="none"/>
          <w14:textFill>
            <w14:solidFill>
              <w14:schemeClr w14:val="tx1"/>
            </w14:solidFill>
          </w14:textFill>
        </w:rPr>
        <w:t>投标单位按本招标文件前附表规定的份数提供完整投标文件，并明确标明“正本”和“副本”。正本和副本如有不一致之处，以正本为准。正本和副本合并密封包装，书面投标文件的资格审查文件、技术标和商务标应分别密封在不同的包封中，并正确标明“资格审查文件”或“技术标”或“商务标”</w:t>
      </w:r>
      <w:r>
        <w:rPr>
          <w:rFonts w:hint="eastAsia" w:ascii="宋体" w:hAnsi="宋体"/>
          <w:color w:val="000000" w:themeColor="text1"/>
          <w:kern w:val="16"/>
          <w:szCs w:val="21"/>
          <w:highlight w:val="none"/>
          <w14:textFill>
            <w14:solidFill>
              <w14:schemeClr w14:val="tx1"/>
            </w14:solidFill>
          </w14:textFill>
        </w:rPr>
        <w:t>，同时标明</w:t>
      </w:r>
      <w:r>
        <w:rPr>
          <w:rFonts w:ascii="宋体" w:hAnsi="宋体"/>
          <w:color w:val="000000" w:themeColor="text1"/>
          <w:kern w:val="16"/>
          <w:szCs w:val="21"/>
          <w:highlight w:val="none"/>
          <w14:textFill>
            <w14:solidFill>
              <w14:schemeClr w14:val="tx1"/>
            </w14:solidFill>
          </w14:textFill>
        </w:rPr>
        <w:t>招标项目名称、</w:t>
      </w:r>
      <w:r>
        <w:rPr>
          <w:rFonts w:hint="eastAsia" w:ascii="宋体" w:hAnsi="宋体"/>
          <w:color w:val="000000" w:themeColor="text1"/>
          <w:kern w:val="16"/>
          <w:szCs w:val="21"/>
          <w:highlight w:val="none"/>
          <w14:textFill>
            <w14:solidFill>
              <w14:schemeClr w14:val="tx1"/>
            </w14:solidFill>
          </w14:textFill>
        </w:rPr>
        <w:t>招标人名称</w:t>
      </w:r>
      <w:r>
        <w:rPr>
          <w:rFonts w:ascii="宋体" w:hAnsi="宋体"/>
          <w:color w:val="000000" w:themeColor="text1"/>
          <w:kern w:val="16"/>
          <w:szCs w:val="21"/>
          <w:highlight w:val="none"/>
          <w14:textFill>
            <w14:solidFill>
              <w14:schemeClr w14:val="tx1"/>
            </w14:solidFill>
          </w14:textFill>
        </w:rPr>
        <w:t>、投标单位的名称</w:t>
      </w:r>
      <w:r>
        <w:rPr>
          <w:rFonts w:hint="eastAsia" w:ascii="宋体" w:hAnsi="宋体"/>
          <w:color w:val="000000" w:themeColor="text1"/>
          <w:kern w:val="16"/>
          <w:szCs w:val="21"/>
          <w:highlight w:val="none"/>
          <w14:textFill>
            <w14:solidFill>
              <w14:schemeClr w14:val="tx1"/>
            </w14:solidFill>
          </w14:textFill>
        </w:rPr>
        <w:t>等内容。</w:t>
      </w:r>
      <w:r>
        <w:rPr>
          <w:rFonts w:ascii="宋体" w:hAnsi="宋体"/>
          <w:b/>
          <w:color w:val="000000" w:themeColor="text1"/>
          <w:kern w:val="16"/>
          <w:szCs w:val="21"/>
          <w:highlight w:val="none"/>
          <w14:textFill>
            <w14:solidFill>
              <w14:schemeClr w14:val="tx1"/>
            </w14:solidFill>
          </w14:textFill>
        </w:rPr>
        <w:t>电子投标文件1份（U盘）放在商务标包封中一并密封提交。</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w:t>
      </w:r>
      <w:r>
        <w:rPr>
          <w:rFonts w:ascii="宋体" w:hAnsi="宋体"/>
          <w:color w:val="000000" w:themeColor="text1"/>
          <w:kern w:val="16"/>
          <w:szCs w:val="21"/>
          <w:highlight w:val="none"/>
          <w14:textFill>
            <w14:solidFill>
              <w14:schemeClr w14:val="tx1"/>
            </w14:solidFill>
          </w14:textFill>
        </w:rPr>
        <w:t>投标文件采用中文编制，正本与副本均应使用不能擦去的墨水打印或书写。</w:t>
      </w:r>
      <w:r>
        <w:rPr>
          <w:rFonts w:hint="eastAsia" w:ascii="宋体" w:hAnsi="宋体"/>
          <w:color w:val="000000" w:themeColor="text1"/>
          <w:kern w:val="16"/>
          <w:szCs w:val="21"/>
          <w:highlight w:val="none"/>
          <w14:textFill>
            <w14:solidFill>
              <w14:schemeClr w14:val="tx1"/>
            </w14:solidFill>
          </w14:textFill>
        </w:rPr>
        <w:t>投标文件的包封应密封完好，并在包封的封面及有投标人的落款处加盖投标人公章并经法定代表人或委托代理人签字或盖章。</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3</w:t>
      </w:r>
      <w:r>
        <w:rPr>
          <w:rFonts w:hint="eastAsia" w:ascii="宋体" w:hAnsi="宋体"/>
          <w:color w:val="000000" w:themeColor="text1"/>
          <w:kern w:val="16"/>
          <w:szCs w:val="21"/>
          <w:highlight w:val="none"/>
          <w14:textFill>
            <w14:solidFill>
              <w14:schemeClr w14:val="tx1"/>
            </w14:solidFill>
          </w14:textFill>
        </w:rPr>
        <w:t>、</w:t>
      </w:r>
      <w:r>
        <w:rPr>
          <w:rFonts w:ascii="宋体" w:hAnsi="宋体"/>
          <w:color w:val="000000" w:themeColor="text1"/>
          <w:kern w:val="16"/>
          <w:szCs w:val="21"/>
          <w:highlight w:val="none"/>
          <w14:textFill>
            <w14:solidFill>
              <w14:schemeClr w14:val="tx1"/>
            </w14:solidFill>
          </w14:textFill>
        </w:rPr>
        <w:t>全套投标文件应无涂改和行间插字，除非这些删改是根据招标单位或招标代理单位的指示进行的，或者是投标单位造成的必须修改的错误，但修改处应加盖投标单位的公章及法定代表人（或授权代表人）签字或盖章。</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4、投标文件（包括商务标、技术标或资格审查文件）的封面及有投标人的落款处应加盖公章并经法定代表人或其委托代理人签字或盖章。如为联合体投标，要求加盖联合体牵头人的公章并经法定代表人或其委托代理人签字或盖章。若招标文件规定为暗标形式的技术标则不得出现公章、法定代表人或其委托代理人签字或盖章。</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2" w:firstLineChars="200"/>
        <w:rPr>
          <w:rFonts w:ascii="Arial" w:hAnsi="宋体" w:cs="Arial"/>
          <w:b/>
          <w:bCs/>
          <w:color w:val="000000" w:themeColor="text1"/>
          <w:szCs w:val="21"/>
          <w:highlight w:val="none"/>
          <w14:textFill>
            <w14:solidFill>
              <w14:schemeClr w14:val="tx1"/>
            </w14:solidFill>
          </w14:textFill>
        </w:rPr>
      </w:pPr>
      <w:r>
        <w:rPr>
          <w:rFonts w:hint="eastAsia" w:ascii="Arial" w:hAnsi="宋体" w:cs="Arial"/>
          <w:b/>
          <w:bCs/>
          <w:color w:val="000000" w:themeColor="text1"/>
          <w:szCs w:val="21"/>
          <w:highlight w:val="none"/>
          <w14:textFill>
            <w14:solidFill>
              <w14:schemeClr w14:val="tx1"/>
            </w14:solidFill>
          </w14:textFill>
        </w:rPr>
        <w:t>（四）投标报价和收费依据</w:t>
      </w:r>
    </w:p>
    <w:p>
      <w:pPr>
        <w:tabs>
          <w:tab w:val="left" w:pos="0"/>
        </w:tabs>
        <w:spacing w:line="400" w:lineRule="exact"/>
        <w:ind w:firstLine="422" w:firstLineChars="200"/>
        <w:rPr>
          <w:rFonts w:ascii="宋体" w:hAnsi="宋体"/>
          <w:b/>
          <w:bCs/>
          <w:color w:val="000000" w:themeColor="text1"/>
          <w:kern w:val="16"/>
          <w:szCs w:val="21"/>
          <w:highlight w:val="none"/>
          <w14:textFill>
            <w14:solidFill>
              <w14:schemeClr w14:val="tx1"/>
            </w14:solidFill>
          </w14:textFill>
        </w:rPr>
      </w:pPr>
      <w:r>
        <w:rPr>
          <w:rFonts w:hint="eastAsia" w:ascii="宋体" w:hAnsi="宋体"/>
          <w:b/>
          <w:bCs/>
          <w:color w:val="000000" w:themeColor="text1"/>
          <w:kern w:val="16"/>
          <w:szCs w:val="21"/>
          <w:highlight w:val="none"/>
          <w14:textFill>
            <w14:solidFill>
              <w14:schemeClr w14:val="tx1"/>
            </w14:solidFill>
          </w14:textFill>
        </w:rPr>
        <w:t>本项目采用自主报价方式</w:t>
      </w:r>
      <w:r>
        <w:rPr>
          <w:rFonts w:ascii="宋体" w:hAnsi="宋体"/>
          <w:b/>
          <w:bCs/>
          <w:color w:val="000000" w:themeColor="text1"/>
          <w:kern w:val="16"/>
          <w:szCs w:val="21"/>
          <w:highlight w:val="none"/>
          <w14:textFill>
            <w14:solidFill>
              <w14:schemeClr w14:val="tx1"/>
            </w14:solidFill>
          </w14:textFill>
        </w:rPr>
        <w:t>。</w:t>
      </w:r>
      <w:r>
        <w:rPr>
          <w:rFonts w:hint="eastAsia" w:ascii="宋体" w:hAnsi="宋体"/>
          <w:b/>
          <w:bCs/>
          <w:color w:val="000000" w:themeColor="text1"/>
          <w:kern w:val="16"/>
          <w:szCs w:val="21"/>
          <w:highlight w:val="none"/>
          <w14:textFill>
            <w14:solidFill>
              <w14:schemeClr w14:val="tx1"/>
            </w14:solidFill>
          </w14:textFill>
        </w:rPr>
        <w:t>上限价为1503万元。具体收费标准如下：参照《浙江省物价局关于进一步完善工程造价咨询服务收费的通知（浙价服〔2009〕84号）》文件、《招标代理服务收费管理暂行办法》（计价格[2002]1980号）、发改价格〔2011〕534号等。</w:t>
      </w:r>
    </w:p>
    <w:p>
      <w:pPr>
        <w:pStyle w:val="21"/>
        <w:spacing w:line="400" w:lineRule="exact"/>
        <w:ind w:firstLine="640" w:firstLineChars="200"/>
        <w:rPr>
          <w:rFonts w:ascii="宋体" w:hAnsi="宋体"/>
          <w:bCs/>
          <w:color w:val="000000" w:themeColor="text1"/>
          <w:kern w:val="16"/>
          <w:position w:val="6"/>
          <w:sz w:val="32"/>
          <w:szCs w:val="32"/>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五、投标文件的递交</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（一）投标文件的密封与标志</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1、投标人应将投标文件分别标明“投标文件正本”和“投标文件副本”，并合装密封。</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2、资格审查资料、技术标和商务标应采取分装密封。</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3、包封都应写明招标人和工程名称及投标人名称，并加盖公章、法定代表人印鉴。</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4、</w:t>
      </w:r>
      <w:r>
        <w:rPr>
          <w:rFonts w:ascii="宋体" w:hAnsi="宋体" w:cs="Arial"/>
          <w:color w:val="000000" w:themeColor="text1"/>
          <w:szCs w:val="21"/>
          <w:highlight w:val="none"/>
          <w14:textFill>
            <w14:solidFill>
              <w14:schemeClr w14:val="tx1"/>
            </w14:solidFill>
          </w14:textFill>
        </w:rPr>
        <w:t xml:space="preserve">投标单位按本招标文件前附表规定的份数提供完整投标文件，并明确标明 </w:t>
      </w:r>
      <w:r>
        <w:rPr>
          <w:rFonts w:hint="eastAsia" w:ascii="宋体" w:hAnsi="宋体"/>
          <w:color w:val="000000" w:themeColor="text1"/>
          <w:kern w:val="16"/>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正本</w:t>
      </w:r>
      <w:r>
        <w:rPr>
          <w:rFonts w:hint="eastAsia" w:ascii="宋体" w:hAnsi="宋体"/>
          <w:color w:val="000000" w:themeColor="text1"/>
          <w:kern w:val="16"/>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和</w:t>
      </w:r>
      <w:r>
        <w:rPr>
          <w:rFonts w:hint="eastAsia" w:ascii="宋体" w:hAnsi="宋体"/>
          <w:color w:val="000000" w:themeColor="text1"/>
          <w:kern w:val="16"/>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副本</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。正本</w:t>
      </w:r>
      <w:r>
        <w:rPr>
          <w:rFonts w:ascii="宋体" w:hAnsi="宋体"/>
          <w:color w:val="000000" w:themeColor="text1"/>
          <w:kern w:val="16"/>
          <w:szCs w:val="21"/>
          <w:highlight w:val="none"/>
          <w14:textFill>
            <w14:solidFill>
              <w14:schemeClr w14:val="tx1"/>
            </w14:solidFill>
          </w14:textFill>
        </w:rPr>
        <w:t>和副本如有不一致之处，以正本为准。</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5、</w:t>
      </w:r>
      <w:r>
        <w:rPr>
          <w:rFonts w:ascii="宋体" w:hAnsi="宋体"/>
          <w:color w:val="000000" w:themeColor="text1"/>
          <w:kern w:val="16"/>
          <w:szCs w:val="21"/>
          <w:highlight w:val="none"/>
          <w14:textFill>
            <w14:solidFill>
              <w14:schemeClr w14:val="tx1"/>
            </w14:solidFill>
          </w14:textFill>
        </w:rPr>
        <w:t>投标文件采用中文编制，正本与副本均应使用不能擦去的墨水打印或书写。</w:t>
      </w:r>
      <w:r>
        <w:rPr>
          <w:rFonts w:hint="eastAsia" w:ascii="宋体" w:hAnsi="宋体"/>
          <w:color w:val="000000" w:themeColor="text1"/>
          <w:kern w:val="16"/>
          <w:szCs w:val="21"/>
          <w:highlight w:val="none"/>
          <w14:textFill>
            <w14:solidFill>
              <w14:schemeClr w14:val="tx1"/>
            </w14:solidFill>
          </w14:textFill>
        </w:rPr>
        <w:t>投标文件的包封应密封完好，并在包封的封面及有投标人的落款处加盖投标人公章并经法定代表人或委托代理人签字或盖章。如为联合体投标，要求加盖联合体牵头人的法人章并经法定代表人或其委托代理人签字或盖章。</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6、</w:t>
      </w:r>
      <w:r>
        <w:rPr>
          <w:rFonts w:ascii="宋体" w:hAnsi="宋体"/>
          <w:color w:val="000000" w:themeColor="text1"/>
          <w:kern w:val="16"/>
          <w:szCs w:val="21"/>
          <w:highlight w:val="none"/>
          <w14:textFill>
            <w14:solidFill>
              <w14:schemeClr w14:val="tx1"/>
            </w14:solidFill>
          </w14:textFill>
        </w:rPr>
        <w:t>全套投标文件应无涂改和行间插字，除非这些删改是根据招标</w:t>
      </w:r>
      <w:r>
        <w:rPr>
          <w:rFonts w:hint="eastAsia" w:ascii="宋体" w:hAnsi="宋体"/>
          <w:color w:val="000000" w:themeColor="text1"/>
          <w:kern w:val="16"/>
          <w:szCs w:val="21"/>
          <w:highlight w:val="none"/>
          <w14:textFill>
            <w14:solidFill>
              <w14:schemeClr w14:val="tx1"/>
            </w14:solidFill>
          </w14:textFill>
        </w:rPr>
        <w:t>人</w:t>
      </w:r>
      <w:r>
        <w:rPr>
          <w:rFonts w:ascii="宋体" w:hAnsi="宋体"/>
          <w:color w:val="000000" w:themeColor="text1"/>
          <w:kern w:val="16"/>
          <w:szCs w:val="21"/>
          <w:highlight w:val="none"/>
          <w14:textFill>
            <w14:solidFill>
              <w14:schemeClr w14:val="tx1"/>
            </w14:solidFill>
          </w14:textFill>
        </w:rPr>
        <w:t>或招标代理单位的指示进行的，或者是投标</w:t>
      </w:r>
      <w:r>
        <w:rPr>
          <w:rFonts w:hint="eastAsia" w:ascii="宋体" w:hAnsi="宋体"/>
          <w:color w:val="000000" w:themeColor="text1"/>
          <w:kern w:val="16"/>
          <w:szCs w:val="21"/>
          <w:highlight w:val="none"/>
          <w14:textFill>
            <w14:solidFill>
              <w14:schemeClr w14:val="tx1"/>
            </w14:solidFill>
          </w14:textFill>
        </w:rPr>
        <w:t>人</w:t>
      </w:r>
      <w:r>
        <w:rPr>
          <w:rFonts w:ascii="宋体" w:hAnsi="宋体"/>
          <w:color w:val="000000" w:themeColor="text1"/>
          <w:kern w:val="16"/>
          <w:szCs w:val="21"/>
          <w:highlight w:val="none"/>
          <w14:textFill>
            <w14:solidFill>
              <w14:schemeClr w14:val="tx1"/>
            </w14:solidFill>
          </w14:textFill>
        </w:rPr>
        <w:t>造成的必须修改的错误，但修改处应加盖投标</w:t>
      </w:r>
      <w:r>
        <w:rPr>
          <w:rFonts w:hint="eastAsia" w:ascii="宋体" w:hAnsi="宋体"/>
          <w:color w:val="000000" w:themeColor="text1"/>
          <w:kern w:val="16"/>
          <w:szCs w:val="21"/>
          <w:highlight w:val="none"/>
          <w14:textFill>
            <w14:solidFill>
              <w14:schemeClr w14:val="tx1"/>
            </w14:solidFill>
          </w14:textFill>
        </w:rPr>
        <w:t>人</w:t>
      </w:r>
      <w:r>
        <w:rPr>
          <w:rFonts w:ascii="宋体" w:hAnsi="宋体"/>
          <w:color w:val="000000" w:themeColor="text1"/>
          <w:kern w:val="16"/>
          <w:szCs w:val="21"/>
          <w:highlight w:val="none"/>
          <w14:textFill>
            <w14:solidFill>
              <w14:schemeClr w14:val="tx1"/>
            </w14:solidFill>
          </w14:textFill>
        </w:rPr>
        <w:t>的公章及法定代表人（或授权代表人）签字或盖章。</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7、由委托代理人签字或盖章的投标文件中需同时附法定代表人签署的授权委托书。法定代表人授权委托书格式、签字、盖章及内容均应符合招标文件要求，否则该委托代理人签字无效。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8、以联合体方式投标的投标人，其委托代理人由联合体牵头人签署授权委托书进行授权，否则，该授权委托书无效。</w:t>
      </w:r>
    </w:p>
    <w:p>
      <w:pPr>
        <w:tabs>
          <w:tab w:val="left" w:pos="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（二）投标截止期</w:t>
      </w:r>
    </w:p>
    <w:p>
      <w:pPr>
        <w:tabs>
          <w:tab w:val="left" w:pos="0"/>
        </w:tabs>
        <w:spacing w:line="400" w:lineRule="exact"/>
        <w:ind w:firstLine="472" w:firstLineChars="225"/>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投标人递交投标文件应按投标人须知前附表规定的日期、时间和地点递交。逾期送达的投标文件，为无效的投标文件，将被招标人拒收。</w:t>
      </w:r>
    </w:p>
    <w:p>
      <w:pPr>
        <w:tabs>
          <w:tab w:val="left" w:pos="0"/>
        </w:tabs>
        <w:spacing w:line="420" w:lineRule="exact"/>
        <w:ind w:firstLine="542" w:firstLineChars="225"/>
        <w:rPr>
          <w:rFonts w:ascii="宋体" w:hAnsi="宋体"/>
          <w:b/>
          <w:color w:val="000000" w:themeColor="text1"/>
          <w:kern w:val="16"/>
          <w:sz w:val="24"/>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六、开   标</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（一）开标</w:t>
      </w:r>
    </w:p>
    <w:p>
      <w:pPr>
        <w:spacing w:line="40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1、招标人将于投标人须知前附表规定的开标时间和地点举行开标会议。</w:t>
      </w:r>
      <w:r>
        <w:rPr>
          <w:rFonts w:hint="eastAsia" w:ascii="宋体" w:hAnsi="宋体"/>
          <w:color w:val="000000" w:themeColor="text1"/>
          <w:highlight w:val="none"/>
          <w14:textFill>
            <w14:solidFill>
              <w14:schemeClr w14:val="tx1"/>
            </w14:solidFill>
          </w14:textFill>
        </w:rPr>
        <w:t>并邀请所有投标人的有关人员准时参加，具体详见投标人须知前附表。</w:t>
      </w:r>
    </w:p>
    <w:p>
      <w:pPr>
        <w:tabs>
          <w:tab w:val="left" w:pos="0"/>
          <w:tab w:val="left" w:pos="720"/>
          <w:tab w:val="left" w:pos="900"/>
        </w:tabs>
        <w:spacing w:line="400" w:lineRule="exact"/>
        <w:ind w:firstLine="472" w:firstLineChars="224"/>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u w:val="single"/>
          <w14:textFill>
            <w14:solidFill>
              <w14:schemeClr w14:val="tx1"/>
            </w14:solidFill>
          </w14:textFill>
        </w:rPr>
        <w:t>2、本项目投标人采用现场递交或邮寄标书递交。</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3、开标会议在招投标监管机构的监督下，由招标人或招标代理机构组织并主持，并邀请相关人员参加。</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w:t>
      </w:r>
      <w:r>
        <w:rPr>
          <w:rFonts w:ascii="宋体" w:hAnsi="宋体"/>
          <w:color w:val="000000" w:themeColor="text1"/>
          <w:kern w:val="16"/>
          <w:szCs w:val="21"/>
          <w:highlight w:val="none"/>
          <w14:textFill>
            <w14:solidFill>
              <w14:schemeClr w14:val="tx1"/>
            </w14:solidFill>
          </w14:textFill>
        </w:rPr>
        <w:t>开标顺序依次为：先开资格审查文件，</w:t>
      </w:r>
      <w:r>
        <w:rPr>
          <w:rFonts w:hint="eastAsia" w:ascii="宋体" w:hAnsi="宋体"/>
          <w:color w:val="000000" w:themeColor="text1"/>
          <w:kern w:val="16"/>
          <w:szCs w:val="21"/>
          <w:highlight w:val="none"/>
          <w14:textFill>
            <w14:solidFill>
              <w14:schemeClr w14:val="tx1"/>
            </w14:solidFill>
          </w14:textFill>
        </w:rPr>
        <w:t>再开启</w:t>
      </w:r>
      <w:r>
        <w:rPr>
          <w:rFonts w:ascii="宋体" w:hAnsi="宋体"/>
          <w:color w:val="000000" w:themeColor="text1"/>
          <w:kern w:val="16"/>
          <w:szCs w:val="21"/>
          <w:highlight w:val="none"/>
          <w14:textFill>
            <w14:solidFill>
              <w14:schemeClr w14:val="tx1"/>
            </w14:solidFill>
          </w14:textFill>
        </w:rPr>
        <w:t>资格审查</w:t>
      </w:r>
      <w:r>
        <w:rPr>
          <w:rFonts w:hint="eastAsia" w:ascii="宋体" w:hAnsi="宋体"/>
          <w:color w:val="000000" w:themeColor="text1"/>
          <w:kern w:val="16"/>
          <w:szCs w:val="21"/>
          <w:highlight w:val="none"/>
          <w14:textFill>
            <w14:solidFill>
              <w14:schemeClr w14:val="tx1"/>
            </w14:solidFill>
          </w14:textFill>
        </w:rPr>
        <w:t>合格</w:t>
      </w:r>
      <w:r>
        <w:rPr>
          <w:rFonts w:ascii="宋体" w:hAnsi="宋体"/>
          <w:color w:val="000000" w:themeColor="text1"/>
          <w:kern w:val="16"/>
          <w:szCs w:val="21"/>
          <w:highlight w:val="none"/>
          <w14:textFill>
            <w14:solidFill>
              <w14:schemeClr w14:val="tx1"/>
            </w14:solidFill>
          </w14:textFill>
        </w:rPr>
        <w:t>单位</w:t>
      </w:r>
      <w:r>
        <w:rPr>
          <w:rFonts w:hint="eastAsia" w:ascii="宋体" w:hAnsi="宋体"/>
          <w:color w:val="000000" w:themeColor="text1"/>
          <w:kern w:val="16"/>
          <w:szCs w:val="21"/>
          <w:highlight w:val="none"/>
          <w14:textFill>
            <w14:solidFill>
              <w14:schemeClr w14:val="tx1"/>
            </w14:solidFill>
          </w14:textFill>
        </w:rPr>
        <w:t>的</w:t>
      </w:r>
      <w:r>
        <w:rPr>
          <w:rFonts w:ascii="宋体" w:hAnsi="宋体"/>
          <w:color w:val="000000" w:themeColor="text1"/>
          <w:kern w:val="16"/>
          <w:szCs w:val="21"/>
          <w:highlight w:val="none"/>
          <w14:textFill>
            <w14:solidFill>
              <w14:schemeClr w14:val="tx1"/>
            </w14:solidFill>
          </w14:textFill>
        </w:rPr>
        <w:t>技术标，技术标评审结束后最后开商务标，然后进行商务标评审并汇总。</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（三）投标文件有下列情形之一的，作无效标处理，不予评审：</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w:t>
      </w:r>
      <w:r>
        <w:rPr>
          <w:rFonts w:ascii="宋体" w:hAnsi="宋体" w:cs="Arial"/>
          <w:color w:val="000000" w:themeColor="text1"/>
          <w:szCs w:val="21"/>
          <w:highlight w:val="none"/>
          <w14:textFill>
            <w14:solidFill>
              <w14:schemeClr w14:val="tx1"/>
            </w14:solidFill>
          </w14:textFill>
        </w:rPr>
        <w:t>投标文件文本未按规定标志、密封的；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w:t>
      </w:r>
      <w:r>
        <w:rPr>
          <w:rFonts w:ascii="宋体" w:hAnsi="宋体" w:cs="Arial"/>
          <w:color w:val="000000" w:themeColor="text1"/>
          <w:szCs w:val="21"/>
          <w:highlight w:val="none"/>
          <w14:textFill>
            <w14:solidFill>
              <w14:schemeClr w14:val="tx1"/>
            </w14:solidFill>
          </w14:textFill>
        </w:rPr>
        <w:t>投标文件的资格审查文件、技术标和商务标未按本招标文件第</w:t>
      </w:r>
      <w:r>
        <w:rPr>
          <w:rFonts w:hint="eastAsia" w:ascii="宋体" w:hAnsi="宋体" w:cs="Arial"/>
          <w:color w:val="000000" w:themeColor="text1"/>
          <w:szCs w:val="21"/>
          <w:highlight w:val="none"/>
          <w14:textFill>
            <w14:solidFill>
              <w14:schemeClr w14:val="tx1"/>
            </w14:solidFill>
          </w14:textFill>
        </w:rPr>
        <w:t>二</w:t>
      </w:r>
      <w:r>
        <w:rPr>
          <w:rFonts w:ascii="宋体" w:hAnsi="宋体" w:cs="Arial"/>
          <w:color w:val="000000" w:themeColor="text1"/>
          <w:szCs w:val="21"/>
          <w:highlight w:val="none"/>
          <w14:textFill>
            <w14:solidFill>
              <w14:schemeClr w14:val="tx1"/>
            </w14:solidFill>
          </w14:textFill>
        </w:rPr>
        <w:t>章投标须知</w:t>
      </w:r>
      <w:r>
        <w:rPr>
          <w:rFonts w:hint="eastAsia" w:ascii="宋体" w:hAnsi="宋体" w:cs="Arial"/>
          <w:color w:val="000000" w:themeColor="text1"/>
          <w:szCs w:val="21"/>
          <w:highlight w:val="none"/>
          <w14:textFill>
            <w14:solidFill>
              <w14:schemeClr w14:val="tx1"/>
            </w14:solidFill>
          </w14:textFill>
        </w:rPr>
        <w:t>的</w:t>
      </w:r>
      <w:r>
        <w:rPr>
          <w:rFonts w:ascii="宋体" w:hAnsi="宋体" w:cs="Arial"/>
          <w:color w:val="000000" w:themeColor="text1"/>
          <w:szCs w:val="21"/>
          <w:highlight w:val="none"/>
          <w14:textFill>
            <w14:solidFill>
              <w14:schemeClr w14:val="tx1"/>
            </w14:solidFill>
          </w14:textFill>
        </w:rPr>
        <w:t>规定分别密封在不同的包封中的；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w:t>
      </w:r>
      <w:r>
        <w:rPr>
          <w:rFonts w:ascii="宋体" w:hAnsi="宋体" w:cs="Arial"/>
          <w:color w:val="000000" w:themeColor="text1"/>
          <w:szCs w:val="21"/>
          <w:highlight w:val="none"/>
          <w14:textFill>
            <w14:solidFill>
              <w14:schemeClr w14:val="tx1"/>
            </w14:solidFill>
          </w14:textFill>
        </w:rPr>
        <w:t>未</w:t>
      </w:r>
      <w:r>
        <w:rPr>
          <w:rFonts w:hint="eastAsia" w:ascii="宋体" w:hAnsi="宋体" w:cs="Arial"/>
          <w:color w:val="000000" w:themeColor="text1"/>
          <w:szCs w:val="21"/>
          <w:highlight w:val="none"/>
          <w14:textFill>
            <w14:solidFill>
              <w14:schemeClr w14:val="tx1"/>
            </w14:solidFill>
          </w14:textFill>
        </w:rPr>
        <w:t>按招标文件规定加</w:t>
      </w:r>
      <w:r>
        <w:rPr>
          <w:rFonts w:ascii="宋体" w:hAnsi="宋体" w:cs="Arial"/>
          <w:color w:val="000000" w:themeColor="text1"/>
          <w:szCs w:val="21"/>
          <w:highlight w:val="none"/>
          <w14:textFill>
            <w14:solidFill>
              <w14:schemeClr w14:val="tx1"/>
            </w14:solidFill>
          </w14:textFill>
        </w:rPr>
        <w:t>盖投标单位公章或缺少法定代表人（或授权代表人）签字或盖章的；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4</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未按本招标文件规定格式填写、内容不全或模糊不清的；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5、</w:t>
      </w:r>
      <w:r>
        <w:rPr>
          <w:rFonts w:ascii="宋体" w:hAnsi="宋体" w:cs="Arial"/>
          <w:color w:val="000000" w:themeColor="text1"/>
          <w:szCs w:val="21"/>
          <w:highlight w:val="none"/>
          <w14:textFill>
            <w14:solidFill>
              <w14:schemeClr w14:val="tx1"/>
            </w14:solidFill>
          </w14:textFill>
        </w:rPr>
        <w:t>投标文件擅自改变招标文件提供的内容或格式，致使招标文件的原意发生改变而影响评审的。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6、</w:t>
      </w:r>
      <w:r>
        <w:rPr>
          <w:rFonts w:ascii="宋体" w:hAnsi="宋体" w:cs="Arial"/>
          <w:color w:val="000000" w:themeColor="text1"/>
          <w:szCs w:val="21"/>
          <w:highlight w:val="none"/>
          <w14:textFill>
            <w14:solidFill>
              <w14:schemeClr w14:val="tx1"/>
            </w14:solidFill>
          </w14:textFill>
        </w:rPr>
        <w:t>投标截止时间后送达的投标文件；</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7</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投标单位递交两份或两份以上内容不同的投标文件，未声明哪一份有效；</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8</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投标文件中有两个或两个以上不同的报价，未声明哪一个有效；</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9</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投标单位未按招标文件规定要求提交投标保证金的；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10</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投标文件中有涂改、行间插字或删除的内容未盖投标单位公章或缺少法定代表人（或授权代表人）签字或盖章的；</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11</w:t>
      </w:r>
      <w:r>
        <w:rPr>
          <w:rFonts w:hint="eastAsia" w:ascii="宋体" w:hAnsi="宋体" w:cs="Arial"/>
          <w:color w:val="000000" w:themeColor="text1"/>
          <w:szCs w:val="21"/>
          <w:highlight w:val="none"/>
          <w14:textFill>
            <w14:solidFill>
              <w14:schemeClr w14:val="tx1"/>
            </w14:solidFill>
          </w14:textFill>
        </w:rPr>
        <w:t>、</w:t>
      </w:r>
      <w:r>
        <w:rPr>
          <w:rFonts w:ascii="宋体" w:hAnsi="宋体" w:cs="Arial"/>
          <w:color w:val="000000" w:themeColor="text1"/>
          <w:szCs w:val="21"/>
          <w:highlight w:val="none"/>
          <w14:textFill>
            <w14:solidFill>
              <w14:schemeClr w14:val="tx1"/>
            </w14:solidFill>
          </w14:textFill>
        </w:rPr>
        <w:t>投标单位未按招标文件要求提交投标文件的；</w:t>
      </w:r>
    </w:p>
    <w:p>
      <w:pPr>
        <w:spacing w:line="360" w:lineRule="auto"/>
        <w:ind w:firstLine="420" w:firstLineChars="200"/>
        <w:rPr>
          <w:rFonts w:ascii="宋体" w:hAnsi="宋体" w:cs="Arial"/>
          <w:strike/>
          <w:color w:val="000000" w:themeColor="text1"/>
          <w:szCs w:val="21"/>
          <w:highlight w:val="none"/>
          <w14:textFill>
            <w14:solidFill>
              <w14:schemeClr w14:val="tx1"/>
            </w14:solidFill>
          </w14:textFill>
        </w:rPr>
      </w:pPr>
      <w:r>
        <w:rPr>
          <w:rFonts w:ascii="宋体" w:hAnsi="宋体" w:cs="Arial"/>
          <w:strike/>
          <w:color w:val="000000" w:themeColor="text1"/>
          <w:szCs w:val="21"/>
          <w:highlight w:val="none"/>
          <w14:textFill>
            <w14:solidFill>
              <w14:schemeClr w14:val="tx1"/>
            </w14:solidFill>
          </w14:textFill>
        </w:rPr>
        <w:t>1</w:t>
      </w:r>
      <w:r>
        <w:rPr>
          <w:rFonts w:hint="eastAsia" w:ascii="宋体" w:hAnsi="宋体" w:cs="Arial"/>
          <w:strike/>
          <w:color w:val="000000" w:themeColor="text1"/>
          <w:szCs w:val="21"/>
          <w:highlight w:val="none"/>
          <w14:textFill>
            <w14:solidFill>
              <w14:schemeClr w14:val="tx1"/>
            </w14:solidFill>
          </w14:textFill>
        </w:rPr>
        <w:t>2、投标报价超过浮动率上限的</w:t>
      </w:r>
      <w:r>
        <w:rPr>
          <w:rFonts w:ascii="宋体" w:hAnsi="宋体" w:cs="Arial"/>
          <w:strike/>
          <w:color w:val="000000" w:themeColor="text1"/>
          <w:szCs w:val="21"/>
          <w:highlight w:val="none"/>
          <w14:textFill>
            <w14:solidFill>
              <w14:schemeClr w14:val="tx1"/>
            </w14:solidFill>
          </w14:textFill>
        </w:rPr>
        <w:t>；</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13、投标人获取招标文件时确定的项目总负责人和投标书中所确定的项目总负责人不一致。</w:t>
      </w:r>
    </w:p>
    <w:p>
      <w:pPr>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4、不符合招标文件规定的其它实质性要求。</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（四）唱标和记录</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唱标内容须做好记录，</w:t>
      </w:r>
      <w:r>
        <w:rPr>
          <w:rFonts w:hint="eastAsia" w:ascii="宋体" w:hAnsi="宋体"/>
          <w:strike/>
          <w:color w:val="000000" w:themeColor="text1"/>
          <w:kern w:val="16"/>
          <w:szCs w:val="21"/>
          <w:highlight w:val="none"/>
          <w14:textFill>
            <w14:solidFill>
              <w14:schemeClr w14:val="tx1"/>
            </w14:solidFill>
          </w14:textFill>
        </w:rPr>
        <w:t>并由各投标人法定代表人或授权委托代理人签字确认</w:t>
      </w:r>
      <w:r>
        <w:rPr>
          <w:rFonts w:hint="eastAsia" w:ascii="宋体" w:hAnsi="宋体"/>
          <w:color w:val="000000" w:themeColor="text1"/>
          <w:kern w:val="16"/>
          <w:szCs w:val="21"/>
          <w:highlight w:val="none"/>
          <w14:textFill>
            <w14:solidFill>
              <w14:schemeClr w14:val="tx1"/>
            </w14:solidFill>
          </w14:textFill>
        </w:rPr>
        <w:t>。</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评标入围办法：</w:t>
      </w:r>
      <w:r>
        <w:rPr>
          <w:rFonts w:hint="eastAsia" w:ascii="宋体" w:hAnsi="宋体"/>
          <w:b/>
          <w:color w:val="000000" w:themeColor="text1"/>
          <w:highlight w:val="none"/>
          <w:u w:val="single"/>
          <w14:textFill>
            <w14:solidFill>
              <w14:schemeClr w14:val="tx1"/>
            </w14:solidFill>
          </w14:textFill>
        </w:rPr>
        <w:t>全部入围</w:t>
      </w:r>
      <w:r>
        <w:rPr>
          <w:rFonts w:hint="eastAsia" w:ascii="宋体" w:hAnsi="宋体"/>
          <w:color w:val="000000" w:themeColor="text1"/>
          <w:highlight w:val="none"/>
          <w14:textFill>
            <w14:solidFill>
              <w14:schemeClr w14:val="tx1"/>
            </w14:solidFill>
          </w14:textFill>
        </w:rPr>
        <w:t>。</w:t>
      </w:r>
    </w:p>
    <w:p>
      <w:pPr>
        <w:tabs>
          <w:tab w:val="left" w:pos="0"/>
          <w:tab w:val="left" w:pos="720"/>
          <w:tab w:val="left" w:pos="900"/>
        </w:tabs>
        <w:spacing w:line="420" w:lineRule="exact"/>
        <w:ind w:firstLine="470" w:firstLineChars="224"/>
        <w:rPr>
          <w:rFonts w:ascii="宋体" w:hAnsi="宋体"/>
          <w:color w:val="000000" w:themeColor="text1"/>
          <w:kern w:val="16"/>
          <w:szCs w:val="21"/>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七、评    标</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（一）评标组织</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招标人根据绍兴市建设工程评标、定标有关规定组成评标委员会。</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（二）评标原则</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1、竞争优选；</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2、公正、公平、科学合理；</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3、质量好，信誉高，价格合理，工期适当，服务方案先进可行；</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4、反不正当竞争。</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（三）评标办法</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评标委员会根据投标人的投标文件，唱标内容，对投标书资格审查文件、技术标和商务标进行全面评审计分。技术标由各评标委员成员独立打分，各评委在进行评分汇总时，去掉最高分和最低分各一个后，算数平均值作为各投标人的最终技术标得分，得分保留小数点后二位，小数点后第三位四舍五入。</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2、分值分配：（1）技术标</w:t>
      </w:r>
      <w:r>
        <w:rPr>
          <w:rFonts w:hint="eastAsia" w:ascii="宋体" w:hAnsi="宋体"/>
          <w:color w:val="000000" w:themeColor="text1"/>
          <w:kern w:val="16"/>
          <w:szCs w:val="21"/>
          <w:highlight w:val="none"/>
          <w:u w:val="single"/>
          <w14:textFill>
            <w14:solidFill>
              <w14:schemeClr w14:val="tx1"/>
            </w14:solidFill>
          </w14:textFill>
        </w:rPr>
        <w:t>64</w:t>
      </w:r>
      <w:r>
        <w:rPr>
          <w:rFonts w:hint="eastAsia" w:ascii="宋体" w:hAnsi="宋体"/>
          <w:color w:val="000000" w:themeColor="text1"/>
          <w:kern w:val="16"/>
          <w:szCs w:val="21"/>
          <w:highlight w:val="none"/>
          <w14:textFill>
            <w14:solidFill>
              <w14:schemeClr w14:val="tx1"/>
            </w14:solidFill>
          </w14:textFill>
        </w:rPr>
        <w:t>分；（2）商务标</w:t>
      </w:r>
      <w:r>
        <w:rPr>
          <w:rFonts w:hint="eastAsia" w:ascii="宋体" w:hAnsi="宋体"/>
          <w:color w:val="000000" w:themeColor="text1"/>
          <w:kern w:val="16"/>
          <w:szCs w:val="21"/>
          <w:highlight w:val="none"/>
          <w:u w:val="single"/>
          <w14:textFill>
            <w14:solidFill>
              <w14:schemeClr w14:val="tx1"/>
            </w14:solidFill>
          </w14:textFill>
        </w:rPr>
        <w:t>30</w:t>
      </w:r>
      <w:r>
        <w:rPr>
          <w:rFonts w:hint="eastAsia" w:ascii="宋体" w:hAnsi="宋体"/>
          <w:color w:val="000000" w:themeColor="text1"/>
          <w:kern w:val="16"/>
          <w:szCs w:val="21"/>
          <w:highlight w:val="none"/>
          <w14:textFill>
            <w14:solidFill>
              <w14:schemeClr w14:val="tx1"/>
            </w14:solidFill>
          </w14:textFill>
        </w:rPr>
        <w:t>分；</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3、评分细则如下：</w:t>
      </w:r>
    </w:p>
    <w:p>
      <w:pPr>
        <w:pStyle w:val="8"/>
        <w:rPr>
          <w:highlight w:val="none"/>
        </w:rPr>
      </w:pPr>
      <w:r>
        <w:rPr>
          <w:rFonts w:hint="eastAsia" w:ascii="宋体" w:hAnsi="宋体"/>
          <w:color w:val="000000" w:themeColor="text1"/>
          <w:kern w:val="16"/>
          <w:szCs w:val="21"/>
          <w:highlight w:val="none"/>
          <w14:textFill>
            <w14:solidFill>
              <w14:schemeClr w14:val="tx1"/>
            </w14:solidFill>
          </w14:textFill>
        </w:rPr>
        <w:t>（1）技术、咨信分6</w:t>
      </w:r>
      <w:r>
        <w:rPr>
          <w:rFonts w:hint="eastAsia" w:ascii="宋体" w:hAnsi="宋体"/>
          <w:color w:val="000000" w:themeColor="text1"/>
          <w:kern w:val="16"/>
          <w:szCs w:val="21"/>
          <w:highlight w:val="none"/>
          <w:lang w:val="en-US" w:eastAsia="zh-CN"/>
          <w14:textFill>
            <w14:solidFill>
              <w14:schemeClr w14:val="tx1"/>
            </w14:solidFill>
          </w14:textFill>
        </w:rPr>
        <w:t>4</w:t>
      </w:r>
      <w:r>
        <w:rPr>
          <w:rFonts w:hint="eastAsia" w:ascii="宋体" w:hAnsi="宋体"/>
          <w:color w:val="000000" w:themeColor="text1"/>
          <w:kern w:val="16"/>
          <w:szCs w:val="21"/>
          <w:highlight w:val="none"/>
          <w14:textFill>
            <w14:solidFill>
              <w14:schemeClr w14:val="tx1"/>
            </w14:solidFill>
          </w14:textFill>
        </w:rPr>
        <w:t>分；</w:t>
      </w:r>
    </w:p>
    <w:tbl>
      <w:tblPr>
        <w:tblStyle w:val="22"/>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2"/>
        <w:gridCol w:w="1344"/>
        <w:gridCol w:w="1511"/>
        <w:gridCol w:w="4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2" w:type="dxa"/>
            <w:vAlign w:val="center"/>
          </w:tcPr>
          <w:p>
            <w:pPr>
              <w:spacing w:line="400" w:lineRule="exact"/>
              <w:jc w:val="center"/>
              <w:rPr>
                <w:rFonts w:eastAsia="黑体"/>
                <w:snapToGrid w:val="0"/>
                <w:kern w:val="0"/>
                <w:szCs w:val="21"/>
                <w:highlight w:val="none"/>
              </w:rPr>
            </w:pPr>
            <w:r>
              <w:rPr>
                <w:rFonts w:hAnsi="黑体" w:eastAsia="黑体"/>
                <w:snapToGrid w:val="0"/>
                <w:kern w:val="0"/>
                <w:szCs w:val="21"/>
                <w:highlight w:val="none"/>
              </w:rPr>
              <w:t>评审项目</w:t>
            </w:r>
          </w:p>
        </w:tc>
        <w:tc>
          <w:tcPr>
            <w:tcW w:w="2855" w:type="dxa"/>
            <w:gridSpan w:val="2"/>
            <w:vAlign w:val="center"/>
          </w:tcPr>
          <w:p>
            <w:pPr>
              <w:spacing w:line="400" w:lineRule="exact"/>
              <w:jc w:val="center"/>
              <w:rPr>
                <w:rFonts w:eastAsia="黑体"/>
                <w:snapToGrid w:val="0"/>
                <w:kern w:val="0"/>
                <w:szCs w:val="21"/>
                <w:highlight w:val="none"/>
              </w:rPr>
            </w:pPr>
            <w:r>
              <w:rPr>
                <w:rFonts w:hAnsi="黑体" w:eastAsia="黑体"/>
                <w:snapToGrid w:val="0"/>
                <w:kern w:val="0"/>
                <w:szCs w:val="21"/>
                <w:highlight w:val="none"/>
              </w:rPr>
              <w:t>评分因素</w:t>
            </w:r>
          </w:p>
        </w:tc>
        <w:tc>
          <w:tcPr>
            <w:tcW w:w="4845" w:type="dxa"/>
            <w:vAlign w:val="center"/>
          </w:tcPr>
          <w:p>
            <w:pPr>
              <w:spacing w:line="400" w:lineRule="exact"/>
              <w:jc w:val="center"/>
              <w:rPr>
                <w:rFonts w:eastAsia="黑体"/>
                <w:snapToGrid w:val="0"/>
                <w:kern w:val="0"/>
                <w:szCs w:val="21"/>
                <w:highlight w:val="none"/>
              </w:rPr>
            </w:pPr>
            <w:r>
              <w:rPr>
                <w:rFonts w:hAnsi="黑体" w:eastAsia="黑体"/>
                <w:snapToGrid w:val="0"/>
                <w:kern w:val="0"/>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restart"/>
            <w:vAlign w:val="center"/>
          </w:tcPr>
          <w:p>
            <w:pPr>
              <w:jc w:val="center"/>
              <w:rPr>
                <w:snapToGrid w:val="0"/>
                <w:kern w:val="0"/>
                <w:szCs w:val="21"/>
                <w:highlight w:val="none"/>
              </w:rPr>
            </w:pPr>
            <w:r>
              <w:rPr>
                <w:snapToGrid w:val="0"/>
                <w:kern w:val="0"/>
                <w:szCs w:val="21"/>
                <w:highlight w:val="none"/>
              </w:rPr>
              <w:t>技术</w:t>
            </w:r>
          </w:p>
          <w:p>
            <w:pPr>
              <w:jc w:val="center"/>
              <w:rPr>
                <w:snapToGrid w:val="0"/>
                <w:kern w:val="0"/>
                <w:szCs w:val="21"/>
                <w:highlight w:val="none"/>
              </w:rPr>
            </w:pPr>
            <w:r>
              <w:rPr>
                <w:snapToGrid w:val="0"/>
                <w:kern w:val="0"/>
                <w:szCs w:val="21"/>
                <w:highlight w:val="none"/>
              </w:rPr>
              <w:t>部分</w:t>
            </w:r>
          </w:p>
          <w:p>
            <w:pPr>
              <w:jc w:val="center"/>
              <w:rPr>
                <w:snapToGrid w:val="0"/>
                <w:kern w:val="0"/>
                <w:szCs w:val="21"/>
                <w:highlight w:val="none"/>
              </w:rPr>
            </w:pPr>
            <w:r>
              <w:rPr>
                <w:rFonts w:hAnsi="宋体"/>
                <w:snapToGrid w:val="0"/>
                <w:kern w:val="0"/>
                <w:szCs w:val="21"/>
                <w:highlight w:val="none"/>
              </w:rPr>
              <w:t>（</w:t>
            </w:r>
            <w:r>
              <w:rPr>
                <w:snapToGrid w:val="0"/>
                <w:kern w:val="0"/>
                <w:szCs w:val="21"/>
                <w:highlight w:val="none"/>
              </w:rPr>
              <w:t>60</w:t>
            </w:r>
            <w:r>
              <w:rPr>
                <w:rFonts w:hAnsi="宋体"/>
                <w:snapToGrid w:val="0"/>
                <w:kern w:val="0"/>
                <w:szCs w:val="21"/>
                <w:highlight w:val="none"/>
              </w:rPr>
              <w:t>分）</w:t>
            </w:r>
          </w:p>
        </w:tc>
        <w:tc>
          <w:tcPr>
            <w:tcW w:w="1344" w:type="dxa"/>
            <w:vMerge w:val="restart"/>
            <w:vAlign w:val="center"/>
          </w:tcPr>
          <w:p>
            <w:pPr>
              <w:jc w:val="center"/>
              <w:rPr>
                <w:snapToGrid w:val="0"/>
                <w:kern w:val="0"/>
                <w:szCs w:val="21"/>
                <w:highlight w:val="none"/>
              </w:rPr>
            </w:pPr>
            <w:r>
              <w:rPr>
                <w:rFonts w:hAnsi="宋体"/>
                <w:snapToGrid w:val="0"/>
                <w:kern w:val="0"/>
                <w:szCs w:val="21"/>
                <w:highlight w:val="none"/>
              </w:rPr>
              <w:t>全过程工程咨询服务团队</w:t>
            </w:r>
          </w:p>
          <w:p>
            <w:pPr>
              <w:jc w:val="center"/>
              <w:rPr>
                <w:snapToGrid w:val="0"/>
                <w:kern w:val="0"/>
                <w:szCs w:val="21"/>
                <w:highlight w:val="none"/>
              </w:rPr>
            </w:pPr>
            <w:r>
              <w:rPr>
                <w:rFonts w:hAnsi="宋体"/>
                <w:snapToGrid w:val="0"/>
                <w:kern w:val="0"/>
                <w:szCs w:val="21"/>
                <w:highlight w:val="none"/>
              </w:rPr>
              <w:t>（</w:t>
            </w:r>
            <w:r>
              <w:rPr>
                <w:rFonts w:hint="eastAsia"/>
                <w:snapToGrid w:val="0"/>
                <w:kern w:val="0"/>
                <w:szCs w:val="21"/>
                <w:highlight w:val="none"/>
              </w:rPr>
              <w:t>20</w:t>
            </w:r>
            <w:r>
              <w:rPr>
                <w:rFonts w:hAnsi="宋体"/>
                <w:snapToGrid w:val="0"/>
                <w:kern w:val="0"/>
                <w:szCs w:val="21"/>
                <w:highlight w:val="none"/>
              </w:rPr>
              <w:t>分）</w:t>
            </w:r>
          </w:p>
        </w:tc>
        <w:tc>
          <w:tcPr>
            <w:tcW w:w="1511" w:type="dxa"/>
            <w:vAlign w:val="center"/>
          </w:tcPr>
          <w:p>
            <w:pPr>
              <w:jc w:val="center"/>
              <w:rPr>
                <w:snapToGrid w:val="0"/>
                <w:kern w:val="0"/>
                <w:szCs w:val="21"/>
                <w:highlight w:val="none"/>
              </w:rPr>
            </w:pPr>
            <w:r>
              <w:rPr>
                <w:rFonts w:hint="eastAsia"/>
                <w:highlight w:val="none"/>
              </w:rPr>
              <w:t>项目总负责人（5分）</w:t>
            </w:r>
          </w:p>
        </w:tc>
        <w:tc>
          <w:tcPr>
            <w:tcW w:w="4845" w:type="dxa"/>
          </w:tcPr>
          <w:p>
            <w:pPr>
              <w:pStyle w:val="65"/>
              <w:spacing w:line="0" w:lineRule="atLeast"/>
              <w:ind w:firstLine="420" w:firstLineChars="200"/>
              <w:jc w:val="both"/>
              <w:rPr>
                <w:rFonts w:ascii="Times New Roman" w:hAnsi="Times New Roman"/>
                <w:snapToGrid w:val="0"/>
                <w:sz w:val="21"/>
                <w:szCs w:val="21"/>
                <w:highlight w:val="none"/>
                <w:lang w:val="en-US"/>
              </w:rPr>
            </w:pPr>
            <w:r>
              <w:rPr>
                <w:rFonts w:hint="eastAsia" w:ascii="Times New Roman" w:hAnsi="Times New Roman"/>
                <w:snapToGrid w:val="0"/>
                <w:color w:val="000000" w:themeColor="text1"/>
                <w:sz w:val="21"/>
                <w:szCs w:val="21"/>
                <w:highlight w:val="none"/>
                <w:lang w:val="en-US"/>
                <w14:textFill>
                  <w14:solidFill>
                    <w14:schemeClr w14:val="tx1"/>
                  </w14:solidFill>
                </w14:textFill>
              </w:rPr>
              <w:t>项目总</w:t>
            </w:r>
            <w:r>
              <w:rPr>
                <w:rFonts w:ascii="Times New Roman" w:hAnsi="Times New Roman"/>
                <w:snapToGrid w:val="0"/>
                <w:color w:val="000000" w:themeColor="text1"/>
                <w:sz w:val="21"/>
                <w:szCs w:val="21"/>
                <w:highlight w:val="none"/>
                <w:lang w:val="en-US"/>
                <w14:textFill>
                  <w14:solidFill>
                    <w14:schemeClr w14:val="tx1"/>
                  </w14:solidFill>
                </w14:textFill>
              </w:rPr>
              <w:t>负责人</w:t>
            </w:r>
            <w:r>
              <w:rPr>
                <w:rFonts w:hint="eastAsia" w:ascii="Times New Roman" w:hAnsi="Times New Roman"/>
                <w:snapToGrid w:val="0"/>
                <w:sz w:val="21"/>
                <w:szCs w:val="21"/>
                <w:highlight w:val="none"/>
                <w:lang w:val="en-US"/>
              </w:rPr>
              <w:t>具有</w:t>
            </w:r>
            <w:r>
              <w:rPr>
                <w:rFonts w:ascii="Times New Roman" w:hAnsi="Times New Roman"/>
                <w:snapToGrid w:val="0"/>
                <w:sz w:val="21"/>
                <w:szCs w:val="21"/>
                <w:highlight w:val="none"/>
                <w:lang w:val="en-US"/>
              </w:rPr>
              <w:t>如下条件</w:t>
            </w:r>
            <w:r>
              <w:rPr>
                <w:rFonts w:hint="eastAsia" w:ascii="Times New Roman" w:hAnsi="Times New Roman"/>
                <w:snapToGrid w:val="0"/>
                <w:sz w:val="21"/>
                <w:szCs w:val="21"/>
                <w:highlight w:val="none"/>
                <w:lang w:val="en-US"/>
              </w:rPr>
              <w:t>情况</w:t>
            </w:r>
            <w:r>
              <w:rPr>
                <w:rFonts w:ascii="Times New Roman" w:hAnsi="Times New Roman"/>
                <w:snapToGrid w:val="0"/>
                <w:sz w:val="21"/>
                <w:szCs w:val="21"/>
                <w:highlight w:val="none"/>
                <w:lang w:val="en-US"/>
              </w:rPr>
              <w:t>：①注册土木工程师（水利水电工程）资格证、②一级</w:t>
            </w:r>
            <w:r>
              <w:rPr>
                <w:rFonts w:hint="eastAsia" w:ascii="Times New Roman" w:hAnsi="Times New Roman"/>
                <w:snapToGrid w:val="0"/>
                <w:sz w:val="21"/>
                <w:szCs w:val="21"/>
                <w:highlight w:val="none"/>
                <w:lang w:val="en-US"/>
              </w:rPr>
              <w:t>建造</w:t>
            </w:r>
            <w:r>
              <w:rPr>
                <w:rFonts w:ascii="Times New Roman" w:hAnsi="Times New Roman"/>
                <w:snapToGrid w:val="0"/>
                <w:sz w:val="21"/>
                <w:szCs w:val="21"/>
                <w:highlight w:val="none"/>
                <w:lang w:val="en-US"/>
              </w:rPr>
              <w:t>师（水利</w:t>
            </w:r>
            <w:r>
              <w:rPr>
                <w:rFonts w:hint="eastAsia" w:ascii="Times New Roman" w:hAnsi="Times New Roman"/>
                <w:snapToGrid w:val="0"/>
                <w:sz w:val="21"/>
                <w:szCs w:val="21"/>
                <w:highlight w:val="none"/>
                <w:lang w:val="en-US"/>
              </w:rPr>
              <w:t>水电</w:t>
            </w:r>
            <w:r>
              <w:rPr>
                <w:rFonts w:ascii="Times New Roman" w:hAnsi="Times New Roman"/>
                <w:snapToGrid w:val="0"/>
                <w:sz w:val="21"/>
                <w:szCs w:val="21"/>
                <w:highlight w:val="none"/>
                <w:lang w:val="en-US"/>
              </w:rPr>
              <w:t>工程）资格证、③</w:t>
            </w:r>
            <w:r>
              <w:rPr>
                <w:rFonts w:hint="eastAsia" w:ascii="Times New Roman" w:hAnsi="Times New Roman"/>
                <w:snapToGrid w:val="0"/>
                <w:sz w:val="21"/>
                <w:szCs w:val="21"/>
                <w:highlight w:val="none"/>
                <w:lang w:val="en-US"/>
              </w:rPr>
              <w:t>注册</w:t>
            </w:r>
            <w:r>
              <w:rPr>
                <w:rFonts w:ascii="Times New Roman" w:hAnsi="Times New Roman"/>
                <w:snapToGrid w:val="0"/>
                <w:sz w:val="21"/>
                <w:szCs w:val="21"/>
                <w:highlight w:val="none"/>
                <w:lang w:val="en-US"/>
              </w:rPr>
              <w:t>咨询工程师（投资）资格证</w:t>
            </w:r>
            <w:r>
              <w:rPr>
                <w:rFonts w:hint="eastAsia" w:ascii="Times New Roman" w:hAnsi="Times New Roman"/>
                <w:snapToGrid w:val="0"/>
                <w:sz w:val="21"/>
                <w:szCs w:val="21"/>
                <w:highlight w:val="none"/>
                <w:lang w:val="en-US"/>
              </w:rPr>
              <w:t>。</w:t>
            </w:r>
            <w:r>
              <w:rPr>
                <w:rFonts w:hint="eastAsia" w:ascii="Times New Roman" w:hAnsi="Times New Roman"/>
                <w:snapToGrid w:val="0"/>
                <w:sz w:val="21"/>
                <w:szCs w:val="21"/>
                <w:highlight w:val="none"/>
                <w:lang w:val="en-US"/>
              </w:rPr>
              <w:fldChar w:fldCharType="begin"/>
            </w:r>
            <w:r>
              <w:rPr>
                <w:rFonts w:hint="eastAsia" w:ascii="Times New Roman" w:hAnsi="Times New Roman"/>
                <w:snapToGrid w:val="0"/>
                <w:sz w:val="21"/>
                <w:szCs w:val="21"/>
                <w:highlight w:val="none"/>
                <w:lang w:val="en-US"/>
              </w:rPr>
              <w:instrText xml:space="preserve"> = 4 \* GB3 \* MERGEFORMAT </w:instrText>
            </w:r>
            <w:r>
              <w:rPr>
                <w:rFonts w:hint="eastAsia" w:ascii="Times New Roman" w:hAnsi="Times New Roman"/>
                <w:snapToGrid w:val="0"/>
                <w:sz w:val="21"/>
                <w:szCs w:val="21"/>
                <w:highlight w:val="none"/>
                <w:lang w:val="en-US"/>
              </w:rPr>
              <w:fldChar w:fldCharType="separate"/>
            </w:r>
            <w:r>
              <w:rPr>
                <w:highlight w:val="none"/>
              </w:rPr>
              <w:t>④</w:t>
            </w:r>
            <w:r>
              <w:rPr>
                <w:rFonts w:hint="eastAsia" w:ascii="Times New Roman" w:hAnsi="Times New Roman"/>
                <w:snapToGrid w:val="0"/>
                <w:sz w:val="21"/>
                <w:szCs w:val="21"/>
                <w:highlight w:val="none"/>
                <w:lang w:val="en-US"/>
              </w:rPr>
              <w:fldChar w:fldCharType="end"/>
            </w:r>
            <w:r>
              <w:rPr>
                <w:rFonts w:hint="eastAsia" w:ascii="Times New Roman" w:hAnsi="Times New Roman"/>
                <w:snapToGrid w:val="0"/>
                <w:sz w:val="21"/>
                <w:szCs w:val="21"/>
                <w:highlight w:val="none"/>
                <w:lang w:val="en-US"/>
              </w:rPr>
              <w:t>水利部注册监理工程师（水利工程）资格证，若联合体投标的，项目总负责人须为联合体牵头人单位人员。</w:t>
            </w:r>
          </w:p>
          <w:p>
            <w:pPr>
              <w:pStyle w:val="65"/>
              <w:spacing w:line="0" w:lineRule="atLeast"/>
              <w:ind w:firstLine="420" w:firstLineChars="200"/>
              <w:rPr>
                <w:rFonts w:ascii="Times New Roman" w:hAnsi="Times New Roman"/>
                <w:snapToGrid w:val="0"/>
                <w:sz w:val="22"/>
                <w:highlight w:val="none"/>
                <w:lang w:val="en-US"/>
              </w:rPr>
            </w:pPr>
            <w:r>
              <w:rPr>
                <w:rFonts w:hint="eastAsia" w:ascii="Times New Roman" w:hAnsi="Times New Roman"/>
                <w:snapToGrid w:val="0"/>
                <w:sz w:val="21"/>
                <w:szCs w:val="21"/>
                <w:highlight w:val="none"/>
                <w:lang w:val="en-US"/>
              </w:rPr>
              <w:t>满足3项及以上的，得5分；满足2项的，得3分；满足1项的，得</w:t>
            </w:r>
            <w:r>
              <w:rPr>
                <w:rFonts w:ascii="Times New Roman" w:hAnsi="Times New Roman"/>
                <w:snapToGrid w:val="0"/>
                <w:sz w:val="21"/>
                <w:szCs w:val="21"/>
                <w:highlight w:val="none"/>
                <w:lang w:val="en-US"/>
              </w:rPr>
              <w:t>2</w:t>
            </w:r>
            <w:r>
              <w:rPr>
                <w:rFonts w:hint="eastAsia" w:ascii="Times New Roman" w:hAnsi="Times New Roman"/>
                <w:snapToGrid w:val="0"/>
                <w:sz w:val="21"/>
                <w:szCs w:val="21"/>
                <w:highlight w:val="none"/>
                <w:lang w:val="en-US"/>
              </w:rPr>
              <w:t>分；其余情况不得分。</w:t>
            </w:r>
            <w:r>
              <w:rPr>
                <w:rFonts w:ascii="Times New Roman" w:hAnsi="Times New Roman"/>
                <w:snapToGrid w:val="0"/>
                <w:sz w:val="21"/>
                <w:szCs w:val="21"/>
                <w:highlight w:val="none"/>
                <w:lang w:val="en-US"/>
              </w:rPr>
              <w:t>注：投标文件中应提供相应证书复印件，</w:t>
            </w:r>
            <w:r>
              <w:rPr>
                <w:rFonts w:hint="eastAsia" w:ascii="Times New Roman" w:hAnsi="Times New Roman"/>
                <w:snapToGrid w:val="0"/>
                <w:sz w:val="21"/>
                <w:szCs w:val="21"/>
                <w:highlight w:val="none"/>
                <w:lang w:val="en-US"/>
              </w:rPr>
              <w:t>证书需</w:t>
            </w:r>
            <w:r>
              <w:rPr>
                <w:rFonts w:hint="eastAsia" w:ascii="Times New Roman" w:hAnsi="Times New Roman"/>
                <w:snapToGrid w:val="0"/>
                <w:color w:val="000000" w:themeColor="text1"/>
                <w:sz w:val="21"/>
                <w:szCs w:val="21"/>
                <w:highlight w:val="none"/>
                <w:lang w:val="en-US"/>
                <w14:textFill>
                  <w14:solidFill>
                    <w14:schemeClr w14:val="tx1"/>
                  </w14:solidFill>
                </w14:textFill>
              </w:rPr>
              <w:t>在有效期内，</w:t>
            </w:r>
            <w:r>
              <w:rPr>
                <w:rFonts w:ascii="Times New Roman" w:hAnsi="Times New Roman"/>
                <w:snapToGrid w:val="0"/>
                <w:color w:val="000000" w:themeColor="text1"/>
                <w:sz w:val="21"/>
                <w:szCs w:val="21"/>
                <w:highlight w:val="none"/>
                <w:lang w:val="en-US"/>
                <w14:textFill>
                  <w14:solidFill>
                    <w14:schemeClr w14:val="tx1"/>
                  </w14:solidFill>
                </w14:textFill>
              </w:rPr>
              <w:t>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continue"/>
            <w:vAlign w:val="center"/>
          </w:tcPr>
          <w:p>
            <w:pPr>
              <w:jc w:val="center"/>
              <w:rPr>
                <w:snapToGrid w:val="0"/>
                <w:kern w:val="0"/>
                <w:szCs w:val="21"/>
                <w:highlight w:val="none"/>
              </w:rPr>
            </w:pPr>
          </w:p>
        </w:tc>
        <w:tc>
          <w:tcPr>
            <w:tcW w:w="1344" w:type="dxa"/>
            <w:vMerge w:val="continue"/>
            <w:vAlign w:val="center"/>
          </w:tcPr>
          <w:p>
            <w:pPr>
              <w:jc w:val="center"/>
              <w:rPr>
                <w:snapToGrid w:val="0"/>
                <w:kern w:val="0"/>
                <w:szCs w:val="21"/>
                <w:highlight w:val="none"/>
              </w:rPr>
            </w:pPr>
          </w:p>
        </w:tc>
        <w:tc>
          <w:tcPr>
            <w:tcW w:w="1511" w:type="dxa"/>
            <w:vAlign w:val="center"/>
          </w:tcPr>
          <w:p>
            <w:pPr>
              <w:jc w:val="center"/>
              <w:rPr>
                <w:snapToGrid w:val="0"/>
                <w:kern w:val="0"/>
                <w:szCs w:val="21"/>
                <w:highlight w:val="none"/>
              </w:rPr>
            </w:pPr>
            <w:r>
              <w:rPr>
                <w:rFonts w:hAnsi="宋体"/>
                <w:snapToGrid w:val="0"/>
                <w:kern w:val="0"/>
                <w:szCs w:val="21"/>
                <w:highlight w:val="none"/>
              </w:rPr>
              <w:t>人员（除项目总负责人以外）的配置</w:t>
            </w:r>
          </w:p>
          <w:p>
            <w:pPr>
              <w:jc w:val="center"/>
              <w:rPr>
                <w:snapToGrid w:val="0"/>
                <w:kern w:val="0"/>
                <w:szCs w:val="21"/>
                <w:highlight w:val="none"/>
              </w:rPr>
            </w:pPr>
            <w:r>
              <w:rPr>
                <w:rFonts w:hAnsi="宋体"/>
                <w:snapToGrid w:val="0"/>
                <w:kern w:val="0"/>
                <w:szCs w:val="21"/>
                <w:highlight w:val="none"/>
              </w:rPr>
              <w:t>（</w:t>
            </w:r>
            <w:r>
              <w:rPr>
                <w:rFonts w:hint="eastAsia"/>
                <w:snapToGrid w:val="0"/>
                <w:kern w:val="0"/>
                <w:szCs w:val="21"/>
                <w:highlight w:val="none"/>
              </w:rPr>
              <w:t>15</w:t>
            </w:r>
            <w:r>
              <w:rPr>
                <w:rFonts w:hAnsi="宋体"/>
                <w:snapToGrid w:val="0"/>
                <w:kern w:val="0"/>
                <w:szCs w:val="21"/>
                <w:highlight w:val="none"/>
              </w:rPr>
              <w:t>分）</w:t>
            </w:r>
          </w:p>
        </w:tc>
        <w:tc>
          <w:tcPr>
            <w:tcW w:w="4845" w:type="dxa"/>
          </w:tcPr>
          <w:p>
            <w:pPr>
              <w:pStyle w:val="65"/>
              <w:spacing w:line="0" w:lineRule="atLeast"/>
              <w:ind w:firstLine="420" w:firstLineChars="200"/>
              <w:jc w:val="both"/>
              <w:rPr>
                <w:rFonts w:ascii="Times New Roman" w:hAnsi="Times New Roman"/>
                <w:snapToGrid w:val="0"/>
                <w:sz w:val="21"/>
                <w:szCs w:val="21"/>
                <w:highlight w:val="none"/>
                <w:lang w:val="en-US"/>
              </w:rPr>
            </w:pPr>
            <w:r>
              <w:rPr>
                <w:rFonts w:hint="eastAsia" w:ascii="Times New Roman" w:hAnsi="Times New Roman"/>
                <w:snapToGrid w:val="0"/>
                <w:color w:val="000000" w:themeColor="text1"/>
                <w:sz w:val="21"/>
                <w:szCs w:val="21"/>
                <w:highlight w:val="none"/>
                <w:lang w:val="en-US"/>
                <w14:textFill>
                  <w14:solidFill>
                    <w14:schemeClr w14:val="tx1"/>
                  </w14:solidFill>
                </w14:textFill>
              </w:rPr>
              <w:t>1、技术负责人</w:t>
            </w:r>
            <w:r>
              <w:rPr>
                <w:rFonts w:hint="eastAsia" w:ascii="Times New Roman" w:hAnsi="Times New Roman"/>
                <w:snapToGrid w:val="0"/>
                <w:sz w:val="21"/>
                <w:szCs w:val="21"/>
                <w:highlight w:val="none"/>
                <w:lang w:val="en-US"/>
              </w:rPr>
              <w:t>具有</w:t>
            </w:r>
            <w:r>
              <w:rPr>
                <w:rFonts w:ascii="Times New Roman" w:hAnsi="Times New Roman"/>
                <w:snapToGrid w:val="0"/>
                <w:sz w:val="21"/>
                <w:szCs w:val="21"/>
                <w:highlight w:val="none"/>
                <w:lang w:val="en-US"/>
              </w:rPr>
              <w:t>如下条件</w:t>
            </w:r>
            <w:r>
              <w:rPr>
                <w:rFonts w:hint="eastAsia" w:ascii="Times New Roman" w:hAnsi="Times New Roman"/>
                <w:snapToGrid w:val="0"/>
                <w:sz w:val="21"/>
                <w:szCs w:val="21"/>
                <w:highlight w:val="none"/>
                <w:lang w:val="en-US"/>
              </w:rPr>
              <w:t>情况</w:t>
            </w:r>
            <w:r>
              <w:rPr>
                <w:rFonts w:ascii="Times New Roman" w:hAnsi="Times New Roman"/>
                <w:snapToGrid w:val="0"/>
                <w:sz w:val="21"/>
                <w:szCs w:val="21"/>
                <w:highlight w:val="none"/>
                <w:lang w:val="en-US"/>
              </w:rPr>
              <w:t>：①注册土木工程师（水利水电工程）资格证、②一级</w:t>
            </w:r>
            <w:r>
              <w:rPr>
                <w:rFonts w:hint="eastAsia" w:ascii="Times New Roman" w:hAnsi="Times New Roman"/>
                <w:snapToGrid w:val="0"/>
                <w:sz w:val="21"/>
                <w:szCs w:val="21"/>
                <w:highlight w:val="none"/>
                <w:lang w:val="en-US"/>
              </w:rPr>
              <w:t>建造</w:t>
            </w:r>
            <w:r>
              <w:rPr>
                <w:rFonts w:ascii="Times New Roman" w:hAnsi="Times New Roman"/>
                <w:snapToGrid w:val="0"/>
                <w:sz w:val="21"/>
                <w:szCs w:val="21"/>
                <w:highlight w:val="none"/>
                <w:lang w:val="en-US"/>
              </w:rPr>
              <w:t>师（水利</w:t>
            </w:r>
            <w:r>
              <w:rPr>
                <w:rFonts w:hint="eastAsia" w:ascii="Times New Roman" w:hAnsi="Times New Roman"/>
                <w:snapToGrid w:val="0"/>
                <w:sz w:val="21"/>
                <w:szCs w:val="21"/>
                <w:highlight w:val="none"/>
                <w:lang w:val="en-US"/>
              </w:rPr>
              <w:t>水电</w:t>
            </w:r>
            <w:r>
              <w:rPr>
                <w:rFonts w:ascii="Times New Roman" w:hAnsi="Times New Roman"/>
                <w:snapToGrid w:val="0"/>
                <w:sz w:val="21"/>
                <w:szCs w:val="21"/>
                <w:highlight w:val="none"/>
                <w:lang w:val="en-US"/>
              </w:rPr>
              <w:t>工程）资格证、③</w:t>
            </w:r>
            <w:r>
              <w:rPr>
                <w:rFonts w:hint="eastAsia" w:ascii="Times New Roman" w:hAnsi="Times New Roman"/>
                <w:snapToGrid w:val="0"/>
                <w:sz w:val="21"/>
                <w:szCs w:val="21"/>
                <w:highlight w:val="none"/>
                <w:lang w:val="en-US"/>
              </w:rPr>
              <w:t>注册</w:t>
            </w:r>
            <w:r>
              <w:rPr>
                <w:rFonts w:ascii="Times New Roman" w:hAnsi="Times New Roman"/>
                <w:snapToGrid w:val="0"/>
                <w:sz w:val="21"/>
                <w:szCs w:val="21"/>
                <w:highlight w:val="none"/>
                <w:lang w:val="en-US"/>
              </w:rPr>
              <w:t>咨询工程师（投资）资格证</w:t>
            </w:r>
            <w:r>
              <w:rPr>
                <w:rFonts w:hint="eastAsia" w:ascii="Times New Roman" w:hAnsi="Times New Roman"/>
                <w:snapToGrid w:val="0"/>
                <w:sz w:val="21"/>
                <w:szCs w:val="21"/>
                <w:highlight w:val="none"/>
                <w:lang w:val="en-US"/>
              </w:rPr>
              <w:t>。</w:t>
            </w:r>
            <w:r>
              <w:rPr>
                <w:rFonts w:hint="eastAsia" w:ascii="Times New Roman" w:hAnsi="Times New Roman"/>
                <w:snapToGrid w:val="0"/>
                <w:sz w:val="21"/>
                <w:szCs w:val="21"/>
                <w:highlight w:val="none"/>
                <w:lang w:val="en-US"/>
              </w:rPr>
              <w:fldChar w:fldCharType="begin"/>
            </w:r>
            <w:r>
              <w:rPr>
                <w:rFonts w:hint="eastAsia" w:ascii="Times New Roman" w:hAnsi="Times New Roman"/>
                <w:snapToGrid w:val="0"/>
                <w:sz w:val="21"/>
                <w:szCs w:val="21"/>
                <w:highlight w:val="none"/>
                <w:lang w:val="en-US"/>
              </w:rPr>
              <w:instrText xml:space="preserve"> = 4 \* GB3 \* MERGEFORMAT </w:instrText>
            </w:r>
            <w:r>
              <w:rPr>
                <w:rFonts w:hint="eastAsia" w:ascii="Times New Roman" w:hAnsi="Times New Roman"/>
                <w:snapToGrid w:val="0"/>
                <w:sz w:val="21"/>
                <w:szCs w:val="21"/>
                <w:highlight w:val="none"/>
                <w:lang w:val="en-US"/>
              </w:rPr>
              <w:fldChar w:fldCharType="separate"/>
            </w:r>
            <w:r>
              <w:rPr>
                <w:highlight w:val="none"/>
              </w:rPr>
              <w:t>④</w:t>
            </w:r>
            <w:r>
              <w:rPr>
                <w:rFonts w:hint="eastAsia" w:ascii="Times New Roman" w:hAnsi="Times New Roman"/>
                <w:snapToGrid w:val="0"/>
                <w:sz w:val="21"/>
                <w:szCs w:val="21"/>
                <w:highlight w:val="none"/>
                <w:lang w:val="en-US"/>
              </w:rPr>
              <w:fldChar w:fldCharType="end"/>
            </w:r>
            <w:r>
              <w:rPr>
                <w:rFonts w:hint="eastAsia" w:ascii="Times New Roman" w:hAnsi="Times New Roman"/>
                <w:snapToGrid w:val="0"/>
                <w:sz w:val="21"/>
                <w:szCs w:val="21"/>
                <w:highlight w:val="none"/>
                <w:lang w:val="en-US"/>
              </w:rPr>
              <w:t>水利部注册监理工程师（水利工程）资格证，若联合体投标的，技术负责人须为联合体牵头人单位人员。</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hint="eastAsia" w:ascii="Times New Roman" w:hAnsi="Times New Roman"/>
                <w:snapToGrid w:val="0"/>
                <w:sz w:val="21"/>
                <w:szCs w:val="21"/>
                <w:highlight w:val="none"/>
                <w:lang w:val="en-US"/>
              </w:rPr>
              <w:t>满足3项及以上的，得5分；满足2项的，得3分；满足1项的，得</w:t>
            </w:r>
            <w:r>
              <w:rPr>
                <w:rFonts w:ascii="Times New Roman" w:hAnsi="Times New Roman"/>
                <w:snapToGrid w:val="0"/>
                <w:sz w:val="21"/>
                <w:szCs w:val="21"/>
                <w:highlight w:val="none"/>
                <w:lang w:val="en-US"/>
              </w:rPr>
              <w:t>2</w:t>
            </w:r>
            <w:r>
              <w:rPr>
                <w:rFonts w:hint="eastAsia" w:ascii="Times New Roman" w:hAnsi="Times New Roman"/>
                <w:snapToGrid w:val="0"/>
                <w:sz w:val="21"/>
                <w:szCs w:val="21"/>
                <w:highlight w:val="none"/>
                <w:lang w:val="en-US"/>
              </w:rPr>
              <w:t>分；其余情况不得分。</w:t>
            </w:r>
            <w:r>
              <w:rPr>
                <w:rFonts w:ascii="Times New Roman" w:hAnsi="Times New Roman"/>
                <w:snapToGrid w:val="0"/>
                <w:sz w:val="21"/>
                <w:szCs w:val="21"/>
                <w:highlight w:val="none"/>
                <w:lang w:val="en-US"/>
              </w:rPr>
              <w:t>注：投标文件中应提供相应证书复印件，</w:t>
            </w:r>
            <w:r>
              <w:rPr>
                <w:rFonts w:hint="eastAsia" w:ascii="Times New Roman" w:hAnsi="Times New Roman"/>
                <w:snapToGrid w:val="0"/>
                <w:sz w:val="21"/>
                <w:szCs w:val="21"/>
                <w:highlight w:val="none"/>
                <w:lang w:val="en-US"/>
              </w:rPr>
              <w:t>证书需</w:t>
            </w:r>
            <w:r>
              <w:rPr>
                <w:rFonts w:hint="eastAsia" w:ascii="Times New Roman" w:hAnsi="Times New Roman"/>
                <w:snapToGrid w:val="0"/>
                <w:color w:val="000000" w:themeColor="text1"/>
                <w:sz w:val="21"/>
                <w:szCs w:val="21"/>
                <w:highlight w:val="none"/>
                <w:lang w:val="en-US"/>
                <w14:textFill>
                  <w14:solidFill>
                    <w14:schemeClr w14:val="tx1"/>
                  </w14:solidFill>
                </w14:textFill>
              </w:rPr>
              <w:t>在有效期内，</w:t>
            </w:r>
            <w:r>
              <w:rPr>
                <w:rFonts w:ascii="Times New Roman" w:hAnsi="Times New Roman"/>
                <w:snapToGrid w:val="0"/>
                <w:color w:val="000000" w:themeColor="text1"/>
                <w:sz w:val="21"/>
                <w:szCs w:val="21"/>
                <w:highlight w:val="none"/>
                <w:lang w:val="en-US"/>
                <w14:textFill>
                  <w14:solidFill>
                    <w14:schemeClr w14:val="tx1"/>
                  </w14:solidFill>
                </w14:textFill>
              </w:rPr>
              <w:t>并加盖投标人公章。</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hint="eastAsia" w:ascii="Times New Roman" w:hAnsi="Times New Roman"/>
                <w:snapToGrid w:val="0"/>
                <w:color w:val="000000" w:themeColor="text1"/>
                <w:sz w:val="21"/>
                <w:szCs w:val="21"/>
                <w:highlight w:val="none"/>
                <w:lang w:val="en-US"/>
                <w14:textFill>
                  <w14:solidFill>
                    <w14:schemeClr w14:val="tx1"/>
                  </w14:solidFill>
                </w14:textFill>
              </w:rPr>
              <w:t>2、项目组成员</w:t>
            </w:r>
            <w:r>
              <w:rPr>
                <w:rFonts w:ascii="Times New Roman" w:hAnsi="Times New Roman"/>
                <w:snapToGrid w:val="0"/>
                <w:color w:val="000000" w:themeColor="text1"/>
                <w:sz w:val="21"/>
                <w:szCs w:val="21"/>
                <w:highlight w:val="none"/>
                <w:lang w:val="en-US"/>
                <w14:textFill>
                  <w14:solidFill>
                    <w14:schemeClr w14:val="tx1"/>
                  </w14:solidFill>
                </w14:textFill>
              </w:rPr>
              <w:t>具有如下专业：</w:t>
            </w:r>
            <w:r>
              <w:rPr>
                <w:rFonts w:hint="eastAsia" w:ascii="Times New Roman" w:hAnsi="Times New Roman"/>
                <w:snapToGrid w:val="0"/>
                <w:color w:val="000000" w:themeColor="text1"/>
                <w:sz w:val="21"/>
                <w:szCs w:val="21"/>
                <w:highlight w:val="none"/>
                <w:lang w:val="en-US"/>
                <w14:textFill>
                  <w14:solidFill>
                    <w14:schemeClr w14:val="tx1"/>
                  </w14:solidFill>
                </w14:textFill>
              </w:rPr>
              <w:t>根据</w:t>
            </w:r>
            <w:r>
              <w:rPr>
                <w:rFonts w:ascii="Times New Roman" w:hAnsi="Times New Roman"/>
                <w:snapToGrid w:val="0"/>
                <w:color w:val="000000" w:themeColor="text1"/>
                <w:sz w:val="21"/>
                <w:szCs w:val="21"/>
                <w:highlight w:val="none"/>
                <w:lang w:val="en-US"/>
                <w14:textFill>
                  <w14:solidFill>
                    <w14:schemeClr w14:val="tx1"/>
                  </w14:solidFill>
                </w14:textFill>
              </w:rPr>
              <w:t>所有专业</w:t>
            </w:r>
            <w:r>
              <w:rPr>
                <w:rFonts w:hint="eastAsia" w:ascii="Times New Roman" w:hAnsi="Times New Roman"/>
                <w:snapToGrid w:val="0"/>
                <w:color w:val="000000" w:themeColor="text1"/>
                <w:sz w:val="21"/>
                <w:szCs w:val="21"/>
                <w:highlight w:val="none"/>
                <w:lang w:val="en-US"/>
                <w14:textFill>
                  <w14:solidFill>
                    <w14:schemeClr w14:val="tx1"/>
                  </w14:solidFill>
                </w14:textFill>
              </w:rPr>
              <w:t>配备情况</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同时具有水工、岩土、造价三个专业</w:t>
            </w:r>
            <w:r>
              <w:rPr>
                <w:rFonts w:hint="eastAsia" w:ascii="Times New Roman" w:hAnsi="Times New Roman"/>
                <w:snapToGrid w:val="0"/>
                <w:color w:val="000000" w:themeColor="text1"/>
                <w:sz w:val="21"/>
                <w:szCs w:val="21"/>
                <w:highlight w:val="none"/>
                <w:lang w:val="en-US" w:eastAsia="zh-CN"/>
                <w14:textFill>
                  <w14:solidFill>
                    <w14:schemeClr w14:val="tx1"/>
                  </w14:solidFill>
                </w14:textFill>
              </w:rPr>
              <w:t>且</w:t>
            </w:r>
            <w:r>
              <w:rPr>
                <w:rFonts w:hint="eastAsia" w:ascii="Times New Roman" w:hAnsi="Times New Roman"/>
                <w:snapToGrid w:val="0"/>
                <w:color w:val="000000" w:themeColor="text1"/>
                <w:sz w:val="21"/>
                <w:szCs w:val="21"/>
                <w:highlight w:val="none"/>
                <w:lang w:val="en-US"/>
                <w14:textFill>
                  <w14:solidFill>
                    <w14:schemeClr w14:val="tx1"/>
                  </w14:solidFill>
                </w14:textFill>
              </w:rPr>
              <w:t>专业人员都具有高级及以上职称的得5分，缺少一个及以上不得分；其余水土保持、环境工程、</w:t>
            </w:r>
            <w:r>
              <w:rPr>
                <w:rFonts w:ascii="Times New Roman" w:hAnsi="Times New Roman"/>
                <w:snapToGrid w:val="0"/>
                <w:color w:val="000000" w:themeColor="text1"/>
                <w:sz w:val="21"/>
                <w:szCs w:val="21"/>
                <w:highlight w:val="none"/>
                <w:lang w:val="en-US"/>
                <w14:textFill>
                  <w14:solidFill>
                    <w14:schemeClr w14:val="tx1"/>
                  </w14:solidFill>
                </w14:textFill>
              </w:rPr>
              <w:t>地质、工程测量、</w:t>
            </w:r>
            <w:r>
              <w:rPr>
                <w:rFonts w:hint="eastAsia" w:ascii="Times New Roman" w:hAnsi="Times New Roman"/>
                <w:snapToGrid w:val="0"/>
                <w:color w:val="000000" w:themeColor="text1"/>
                <w:sz w:val="21"/>
                <w:szCs w:val="21"/>
                <w:highlight w:val="none"/>
                <w:lang w:val="en-US"/>
                <w14:textFill>
                  <w14:solidFill>
                    <w14:schemeClr w14:val="tx1"/>
                  </w14:solidFill>
                </w14:textFill>
              </w:rPr>
              <w:t>结构、计算机技术与软件、工程经济技术、安全工程师、水文、水利工程信息化</w:t>
            </w:r>
            <w:r>
              <w:rPr>
                <w:rFonts w:hint="eastAsia" w:ascii="Times New Roman" w:hAnsi="Times New Roman"/>
                <w:snapToGrid w:val="0"/>
                <w:color w:val="000000" w:themeColor="text1"/>
                <w:sz w:val="21"/>
                <w:szCs w:val="21"/>
                <w:highlight w:val="none"/>
                <w:lang w:val="en-US" w:eastAsia="zh-CN"/>
                <w14:textFill>
                  <w14:solidFill>
                    <w14:schemeClr w14:val="tx1"/>
                  </w14:solidFill>
                </w14:textFill>
              </w:rPr>
              <w:t>每</w:t>
            </w:r>
            <w:r>
              <w:rPr>
                <w:rFonts w:hint="eastAsia" w:ascii="Times New Roman" w:hAnsi="Times New Roman"/>
                <w:snapToGrid w:val="0"/>
                <w:color w:val="000000" w:themeColor="text1"/>
                <w:sz w:val="21"/>
                <w:szCs w:val="21"/>
                <w:highlight w:val="none"/>
                <w:lang w:val="en-US"/>
                <w14:textFill>
                  <w14:solidFill>
                    <w14:schemeClr w14:val="tx1"/>
                  </w14:solidFill>
                </w14:textFill>
              </w:rPr>
              <w:t>满足一个专业</w:t>
            </w:r>
            <w:r>
              <w:rPr>
                <w:rFonts w:hint="eastAsia" w:ascii="Times New Roman" w:hAnsi="Times New Roman"/>
                <w:snapToGrid w:val="0"/>
                <w:color w:val="000000" w:themeColor="text1"/>
                <w:sz w:val="21"/>
                <w:szCs w:val="21"/>
                <w:highlight w:val="none"/>
                <w:lang w:val="en-US" w:eastAsia="zh-CN"/>
                <w14:textFill>
                  <w14:solidFill>
                    <w14:schemeClr w14:val="tx1"/>
                  </w14:solidFill>
                </w14:textFill>
              </w:rPr>
              <w:t>且</w:t>
            </w:r>
            <w:r>
              <w:rPr>
                <w:rFonts w:hint="eastAsia" w:ascii="Times New Roman" w:hAnsi="Times New Roman"/>
                <w:snapToGrid w:val="0"/>
                <w:color w:val="000000" w:themeColor="text1"/>
                <w:sz w:val="21"/>
                <w:szCs w:val="21"/>
                <w:highlight w:val="none"/>
                <w:lang w:val="en-US"/>
                <w14:textFill>
                  <w14:solidFill>
                    <w14:schemeClr w14:val="tx1"/>
                  </w14:solidFill>
                </w14:textFill>
              </w:rPr>
              <w:t>专业人员具有高级及以上职称</w:t>
            </w:r>
            <w:r>
              <w:rPr>
                <w:rFonts w:hint="eastAsia" w:ascii="Times New Roman" w:hAnsi="Times New Roman"/>
                <w:snapToGrid w:val="0"/>
                <w:color w:val="000000" w:themeColor="text1"/>
                <w:sz w:val="21"/>
                <w:szCs w:val="21"/>
                <w:highlight w:val="none"/>
                <w:lang w:val="en-US" w:eastAsia="zh-CN"/>
                <w14:textFill>
                  <w14:solidFill>
                    <w14:schemeClr w14:val="tx1"/>
                  </w14:solidFill>
                </w14:textFill>
              </w:rPr>
              <w:t>的</w:t>
            </w:r>
            <w:r>
              <w:rPr>
                <w:rFonts w:hint="eastAsia" w:ascii="Times New Roman" w:hAnsi="Times New Roman"/>
                <w:snapToGrid w:val="0"/>
                <w:color w:val="000000" w:themeColor="text1"/>
                <w:sz w:val="21"/>
                <w:szCs w:val="21"/>
                <w:highlight w:val="none"/>
                <w:lang w:val="en-US"/>
                <w14:textFill>
                  <w14:solidFill>
                    <w14:schemeClr w14:val="tx1"/>
                  </w14:solidFill>
                </w14:textFill>
              </w:rPr>
              <w:t>得1分，最高不超过5分。同一人员有多个专业的，只能选取其一个专业。</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专业证明标准：</w:t>
            </w:r>
            <w:r>
              <w:rPr>
                <w:rFonts w:hint="eastAsia" w:ascii="Times New Roman" w:hAnsi="Times New Roman"/>
                <w:snapToGrid w:val="0"/>
                <w:color w:val="000000" w:themeColor="text1"/>
                <w:sz w:val="21"/>
                <w:szCs w:val="21"/>
                <w:highlight w:val="none"/>
                <w:lang w:val="en-US"/>
                <w14:textFill>
                  <w14:solidFill>
                    <w14:schemeClr w14:val="tx1"/>
                  </w14:solidFill>
                </w14:textFill>
              </w:rPr>
              <w:t>以高级职称资格证书上专业为准，职称资格证书未明确专业的，需提供相关注册证书或执（职）业资格证书或毕业证为依据。</w:t>
            </w:r>
          </w:p>
          <w:p>
            <w:pPr>
              <w:pStyle w:val="65"/>
              <w:spacing w:line="0" w:lineRule="atLeast"/>
              <w:ind w:firstLine="420" w:firstLineChars="200"/>
              <w:rPr>
                <w:rFonts w:ascii="Times New Roman" w:hAnsi="Times New Roman"/>
                <w:snapToGrid w:val="0"/>
                <w:szCs w:val="21"/>
                <w:highlight w:val="none"/>
              </w:rPr>
            </w:pPr>
            <w:r>
              <w:rPr>
                <w:rFonts w:ascii="Times New Roman"/>
                <w:snapToGrid w:val="0"/>
                <w:color w:val="000000" w:themeColor="text1"/>
                <w:sz w:val="21"/>
                <w:szCs w:val="21"/>
                <w:highlight w:val="none"/>
                <w14:textFill>
                  <w14:solidFill>
                    <w14:schemeClr w14:val="tx1"/>
                  </w14:solidFill>
                </w14:textFill>
              </w:rPr>
              <w:t>文件中须提供相关证书复印件及投标人为其缴纳的社保证明并加盖投标人公章，不提供或少提供均不得分。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continue"/>
            <w:vAlign w:val="center"/>
          </w:tcPr>
          <w:p>
            <w:pPr>
              <w:jc w:val="center"/>
              <w:rPr>
                <w:snapToGrid w:val="0"/>
                <w:kern w:val="0"/>
                <w:szCs w:val="21"/>
                <w:highlight w:val="none"/>
              </w:rPr>
            </w:pPr>
          </w:p>
        </w:tc>
        <w:tc>
          <w:tcPr>
            <w:tcW w:w="1344" w:type="dxa"/>
            <w:vMerge w:val="restart"/>
            <w:vAlign w:val="center"/>
          </w:tcPr>
          <w:p>
            <w:pPr>
              <w:jc w:val="center"/>
              <w:rPr>
                <w:snapToGrid w:val="0"/>
                <w:kern w:val="0"/>
                <w:szCs w:val="21"/>
                <w:highlight w:val="none"/>
              </w:rPr>
            </w:pPr>
            <w:r>
              <w:rPr>
                <w:rFonts w:hAnsi="宋体"/>
                <w:snapToGrid w:val="0"/>
                <w:kern w:val="0"/>
                <w:szCs w:val="21"/>
                <w:highlight w:val="none"/>
              </w:rPr>
              <w:t>全过程工程咨询服务实施方标准（</w:t>
            </w:r>
            <w:r>
              <w:rPr>
                <w:rFonts w:hint="eastAsia"/>
                <w:snapToGrid w:val="0"/>
                <w:kern w:val="0"/>
                <w:szCs w:val="21"/>
                <w:highlight w:val="none"/>
              </w:rPr>
              <w:t>40</w:t>
            </w:r>
            <w:r>
              <w:rPr>
                <w:snapToGrid w:val="0"/>
                <w:kern w:val="0"/>
                <w:szCs w:val="21"/>
                <w:highlight w:val="none"/>
              </w:rPr>
              <w:t>分）</w:t>
            </w:r>
          </w:p>
        </w:tc>
        <w:tc>
          <w:tcPr>
            <w:tcW w:w="1511" w:type="dxa"/>
            <w:vAlign w:val="center"/>
          </w:tcPr>
          <w:p>
            <w:pPr>
              <w:jc w:val="center"/>
              <w:rPr>
                <w:snapToGrid w:val="0"/>
                <w:kern w:val="0"/>
                <w:szCs w:val="21"/>
                <w:highlight w:val="none"/>
              </w:rPr>
            </w:pPr>
            <w:r>
              <w:rPr>
                <w:rFonts w:hAnsi="宋体"/>
                <w:snapToGrid w:val="0"/>
                <w:kern w:val="0"/>
                <w:szCs w:val="21"/>
                <w:highlight w:val="none"/>
              </w:rPr>
              <w:t>全过程工程咨询服务总纲（方案）</w:t>
            </w:r>
          </w:p>
          <w:p>
            <w:pPr>
              <w:jc w:val="center"/>
              <w:rPr>
                <w:snapToGrid w:val="0"/>
                <w:kern w:val="0"/>
                <w:szCs w:val="21"/>
                <w:highlight w:val="none"/>
              </w:rPr>
            </w:pPr>
            <w:r>
              <w:rPr>
                <w:rFonts w:hAnsi="宋体"/>
                <w:snapToGrid w:val="0"/>
                <w:kern w:val="0"/>
                <w:szCs w:val="21"/>
                <w:highlight w:val="none"/>
              </w:rPr>
              <w:t>（</w:t>
            </w:r>
            <w:r>
              <w:rPr>
                <w:snapToGrid w:val="0"/>
                <w:kern w:val="0"/>
                <w:szCs w:val="21"/>
                <w:highlight w:val="none"/>
              </w:rPr>
              <w:t>8</w:t>
            </w:r>
            <w:r>
              <w:rPr>
                <w:rFonts w:hAnsi="宋体"/>
                <w:snapToGrid w:val="0"/>
                <w:kern w:val="0"/>
                <w:szCs w:val="21"/>
                <w:highlight w:val="none"/>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优：全过程工程咨询服务总纲（方案）内容齐全、结构完整、重点突出、符合规范，针对性强得6-8分；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良：全过程工程咨询服务总纲（方案）齐全、符合规范，结构较完整、重点突出性一般、针对性一般，得4-5.9分；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差：全过程工程咨询服务总纲（方案）内容不全、结构不完整、重点不突出、针对性差，得 2-3.9分；</w:t>
            </w:r>
          </w:p>
          <w:p>
            <w:pPr>
              <w:pStyle w:val="65"/>
              <w:spacing w:line="0" w:lineRule="atLeast"/>
              <w:ind w:firstLine="420" w:firstLineChars="200"/>
              <w:rPr>
                <w:rFonts w:ascii="Times New Roman" w:hAnsi="Times New Roman"/>
                <w:snapToGrid w:val="0"/>
                <w:sz w:val="22"/>
                <w:highlight w:val="none"/>
                <w:lang w:val="en-US"/>
              </w:rPr>
            </w:pPr>
            <w:r>
              <w:rPr>
                <w:rFonts w:ascii="Times New Roman" w:hAnsi="Times New Roman"/>
                <w:snapToGrid w:val="0"/>
                <w:color w:val="000000" w:themeColor="text1"/>
                <w:sz w:val="21"/>
                <w:szCs w:val="21"/>
                <w:highlight w:val="none"/>
                <w:lang w:val="en-US"/>
                <w14:textFill>
                  <w14:solidFill>
                    <w14:schemeClr w14:val="tx1"/>
                  </w14:solidFill>
                </w14:textFill>
              </w:rPr>
              <w:t>无全过程工程咨询服务总纲（方案），得0分。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272" w:type="dxa"/>
            <w:vMerge w:val="continue"/>
            <w:vAlign w:val="center"/>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jc w:val="center"/>
              <w:rPr>
                <w:rFonts w:hAnsi="宋体"/>
                <w:snapToGrid w:val="0"/>
                <w:kern w:val="0"/>
                <w:szCs w:val="21"/>
                <w:highlight w:val="none"/>
              </w:rPr>
            </w:pPr>
            <w:r>
              <w:rPr>
                <w:rFonts w:hAnsi="宋体"/>
                <w:snapToGrid w:val="0"/>
                <w:kern w:val="0"/>
                <w:szCs w:val="21"/>
                <w:highlight w:val="none"/>
              </w:rPr>
              <w:t>工程招标代理</w:t>
            </w:r>
          </w:p>
          <w:p>
            <w:pPr>
              <w:jc w:val="center"/>
              <w:rPr>
                <w:snapToGrid w:val="0"/>
                <w:kern w:val="0"/>
                <w:szCs w:val="21"/>
                <w:highlight w:val="none"/>
              </w:rPr>
            </w:pPr>
            <w:r>
              <w:rPr>
                <w:rFonts w:hAnsi="宋体"/>
                <w:snapToGrid w:val="0"/>
                <w:kern w:val="0"/>
                <w:szCs w:val="21"/>
                <w:highlight w:val="none"/>
              </w:rPr>
              <w:t>工作方案</w:t>
            </w:r>
          </w:p>
          <w:p>
            <w:pPr>
              <w:jc w:val="center"/>
              <w:rPr>
                <w:snapToGrid w:val="0"/>
                <w:kern w:val="0"/>
                <w:szCs w:val="21"/>
                <w:highlight w:val="none"/>
              </w:rPr>
            </w:pPr>
            <w:r>
              <w:rPr>
                <w:rFonts w:hAnsi="宋体"/>
                <w:snapToGrid w:val="0"/>
                <w:kern w:val="0"/>
                <w:szCs w:val="21"/>
                <w:highlight w:val="none"/>
              </w:rPr>
              <w:t>（</w:t>
            </w:r>
            <w:r>
              <w:rPr>
                <w:rFonts w:hint="eastAsia"/>
                <w:snapToGrid w:val="0"/>
                <w:kern w:val="0"/>
                <w:szCs w:val="21"/>
                <w:highlight w:val="none"/>
              </w:rPr>
              <w:t>4</w:t>
            </w:r>
            <w:r>
              <w:rPr>
                <w:rFonts w:hAnsi="宋体"/>
                <w:snapToGrid w:val="0"/>
                <w:kern w:val="0"/>
                <w:szCs w:val="21"/>
                <w:highlight w:val="none"/>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优：招标代理工作方案内容齐全、结构完整、重点突出、符合规范，针对性强得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3</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良：招标代理工作方案齐全、符合规范，结构较完整、重点突出性一般、针对性一般，得2-</w:t>
            </w:r>
            <w:r>
              <w:rPr>
                <w:rFonts w:hint="eastAsia" w:ascii="Times New Roman" w:hAnsi="Times New Roman"/>
                <w:snapToGrid w:val="0"/>
                <w:color w:val="000000" w:themeColor="text1"/>
                <w:sz w:val="21"/>
                <w:szCs w:val="21"/>
                <w:highlight w:val="none"/>
                <w:lang w:val="en-US"/>
                <w14:textFill>
                  <w14:solidFill>
                    <w14:schemeClr w14:val="tx1"/>
                  </w14:solidFill>
                </w14:textFill>
              </w:rPr>
              <w:t>2.9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差：招标代理工作方案内容不全、结构不完整、重点不突出、针对性差，得 1-1.9分；</w:t>
            </w:r>
          </w:p>
          <w:p>
            <w:pPr>
              <w:spacing w:line="360" w:lineRule="auto"/>
              <w:ind w:firstLine="420" w:firstLineChars="200"/>
              <w:rPr>
                <w:snapToGrid w:val="0"/>
                <w:kern w:val="0"/>
                <w:szCs w:val="21"/>
                <w:highlight w:val="none"/>
              </w:rPr>
            </w:pPr>
            <w:r>
              <w:rPr>
                <w:snapToGrid w:val="0"/>
                <w:color w:val="000000" w:themeColor="text1"/>
                <w:kern w:val="0"/>
                <w:szCs w:val="21"/>
                <w:highlight w:val="none"/>
                <w14:textFill>
                  <w14:solidFill>
                    <w14:schemeClr w14:val="tx1"/>
                  </w14:solidFill>
                </w14:textFill>
              </w:rPr>
              <w:t>无</w:t>
            </w:r>
            <w:r>
              <w:rPr>
                <w:rFonts w:hint="eastAsia"/>
                <w:snapToGrid w:val="0"/>
                <w:color w:val="000000" w:themeColor="text1"/>
                <w:kern w:val="0"/>
                <w:szCs w:val="21"/>
                <w:highlight w:val="none"/>
                <w14:textFill>
                  <w14:solidFill>
                    <w14:schemeClr w14:val="tx1"/>
                  </w14:solidFill>
                </w14:textFill>
              </w:rPr>
              <w:t>工程</w:t>
            </w:r>
            <w:r>
              <w:rPr>
                <w:snapToGrid w:val="0"/>
                <w:color w:val="000000" w:themeColor="text1"/>
                <w:szCs w:val="21"/>
                <w:highlight w:val="none"/>
                <w14:textFill>
                  <w14:solidFill>
                    <w14:schemeClr w14:val="tx1"/>
                  </w14:solidFill>
                </w14:textFill>
              </w:rPr>
              <w:t>招标代理工作方案</w:t>
            </w:r>
            <w:r>
              <w:rPr>
                <w:snapToGrid w:val="0"/>
                <w:color w:val="000000" w:themeColor="text1"/>
                <w:kern w:val="0"/>
                <w:szCs w:val="21"/>
                <w:highlight w:val="none"/>
                <w14:textFill>
                  <w14:solidFill>
                    <w14:schemeClr w14:val="tx1"/>
                  </w14:solidFill>
                </w14:textFill>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272" w:type="dxa"/>
            <w:vMerge w:val="continue"/>
            <w:vAlign w:val="center"/>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jc w:val="center"/>
              <w:rPr>
                <w:snapToGrid w:val="0"/>
                <w:kern w:val="0"/>
                <w:szCs w:val="21"/>
                <w:highlight w:val="none"/>
              </w:rPr>
            </w:pPr>
            <w:r>
              <w:rPr>
                <w:rFonts w:hAnsi="宋体"/>
                <w:bCs/>
                <w:color w:val="000000" w:themeColor="text1"/>
                <w:szCs w:val="21"/>
                <w:highlight w:val="none"/>
                <w14:textFill>
                  <w14:solidFill>
                    <w14:schemeClr w14:val="tx1"/>
                  </w14:solidFill>
                </w14:textFill>
              </w:rPr>
              <w:t>造价咨询</w:t>
            </w:r>
            <w:r>
              <w:rPr>
                <w:rFonts w:hAnsi="宋体"/>
                <w:snapToGrid w:val="0"/>
                <w:color w:val="000000" w:themeColor="text1"/>
                <w:kern w:val="0"/>
                <w:szCs w:val="21"/>
                <w:highlight w:val="none"/>
                <w14:textFill>
                  <w14:solidFill>
                    <w14:schemeClr w14:val="tx1"/>
                  </w14:solidFill>
                </w14:textFill>
              </w:rPr>
              <w:t>工作方案</w:t>
            </w:r>
            <w:r>
              <w:rPr>
                <w:rFonts w:hAnsi="宋体"/>
                <w:bCs/>
                <w:color w:val="000000" w:themeColor="text1"/>
                <w:szCs w:val="21"/>
                <w:highlight w:val="none"/>
                <w14:textFill>
                  <w14:solidFill>
                    <w14:schemeClr w14:val="tx1"/>
                  </w14:solidFill>
                </w14:textFill>
              </w:rPr>
              <w:t>（</w:t>
            </w:r>
            <w:r>
              <w:rPr>
                <w:rFonts w:hint="eastAsia"/>
                <w:bCs/>
                <w:color w:val="000000" w:themeColor="text1"/>
                <w:szCs w:val="21"/>
                <w:highlight w:val="none"/>
                <w14:textFill>
                  <w14:solidFill>
                    <w14:schemeClr w14:val="tx1"/>
                  </w14:solidFill>
                </w14:textFill>
              </w:rPr>
              <w:t>4</w:t>
            </w:r>
            <w:r>
              <w:rPr>
                <w:rFonts w:hAnsi="宋体"/>
                <w:bCs/>
                <w:color w:val="000000" w:themeColor="text1"/>
                <w:szCs w:val="21"/>
                <w:highlight w:val="none"/>
                <w14:textFill>
                  <w14:solidFill>
                    <w14:schemeClr w14:val="tx1"/>
                  </w14:solidFill>
                </w14:textFill>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优：造价咨询工作方案内容齐全、结构完整、重点突出、符合规范，针对性强得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3</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良：造价咨询工作方案齐全、符合规范，结构较完整、重点突出性一般、针对性一般，得2-</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.9分；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差：造价咨询工作方案内容不全、结构不完整、重点不突出、针对性差，得 1-1.9分；</w:t>
            </w:r>
          </w:p>
          <w:p>
            <w:pPr>
              <w:pStyle w:val="54"/>
              <w:spacing w:line="360" w:lineRule="auto"/>
              <w:ind w:left="360" w:firstLine="0" w:firstLineChars="0"/>
              <w:rPr>
                <w:rFonts w:ascii="Times New Roman" w:hAnsi="Times New Roman"/>
                <w:snapToGrid w:val="0"/>
                <w:kern w:val="0"/>
                <w:szCs w:val="21"/>
                <w:highlight w:val="none"/>
              </w:rPr>
            </w:pPr>
            <w:r>
              <w:rPr>
                <w:snapToGrid w:val="0"/>
                <w:color w:val="000000" w:themeColor="text1"/>
                <w:kern w:val="0"/>
                <w:szCs w:val="21"/>
                <w:highlight w:val="none"/>
                <w14:textFill>
                  <w14:solidFill>
                    <w14:schemeClr w14:val="tx1"/>
                  </w14:solidFill>
                </w14:textFill>
              </w:rPr>
              <w:t>无</w:t>
            </w:r>
            <w:r>
              <w:rPr>
                <w:snapToGrid w:val="0"/>
                <w:color w:val="000000" w:themeColor="text1"/>
                <w:szCs w:val="21"/>
                <w:highlight w:val="none"/>
                <w14:textFill>
                  <w14:solidFill>
                    <w14:schemeClr w14:val="tx1"/>
                  </w14:solidFill>
                </w14:textFill>
              </w:rPr>
              <w:t>造价咨询工作方案</w:t>
            </w:r>
            <w:r>
              <w:rPr>
                <w:snapToGrid w:val="0"/>
                <w:color w:val="000000" w:themeColor="text1"/>
                <w:kern w:val="0"/>
                <w:szCs w:val="21"/>
                <w:highlight w:val="none"/>
                <w14:textFill>
                  <w14:solidFill>
                    <w14:schemeClr w14:val="tx1"/>
                  </w14:solidFill>
                </w14:textFill>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2" w:type="dxa"/>
            <w:vMerge w:val="continue"/>
            <w:vAlign w:val="center"/>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jc w:val="center"/>
              <w:rPr>
                <w:snapToGrid w:val="0"/>
                <w:kern w:val="0"/>
                <w:szCs w:val="21"/>
                <w:highlight w:val="none"/>
              </w:rPr>
            </w:pPr>
            <w:r>
              <w:rPr>
                <w:rFonts w:hAnsi="宋体"/>
                <w:snapToGrid w:val="0"/>
                <w:color w:val="000000" w:themeColor="text1"/>
                <w:kern w:val="0"/>
                <w:szCs w:val="21"/>
                <w:highlight w:val="none"/>
                <w14:textFill>
                  <w14:solidFill>
                    <w14:schemeClr w14:val="tx1"/>
                  </w14:solidFill>
                </w14:textFill>
              </w:rPr>
              <w:t>项目管理工作方案（</w:t>
            </w:r>
            <w:r>
              <w:rPr>
                <w:rFonts w:hint="eastAsia"/>
                <w:snapToGrid w:val="0"/>
                <w:color w:val="000000" w:themeColor="text1"/>
                <w:kern w:val="0"/>
                <w:szCs w:val="21"/>
                <w:highlight w:val="none"/>
                <w14:textFill>
                  <w14:solidFill>
                    <w14:schemeClr w14:val="tx1"/>
                  </w14:solidFill>
                </w14:textFill>
              </w:rPr>
              <w:t>8</w:t>
            </w:r>
            <w:r>
              <w:rPr>
                <w:rFonts w:hAnsi="宋体"/>
                <w:snapToGrid w:val="0"/>
                <w:color w:val="000000" w:themeColor="text1"/>
                <w:kern w:val="0"/>
                <w:szCs w:val="21"/>
                <w:highlight w:val="none"/>
                <w14:textFill>
                  <w14:solidFill>
                    <w14:schemeClr w14:val="tx1"/>
                  </w14:solidFill>
                </w14:textFill>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优：项目管理工作方案内容齐全、结构完整、重点突出、符合规范，针对性强得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6</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8</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良：项目管理工作方案齐全、符合规范，结构较完整、重点突出性一般、针对性一般，得</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5.9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 xml:space="preserve">差：项目管理工作方案内容不全、结构不完整、重点不突出、针对性差，得 </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3.9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spacing w:line="360" w:lineRule="auto"/>
              <w:ind w:firstLine="420" w:firstLineChars="200"/>
              <w:rPr>
                <w:snapToGrid w:val="0"/>
                <w:kern w:val="0"/>
                <w:szCs w:val="21"/>
                <w:highlight w:val="none"/>
              </w:rPr>
            </w:pPr>
            <w:r>
              <w:rPr>
                <w:snapToGrid w:val="0"/>
                <w:color w:val="000000" w:themeColor="text1"/>
                <w:szCs w:val="21"/>
                <w:highlight w:val="none"/>
                <w14:textFill>
                  <w14:solidFill>
                    <w14:schemeClr w14:val="tx1"/>
                  </w14:solidFill>
                </w14:textFill>
              </w:rPr>
              <w:t>无项目管理工作方案，得0分</w:t>
            </w:r>
            <w:r>
              <w:rPr>
                <w:rFonts w:hint="eastAsia"/>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272" w:type="dxa"/>
            <w:vMerge w:val="continue"/>
            <w:vAlign w:val="center"/>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rPr>
                <w:snapToGrid w:val="0"/>
                <w:kern w:val="0"/>
                <w:szCs w:val="21"/>
                <w:highlight w:val="none"/>
              </w:rPr>
            </w:pPr>
            <w:r>
              <w:rPr>
                <w:rFonts w:hint="eastAsia" w:hAnsi="宋体"/>
                <w:snapToGrid w:val="0"/>
                <w:color w:val="000000" w:themeColor="text1"/>
                <w:kern w:val="0"/>
                <w:szCs w:val="21"/>
                <w:highlight w:val="none"/>
                <w14:textFill>
                  <w14:solidFill>
                    <w14:schemeClr w14:val="tx1"/>
                  </w14:solidFill>
                </w14:textFill>
              </w:rPr>
              <w:t>施工图审查工作方案（4分）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优：施工图审查工作方案内容齐全、结构完整、重点突出、符合规范，针对性强得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3</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良：施工图审查工作方案齐全、符合规范，结构较完整、重点突出性一般、针对性一般，得</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2.9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 xml:space="preserve">差：施工图审查工作方案内容不全、结构不完整、重点不突出、针对性差，得 </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.9分；</w:t>
            </w:r>
          </w:p>
          <w:p>
            <w:pPr>
              <w:spacing w:line="360" w:lineRule="auto"/>
              <w:ind w:firstLine="420" w:firstLineChars="200"/>
              <w:rPr>
                <w:snapToGrid w:val="0"/>
                <w:sz w:val="22"/>
                <w:highlight w:val="none"/>
              </w:rPr>
            </w:pPr>
            <w:r>
              <w:rPr>
                <w:snapToGrid w:val="0"/>
                <w:color w:val="000000" w:themeColor="text1"/>
                <w:szCs w:val="21"/>
                <w:highlight w:val="none"/>
                <w14:textFill>
                  <w14:solidFill>
                    <w14:schemeClr w14:val="tx1"/>
                  </w14:solidFill>
                </w14:textFill>
              </w:rPr>
              <w:t>无施工图审查工作方案，得0分。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272" w:type="dxa"/>
            <w:vMerge w:val="continue"/>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rPr>
                <w:snapToGrid w:val="0"/>
                <w:kern w:val="0"/>
                <w:szCs w:val="21"/>
                <w:highlight w:val="none"/>
              </w:rPr>
            </w:pPr>
            <w:r>
              <w:rPr>
                <w:rFonts w:hAnsi="宋体"/>
                <w:snapToGrid w:val="0"/>
                <w:color w:val="000000" w:themeColor="text1"/>
                <w:kern w:val="0"/>
                <w:szCs w:val="21"/>
                <w:highlight w:val="none"/>
                <w14:textFill>
                  <w14:solidFill>
                    <w14:schemeClr w14:val="tx1"/>
                  </w14:solidFill>
                </w14:textFill>
              </w:rPr>
              <w:t>水土保持</w:t>
            </w:r>
            <w:r>
              <w:rPr>
                <w:rFonts w:hint="eastAsia" w:hAnsi="宋体"/>
                <w:snapToGrid w:val="0"/>
                <w:color w:val="000000" w:themeColor="text1"/>
                <w:kern w:val="0"/>
                <w:szCs w:val="21"/>
                <w:highlight w:val="none"/>
                <w14:textFill>
                  <w14:solidFill>
                    <w14:schemeClr w14:val="tx1"/>
                  </w14:solidFill>
                </w14:textFill>
              </w:rPr>
              <w:t>监测</w:t>
            </w:r>
            <w:r>
              <w:rPr>
                <w:rFonts w:hAnsi="宋体"/>
                <w:snapToGrid w:val="0"/>
                <w:color w:val="000000" w:themeColor="text1"/>
                <w:kern w:val="0"/>
                <w:szCs w:val="21"/>
                <w:highlight w:val="none"/>
                <w14:textFill>
                  <w14:solidFill>
                    <w14:schemeClr w14:val="tx1"/>
                  </w14:solidFill>
                </w14:textFill>
              </w:rPr>
              <w:t>工作方案（</w:t>
            </w:r>
            <w:r>
              <w:rPr>
                <w:rFonts w:hint="eastAsia"/>
                <w:snapToGrid w:val="0"/>
                <w:color w:val="000000" w:themeColor="text1"/>
                <w:kern w:val="0"/>
                <w:szCs w:val="21"/>
                <w:highlight w:val="none"/>
                <w14:textFill>
                  <w14:solidFill>
                    <w14:schemeClr w14:val="tx1"/>
                  </w14:solidFill>
                </w14:textFill>
              </w:rPr>
              <w:t>4</w:t>
            </w:r>
            <w:r>
              <w:rPr>
                <w:rFonts w:hAnsi="宋体"/>
                <w:snapToGrid w:val="0"/>
                <w:color w:val="000000" w:themeColor="text1"/>
                <w:kern w:val="0"/>
                <w:szCs w:val="21"/>
                <w:highlight w:val="none"/>
                <w14:textFill>
                  <w14:solidFill>
                    <w14:schemeClr w14:val="tx1"/>
                  </w14:solidFill>
                </w14:textFill>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优：水土保持工作方案内容齐全、结构完整、重点突出、符合规范，针对性强得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3</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良：水土保持工作方案齐全、符合规范，结构较完整、重点突出性一般、针对性一般，得</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 xml:space="preserve">差：水土保持工作方案内容不全、结构不完整、重点不突出、针对性差，得 </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.9分；</w:t>
            </w:r>
          </w:p>
          <w:p>
            <w:pPr>
              <w:pStyle w:val="65"/>
              <w:spacing w:line="0" w:lineRule="atLeast"/>
              <w:ind w:firstLine="420" w:firstLineChars="200"/>
              <w:jc w:val="both"/>
              <w:rPr>
                <w:rFonts w:ascii="Times New Roman" w:hAnsi="Times New Roman"/>
                <w:snapToGrid w:val="0"/>
                <w:sz w:val="22"/>
                <w:highlight w:val="none"/>
                <w:lang w:val="en-US"/>
              </w:rPr>
            </w:pPr>
            <w:r>
              <w:rPr>
                <w:rFonts w:ascii="Times New Roman" w:hAnsi="Times New Roman"/>
                <w:snapToGrid w:val="0"/>
                <w:color w:val="000000" w:themeColor="text1"/>
                <w:sz w:val="21"/>
                <w:szCs w:val="21"/>
                <w:highlight w:val="none"/>
                <w14:textFill>
                  <w14:solidFill>
                    <w14:schemeClr w14:val="tx1"/>
                  </w14:solidFill>
                </w14:textFill>
              </w:rPr>
              <w:t>无水土保持工作方案，得0分。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272" w:type="dxa"/>
            <w:vMerge w:val="continue"/>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rPr>
                <w:snapToGrid w:val="0"/>
                <w:kern w:val="0"/>
                <w:szCs w:val="21"/>
                <w:highlight w:val="none"/>
              </w:rPr>
            </w:pPr>
            <w:r>
              <w:rPr>
                <w:rFonts w:hAnsi="宋体"/>
                <w:snapToGrid w:val="0"/>
                <w:color w:val="000000" w:themeColor="text1"/>
                <w:kern w:val="0"/>
                <w:szCs w:val="21"/>
                <w:highlight w:val="none"/>
                <w14:textFill>
                  <w14:solidFill>
                    <w14:schemeClr w14:val="tx1"/>
                  </w14:solidFill>
                </w14:textFill>
              </w:rPr>
              <w:t>环境保护</w:t>
            </w:r>
            <w:r>
              <w:rPr>
                <w:rFonts w:hint="eastAsia" w:hAnsi="宋体"/>
                <w:snapToGrid w:val="0"/>
                <w:color w:val="000000" w:themeColor="text1"/>
                <w:kern w:val="0"/>
                <w:szCs w:val="21"/>
                <w:highlight w:val="none"/>
                <w14:textFill>
                  <w14:solidFill>
                    <w14:schemeClr w14:val="tx1"/>
                  </w14:solidFill>
                </w14:textFill>
              </w:rPr>
              <w:t>监测</w:t>
            </w:r>
            <w:r>
              <w:rPr>
                <w:rFonts w:hAnsi="宋体"/>
                <w:snapToGrid w:val="0"/>
                <w:color w:val="000000" w:themeColor="text1"/>
                <w:kern w:val="0"/>
                <w:szCs w:val="21"/>
                <w:highlight w:val="none"/>
                <w14:textFill>
                  <w14:solidFill>
                    <w14:schemeClr w14:val="tx1"/>
                  </w14:solidFill>
                </w14:textFill>
              </w:rPr>
              <w:t>工作方案（</w:t>
            </w:r>
            <w:r>
              <w:rPr>
                <w:rFonts w:hint="eastAsia"/>
                <w:snapToGrid w:val="0"/>
                <w:color w:val="000000" w:themeColor="text1"/>
                <w:kern w:val="0"/>
                <w:szCs w:val="21"/>
                <w:highlight w:val="none"/>
                <w14:textFill>
                  <w14:solidFill>
                    <w14:schemeClr w14:val="tx1"/>
                  </w14:solidFill>
                </w14:textFill>
              </w:rPr>
              <w:t>4</w:t>
            </w:r>
            <w:r>
              <w:rPr>
                <w:rFonts w:hAnsi="宋体"/>
                <w:snapToGrid w:val="0"/>
                <w:color w:val="000000" w:themeColor="text1"/>
                <w:kern w:val="0"/>
                <w:szCs w:val="21"/>
                <w:highlight w:val="none"/>
                <w14:textFill>
                  <w14:solidFill>
                    <w14:schemeClr w14:val="tx1"/>
                  </w14:solidFill>
                </w14:textFill>
              </w:rPr>
              <w:t>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优：环境保护工作方案内容齐全、结构完整、重点突出、符合规范，针对性强得</w:t>
            </w:r>
            <w:r>
              <w:rPr>
                <w:rFonts w:hint="eastAsia" w:ascii="Times New Roman" w:hAnsi="Times New Roman"/>
                <w:snapToGrid w:val="0"/>
                <w:color w:val="000000" w:themeColor="text1"/>
                <w:sz w:val="21"/>
                <w:szCs w:val="21"/>
                <w:highlight w:val="none"/>
                <w:lang w:val="en-US"/>
                <w14:textFill>
                  <w14:solidFill>
                    <w14:schemeClr w14:val="tx1"/>
                  </w14:solidFill>
                </w14:textFill>
              </w:rPr>
              <w:t>3</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4</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良：环境保护工作方案齐全、符合规范，结构较完整、重点突出性一般、针对性一般，得</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2</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9</w:t>
            </w:r>
            <w:r>
              <w:rPr>
                <w:rFonts w:ascii="Times New Roman" w:hAnsi="Times New Roman"/>
                <w:snapToGrid w:val="0"/>
                <w:color w:val="000000" w:themeColor="text1"/>
                <w:sz w:val="21"/>
                <w:szCs w:val="21"/>
                <w:highlight w:val="none"/>
                <w:lang w:val="en-US"/>
                <w14:textFill>
                  <w14:solidFill>
                    <w14:schemeClr w14:val="tx1"/>
                  </w14:solidFill>
                </w14:textFill>
              </w:rPr>
              <w:t>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差：环境保护工作方案内容不全、结构不完整、重点不突出、针对性差，得</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w:t>
            </w:r>
            <w:r>
              <w:rPr>
                <w:rFonts w:hint="eastAsia" w:ascii="Times New Roman" w:hAnsi="Times New Roman"/>
                <w:snapToGrid w:val="0"/>
                <w:color w:val="000000" w:themeColor="text1"/>
                <w:sz w:val="21"/>
                <w:szCs w:val="21"/>
                <w:highlight w:val="none"/>
                <w:lang w:val="en-US"/>
                <w14:textFill>
                  <w14:solidFill>
                    <w14:schemeClr w14:val="tx1"/>
                  </w14:solidFill>
                </w14:textFill>
              </w:rPr>
              <w:t>1</w:t>
            </w:r>
            <w:r>
              <w:rPr>
                <w:rFonts w:ascii="Times New Roman" w:hAnsi="Times New Roman"/>
                <w:snapToGrid w:val="0"/>
                <w:color w:val="000000" w:themeColor="text1"/>
                <w:sz w:val="21"/>
                <w:szCs w:val="21"/>
                <w:highlight w:val="none"/>
                <w:lang w:val="en-US"/>
                <w14:textFill>
                  <w14:solidFill>
                    <w14:schemeClr w14:val="tx1"/>
                  </w14:solidFill>
                </w14:textFill>
              </w:rPr>
              <w:t>.9分；</w:t>
            </w:r>
          </w:p>
          <w:p>
            <w:pPr>
              <w:pStyle w:val="65"/>
              <w:spacing w:line="0" w:lineRule="atLeast"/>
              <w:ind w:firstLine="420" w:firstLineChars="200"/>
              <w:jc w:val="both"/>
              <w:rPr>
                <w:rFonts w:ascii="Times New Roman" w:hAnsi="Times New Roman"/>
                <w:snapToGrid w:val="0"/>
                <w:sz w:val="22"/>
                <w:highlight w:val="none"/>
                <w:lang w:val="en-US"/>
              </w:rPr>
            </w:pPr>
            <w:r>
              <w:rPr>
                <w:rFonts w:ascii="Times New Roman" w:hAnsi="Times New Roman"/>
                <w:snapToGrid w:val="0"/>
                <w:color w:val="000000" w:themeColor="text1"/>
                <w:sz w:val="21"/>
                <w:szCs w:val="21"/>
                <w:highlight w:val="none"/>
                <w14:textFill>
                  <w14:solidFill>
                    <w14:schemeClr w14:val="tx1"/>
                  </w14:solidFill>
                </w14:textFill>
              </w:rPr>
              <w:t>无环境保护工作方案，得0分。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272" w:type="dxa"/>
            <w:vMerge w:val="continue"/>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pStyle w:val="2"/>
              <w:jc w:val="both"/>
              <w:rPr>
                <w:snapToGrid w:val="0"/>
                <w:color w:val="000000" w:themeColor="text1"/>
                <w:kern w:val="0"/>
                <w:szCs w:val="21"/>
                <w:highlight w:val="none"/>
                <w14:textFill>
                  <w14:solidFill>
                    <w14:schemeClr w14:val="tx1"/>
                  </w14:solidFill>
                </w14:textFill>
              </w:rPr>
            </w:pPr>
            <w:r>
              <w:rPr>
                <w:rFonts w:hint="eastAsia" w:ascii="Times New Roman" w:hAnsi="宋体" w:eastAsia="宋体" w:cs="Times New Roman"/>
                <w:b w:val="0"/>
                <w:bCs w:val="0"/>
                <w:snapToGrid w:val="0"/>
                <w:color w:val="000000" w:themeColor="text1"/>
                <w:kern w:val="0"/>
                <w:sz w:val="21"/>
                <w:szCs w:val="21"/>
                <w:highlight w:val="none"/>
                <w14:textFill>
                  <w14:solidFill>
                    <w14:schemeClr w14:val="tx1"/>
                  </w14:solidFill>
                </w14:textFill>
              </w:rPr>
              <w:t>施工期安全监测工作方案（4分）</w:t>
            </w:r>
          </w:p>
        </w:tc>
        <w:tc>
          <w:tcPr>
            <w:tcW w:w="4845" w:type="dxa"/>
          </w:tcPr>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优：</w:t>
            </w:r>
            <w:r>
              <w:rPr>
                <w:rFonts w:hint="eastAsia" w:ascii="Times New Roman" w:hAnsi="Times New Roman"/>
                <w:snapToGrid w:val="0"/>
                <w:color w:val="000000" w:themeColor="text1"/>
                <w:sz w:val="21"/>
                <w:szCs w:val="21"/>
                <w:highlight w:val="none"/>
                <w:lang w:val="en-US"/>
                <w14:textFill>
                  <w14:solidFill>
                    <w14:schemeClr w14:val="tx1"/>
                  </w14:solidFill>
                </w14:textFill>
              </w:rPr>
              <w:t>施工期安全监测工作方案</w:t>
            </w:r>
            <w:r>
              <w:rPr>
                <w:rFonts w:ascii="Times New Roman" w:hAnsi="Times New Roman"/>
                <w:snapToGrid w:val="0"/>
                <w:color w:val="000000" w:themeColor="text1"/>
                <w:sz w:val="21"/>
                <w:szCs w:val="21"/>
                <w:highlight w:val="none"/>
                <w:lang w:val="en-US"/>
                <w14:textFill>
                  <w14:solidFill>
                    <w14:schemeClr w14:val="tx1"/>
                  </w14:solidFill>
                </w14:textFill>
              </w:rPr>
              <w:t>内容齐全、结构完整、重点突出、符合规范，针对性强得3-4分；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良：</w:t>
            </w:r>
            <w:r>
              <w:rPr>
                <w:rFonts w:hint="eastAsia" w:ascii="Times New Roman" w:hAnsi="Times New Roman"/>
                <w:snapToGrid w:val="0"/>
                <w:color w:val="000000" w:themeColor="text1"/>
                <w:sz w:val="21"/>
                <w:szCs w:val="21"/>
                <w:highlight w:val="none"/>
                <w:lang w:val="en-US"/>
                <w14:textFill>
                  <w14:solidFill>
                    <w14:schemeClr w14:val="tx1"/>
                  </w14:solidFill>
                </w14:textFill>
              </w:rPr>
              <w:t>施工期安全监测工作方案</w:t>
            </w:r>
            <w:r>
              <w:rPr>
                <w:rFonts w:ascii="Times New Roman" w:hAnsi="Times New Roman"/>
                <w:snapToGrid w:val="0"/>
                <w:color w:val="000000" w:themeColor="text1"/>
                <w:sz w:val="21"/>
                <w:szCs w:val="21"/>
                <w:highlight w:val="none"/>
                <w:lang w:val="en-US"/>
                <w14:textFill>
                  <w14:solidFill>
                    <w14:schemeClr w14:val="tx1"/>
                  </w14:solidFill>
                </w14:textFill>
              </w:rPr>
              <w:t>齐全、符合规范，结构较完整、重点突出性一般、针对性一般，得2-2.9分；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lang w:val="en-US"/>
                <w14:textFill>
                  <w14:solidFill>
                    <w14:schemeClr w14:val="tx1"/>
                  </w14:solidFill>
                </w14:textFill>
              </w:rPr>
              <w:t>差：</w:t>
            </w:r>
            <w:r>
              <w:rPr>
                <w:rFonts w:hint="eastAsia" w:ascii="Times New Roman" w:hAnsi="Times New Roman"/>
                <w:snapToGrid w:val="0"/>
                <w:color w:val="000000" w:themeColor="text1"/>
                <w:sz w:val="21"/>
                <w:szCs w:val="21"/>
                <w:highlight w:val="none"/>
                <w:lang w:val="en-US"/>
                <w14:textFill>
                  <w14:solidFill>
                    <w14:schemeClr w14:val="tx1"/>
                  </w14:solidFill>
                </w14:textFill>
              </w:rPr>
              <w:t>施工期安全监测工作方案</w:t>
            </w:r>
            <w:r>
              <w:rPr>
                <w:rFonts w:ascii="Times New Roman" w:hAnsi="Times New Roman"/>
                <w:snapToGrid w:val="0"/>
                <w:color w:val="000000" w:themeColor="text1"/>
                <w:sz w:val="21"/>
                <w:szCs w:val="21"/>
                <w:highlight w:val="none"/>
                <w:lang w:val="en-US"/>
                <w14:textFill>
                  <w14:solidFill>
                    <w14:schemeClr w14:val="tx1"/>
                  </w14:solidFill>
                </w14:textFill>
              </w:rPr>
              <w:t>内容不全、结构不完整、重点不突出、针对性差，得 1-1.9分；</w:t>
            </w:r>
          </w:p>
          <w:p>
            <w:pPr>
              <w:pStyle w:val="65"/>
              <w:spacing w:line="0" w:lineRule="atLeast"/>
              <w:ind w:firstLine="420" w:firstLineChars="200"/>
              <w:jc w:val="both"/>
              <w:rPr>
                <w:rFonts w:ascii="Times New Roman" w:hAnsi="Times New Roman"/>
                <w:snapToGrid w:val="0"/>
                <w:color w:val="000000" w:themeColor="text1"/>
                <w:sz w:val="21"/>
                <w:szCs w:val="21"/>
                <w:highlight w:val="none"/>
                <w:lang w:val="en-US"/>
                <w14:textFill>
                  <w14:solidFill>
                    <w14:schemeClr w14:val="tx1"/>
                  </w14:solidFill>
                </w14:textFill>
              </w:rPr>
            </w:pPr>
            <w:r>
              <w:rPr>
                <w:rFonts w:ascii="Times New Roman" w:hAnsi="Times New Roman"/>
                <w:snapToGrid w:val="0"/>
                <w:color w:val="000000" w:themeColor="text1"/>
                <w:sz w:val="21"/>
                <w:szCs w:val="21"/>
                <w:highlight w:val="none"/>
                <w14:textFill>
                  <w14:solidFill>
                    <w14:schemeClr w14:val="tx1"/>
                  </w14:solidFill>
                </w14:textFill>
              </w:rPr>
              <w:t>无</w:t>
            </w:r>
            <w:r>
              <w:rPr>
                <w:rFonts w:hint="eastAsia" w:ascii="Times New Roman" w:hAnsi="Times New Roman"/>
                <w:snapToGrid w:val="0"/>
                <w:color w:val="000000" w:themeColor="text1"/>
                <w:sz w:val="21"/>
                <w:szCs w:val="21"/>
                <w:highlight w:val="none"/>
                <w:lang w:val="en-US"/>
                <w14:textFill>
                  <w14:solidFill>
                    <w14:schemeClr w14:val="tx1"/>
                  </w14:solidFill>
                </w14:textFill>
              </w:rPr>
              <w:t>施工期安全监</w:t>
            </w:r>
            <w:r>
              <w:rPr>
                <w:rFonts w:ascii="Times New Roman" w:hAnsi="Times New Roman"/>
                <w:snapToGrid w:val="0"/>
                <w:color w:val="000000" w:themeColor="text1"/>
                <w:sz w:val="21"/>
                <w:szCs w:val="21"/>
                <w:highlight w:val="none"/>
                <w14:textFill>
                  <w14:solidFill>
                    <w14:schemeClr w14:val="tx1"/>
                  </w14:solidFill>
                </w14:textFill>
              </w:rPr>
              <w:t>测工作方案，得0分。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272" w:type="dxa"/>
            <w:vMerge w:val="restart"/>
            <w:vAlign w:val="center"/>
          </w:tcPr>
          <w:p>
            <w:pPr>
              <w:jc w:val="center"/>
              <w:rPr>
                <w:snapToGrid w:val="0"/>
                <w:kern w:val="0"/>
                <w:szCs w:val="21"/>
                <w:highlight w:val="none"/>
              </w:rPr>
            </w:pPr>
            <w:r>
              <w:rPr>
                <w:snapToGrid w:val="0"/>
                <w:kern w:val="0"/>
                <w:szCs w:val="21"/>
                <w:highlight w:val="none"/>
              </w:rPr>
              <w:t>资信</w:t>
            </w:r>
          </w:p>
          <w:p>
            <w:pPr>
              <w:jc w:val="center"/>
              <w:rPr>
                <w:snapToGrid w:val="0"/>
                <w:kern w:val="0"/>
                <w:szCs w:val="21"/>
                <w:highlight w:val="none"/>
              </w:rPr>
            </w:pPr>
            <w:r>
              <w:rPr>
                <w:snapToGrid w:val="0"/>
                <w:kern w:val="0"/>
                <w:szCs w:val="21"/>
                <w:highlight w:val="none"/>
              </w:rPr>
              <w:t>部分</w:t>
            </w:r>
          </w:p>
          <w:p>
            <w:pPr>
              <w:jc w:val="center"/>
              <w:rPr>
                <w:snapToGrid w:val="0"/>
                <w:kern w:val="0"/>
                <w:szCs w:val="21"/>
                <w:highlight w:val="none"/>
              </w:rPr>
            </w:pPr>
            <w:r>
              <w:rPr>
                <w:snapToGrid w:val="0"/>
                <w:kern w:val="0"/>
                <w:szCs w:val="21"/>
                <w:highlight w:val="none"/>
              </w:rPr>
              <w:t>（</w:t>
            </w:r>
            <w:r>
              <w:rPr>
                <w:rFonts w:hint="eastAsia"/>
                <w:snapToGrid w:val="0"/>
                <w:kern w:val="0"/>
                <w:szCs w:val="21"/>
                <w:highlight w:val="none"/>
              </w:rPr>
              <w:t>4</w:t>
            </w:r>
            <w:r>
              <w:rPr>
                <w:rFonts w:hAnsi="宋体"/>
                <w:snapToGrid w:val="0"/>
                <w:kern w:val="0"/>
                <w:szCs w:val="21"/>
                <w:highlight w:val="none"/>
              </w:rPr>
              <w:t>分）</w:t>
            </w:r>
          </w:p>
        </w:tc>
        <w:tc>
          <w:tcPr>
            <w:tcW w:w="1344" w:type="dxa"/>
            <w:vMerge w:val="restart"/>
            <w:vAlign w:val="center"/>
          </w:tcPr>
          <w:p>
            <w:pPr>
              <w:jc w:val="center"/>
              <w:rPr>
                <w:snapToGrid w:val="0"/>
                <w:kern w:val="0"/>
                <w:szCs w:val="21"/>
                <w:highlight w:val="none"/>
              </w:rPr>
            </w:pPr>
            <w:r>
              <w:rPr>
                <w:snapToGrid w:val="0"/>
                <w:kern w:val="0"/>
                <w:szCs w:val="21"/>
                <w:highlight w:val="none"/>
              </w:rPr>
              <w:t>业绩与荣誉</w:t>
            </w:r>
          </w:p>
          <w:p>
            <w:pPr>
              <w:jc w:val="center"/>
              <w:rPr>
                <w:snapToGrid w:val="0"/>
                <w:kern w:val="0"/>
                <w:szCs w:val="21"/>
                <w:highlight w:val="none"/>
              </w:rPr>
            </w:pPr>
            <w:r>
              <w:rPr>
                <w:snapToGrid w:val="0"/>
                <w:kern w:val="0"/>
                <w:szCs w:val="21"/>
                <w:highlight w:val="none"/>
              </w:rPr>
              <w:t>（</w:t>
            </w:r>
            <w:r>
              <w:rPr>
                <w:rFonts w:hint="eastAsia"/>
                <w:snapToGrid w:val="0"/>
                <w:kern w:val="0"/>
                <w:szCs w:val="21"/>
                <w:highlight w:val="none"/>
              </w:rPr>
              <w:t>4</w:t>
            </w:r>
            <w:r>
              <w:rPr>
                <w:rFonts w:hAnsi="宋体"/>
                <w:snapToGrid w:val="0"/>
                <w:kern w:val="0"/>
                <w:szCs w:val="21"/>
                <w:highlight w:val="none"/>
              </w:rPr>
              <w:t>分）</w:t>
            </w:r>
          </w:p>
        </w:tc>
        <w:tc>
          <w:tcPr>
            <w:tcW w:w="1511" w:type="dxa"/>
            <w:vAlign w:val="center"/>
          </w:tcPr>
          <w:p>
            <w:pPr>
              <w:jc w:val="center"/>
              <w:rPr>
                <w:snapToGrid w:val="0"/>
                <w:kern w:val="0"/>
                <w:szCs w:val="21"/>
                <w:highlight w:val="none"/>
              </w:rPr>
            </w:pPr>
            <w:r>
              <w:rPr>
                <w:rFonts w:hAnsi="宋体"/>
                <w:snapToGrid w:val="0"/>
                <w:kern w:val="0"/>
                <w:szCs w:val="21"/>
                <w:highlight w:val="none"/>
              </w:rPr>
              <w:t>企业业绩与荣誉</w:t>
            </w:r>
            <w:r>
              <w:rPr>
                <w:snapToGrid w:val="0"/>
                <w:kern w:val="0"/>
                <w:szCs w:val="21"/>
                <w:highlight w:val="none"/>
              </w:rPr>
              <w:t>（</w:t>
            </w:r>
            <w:r>
              <w:rPr>
                <w:rFonts w:hint="eastAsia"/>
                <w:snapToGrid w:val="0"/>
                <w:kern w:val="0"/>
                <w:szCs w:val="21"/>
                <w:highlight w:val="none"/>
              </w:rPr>
              <w:t>3</w:t>
            </w:r>
            <w:r>
              <w:rPr>
                <w:rFonts w:hAnsi="宋体"/>
                <w:snapToGrid w:val="0"/>
                <w:kern w:val="0"/>
                <w:szCs w:val="21"/>
                <w:highlight w:val="none"/>
              </w:rPr>
              <w:t>分）</w:t>
            </w:r>
          </w:p>
        </w:tc>
        <w:tc>
          <w:tcPr>
            <w:tcW w:w="4845" w:type="dxa"/>
          </w:tcPr>
          <w:p>
            <w:pPr>
              <w:spacing w:line="0" w:lineRule="atLeast"/>
              <w:ind w:firstLine="420" w:firstLineChars="200"/>
              <w:rPr>
                <w:rFonts w:ascii="宋体" w:hAnsi="宋体"/>
                <w:snapToGrid w:val="0"/>
                <w:color w:val="000000" w:themeColor="text1"/>
                <w:kern w:val="0"/>
                <w:szCs w:val="21"/>
                <w:highlight w:val="none"/>
                <w:lang w:val="zh-CN"/>
                <w14:textFill>
                  <w14:solidFill>
                    <w14:schemeClr w14:val="tx1"/>
                  </w14:solidFill>
                </w14:textFill>
              </w:rPr>
            </w:pPr>
            <w:r>
              <w:rPr>
                <w:rFonts w:ascii="宋体" w:hAnsi="宋体"/>
                <w:snapToGrid w:val="0"/>
                <w:color w:val="000000" w:themeColor="text1"/>
                <w:kern w:val="0"/>
                <w:szCs w:val="21"/>
                <w:highlight w:val="none"/>
                <w:lang w:val="zh-CN"/>
                <w14:textFill>
                  <w14:solidFill>
                    <w14:schemeClr w14:val="tx1"/>
                  </w14:solidFill>
                </w14:textFill>
              </w:rPr>
              <w:t>投标人自201</w:t>
            </w:r>
            <w:r>
              <w:rPr>
                <w:rFonts w:hint="eastAsia" w:ascii="宋体" w:hAnsi="宋体"/>
                <w:snapToGrid w:val="0"/>
                <w:color w:val="000000" w:themeColor="text1"/>
                <w:kern w:val="0"/>
                <w:szCs w:val="21"/>
                <w:highlight w:val="none"/>
                <w:lang w:val="zh-CN"/>
                <w14:textFill>
                  <w14:solidFill>
                    <w14:schemeClr w14:val="tx1"/>
                  </w14:solidFill>
                </w14:textFill>
              </w:rPr>
              <w:t>8</w:t>
            </w:r>
            <w:r>
              <w:rPr>
                <w:rFonts w:ascii="宋体" w:hAnsi="宋体"/>
                <w:snapToGrid w:val="0"/>
                <w:color w:val="000000" w:themeColor="text1"/>
                <w:kern w:val="0"/>
                <w:szCs w:val="21"/>
                <w:highlight w:val="none"/>
                <w:lang w:val="zh-CN"/>
                <w14:textFill>
                  <w14:solidFill>
                    <w14:schemeClr w14:val="tx1"/>
                  </w14:solidFill>
                </w14:textFill>
              </w:rPr>
              <w:t>年1月1日（以合同签订时间为准）以来，</w:t>
            </w:r>
            <w:r>
              <w:rPr>
                <w:rFonts w:hint="eastAsia" w:ascii="宋体" w:hAnsi="宋体"/>
                <w:snapToGrid w:val="0"/>
                <w:color w:val="000000" w:themeColor="text1"/>
                <w:kern w:val="0"/>
                <w:szCs w:val="21"/>
                <w:highlight w:val="none"/>
                <w:lang w:val="zh-CN"/>
                <w14:textFill>
                  <w14:solidFill>
                    <w14:schemeClr w14:val="tx1"/>
                  </w14:solidFill>
                </w14:textFill>
              </w:rPr>
              <w:t>单独或以牵头人身份</w:t>
            </w:r>
            <w:r>
              <w:rPr>
                <w:rFonts w:ascii="宋体" w:hAnsi="宋体"/>
                <w:snapToGrid w:val="0"/>
                <w:color w:val="000000" w:themeColor="text1"/>
                <w:kern w:val="0"/>
                <w:szCs w:val="21"/>
                <w:highlight w:val="none"/>
                <w:lang w:val="zh-CN"/>
                <w14:textFill>
                  <w14:solidFill>
                    <w14:schemeClr w14:val="tx1"/>
                  </w14:solidFill>
                </w14:textFill>
              </w:rPr>
              <w:t>承担过</w:t>
            </w:r>
            <w:r>
              <w:rPr>
                <w:rFonts w:hint="eastAsia" w:ascii="宋体" w:hAnsi="宋体"/>
                <w:snapToGrid w:val="0"/>
                <w:color w:val="000000" w:themeColor="text1"/>
                <w:kern w:val="0"/>
                <w:szCs w:val="21"/>
                <w:highlight w:val="none"/>
                <w:lang w:val="zh-CN"/>
                <w14:textFill>
                  <w14:solidFill>
                    <w14:schemeClr w14:val="tx1"/>
                  </w14:solidFill>
                </w14:textFill>
              </w:rPr>
              <w:t>总投资大于</w:t>
            </w:r>
            <w:r>
              <w:rPr>
                <w:rFonts w:ascii="宋体" w:hAnsi="宋体"/>
                <w:snapToGrid w:val="0"/>
                <w:color w:val="000000" w:themeColor="text1"/>
                <w:kern w:val="0"/>
                <w:szCs w:val="21"/>
                <w:highlight w:val="none"/>
                <w:lang w:val="zh-CN"/>
                <w14:textFill>
                  <w14:solidFill>
                    <w14:schemeClr w14:val="tx1"/>
                  </w14:solidFill>
                </w14:textFill>
              </w:rPr>
              <w:t>2</w:t>
            </w:r>
            <w:r>
              <w:rPr>
                <w:rFonts w:hint="eastAsia" w:ascii="宋体" w:hAnsi="宋体"/>
                <w:snapToGrid w:val="0"/>
                <w:color w:val="000000" w:themeColor="text1"/>
                <w:kern w:val="0"/>
                <w:szCs w:val="21"/>
                <w:highlight w:val="none"/>
                <w:lang w:val="zh-CN"/>
                <w14:textFill>
                  <w14:solidFill>
                    <w14:schemeClr w14:val="tx1"/>
                  </w14:solidFill>
                </w14:textFill>
              </w:rPr>
              <w:t>亿元的</w:t>
            </w:r>
            <w:r>
              <w:rPr>
                <w:rFonts w:ascii="宋体" w:hAnsi="宋体"/>
                <w:snapToGrid w:val="0"/>
                <w:color w:val="000000" w:themeColor="text1"/>
                <w:kern w:val="0"/>
                <w:szCs w:val="21"/>
                <w:highlight w:val="none"/>
                <w:lang w:val="zh-CN"/>
                <w14:textFill>
                  <w14:solidFill>
                    <w14:schemeClr w14:val="tx1"/>
                  </w14:solidFill>
                </w14:textFill>
              </w:rPr>
              <w:t>全过程</w:t>
            </w:r>
            <w:r>
              <w:rPr>
                <w:rFonts w:hint="eastAsia" w:ascii="宋体" w:hAnsi="宋体"/>
                <w:snapToGrid w:val="0"/>
                <w:color w:val="000000" w:themeColor="text1"/>
                <w:kern w:val="0"/>
                <w:szCs w:val="21"/>
                <w:highlight w:val="none"/>
                <w:lang w:val="zh-CN"/>
                <w14:textFill>
                  <w14:solidFill>
                    <w14:schemeClr w14:val="tx1"/>
                  </w14:solidFill>
                </w14:textFill>
              </w:rPr>
              <w:t>工程</w:t>
            </w:r>
            <w:r>
              <w:rPr>
                <w:rFonts w:ascii="宋体" w:hAnsi="宋体"/>
                <w:snapToGrid w:val="0"/>
                <w:color w:val="000000" w:themeColor="text1"/>
                <w:kern w:val="0"/>
                <w:szCs w:val="21"/>
                <w:highlight w:val="none"/>
                <w:lang w:val="zh-CN"/>
                <w14:textFill>
                  <w14:solidFill>
                    <w14:schemeClr w14:val="tx1"/>
                  </w14:solidFill>
                </w14:textFill>
              </w:rPr>
              <w:t>咨询业绩</w:t>
            </w:r>
            <w:r>
              <w:rPr>
                <w:rFonts w:hint="eastAsia" w:ascii="宋体" w:hAnsi="宋体"/>
                <w:snapToGrid w:val="0"/>
                <w:color w:val="000000" w:themeColor="text1"/>
                <w:kern w:val="0"/>
                <w:szCs w:val="21"/>
                <w:highlight w:val="none"/>
                <w:lang w:val="zh-CN"/>
                <w14:textFill>
                  <w14:solidFill>
                    <w14:schemeClr w14:val="tx1"/>
                  </w14:solidFill>
                </w14:textFill>
              </w:rPr>
              <w:t>，该业绩同时具有①项目管理或综合性咨询；②施工期全过程造价咨询或施工阶段造价控制；③如下工作内容中的任意</w:t>
            </w:r>
            <w:r>
              <w:rPr>
                <w:rFonts w:hint="eastAsia" w:ascii="宋体" w:hAnsi="宋体"/>
                <w:snapToGrid w:val="0"/>
                <w:color w:val="000000" w:themeColor="text1"/>
                <w:kern w:val="0"/>
                <w:szCs w:val="21"/>
                <w:highlight w:val="none"/>
                <w14:textFill>
                  <w14:solidFill>
                    <w14:schemeClr w14:val="tx1"/>
                  </w14:solidFill>
                </w14:textFill>
              </w:rPr>
              <w:t>1</w:t>
            </w:r>
            <w:r>
              <w:rPr>
                <w:rFonts w:hint="eastAsia" w:ascii="宋体" w:hAnsi="宋体"/>
                <w:snapToGrid w:val="0"/>
                <w:color w:val="000000" w:themeColor="text1"/>
                <w:kern w:val="0"/>
                <w:szCs w:val="21"/>
                <w:highlight w:val="none"/>
                <w:lang w:val="zh-CN"/>
                <w14:textFill>
                  <w14:solidFill>
                    <w14:schemeClr w14:val="tx1"/>
                  </w14:solidFill>
                </w14:textFill>
              </w:rPr>
              <w:t>项：a.施工图审查、</w:t>
            </w:r>
            <w:r>
              <w:rPr>
                <w:rFonts w:ascii="宋体" w:hAnsi="宋体"/>
                <w:snapToGrid w:val="0"/>
                <w:color w:val="000000" w:themeColor="text1"/>
                <w:kern w:val="0"/>
                <w:szCs w:val="21"/>
                <w:highlight w:val="none"/>
                <w:lang w:val="zh-CN"/>
                <w14:textFill>
                  <w14:solidFill>
                    <w14:schemeClr w14:val="tx1"/>
                  </w14:solidFill>
                </w14:textFill>
              </w:rPr>
              <w:t>b.</w:t>
            </w:r>
            <w:r>
              <w:rPr>
                <w:rFonts w:hint="eastAsia" w:ascii="宋体" w:hAnsi="宋体"/>
                <w:snapToGrid w:val="0"/>
                <w:color w:val="000000" w:themeColor="text1"/>
                <w:kern w:val="0"/>
                <w:szCs w:val="21"/>
                <w:highlight w:val="none"/>
                <w:lang w:val="zh-CN"/>
                <w14:textFill>
                  <w14:solidFill>
                    <w14:schemeClr w14:val="tx1"/>
                  </w14:solidFill>
                </w14:textFill>
              </w:rPr>
              <w:t>招标代理</w:t>
            </w:r>
            <w:r>
              <w:rPr>
                <w:rFonts w:ascii="宋体" w:hAnsi="宋体"/>
                <w:snapToGrid w:val="0"/>
                <w:color w:val="000000" w:themeColor="text1"/>
                <w:kern w:val="0"/>
                <w:szCs w:val="21"/>
                <w:highlight w:val="none"/>
                <w:lang w:val="zh-CN"/>
                <w14:textFill>
                  <w14:solidFill>
                    <w14:schemeClr w14:val="tx1"/>
                  </w14:solidFill>
                </w14:textFill>
              </w:rPr>
              <w:t>、c.</w:t>
            </w:r>
            <w:r>
              <w:rPr>
                <w:rFonts w:hint="eastAsia" w:ascii="宋体" w:hAnsi="宋体"/>
                <w:snapToGrid w:val="0"/>
                <w:color w:val="000000" w:themeColor="text1"/>
                <w:kern w:val="0"/>
                <w:szCs w:val="21"/>
                <w:highlight w:val="none"/>
                <w:lang w:val="zh-CN"/>
                <w14:textFill>
                  <w14:solidFill>
                    <w14:schemeClr w14:val="tx1"/>
                  </w14:solidFill>
                </w14:textFill>
              </w:rPr>
              <w:t>施工期安全监测、d.水保和环保监测及其验收服务、e竣工验收咨询或服务。每个业绩得1分，</w:t>
            </w:r>
            <w:r>
              <w:rPr>
                <w:rFonts w:ascii="宋体" w:hAnsi="宋体"/>
                <w:snapToGrid w:val="0"/>
                <w:color w:val="000000" w:themeColor="text1"/>
                <w:kern w:val="0"/>
                <w:szCs w:val="21"/>
                <w:highlight w:val="none"/>
                <w:lang w:val="zh-CN"/>
                <w14:textFill>
                  <w14:solidFill>
                    <w14:schemeClr w14:val="tx1"/>
                  </w14:solidFill>
                </w14:textFill>
              </w:rPr>
              <w:t>本项合计最高得</w:t>
            </w:r>
            <w:r>
              <w:rPr>
                <w:rFonts w:hint="eastAsia" w:ascii="宋体" w:hAnsi="宋体"/>
                <w:snapToGrid w:val="0"/>
                <w:color w:val="000000" w:themeColor="text1"/>
                <w:kern w:val="0"/>
                <w:szCs w:val="21"/>
                <w:highlight w:val="none"/>
                <w:lang w:val="zh-CN"/>
                <w14:textFill>
                  <w14:solidFill>
                    <w14:schemeClr w14:val="tx1"/>
                  </w14:solidFill>
                </w14:textFill>
              </w:rPr>
              <w:t>3</w:t>
            </w:r>
            <w:r>
              <w:rPr>
                <w:rFonts w:ascii="宋体" w:hAnsi="宋体"/>
                <w:snapToGrid w:val="0"/>
                <w:color w:val="000000" w:themeColor="text1"/>
                <w:kern w:val="0"/>
                <w:szCs w:val="21"/>
                <w:highlight w:val="none"/>
                <w:lang w:val="zh-CN"/>
                <w14:textFill>
                  <w14:solidFill>
                    <w14:schemeClr w14:val="tx1"/>
                  </w14:solidFill>
                </w14:textFill>
              </w:rPr>
              <w:t>分。</w:t>
            </w:r>
          </w:p>
          <w:p>
            <w:pPr>
              <w:pStyle w:val="65"/>
              <w:spacing w:line="0" w:lineRule="atLeast"/>
              <w:ind w:firstLine="420" w:firstLineChars="200"/>
              <w:rPr>
                <w:snapToGrid w:val="0"/>
                <w:color w:val="000000" w:themeColor="text1"/>
                <w:sz w:val="21"/>
                <w:szCs w:val="21"/>
                <w:highlight w:val="none"/>
                <w14:textFill>
                  <w14:solidFill>
                    <w14:schemeClr w14:val="tx1"/>
                  </w14:solidFill>
                </w14:textFill>
              </w:rPr>
            </w:pPr>
            <w:r>
              <w:rPr>
                <w:snapToGrid w:val="0"/>
                <w:color w:val="000000" w:themeColor="text1"/>
                <w:sz w:val="21"/>
                <w:szCs w:val="21"/>
                <w:highlight w:val="none"/>
                <w14:textFill>
                  <w14:solidFill>
                    <w14:schemeClr w14:val="tx1"/>
                  </w14:solidFill>
                </w14:textFill>
              </w:rPr>
              <w:t>注：1）项目业绩证明材料包括：中标通知书</w:t>
            </w:r>
            <w:r>
              <w:rPr>
                <w:rFonts w:hint="eastAsia"/>
                <w:snapToGrid w:val="0"/>
                <w:color w:val="000000" w:themeColor="text1"/>
                <w:sz w:val="21"/>
                <w:szCs w:val="21"/>
                <w:highlight w:val="none"/>
                <w14:textFill>
                  <w14:solidFill>
                    <w14:schemeClr w14:val="tx1"/>
                  </w14:solidFill>
                </w14:textFill>
              </w:rPr>
              <w:t>、</w:t>
            </w:r>
            <w:r>
              <w:rPr>
                <w:snapToGrid w:val="0"/>
                <w:color w:val="000000" w:themeColor="text1"/>
                <w:sz w:val="21"/>
                <w:szCs w:val="21"/>
                <w:highlight w:val="none"/>
                <w14:textFill>
                  <w14:solidFill>
                    <w14:schemeClr w14:val="tx1"/>
                  </w14:solidFill>
                </w14:textFill>
              </w:rPr>
              <w:t>合同（</w:t>
            </w:r>
            <w:r>
              <w:rPr>
                <w:rFonts w:hint="eastAsia"/>
                <w:snapToGrid w:val="0"/>
                <w:color w:val="000000" w:themeColor="text1"/>
                <w:sz w:val="21"/>
                <w:szCs w:val="21"/>
                <w:highlight w:val="none"/>
                <w14:textFill>
                  <w14:solidFill>
                    <w14:schemeClr w14:val="tx1"/>
                  </w14:solidFill>
                </w14:textFill>
              </w:rPr>
              <w:t>两</w:t>
            </w:r>
            <w:r>
              <w:rPr>
                <w:snapToGrid w:val="0"/>
                <w:color w:val="000000" w:themeColor="text1"/>
                <w:sz w:val="21"/>
                <w:szCs w:val="21"/>
                <w:highlight w:val="none"/>
                <w14:textFill>
                  <w14:solidFill>
                    <w14:schemeClr w14:val="tx1"/>
                  </w14:solidFill>
                </w14:textFill>
              </w:rPr>
              <w:t>者缺一不可）</w:t>
            </w:r>
            <w:r>
              <w:rPr>
                <w:rFonts w:hint="eastAsia"/>
                <w:snapToGrid w:val="0"/>
                <w:color w:val="000000" w:themeColor="text1"/>
                <w:sz w:val="21"/>
                <w:szCs w:val="21"/>
                <w:highlight w:val="none"/>
                <w14:textFill>
                  <w14:solidFill>
                    <w14:schemeClr w14:val="tx1"/>
                  </w14:solidFill>
                </w14:textFill>
              </w:rPr>
              <w:t>；2）</w:t>
            </w:r>
            <w:r>
              <w:rPr>
                <w:snapToGrid w:val="0"/>
                <w:color w:val="000000" w:themeColor="text1"/>
                <w:sz w:val="21"/>
                <w:szCs w:val="21"/>
                <w:highlight w:val="none"/>
                <w14:textFill>
                  <w14:solidFill>
                    <w14:schemeClr w14:val="tx1"/>
                  </w14:solidFill>
                </w14:textFill>
              </w:rPr>
              <w:t>投标文件中提供中标通知书</w:t>
            </w:r>
            <w:r>
              <w:rPr>
                <w:rFonts w:hint="eastAsia"/>
                <w:snapToGrid w:val="0"/>
                <w:color w:val="000000" w:themeColor="text1"/>
                <w:sz w:val="21"/>
                <w:szCs w:val="21"/>
                <w:highlight w:val="none"/>
                <w14:textFill>
                  <w14:solidFill>
                    <w14:schemeClr w14:val="tx1"/>
                  </w14:solidFill>
                </w14:textFill>
              </w:rPr>
              <w:t>、</w:t>
            </w:r>
            <w:r>
              <w:rPr>
                <w:snapToGrid w:val="0"/>
                <w:color w:val="000000" w:themeColor="text1"/>
                <w:sz w:val="21"/>
                <w:szCs w:val="21"/>
                <w:highlight w:val="none"/>
                <w14:textFill>
                  <w14:solidFill>
                    <w14:schemeClr w14:val="tx1"/>
                  </w14:solidFill>
                </w14:textFill>
              </w:rPr>
              <w:t>合同复印件，加盖投标人公章</w:t>
            </w:r>
            <w:r>
              <w:rPr>
                <w:rFonts w:hint="eastAsia"/>
                <w:snapToGrid w:val="0"/>
                <w:color w:val="000000" w:themeColor="text1"/>
                <w:sz w:val="21"/>
                <w:szCs w:val="21"/>
                <w:highlight w:val="none"/>
                <w14:textFill>
                  <w14:solidFill>
                    <w14:schemeClr w14:val="tx1"/>
                  </w14:solidFill>
                </w14:textFill>
              </w:rPr>
              <w:t>。3）工程总投资以合同中明确的为准。如合同中没有明确工程总投资的，以初设批复确定的工程总投资为准。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jc w:val="center"/>
        </w:trPr>
        <w:tc>
          <w:tcPr>
            <w:tcW w:w="1272" w:type="dxa"/>
            <w:vMerge w:val="continue"/>
          </w:tcPr>
          <w:p>
            <w:pPr>
              <w:jc w:val="center"/>
              <w:rPr>
                <w:snapToGrid w:val="0"/>
                <w:kern w:val="0"/>
                <w:szCs w:val="21"/>
                <w:highlight w:val="none"/>
              </w:rPr>
            </w:pPr>
          </w:p>
        </w:tc>
        <w:tc>
          <w:tcPr>
            <w:tcW w:w="1344" w:type="dxa"/>
            <w:vMerge w:val="continue"/>
          </w:tcPr>
          <w:p>
            <w:pPr>
              <w:jc w:val="center"/>
              <w:rPr>
                <w:snapToGrid w:val="0"/>
                <w:kern w:val="0"/>
                <w:szCs w:val="21"/>
                <w:highlight w:val="none"/>
              </w:rPr>
            </w:pPr>
          </w:p>
        </w:tc>
        <w:tc>
          <w:tcPr>
            <w:tcW w:w="1511" w:type="dxa"/>
            <w:vAlign w:val="center"/>
          </w:tcPr>
          <w:p>
            <w:pPr>
              <w:jc w:val="center"/>
              <w:rPr>
                <w:snapToGrid w:val="0"/>
                <w:kern w:val="0"/>
                <w:szCs w:val="21"/>
                <w:highlight w:val="none"/>
              </w:rPr>
            </w:pPr>
            <w:r>
              <w:rPr>
                <w:szCs w:val="21"/>
                <w:highlight w:val="none"/>
              </w:rPr>
              <w:t>投标项目总负责人</w:t>
            </w:r>
            <w:r>
              <w:rPr>
                <w:rFonts w:hAnsi="宋体"/>
                <w:snapToGrid w:val="0"/>
                <w:kern w:val="0"/>
                <w:szCs w:val="21"/>
                <w:highlight w:val="none"/>
              </w:rPr>
              <w:t>业绩与荣誉</w:t>
            </w:r>
            <w:r>
              <w:rPr>
                <w:snapToGrid w:val="0"/>
                <w:kern w:val="0"/>
                <w:szCs w:val="21"/>
                <w:highlight w:val="none"/>
              </w:rPr>
              <w:t>（</w:t>
            </w:r>
            <w:r>
              <w:rPr>
                <w:rFonts w:hint="eastAsia"/>
                <w:snapToGrid w:val="0"/>
                <w:kern w:val="0"/>
                <w:szCs w:val="21"/>
                <w:highlight w:val="none"/>
              </w:rPr>
              <w:t>1</w:t>
            </w:r>
            <w:r>
              <w:rPr>
                <w:rFonts w:hAnsi="宋体"/>
                <w:snapToGrid w:val="0"/>
                <w:kern w:val="0"/>
                <w:szCs w:val="21"/>
                <w:highlight w:val="none"/>
              </w:rPr>
              <w:t>分）</w:t>
            </w:r>
          </w:p>
        </w:tc>
        <w:tc>
          <w:tcPr>
            <w:tcW w:w="4845" w:type="dxa"/>
          </w:tcPr>
          <w:p>
            <w:pPr>
              <w:spacing w:line="0" w:lineRule="atLeast"/>
              <w:ind w:firstLine="420" w:firstLineChars="200"/>
              <w:rPr>
                <w:snapToGrid w:val="0"/>
                <w:szCs w:val="21"/>
                <w:highlight w:val="none"/>
              </w:rPr>
            </w:pPr>
            <w:r>
              <w:rPr>
                <w:rFonts w:hint="eastAsia"/>
                <w:snapToGrid w:val="0"/>
                <w:szCs w:val="21"/>
                <w:highlight w:val="none"/>
              </w:rPr>
              <w:t>拟派项目总负责人</w:t>
            </w:r>
            <w:r>
              <w:rPr>
                <w:snapToGrid w:val="0"/>
                <w:szCs w:val="21"/>
                <w:highlight w:val="none"/>
              </w:rPr>
              <w:t>自201</w:t>
            </w:r>
            <w:r>
              <w:rPr>
                <w:rFonts w:hint="eastAsia"/>
                <w:snapToGrid w:val="0"/>
                <w:szCs w:val="21"/>
                <w:highlight w:val="none"/>
              </w:rPr>
              <w:t>8</w:t>
            </w:r>
            <w:r>
              <w:rPr>
                <w:snapToGrid w:val="0"/>
                <w:szCs w:val="21"/>
                <w:highlight w:val="none"/>
              </w:rPr>
              <w:t>年1月1日（以合同签订时间为准）以来，</w:t>
            </w:r>
            <w:r>
              <w:rPr>
                <w:rFonts w:hint="eastAsia"/>
                <w:snapToGrid w:val="0"/>
                <w:szCs w:val="21"/>
                <w:highlight w:val="none"/>
              </w:rPr>
              <w:t>以项目（总）负责人身份</w:t>
            </w:r>
            <w:r>
              <w:rPr>
                <w:snapToGrid w:val="0"/>
                <w:szCs w:val="21"/>
                <w:highlight w:val="none"/>
              </w:rPr>
              <w:t>承担过</w:t>
            </w:r>
            <w:r>
              <w:rPr>
                <w:rFonts w:hint="eastAsia"/>
                <w:snapToGrid w:val="0"/>
                <w:szCs w:val="21"/>
                <w:highlight w:val="none"/>
              </w:rPr>
              <w:t>总投资大于</w:t>
            </w:r>
            <w:r>
              <w:rPr>
                <w:snapToGrid w:val="0"/>
                <w:szCs w:val="21"/>
                <w:highlight w:val="none"/>
              </w:rPr>
              <w:t>2</w:t>
            </w:r>
            <w:r>
              <w:rPr>
                <w:rFonts w:hint="eastAsia"/>
                <w:snapToGrid w:val="0"/>
                <w:szCs w:val="21"/>
                <w:highlight w:val="none"/>
              </w:rPr>
              <w:t>亿元的</w:t>
            </w:r>
            <w:r>
              <w:rPr>
                <w:snapToGrid w:val="0"/>
                <w:szCs w:val="21"/>
                <w:highlight w:val="none"/>
              </w:rPr>
              <w:t>全过程</w:t>
            </w:r>
            <w:r>
              <w:rPr>
                <w:rFonts w:hint="eastAsia"/>
                <w:snapToGrid w:val="0"/>
                <w:szCs w:val="21"/>
                <w:highlight w:val="none"/>
              </w:rPr>
              <w:t>工程</w:t>
            </w:r>
            <w:r>
              <w:rPr>
                <w:snapToGrid w:val="0"/>
                <w:szCs w:val="21"/>
                <w:highlight w:val="none"/>
              </w:rPr>
              <w:t>咨询业绩</w:t>
            </w:r>
            <w:r>
              <w:rPr>
                <w:rFonts w:hint="eastAsia"/>
                <w:snapToGrid w:val="0"/>
                <w:szCs w:val="21"/>
                <w:highlight w:val="none"/>
              </w:rPr>
              <w:t>，该业绩同时具有①项目管理或综合性咨询；②施工期全过程造价咨询或施工阶段造价控制；③如下工作内容中的任意1项：a.施工图审查、</w:t>
            </w:r>
            <w:r>
              <w:rPr>
                <w:snapToGrid w:val="0"/>
                <w:szCs w:val="21"/>
                <w:highlight w:val="none"/>
              </w:rPr>
              <w:t>b.</w:t>
            </w:r>
            <w:r>
              <w:rPr>
                <w:rFonts w:hint="eastAsia"/>
                <w:snapToGrid w:val="0"/>
                <w:szCs w:val="21"/>
                <w:highlight w:val="none"/>
              </w:rPr>
              <w:t>招标代理</w:t>
            </w:r>
            <w:r>
              <w:rPr>
                <w:snapToGrid w:val="0"/>
                <w:szCs w:val="21"/>
                <w:highlight w:val="none"/>
              </w:rPr>
              <w:t>、c.</w:t>
            </w:r>
            <w:r>
              <w:rPr>
                <w:rFonts w:hint="eastAsia"/>
                <w:snapToGrid w:val="0"/>
                <w:szCs w:val="21"/>
                <w:highlight w:val="none"/>
              </w:rPr>
              <w:t>施工期安全监测、d.水保和环保监测及其验收服务、e竣工验收咨询或服务。每个</w:t>
            </w:r>
            <w:r>
              <w:rPr>
                <w:rFonts w:hint="eastAsia" w:ascii="宋体" w:hAnsi="宋体"/>
                <w:snapToGrid w:val="0"/>
                <w:kern w:val="0"/>
                <w:szCs w:val="21"/>
                <w:highlight w:val="none"/>
                <w:lang w:val="zh-CN"/>
              </w:rPr>
              <w:t>业绩</w:t>
            </w:r>
            <w:r>
              <w:rPr>
                <w:rFonts w:hint="eastAsia"/>
                <w:snapToGrid w:val="0"/>
                <w:szCs w:val="21"/>
                <w:highlight w:val="none"/>
              </w:rPr>
              <w:t>得1分，</w:t>
            </w:r>
            <w:r>
              <w:rPr>
                <w:snapToGrid w:val="0"/>
                <w:szCs w:val="21"/>
                <w:highlight w:val="none"/>
              </w:rPr>
              <w:t>本项合计最高得</w:t>
            </w:r>
            <w:r>
              <w:rPr>
                <w:rFonts w:hint="eastAsia"/>
                <w:snapToGrid w:val="0"/>
                <w:szCs w:val="21"/>
                <w:highlight w:val="none"/>
              </w:rPr>
              <w:t>1</w:t>
            </w:r>
            <w:r>
              <w:rPr>
                <w:snapToGrid w:val="0"/>
                <w:szCs w:val="21"/>
                <w:highlight w:val="none"/>
              </w:rPr>
              <w:t>分。</w:t>
            </w:r>
          </w:p>
          <w:p>
            <w:pPr>
              <w:pStyle w:val="65"/>
              <w:spacing w:line="0" w:lineRule="atLeast"/>
              <w:ind w:firstLine="420" w:firstLineChars="200"/>
              <w:rPr>
                <w:rFonts w:ascii="Times New Roman" w:hAnsi="Times New Roman"/>
                <w:snapToGrid w:val="0"/>
                <w:sz w:val="22"/>
                <w:highlight w:val="none"/>
                <w:lang w:val="en-US"/>
              </w:rPr>
            </w:pPr>
            <w:r>
              <w:rPr>
                <w:rFonts w:ascii="Times New Roman" w:hAnsi="Times New Roman"/>
                <w:snapToGrid w:val="0"/>
                <w:kern w:val="2"/>
                <w:sz w:val="21"/>
                <w:szCs w:val="21"/>
                <w:highlight w:val="none"/>
                <w:lang w:val="en-US"/>
              </w:rPr>
              <w:t>注：1）项目业绩证明材料包括：中标通知书</w:t>
            </w:r>
            <w:r>
              <w:rPr>
                <w:rFonts w:hint="eastAsia" w:ascii="Times New Roman" w:hAnsi="Times New Roman"/>
                <w:snapToGrid w:val="0"/>
                <w:kern w:val="2"/>
                <w:sz w:val="21"/>
                <w:szCs w:val="21"/>
                <w:highlight w:val="none"/>
                <w:lang w:val="en-US"/>
              </w:rPr>
              <w:t>、</w:t>
            </w:r>
            <w:r>
              <w:rPr>
                <w:rFonts w:ascii="Times New Roman" w:hAnsi="Times New Roman"/>
                <w:snapToGrid w:val="0"/>
                <w:kern w:val="2"/>
                <w:sz w:val="21"/>
                <w:szCs w:val="21"/>
                <w:highlight w:val="none"/>
                <w:lang w:val="en-US"/>
              </w:rPr>
              <w:t>合同（</w:t>
            </w:r>
            <w:r>
              <w:rPr>
                <w:rFonts w:hint="eastAsia" w:ascii="Times New Roman" w:hAnsi="Times New Roman"/>
                <w:snapToGrid w:val="0"/>
                <w:kern w:val="2"/>
                <w:sz w:val="21"/>
                <w:szCs w:val="21"/>
                <w:highlight w:val="none"/>
                <w:lang w:val="en-US"/>
              </w:rPr>
              <w:t>两</w:t>
            </w:r>
            <w:r>
              <w:rPr>
                <w:rFonts w:ascii="Times New Roman" w:hAnsi="Times New Roman"/>
                <w:snapToGrid w:val="0"/>
                <w:kern w:val="2"/>
                <w:sz w:val="21"/>
                <w:szCs w:val="21"/>
                <w:highlight w:val="none"/>
                <w:lang w:val="en-US"/>
              </w:rPr>
              <w:t>者缺一不可）</w:t>
            </w:r>
            <w:r>
              <w:rPr>
                <w:rFonts w:hint="eastAsia" w:ascii="Times New Roman" w:hAnsi="Times New Roman"/>
                <w:snapToGrid w:val="0"/>
                <w:kern w:val="2"/>
                <w:sz w:val="21"/>
                <w:szCs w:val="21"/>
                <w:highlight w:val="none"/>
                <w:lang w:val="en-US"/>
              </w:rPr>
              <w:t>。</w:t>
            </w:r>
            <w:r>
              <w:rPr>
                <w:rFonts w:ascii="Times New Roman" w:hAnsi="Times New Roman"/>
                <w:snapToGrid w:val="0"/>
                <w:kern w:val="2"/>
                <w:sz w:val="21"/>
                <w:szCs w:val="21"/>
                <w:highlight w:val="none"/>
                <w:lang w:val="en-US"/>
              </w:rPr>
              <w:t>投标文件中提供中标通知书</w:t>
            </w:r>
            <w:r>
              <w:rPr>
                <w:rFonts w:hint="eastAsia" w:ascii="Times New Roman" w:hAnsi="Times New Roman"/>
                <w:snapToGrid w:val="0"/>
                <w:kern w:val="2"/>
                <w:sz w:val="21"/>
                <w:szCs w:val="21"/>
                <w:highlight w:val="none"/>
                <w:lang w:val="en-US"/>
              </w:rPr>
              <w:t>、</w:t>
            </w:r>
            <w:r>
              <w:rPr>
                <w:rFonts w:ascii="Times New Roman" w:hAnsi="Times New Roman"/>
                <w:snapToGrid w:val="0"/>
                <w:kern w:val="2"/>
                <w:sz w:val="21"/>
                <w:szCs w:val="21"/>
                <w:highlight w:val="none"/>
                <w:lang w:val="en-US"/>
              </w:rPr>
              <w:t>合同复印件，加盖投标人公章；</w:t>
            </w:r>
            <w:r>
              <w:rPr>
                <w:rFonts w:hint="eastAsia"/>
                <w:snapToGrid w:val="0"/>
                <w:sz w:val="21"/>
                <w:szCs w:val="21"/>
                <w:highlight w:val="none"/>
                <w:lang w:val="en-US"/>
              </w:rPr>
              <w:t>2</w:t>
            </w:r>
            <w:r>
              <w:rPr>
                <w:rFonts w:hint="eastAsia"/>
                <w:snapToGrid w:val="0"/>
                <w:sz w:val="21"/>
                <w:szCs w:val="21"/>
                <w:highlight w:val="none"/>
              </w:rPr>
              <w:t>）工程总投资以合同中明确的为准。如合同中没有明确工程总投资的，以初设批复确定的工程总投资为准。</w:t>
            </w:r>
          </w:p>
        </w:tc>
      </w:tr>
    </w:tbl>
    <w:p>
      <w:pPr>
        <w:adjustRightInd w:val="0"/>
        <w:snapToGrid w:val="0"/>
        <w:spacing w:line="460" w:lineRule="exact"/>
        <w:rPr>
          <w:rFonts w:ascii="宋体" w:hAnsi="宋体" w:cs="宋体"/>
          <w:color w:val="000000" w:themeColor="text1"/>
          <w:highlight w:val="none"/>
          <w14:textFill>
            <w14:solidFill>
              <w14:schemeClr w14:val="tx1"/>
            </w14:solidFill>
          </w14:textFill>
        </w:rPr>
      </w:pPr>
    </w:p>
    <w:p>
      <w:pPr>
        <w:adjustRightInd w:val="0"/>
        <w:snapToGrid w:val="0"/>
        <w:spacing w:line="4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1.拟派本项目的所有人员必须为投标企业在职职工，须提供缴费期限包含2022年12月至2023年2月的投标人所属社保机构养老保险交纳清单或证明为准（缴费单位和投标单位名称必须一致，并加盖社保缴费证明专用章或电子专用章），非独立法人的分公司社保证明有效。若为事业编制的，以提供缴费期限包含2022年12月至2023年2月由人事代理中心出具的社保证明（需加盖人事代理中心证明专用章）。    </w:t>
      </w:r>
    </w:p>
    <w:p>
      <w:pPr>
        <w:adjustRightInd w:val="0"/>
        <w:snapToGrid w:val="0"/>
        <w:spacing w:line="460" w:lineRule="exact"/>
        <w:ind w:firstLine="630" w:firstLineChars="30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如投标文件中没有提供相对应的评审内容，则评标委员会对该缺项内容按零分计取。进行评分汇总时去掉最高分和最低分各一个后算术平均值，作为各投标人的最终技术标得分，得分计算结果精确到小数点后两位，小数点后第三位四舍五入。</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（2）商务分(30分)</w:t>
      </w:r>
    </w:p>
    <w:p>
      <w:pPr>
        <w:autoSpaceDE w:val="0"/>
        <w:autoSpaceDN w:val="0"/>
        <w:spacing w:line="400" w:lineRule="exact"/>
        <w:ind w:firstLine="420" w:firstLineChars="200"/>
        <w:rPr>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color w:val="000000" w:themeColor="text1"/>
          <w:szCs w:val="21"/>
          <w:highlight w:val="none"/>
          <w:lang w:bidi="ar"/>
          <w14:textFill>
            <w14:solidFill>
              <w14:schemeClr w14:val="tx1"/>
            </w14:solidFill>
          </w14:textFill>
        </w:rPr>
        <w:t>本项目招标人确定的招标</w:t>
      </w:r>
      <w:r>
        <w:rPr>
          <w:rFonts w:hint="eastAsia"/>
          <w:color w:val="000000" w:themeColor="text1"/>
          <w:szCs w:val="21"/>
          <w:highlight w:val="none"/>
          <w:lang w:bidi="ar"/>
          <w14:textFill>
            <w14:solidFill>
              <w14:schemeClr w14:val="tx1"/>
            </w14:solidFill>
          </w14:textFill>
        </w:rPr>
        <w:t>上限价</w:t>
      </w:r>
      <w:r>
        <w:rPr>
          <w:color w:val="000000" w:themeColor="text1"/>
          <w:szCs w:val="21"/>
          <w:highlight w:val="none"/>
          <w:lang w:bidi="ar"/>
          <w14:textFill>
            <w14:solidFill>
              <w14:schemeClr w14:val="tx1"/>
            </w14:solidFill>
          </w14:textFill>
        </w:rPr>
        <w:t>为</w:t>
      </w:r>
      <w:r>
        <w:rPr>
          <w:b/>
          <w:color w:val="000000" w:themeColor="text1"/>
          <w:szCs w:val="21"/>
          <w:highlight w:val="none"/>
          <w:u w:val="single"/>
          <w:lang w:bidi="ar"/>
          <w14:textFill>
            <w14:solidFill>
              <w14:schemeClr w14:val="tx1"/>
            </w14:solidFill>
          </w14:textFill>
        </w:rPr>
        <w:t xml:space="preserve"> </w:t>
      </w:r>
      <w:r>
        <w:rPr>
          <w:rFonts w:hint="eastAsia"/>
          <w:b/>
          <w:color w:val="000000" w:themeColor="text1"/>
          <w:szCs w:val="21"/>
          <w:highlight w:val="none"/>
          <w:u w:val="single"/>
          <w:lang w:bidi="ar"/>
          <w14:textFill>
            <w14:solidFill>
              <w14:schemeClr w14:val="tx1"/>
            </w14:solidFill>
          </w14:textFill>
        </w:rPr>
        <w:t>1503</w:t>
      </w:r>
      <w:r>
        <w:rPr>
          <w:b/>
          <w:color w:val="000000" w:themeColor="text1"/>
          <w:szCs w:val="21"/>
          <w:highlight w:val="none"/>
          <w:u w:val="single"/>
          <w:lang w:bidi="ar"/>
          <w14:textFill>
            <w14:solidFill>
              <w14:schemeClr w14:val="tx1"/>
            </w14:solidFill>
          </w14:textFill>
        </w:rPr>
        <w:t xml:space="preserve"> </w:t>
      </w:r>
      <w:r>
        <w:rPr>
          <w:color w:val="000000" w:themeColor="text1"/>
          <w:szCs w:val="21"/>
          <w:highlight w:val="none"/>
          <w:lang w:bidi="ar"/>
          <w14:textFill>
            <w14:solidFill>
              <w14:schemeClr w14:val="tx1"/>
            </w14:solidFill>
          </w14:textFill>
        </w:rPr>
        <w:t>万元，</w:t>
      </w:r>
      <w:r>
        <w:rPr>
          <w:rFonts w:hint="eastAsia"/>
          <w:color w:val="000000" w:themeColor="text1"/>
          <w:szCs w:val="21"/>
          <w:highlight w:val="none"/>
          <w:lang w:bidi="ar"/>
          <w14:textFill>
            <w14:solidFill>
              <w14:schemeClr w14:val="tx1"/>
            </w14:solidFill>
          </w14:textFill>
        </w:rPr>
        <w:t>其中第三方质量检测费为</w:t>
      </w:r>
      <w:r>
        <w:rPr>
          <w:rFonts w:hint="eastAsia"/>
          <w:color w:val="000000" w:themeColor="text1"/>
          <w:szCs w:val="21"/>
          <w:highlight w:val="none"/>
          <w:u w:val="single"/>
          <w:lang w:bidi="ar"/>
          <w14:textFill>
            <w14:solidFill>
              <w14:schemeClr w14:val="tx1"/>
            </w14:solidFill>
          </w14:textFill>
        </w:rPr>
        <w:t>163</w:t>
      </w:r>
      <w:r>
        <w:rPr>
          <w:rFonts w:hint="eastAsia"/>
          <w:color w:val="000000" w:themeColor="text1"/>
          <w:szCs w:val="21"/>
          <w:highlight w:val="none"/>
          <w:lang w:bidi="ar"/>
          <w14:textFill>
            <w14:solidFill>
              <w14:schemeClr w14:val="tx1"/>
            </w14:solidFill>
          </w14:textFill>
        </w:rPr>
        <w:t>万元，</w:t>
      </w:r>
      <w:r>
        <w:rPr>
          <w:color w:val="000000" w:themeColor="text1"/>
          <w:szCs w:val="21"/>
          <w:highlight w:val="none"/>
          <w:lang w:bidi="ar"/>
          <w14:textFill>
            <w14:solidFill>
              <w14:schemeClr w14:val="tx1"/>
            </w14:solidFill>
          </w14:textFill>
        </w:rPr>
        <w:t>投标人据此进行报价</w:t>
      </w:r>
      <w:r>
        <w:rPr>
          <w:rFonts w:hint="eastAsia"/>
          <w:color w:val="000000" w:themeColor="text1"/>
          <w:szCs w:val="21"/>
          <w:highlight w:val="none"/>
          <w:lang w:bidi="ar"/>
          <w14:textFill>
            <w14:solidFill>
              <w14:schemeClr w14:val="tx1"/>
            </w14:solidFill>
          </w14:textFill>
        </w:rPr>
        <w:t>。投标报价超过上限价的作无效标处理。根据投标人报价计算其浮动</w:t>
      </w:r>
      <w:r>
        <w:rPr>
          <w:rFonts w:hint="eastAsia" w:ascii="宋体" w:hAnsi="宋体" w:cs="宋体"/>
          <w:color w:val="000000" w:themeColor="text1"/>
          <w:szCs w:val="21"/>
          <w:highlight w:val="none"/>
          <w14:textFill>
            <w14:solidFill>
              <w14:schemeClr w14:val="tx1"/>
            </w14:solidFill>
          </w14:textFill>
        </w:rPr>
        <w:t>率Xi（xi=（投标人报价/1503-1）*100%，Xi最多保留小数点后两位）。</w:t>
      </w:r>
    </w:p>
    <w:p>
      <w:pPr>
        <w:autoSpaceDE w:val="0"/>
        <w:autoSpaceDN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在有关监督部门监督、公证人员公证下由招标人代表在-15%～-5%有效范围内（各档之间的步长为0.5%）随机抽取两次浮动率，其算术平均值作为基准浮动率，设为Y。各投标人报价分值评估计算如下（分值计算为负数时得0分）：</w:t>
      </w:r>
    </w:p>
    <w:p>
      <w:pPr>
        <w:autoSpaceDE w:val="0"/>
        <w:autoSpaceDN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当Xi＝Y时，得分＝30；     </w:t>
      </w:r>
    </w:p>
    <w:p>
      <w:pPr>
        <w:autoSpaceDE w:val="0"/>
        <w:autoSpaceDN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当Xi＞Y时，得分＝30―（Xi―Y）×100×4；</w:t>
      </w:r>
    </w:p>
    <w:p>
      <w:pPr>
        <w:autoSpaceDE w:val="0"/>
        <w:autoSpaceDN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当Xi＜Y时，得分＝30―（Y―Xi）×100×2。</w:t>
      </w:r>
    </w:p>
    <w:p>
      <w:pPr>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3.浮动率计算和商务部分评估计算结果均精确到小数点后两位，小数点后第三位四舍五入。</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ascii="宋体" w:hAnsi="宋体" w:cs="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计算投标人最终得分（满分为</w:t>
      </w: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4分）</w:t>
      </w:r>
    </w:p>
    <w:p>
      <w:pPr>
        <w:spacing w:line="400" w:lineRule="exact"/>
        <w:ind w:firstLine="472" w:firstLineChars="225"/>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投标人最终得分=技术标得分+商务标得分（计算结果保留到小数点后两位，小数点后第三位四舍五入）。</w:t>
      </w:r>
    </w:p>
    <w:p>
      <w:pPr>
        <w:spacing w:line="400" w:lineRule="exact"/>
        <w:ind w:firstLine="474" w:firstLineChars="225"/>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5.本办法由招标人负责解释。评标过程如有异常情况，由评委集体讨论决定，遵循少数服从多数的原则。</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（四）投标文件的符合性</w:t>
      </w:r>
    </w:p>
    <w:p>
      <w:pPr>
        <w:tabs>
          <w:tab w:val="left" w:pos="0"/>
          <w:tab w:val="left" w:pos="720"/>
          <w:tab w:val="left" w:pos="900"/>
        </w:tabs>
        <w:spacing w:line="400" w:lineRule="exact"/>
        <w:ind w:firstLine="470" w:firstLineChars="224"/>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如果投标文件实质上不响应招标文件的要求，招标人将予以拒绝，并且不允许通过修正或撤消其不符合要求的差异或保留，使之成为具有响应性的投标。</w:t>
      </w:r>
    </w:p>
    <w:p>
      <w:pPr>
        <w:tabs>
          <w:tab w:val="left" w:pos="0"/>
        </w:tabs>
        <w:spacing w:line="420" w:lineRule="exact"/>
        <w:rPr>
          <w:rFonts w:ascii="宋体" w:hAnsi="宋体"/>
          <w:bCs/>
          <w:color w:val="000000" w:themeColor="text1"/>
          <w:kern w:val="16"/>
          <w:position w:val="6"/>
          <w:sz w:val="24"/>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八、中    标</w:t>
      </w:r>
    </w:p>
    <w:p>
      <w:pPr>
        <w:spacing w:line="400" w:lineRule="exact"/>
        <w:ind w:firstLine="472" w:firstLineChars="225"/>
        <w:rPr>
          <w:rFonts w:ascii="宋体"/>
          <w:color w:val="000000" w:themeColor="text1"/>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中标方式：</w:t>
      </w:r>
      <w:r>
        <w:rPr>
          <w:rFonts w:hint="eastAsia" w:ascii="宋体" w:hAnsi="宋体" w:cs="Arial"/>
          <w:b/>
          <w:color w:val="000000" w:themeColor="text1"/>
          <w:kern w:val="0"/>
          <w:szCs w:val="21"/>
          <w:highlight w:val="none"/>
          <w:u w:val="single"/>
          <w14:textFill>
            <w14:solidFill>
              <w14:schemeClr w14:val="tx1"/>
            </w14:solidFill>
          </w14:textFill>
        </w:rPr>
        <w:t>总得分最高者为中标候选人。若出现总得分相同的情况，由报价低者中标；若报价也相同，由招标人当场抽签确定中标候选人。</w:t>
      </w:r>
    </w:p>
    <w:p>
      <w:pPr>
        <w:tabs>
          <w:tab w:val="left" w:pos="0"/>
        </w:tabs>
        <w:spacing w:line="420" w:lineRule="exact"/>
        <w:rPr>
          <w:rFonts w:ascii="宋体" w:hAnsi="宋体"/>
          <w:color w:val="000000" w:themeColor="text1"/>
          <w:kern w:val="16"/>
          <w:sz w:val="24"/>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九、授予合同</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（一）中标通知书</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招标人应当自确定中标人之日起15日内，向招标投标管理部门提交招标投标情况书面报告，招标管理部门自收到书面报告之日起5日内未通知招标人在招标活动中有违法行为的，招标人可以向中标人发出中标通知书。</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（二）履约担保</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1、中标人应按投标人须知前附表规定金额、担保形式向</w:t>
      </w:r>
      <w:r>
        <w:rPr>
          <w:rFonts w:hint="eastAsia" w:ascii="宋体" w:hAnsi="宋体" w:cs="Arial"/>
          <w:color w:val="000000" w:themeColor="text1"/>
          <w:szCs w:val="21"/>
          <w:highlight w:val="none"/>
          <w14:textFill>
            <w14:solidFill>
              <w14:schemeClr w14:val="tx1"/>
            </w14:solidFill>
          </w14:textFill>
        </w:rPr>
        <w:t>招标人</w:t>
      </w:r>
      <w:r>
        <w:rPr>
          <w:rFonts w:hint="eastAsia" w:ascii="宋体" w:hAnsi="宋体"/>
          <w:color w:val="000000" w:themeColor="text1"/>
          <w:kern w:val="16"/>
          <w:szCs w:val="21"/>
          <w:highlight w:val="none"/>
          <w14:textFill>
            <w14:solidFill>
              <w14:schemeClr w14:val="tx1"/>
            </w14:solidFill>
          </w14:textFill>
        </w:rPr>
        <w:t>提交履约担保。</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2、若中标人不能按前附表规定提交履约担保，中标人无正当理由拒签合同的，招标人取消其中标资格，其投标保证金不予退还；给招标人造成的损失超过投标保证金数额的，中标人还应当对超过部分予以赔偿。</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（三）合同签订</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招标人应当自中标通知书发出之日起30日内，按照招标文件和中标人的投标文件订立书面合同，并送相关管理部门备案。</w:t>
      </w: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p>
    <w:p>
      <w:pPr>
        <w:widowControl/>
        <w:jc w:val="left"/>
        <w:rPr>
          <w:rFonts w:ascii="宋体" w:hAnsi="宋体"/>
          <w:bCs/>
          <w:color w:val="000000" w:themeColor="text1"/>
          <w:kern w:val="16"/>
          <w:position w:val="6"/>
          <w:sz w:val="32"/>
          <w:szCs w:val="32"/>
          <w:highlight w:val="none"/>
          <w14:textFill>
            <w14:solidFill>
              <w14:schemeClr w14:val="tx1"/>
            </w14:solidFill>
          </w14:textFill>
        </w:rPr>
      </w:pPr>
      <w:r>
        <w:rPr>
          <w:rFonts w:ascii="宋体" w:hAnsi="宋体"/>
          <w:bCs/>
          <w:color w:val="000000" w:themeColor="text1"/>
          <w:kern w:val="16"/>
          <w:position w:val="6"/>
          <w:sz w:val="32"/>
          <w:szCs w:val="32"/>
          <w:highlight w:val="none"/>
          <w14:textFill>
            <w14:solidFill>
              <w14:schemeClr w14:val="tx1"/>
            </w14:solidFill>
          </w14:textFill>
        </w:rPr>
        <w:br w:type="page"/>
      </w: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十、重新招标和不再招标</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（一）重新招标</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有下列情形之一的，招标人将重新招标：</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（1）投标截止时间止，投标人少于3个的；</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（2）经评标委员会评审后有效投标人少于3个</w:t>
      </w:r>
      <w:r>
        <w:rPr>
          <w:rFonts w:ascii="宋体" w:hAnsi="宋体"/>
          <w:color w:val="000000" w:themeColor="text1"/>
          <w:kern w:val="16"/>
          <w:szCs w:val="21"/>
          <w:highlight w:val="none"/>
          <w14:textFill>
            <w14:solidFill>
              <w14:schemeClr w14:val="tx1"/>
            </w14:solidFill>
          </w14:textFill>
        </w:rPr>
        <w:t>且评标委员会认为不具有竞争性</w:t>
      </w:r>
      <w:r>
        <w:rPr>
          <w:rFonts w:hint="eastAsia" w:ascii="宋体" w:hAnsi="宋体"/>
          <w:color w:val="000000" w:themeColor="text1"/>
          <w:kern w:val="16"/>
          <w:szCs w:val="21"/>
          <w:highlight w:val="none"/>
          <w14:textFill>
            <w14:solidFill>
              <w14:schemeClr w14:val="tx1"/>
            </w14:solidFill>
          </w14:textFill>
        </w:rPr>
        <w:t>的；</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（3）其他有关法律规定应当重新招标的情形的。</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（二）</w:t>
      </w:r>
      <w:r>
        <w:rPr>
          <w:rFonts w:ascii="宋体" w:hAnsi="宋体"/>
          <w:color w:val="000000" w:themeColor="text1"/>
          <w:kern w:val="16"/>
          <w:szCs w:val="21"/>
          <w:highlight w:val="none"/>
          <w14:textFill>
            <w14:solidFill>
              <w14:schemeClr w14:val="tx1"/>
            </w14:solidFill>
          </w14:textFill>
        </w:rPr>
        <w:t>不再招标及继续评审</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ascii="宋体" w:hAnsi="宋体"/>
          <w:color w:val="000000" w:themeColor="text1"/>
          <w:kern w:val="16"/>
          <w:szCs w:val="21"/>
          <w:highlight w:val="none"/>
          <w14:textFill>
            <w14:solidFill>
              <w14:schemeClr w14:val="tx1"/>
            </w14:solidFill>
          </w14:textFill>
        </w:rPr>
        <w:t>重新招标后投标人仍少于3个或者经评标委员会评审后有效投标人少于3个且评标委员会认为不具有竞争性的，属于必须审批或核准的工程建设项目，经原审批或核准部门批准后不再进行招标；重新招标后如评标委员会认为评审后有效投标人少于3个但仍具有竞争性的，可以继续评审。</w:t>
      </w: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p>
    <w:p>
      <w:pPr>
        <w:spacing w:line="460" w:lineRule="exact"/>
        <w:jc w:val="center"/>
        <w:rPr>
          <w:rFonts w:ascii="宋体" w:hAnsi="宋体"/>
          <w:bCs/>
          <w:color w:val="000000" w:themeColor="text1"/>
          <w:kern w:val="16"/>
          <w:position w:val="6"/>
          <w:sz w:val="32"/>
          <w:szCs w:val="32"/>
          <w:highlight w:val="none"/>
          <w14:textFill>
            <w14:solidFill>
              <w14:schemeClr w14:val="tx1"/>
            </w14:solidFill>
          </w14:textFill>
        </w:rPr>
      </w:pPr>
      <w:r>
        <w:rPr>
          <w:rFonts w:hint="eastAsia" w:ascii="宋体" w:hAnsi="宋体"/>
          <w:bCs/>
          <w:color w:val="000000" w:themeColor="text1"/>
          <w:kern w:val="16"/>
          <w:position w:val="6"/>
          <w:sz w:val="32"/>
          <w:szCs w:val="32"/>
          <w:highlight w:val="none"/>
          <w14:textFill>
            <w14:solidFill>
              <w14:schemeClr w14:val="tx1"/>
            </w14:solidFill>
          </w14:textFill>
        </w:rPr>
        <w:t>十一、纪律和监督</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bookmarkStart w:id="0" w:name="_Toc2536"/>
      <w:r>
        <w:rPr>
          <w:rFonts w:hint="eastAsia" w:ascii="宋体" w:hAnsi="宋体"/>
          <w:color w:val="000000" w:themeColor="text1"/>
          <w:kern w:val="16"/>
          <w:szCs w:val="21"/>
          <w:highlight w:val="none"/>
          <w14:textFill>
            <w14:solidFill>
              <w14:schemeClr w14:val="tx1"/>
            </w14:solidFill>
          </w14:textFill>
        </w:rPr>
        <w:t>（一）对招标人的纪律要求</w:t>
      </w:r>
      <w:bookmarkEnd w:id="0"/>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招标人不得泄漏招标投标活动中应当保密的情况和资料，不得与投标人串通损害国家利益、社会公共利益或者他人合法权益。</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bookmarkStart w:id="1" w:name="_Toc27606"/>
      <w:r>
        <w:rPr>
          <w:rFonts w:hint="eastAsia" w:ascii="宋体" w:hAnsi="宋体"/>
          <w:color w:val="000000" w:themeColor="text1"/>
          <w:kern w:val="16"/>
          <w:szCs w:val="21"/>
          <w:highlight w:val="none"/>
          <w14:textFill>
            <w14:solidFill>
              <w14:schemeClr w14:val="tx1"/>
            </w14:solidFill>
          </w14:textFill>
        </w:rPr>
        <w:t>（二）对投标人的纪律要求</w:t>
      </w:r>
      <w:bookmarkEnd w:id="1"/>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bookmarkStart w:id="2" w:name="_Toc262"/>
      <w:r>
        <w:rPr>
          <w:rFonts w:hint="eastAsia" w:ascii="宋体" w:hAnsi="宋体"/>
          <w:color w:val="000000" w:themeColor="text1"/>
          <w:kern w:val="16"/>
          <w:szCs w:val="21"/>
          <w:highlight w:val="none"/>
          <w14:textFill>
            <w14:solidFill>
              <w14:schemeClr w14:val="tx1"/>
            </w14:solidFill>
          </w14:textFill>
        </w:rPr>
        <w:t>（三）对评标委员会成员的纪律要求</w:t>
      </w:r>
      <w:bookmarkEnd w:id="2"/>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不得擅离职守，影响评标程序正常进行。</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bookmarkStart w:id="3" w:name="_Toc12793"/>
      <w:r>
        <w:rPr>
          <w:rFonts w:hint="eastAsia" w:ascii="宋体" w:hAnsi="宋体"/>
          <w:color w:val="000000" w:themeColor="text1"/>
          <w:kern w:val="16"/>
          <w:szCs w:val="21"/>
          <w:highlight w:val="none"/>
          <w14:textFill>
            <w14:solidFill>
              <w14:schemeClr w14:val="tx1"/>
            </w14:solidFill>
          </w14:textFill>
        </w:rPr>
        <w:t>（四）对与评标活动有关的工作人员的纪律要求</w:t>
      </w:r>
      <w:bookmarkEnd w:id="3"/>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tabs>
          <w:tab w:val="left" w:pos="0"/>
          <w:tab w:val="left" w:pos="720"/>
          <w:tab w:val="left" w:pos="900"/>
        </w:tabs>
        <w:spacing w:line="400" w:lineRule="exact"/>
        <w:ind w:firstLine="420" w:firstLineChars="200"/>
        <w:rPr>
          <w:rFonts w:ascii="宋体" w:hAnsi="宋体"/>
          <w:color w:val="000000" w:themeColor="text1"/>
          <w:kern w:val="16"/>
          <w:szCs w:val="21"/>
          <w:highlight w:val="none"/>
          <w14:textFill>
            <w14:solidFill>
              <w14:schemeClr w14:val="tx1"/>
            </w14:solidFill>
          </w14:textFill>
        </w:rPr>
      </w:pPr>
      <w:bookmarkStart w:id="4" w:name="_Toc10567"/>
      <w:r>
        <w:rPr>
          <w:rFonts w:hint="eastAsia" w:ascii="宋体" w:hAnsi="宋体"/>
          <w:color w:val="000000" w:themeColor="text1"/>
          <w:kern w:val="16"/>
          <w:szCs w:val="21"/>
          <w:highlight w:val="none"/>
          <w14:textFill>
            <w14:solidFill>
              <w14:schemeClr w14:val="tx1"/>
            </w14:solidFill>
          </w14:textFill>
        </w:rPr>
        <w:t>（五）投诉</w:t>
      </w:r>
      <w:bookmarkEnd w:id="4"/>
    </w:p>
    <w:p>
      <w:pPr>
        <w:tabs>
          <w:tab w:val="left" w:pos="0"/>
          <w:tab w:val="left" w:pos="720"/>
          <w:tab w:val="left" w:pos="900"/>
        </w:tabs>
        <w:spacing w:line="400" w:lineRule="exact"/>
        <w:ind w:firstLine="420" w:firstLineChars="200"/>
        <w:rPr>
          <w:rFonts w:ascii="宋体" w:hAnsi="宋体"/>
          <w:bCs/>
          <w:color w:val="000000" w:themeColor="text1"/>
          <w:kern w:val="16"/>
          <w:position w:val="6"/>
          <w:sz w:val="44"/>
          <w:szCs w:val="44"/>
          <w:highlight w:val="none"/>
          <w14:textFill>
            <w14:solidFill>
              <w14:schemeClr w14:val="tx1"/>
            </w14:solidFill>
          </w14:textFill>
        </w:rPr>
      </w:pPr>
      <w:r>
        <w:rPr>
          <w:rFonts w:hint="eastAsia" w:ascii="宋体" w:hAnsi="宋体"/>
          <w:color w:val="000000" w:themeColor="text1"/>
          <w:kern w:val="16"/>
          <w:szCs w:val="21"/>
          <w:highlight w:val="none"/>
          <w14:textFill>
            <w14:solidFill>
              <w14:schemeClr w14:val="tx1"/>
            </w14:solidFill>
          </w14:textFill>
        </w:rPr>
        <w:t>投标人和其他利害关系人认为本次招标活动违反法律、法规和规章规定的，有权向有关行政监督部门投诉。</w:t>
      </w:r>
    </w:p>
    <w:p>
      <w:pPr>
        <w:spacing w:line="360" w:lineRule="auto"/>
        <w:jc w:val="center"/>
        <w:rPr>
          <w:rFonts w:ascii="宋体" w:hAnsi="宋体"/>
          <w:bCs/>
          <w:color w:val="000000" w:themeColor="text1"/>
          <w:kern w:val="16"/>
          <w:position w:val="6"/>
          <w:sz w:val="44"/>
          <w:szCs w:val="44"/>
          <w:highlight w:val="none"/>
          <w14:textFill>
            <w14:solidFill>
              <w14:schemeClr w14:val="tx1"/>
            </w14:solidFill>
          </w14:textFill>
        </w:rPr>
      </w:pPr>
    </w:p>
    <w:p>
      <w:pPr>
        <w:spacing w:line="360" w:lineRule="auto"/>
        <w:jc w:val="center"/>
        <w:rPr>
          <w:rFonts w:ascii="宋体" w:hAnsi="宋体"/>
          <w:bCs/>
          <w:color w:val="000000" w:themeColor="text1"/>
          <w:kern w:val="16"/>
          <w:position w:val="6"/>
          <w:sz w:val="44"/>
          <w:szCs w:val="44"/>
          <w:highlight w:val="none"/>
          <w14:textFill>
            <w14:solidFill>
              <w14:schemeClr w14:val="tx1"/>
            </w14:solidFill>
          </w14:textFill>
        </w:rPr>
      </w:pPr>
    </w:p>
    <w:p>
      <w:pPr>
        <w:spacing w:line="360" w:lineRule="auto"/>
        <w:jc w:val="center"/>
        <w:rPr>
          <w:rFonts w:ascii="宋体" w:hAnsi="宋体"/>
          <w:bCs/>
          <w:color w:val="000000" w:themeColor="text1"/>
          <w:kern w:val="16"/>
          <w:position w:val="6"/>
          <w:sz w:val="44"/>
          <w:szCs w:val="44"/>
          <w:highlight w:val="none"/>
          <w14:textFill>
            <w14:solidFill>
              <w14:schemeClr w14:val="tx1"/>
            </w14:solidFill>
          </w14:textFill>
        </w:rPr>
      </w:pPr>
    </w:p>
    <w:p>
      <w:pPr>
        <w:spacing w:line="360" w:lineRule="auto"/>
        <w:jc w:val="center"/>
        <w:rPr>
          <w:rFonts w:ascii="宋体" w:hAnsi="宋体"/>
          <w:color w:val="000000" w:themeColor="text1"/>
          <w:sz w:val="44"/>
          <w:szCs w:val="44"/>
          <w:highlight w:val="none"/>
          <w14:textFill>
            <w14:solidFill>
              <w14:schemeClr w14:val="tx1"/>
            </w14:solidFill>
          </w14:textFill>
        </w:rPr>
      </w:pPr>
      <w:r>
        <w:rPr>
          <w:rFonts w:hint="eastAsia" w:ascii="宋体" w:hAnsi="宋体"/>
          <w:bCs/>
          <w:color w:val="000000" w:themeColor="text1"/>
          <w:kern w:val="16"/>
          <w:position w:val="6"/>
          <w:sz w:val="44"/>
          <w:szCs w:val="44"/>
          <w:highlight w:val="none"/>
          <w14:textFill>
            <w14:solidFill>
              <w14:schemeClr w14:val="tx1"/>
            </w14:solidFill>
          </w14:textFill>
        </w:rPr>
        <w:t>第三章 合同主要协议条款</w:t>
      </w:r>
    </w:p>
    <w:p>
      <w:pPr>
        <w:pStyle w:val="18"/>
        <w:tabs>
          <w:tab w:val="left" w:pos="0"/>
        </w:tabs>
        <w:spacing w:line="370" w:lineRule="exact"/>
        <w:ind w:left="0" w:firstLine="0"/>
        <w:jc w:val="center"/>
        <w:rPr>
          <w:rFonts w:ascii="宋体" w:hAnsi="宋体"/>
          <w:b/>
          <w:color w:val="000000" w:themeColor="text1"/>
          <w:sz w:val="21"/>
          <w:szCs w:val="21"/>
          <w:highlight w:val="none"/>
          <w14:textFill>
            <w14:solidFill>
              <w14:schemeClr w14:val="tx1"/>
            </w14:solidFill>
          </w14:textFill>
        </w:rPr>
      </w:pPr>
    </w:p>
    <w:p>
      <w:pPr>
        <w:spacing w:before="312" w:beforeLines="100" w:after="312" w:afterLines="100"/>
        <w:jc w:val="center"/>
        <w:rPr>
          <w:rFonts w:ascii="宋体" w:hAnsi="宋体"/>
          <w:b/>
          <w:bCs/>
          <w:color w:val="000000" w:themeColor="text1"/>
          <w:kern w:val="0"/>
          <w:sz w:val="32"/>
          <w:szCs w:val="32"/>
          <w:highlight w:val="none"/>
          <w14:textFill>
            <w14:solidFill>
              <w14:schemeClr w14:val="tx1"/>
            </w14:solidFill>
          </w14:textFill>
        </w:rPr>
      </w:pPr>
      <w:bookmarkStart w:id="5" w:name="_Toc14119531"/>
      <w:r>
        <w:rPr>
          <w:rFonts w:hint="eastAsia" w:ascii="宋体" w:hAnsi="宋体"/>
          <w:b/>
          <w:bCs/>
          <w:color w:val="000000" w:themeColor="text1"/>
          <w:kern w:val="0"/>
          <w:sz w:val="32"/>
          <w:szCs w:val="32"/>
          <w:highlight w:val="none"/>
          <w14:textFill>
            <w14:solidFill>
              <w14:schemeClr w14:val="tx1"/>
            </w14:solidFill>
          </w14:textFill>
        </w:rPr>
        <w:t xml:space="preserve">第一部分 </w:t>
      </w:r>
      <w:r>
        <w:rPr>
          <w:rFonts w:ascii="宋体" w:hAnsi="宋体"/>
          <w:b/>
          <w:bCs/>
          <w:color w:val="000000" w:themeColor="text1"/>
          <w:kern w:val="0"/>
          <w:sz w:val="32"/>
          <w:szCs w:val="32"/>
          <w:highlight w:val="none"/>
          <w14:textFill>
            <w14:solidFill>
              <w14:schemeClr w14:val="tx1"/>
            </w14:solidFill>
          </w14:textFill>
        </w:rPr>
        <w:t>协议书</w:t>
      </w:r>
      <w:bookmarkEnd w:id="5"/>
    </w:p>
    <w:p>
      <w:pPr>
        <w:spacing w:line="400" w:lineRule="exact"/>
        <w:ind w:firstLine="413" w:firstLineChars="196"/>
        <w:rPr>
          <w:rFonts w:ascii="宋体" w:hAnsi="宋体" w:cs="宋体"/>
          <w:b/>
          <w:color w:val="000000" w:themeColor="text1"/>
          <w:kern w:val="0"/>
          <w:szCs w:val="21"/>
          <w:highlight w:val="none"/>
          <w:u w:val="singl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委托人</w:t>
      </w:r>
      <w:r>
        <w:rPr>
          <w:rFonts w:ascii="宋体" w:hAnsi="宋体" w:cs="Arial"/>
          <w:b/>
          <w:bCs/>
          <w:color w:val="000000" w:themeColor="text1"/>
          <w:szCs w:val="21"/>
          <w:highlight w:val="none"/>
          <w14:textFill>
            <w14:solidFill>
              <w14:schemeClr w14:val="tx1"/>
            </w14:solidFill>
          </w14:textFill>
        </w:rPr>
        <w:t>：</w:t>
      </w:r>
      <w:r>
        <w:rPr>
          <w:rFonts w:hint="eastAsia"/>
          <w:b/>
          <w:bCs/>
          <w:iCs/>
          <w:color w:val="000000" w:themeColor="text1"/>
          <w:kern w:val="0"/>
          <w:highlight w:val="none"/>
          <w:u w:val="single"/>
          <w14:textFill>
            <w14:solidFill>
              <w14:schemeClr w14:val="tx1"/>
            </w14:solidFill>
          </w14:textFill>
        </w:rPr>
        <w:t>绍兴市曹娥江大闸投资开发有限公司</w:t>
      </w:r>
    </w:p>
    <w:p>
      <w:pPr>
        <w:spacing w:line="400" w:lineRule="exact"/>
        <w:ind w:firstLine="413" w:firstLineChars="196"/>
        <w:rPr>
          <w:rFonts w:ascii="宋体" w:hAnsi="宋体" w:cs="Arial"/>
          <w:b/>
          <w:bCs/>
          <w:color w:val="000000" w:themeColor="text1"/>
          <w:szCs w:val="21"/>
          <w:highlight w:val="none"/>
          <w:u w:val="singl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全过程承包人：</w:t>
      </w:r>
      <w:r>
        <w:rPr>
          <w:rFonts w:ascii="宋体" w:hAnsi="宋体" w:cs="Arial"/>
          <w:b/>
          <w:bCs/>
          <w:color w:val="000000" w:themeColor="text1"/>
          <w:szCs w:val="21"/>
          <w:highlight w:val="none"/>
          <w:u w:val="single"/>
          <w14:textFill>
            <w14:solidFill>
              <w14:schemeClr w14:val="tx1"/>
            </w14:solidFill>
          </w14:textFill>
        </w:rPr>
        <w:t xml:space="preserve">               </w:t>
      </w:r>
      <w:r>
        <w:rPr>
          <w:rFonts w:hint="eastAsia" w:ascii="宋体" w:hAnsi="宋体" w:cs="Arial"/>
          <w:b/>
          <w:bCs/>
          <w:color w:val="000000" w:themeColor="text1"/>
          <w:szCs w:val="21"/>
          <w:highlight w:val="none"/>
          <w:u w:val="single"/>
          <w14:textFill>
            <w14:solidFill>
              <w14:schemeClr w14:val="tx1"/>
            </w14:solidFill>
          </w14:textFill>
        </w:rPr>
        <w:t xml:space="preserve">        </w:t>
      </w:r>
      <w:r>
        <w:rPr>
          <w:rFonts w:ascii="宋体" w:hAnsi="宋体" w:cs="Arial"/>
          <w:b/>
          <w:bCs/>
          <w:color w:val="000000" w:themeColor="text1"/>
          <w:szCs w:val="21"/>
          <w:highlight w:val="none"/>
          <w:u w:val="single"/>
          <w14:textFill>
            <w14:solidFill>
              <w14:schemeClr w14:val="tx1"/>
            </w14:solidFill>
          </w14:textFill>
        </w:rPr>
        <w:t xml:space="preserve">           </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经招标，</w:t>
      </w:r>
      <w:r>
        <w:rPr>
          <w:rFonts w:hint="eastAsia" w:ascii="宋体" w:hAnsi="宋体" w:eastAsia="宋体" w:cs="Arial"/>
          <w:color w:val="000000" w:themeColor="text1"/>
          <w:sz w:val="21"/>
          <w:szCs w:val="21"/>
          <w:highlight w:val="none"/>
          <w14:textFill>
            <w14:solidFill>
              <w14:schemeClr w14:val="tx1"/>
            </w14:solidFill>
          </w14:textFill>
        </w:rPr>
        <w:t>委托人</w:t>
      </w:r>
      <w:r>
        <w:rPr>
          <w:rFonts w:ascii="宋体" w:hAnsi="宋体" w:eastAsia="宋体" w:cs="Arial"/>
          <w:color w:val="000000" w:themeColor="text1"/>
          <w:sz w:val="21"/>
          <w:szCs w:val="21"/>
          <w:highlight w:val="none"/>
          <w14:textFill>
            <w14:solidFill>
              <w14:schemeClr w14:val="tx1"/>
            </w14:solidFill>
          </w14:textFill>
        </w:rPr>
        <w:t>将</w:t>
      </w:r>
      <w:r>
        <w:rPr>
          <w:rFonts w:hint="eastAsia" w:ascii="宋体" w:hAnsi="宋体" w:eastAsia="宋体" w:cs="Arial"/>
          <w:color w:val="000000" w:themeColor="text1"/>
          <w:sz w:val="21"/>
          <w:szCs w:val="21"/>
          <w:highlight w:val="none"/>
          <w:u w:val="single"/>
          <w14:textFill>
            <w14:solidFill>
              <w14:schemeClr w14:val="tx1"/>
            </w14:solidFill>
          </w14:textFill>
        </w:rPr>
        <w:t>绍兴市本级海塘安澜工程（曹娥江大闸段）全过程工程咨询</w:t>
      </w:r>
      <w:r>
        <w:rPr>
          <w:rFonts w:ascii="宋体" w:hAnsi="宋体" w:eastAsia="宋体" w:cs="Arial"/>
          <w:color w:val="000000" w:themeColor="text1"/>
          <w:sz w:val="21"/>
          <w:szCs w:val="21"/>
          <w:highlight w:val="none"/>
          <w14:textFill>
            <w14:solidFill>
              <w14:schemeClr w14:val="tx1"/>
            </w14:solidFill>
          </w14:textFill>
        </w:rPr>
        <w:t>工作委托</w:t>
      </w:r>
      <w:r>
        <w:rPr>
          <w:rFonts w:hint="eastAsia" w:ascii="宋体" w:hAnsi="宋体" w:eastAsia="宋体" w:cs="Arial"/>
          <w:color w:val="000000" w:themeColor="text1"/>
          <w:sz w:val="21"/>
          <w:szCs w:val="21"/>
          <w:highlight w:val="none"/>
          <w:u w:val="single"/>
          <w14:textFill>
            <w14:solidFill>
              <w14:schemeClr w14:val="tx1"/>
            </w14:solidFill>
          </w14:textFill>
        </w:rPr>
        <w:t xml:space="preserve">            （全过程承包人）</w:t>
      </w:r>
      <w:r>
        <w:rPr>
          <w:rFonts w:hint="eastAsia" w:ascii="宋体" w:hAnsi="宋体" w:eastAsia="宋体" w:cs="Arial"/>
          <w:color w:val="000000" w:themeColor="text1"/>
          <w:sz w:val="21"/>
          <w:szCs w:val="21"/>
          <w:highlight w:val="none"/>
          <w14:textFill>
            <w14:solidFill>
              <w14:schemeClr w14:val="tx1"/>
            </w14:solidFill>
          </w14:textFill>
        </w:rPr>
        <w:t>实</w:t>
      </w:r>
      <w:r>
        <w:rPr>
          <w:rFonts w:ascii="宋体" w:hAnsi="宋体" w:eastAsia="宋体" w:cs="Arial"/>
          <w:color w:val="000000" w:themeColor="text1"/>
          <w:sz w:val="21"/>
          <w:szCs w:val="21"/>
          <w:highlight w:val="none"/>
          <w14:textFill>
            <w14:solidFill>
              <w14:schemeClr w14:val="tx1"/>
            </w14:solidFill>
          </w14:textFill>
        </w:rPr>
        <w:t>施，考虑到</w:t>
      </w:r>
      <w:r>
        <w:rPr>
          <w:rFonts w:hint="eastAsia" w:ascii="宋体" w:hAnsi="宋体" w:eastAsia="宋体" w:cs="Arial"/>
          <w:color w:val="000000" w:themeColor="text1"/>
          <w:sz w:val="21"/>
          <w:szCs w:val="21"/>
          <w:highlight w:val="none"/>
          <w14:textFill>
            <w14:solidFill>
              <w14:schemeClr w14:val="tx1"/>
            </w14:solidFill>
          </w14:textFill>
        </w:rPr>
        <w:t>委托人</w:t>
      </w:r>
      <w:r>
        <w:rPr>
          <w:rFonts w:ascii="宋体" w:hAnsi="宋体" w:eastAsia="宋体" w:cs="Arial"/>
          <w:color w:val="000000" w:themeColor="text1"/>
          <w:sz w:val="21"/>
          <w:szCs w:val="21"/>
          <w:highlight w:val="none"/>
          <w14:textFill>
            <w14:solidFill>
              <w14:schemeClr w14:val="tx1"/>
            </w14:solidFill>
          </w14:textFill>
        </w:rPr>
        <w:t>所拥有的相关资质、技术力量及管理经验，根据《中华人民共和国</w:t>
      </w:r>
      <w:r>
        <w:rPr>
          <w:rFonts w:hint="eastAsia" w:ascii="宋体" w:hAnsi="宋体" w:eastAsia="宋体" w:cs="Arial"/>
          <w:color w:val="000000" w:themeColor="text1"/>
          <w:sz w:val="21"/>
          <w:szCs w:val="21"/>
          <w:highlight w:val="none"/>
          <w14:textFill>
            <w14:solidFill>
              <w14:schemeClr w14:val="tx1"/>
            </w14:solidFill>
          </w14:textFill>
        </w:rPr>
        <w:t>民法典</w:t>
      </w:r>
      <w:r>
        <w:rPr>
          <w:rFonts w:ascii="宋体" w:hAnsi="宋体" w:eastAsia="宋体" w:cs="Arial"/>
          <w:color w:val="000000" w:themeColor="text1"/>
          <w:sz w:val="21"/>
          <w:szCs w:val="21"/>
          <w:highlight w:val="none"/>
          <w14:textFill>
            <w14:solidFill>
              <w14:schemeClr w14:val="tx1"/>
            </w14:solidFill>
          </w14:textFill>
        </w:rPr>
        <w:t>》等有关</w:t>
      </w:r>
      <w:r>
        <w:rPr>
          <w:rFonts w:hint="eastAsia" w:ascii="宋体" w:hAnsi="宋体" w:eastAsia="宋体" w:cs="Arial"/>
          <w:color w:val="000000" w:themeColor="text1"/>
          <w:sz w:val="21"/>
          <w:szCs w:val="21"/>
          <w:highlight w:val="none"/>
          <w14:textFill>
            <w14:solidFill>
              <w14:schemeClr w14:val="tx1"/>
            </w14:solidFill>
          </w14:textFill>
        </w:rPr>
        <w:t>法律法规规定</w:t>
      </w:r>
      <w:r>
        <w:rPr>
          <w:rFonts w:ascii="宋体" w:hAnsi="宋体" w:eastAsia="宋体" w:cs="Arial"/>
          <w:color w:val="000000" w:themeColor="text1"/>
          <w:sz w:val="21"/>
          <w:szCs w:val="21"/>
          <w:highlight w:val="none"/>
          <w14:textFill>
            <w14:solidFill>
              <w14:schemeClr w14:val="tx1"/>
            </w14:solidFill>
          </w14:textFill>
        </w:rPr>
        <w:t>，经</w:t>
      </w:r>
      <w:r>
        <w:rPr>
          <w:rFonts w:hint="eastAsia" w:ascii="宋体" w:hAnsi="宋体" w:eastAsia="宋体" w:cs="Arial"/>
          <w:color w:val="000000" w:themeColor="text1"/>
          <w:sz w:val="21"/>
          <w:szCs w:val="21"/>
          <w:highlight w:val="none"/>
          <w14:textFill>
            <w14:solidFill>
              <w14:schemeClr w14:val="tx1"/>
            </w14:solidFill>
          </w14:textFill>
        </w:rPr>
        <w:t>各</w:t>
      </w:r>
      <w:r>
        <w:rPr>
          <w:rFonts w:ascii="宋体" w:hAnsi="宋体" w:eastAsia="宋体" w:cs="Arial"/>
          <w:color w:val="000000" w:themeColor="text1"/>
          <w:sz w:val="21"/>
          <w:szCs w:val="21"/>
          <w:highlight w:val="none"/>
          <w14:textFill>
            <w14:solidFill>
              <w14:schemeClr w14:val="tx1"/>
            </w14:solidFill>
          </w14:textFill>
        </w:rPr>
        <w:t>方友好协商，就</w:t>
      </w:r>
      <w:r>
        <w:rPr>
          <w:rFonts w:hint="eastAsia" w:ascii="宋体" w:hAnsi="宋体" w:eastAsia="宋体" w:cs="Arial"/>
          <w:color w:val="000000" w:themeColor="text1"/>
          <w:sz w:val="21"/>
          <w:szCs w:val="21"/>
          <w:highlight w:val="none"/>
          <w14:textFill>
            <w14:solidFill>
              <w14:schemeClr w14:val="tx1"/>
            </w14:solidFill>
          </w14:textFill>
        </w:rPr>
        <w:t>该项目全过程工程咨询</w:t>
      </w:r>
      <w:r>
        <w:rPr>
          <w:rFonts w:ascii="宋体" w:hAnsi="宋体" w:eastAsia="宋体" w:cs="Arial"/>
          <w:color w:val="000000" w:themeColor="text1"/>
          <w:sz w:val="21"/>
          <w:szCs w:val="21"/>
          <w:highlight w:val="none"/>
          <w14:textFill>
            <w14:solidFill>
              <w14:schemeClr w14:val="tx1"/>
            </w14:solidFill>
          </w14:textFill>
        </w:rPr>
        <w:t>事宜达成如下一致意见。</w:t>
      </w:r>
    </w:p>
    <w:p>
      <w:pPr>
        <w:pStyle w:val="11"/>
        <w:spacing w:line="400" w:lineRule="exact"/>
        <w:ind w:right="0" w:firstLine="422"/>
        <w:rPr>
          <w:rFonts w:ascii="宋体" w:hAnsi="宋体" w:eastAsia="宋体" w:cs="Arial"/>
          <w:b/>
          <w:color w:val="000000" w:themeColor="text1"/>
          <w:sz w:val="21"/>
          <w:szCs w:val="21"/>
          <w:highlight w:val="none"/>
          <w14:textFill>
            <w14:solidFill>
              <w14:schemeClr w14:val="tx1"/>
            </w14:solidFill>
          </w14:textFill>
        </w:rPr>
      </w:pPr>
      <w:r>
        <w:rPr>
          <w:rFonts w:ascii="宋体" w:hAnsi="宋体" w:eastAsia="宋体" w:cs="Arial"/>
          <w:b/>
          <w:color w:val="000000" w:themeColor="text1"/>
          <w:sz w:val="21"/>
          <w:szCs w:val="21"/>
          <w:highlight w:val="none"/>
          <w14:textFill>
            <w14:solidFill>
              <w14:schemeClr w14:val="tx1"/>
            </w14:solidFill>
          </w14:textFill>
        </w:rPr>
        <w:t>一、项目概况</w:t>
      </w:r>
    </w:p>
    <w:p>
      <w:pPr>
        <w:widowControl/>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项目名称：</w:t>
      </w:r>
      <w:r>
        <w:rPr>
          <w:rFonts w:hint="eastAsia" w:ascii="宋体" w:hAnsi="宋体" w:cs="Arial"/>
          <w:color w:val="000000" w:themeColor="text1"/>
          <w:szCs w:val="21"/>
          <w:highlight w:val="none"/>
          <w:u w:val="single"/>
          <w14:textFill>
            <w14:solidFill>
              <w14:schemeClr w14:val="tx1"/>
            </w14:solidFill>
          </w14:textFill>
        </w:rPr>
        <w:t>绍兴市本级海塘安澜工程（曹娥江大闸段）全过程工程咨询</w:t>
      </w:r>
    </w:p>
    <w:p>
      <w:pPr>
        <w:widowControl/>
        <w:ind w:firstLine="420" w:firstLineChars="200"/>
        <w:jc w:val="left"/>
        <w:rPr>
          <w:rFonts w:ascii="宋体" w:hAnsi="宋体" w:cs="Arial"/>
          <w:color w:val="000000" w:themeColor="text1"/>
          <w:kern w:val="0"/>
          <w:szCs w:val="21"/>
          <w:highlight w:val="none"/>
          <w:u w:val="single"/>
          <w14:textFill>
            <w14:solidFill>
              <w14:schemeClr w14:val="tx1"/>
            </w14:solidFill>
          </w14:textFill>
        </w:rPr>
      </w:pPr>
      <w:r>
        <w:rPr>
          <w:rFonts w:ascii="宋体" w:hAnsi="宋体" w:cs="Arial"/>
          <w:bCs/>
          <w:color w:val="000000" w:themeColor="text1"/>
          <w:szCs w:val="21"/>
          <w:highlight w:val="none"/>
          <w14:textFill>
            <w14:solidFill>
              <w14:schemeClr w14:val="tx1"/>
            </w14:solidFill>
          </w14:textFill>
        </w:rPr>
        <w:t>建设地点：</w:t>
      </w:r>
      <w:r>
        <w:rPr>
          <w:rFonts w:hint="eastAsia" w:ascii="宋体" w:hAnsi="宋体" w:cs="Arial"/>
          <w:color w:val="000000" w:themeColor="text1"/>
          <w:szCs w:val="21"/>
          <w:highlight w:val="none"/>
          <w:u w:val="single"/>
          <w14:textFill>
            <w14:solidFill>
              <w14:schemeClr w14:val="tx1"/>
            </w14:solidFill>
          </w14:textFill>
        </w:rPr>
        <w:t>绍兴市曹娥江大闸枢纽工程现场</w:t>
      </w:r>
      <w:r>
        <w:rPr>
          <w:rFonts w:hint="eastAsia" w:ascii="宋体" w:hAnsi="宋体" w:cs="Arial"/>
          <w:color w:val="000000" w:themeColor="text1"/>
          <w:kern w:val="0"/>
          <w:szCs w:val="21"/>
          <w:highlight w:val="none"/>
          <w:u w:val="single"/>
          <w14:textFill>
            <w14:solidFill>
              <w14:schemeClr w14:val="tx1"/>
            </w14:solidFill>
          </w14:textFill>
        </w:rPr>
        <w:t>。</w:t>
      </w:r>
    </w:p>
    <w:p>
      <w:pPr>
        <w:widowControl/>
        <w:spacing w:line="400" w:lineRule="exact"/>
        <w:ind w:firstLine="420" w:firstLineChars="200"/>
        <w:rPr>
          <w:rFonts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工程投资：</w:t>
      </w:r>
      <w:r>
        <w:rPr>
          <w:rFonts w:hint="eastAsia" w:ascii="宋体" w:hAnsi="宋体" w:cs="宋体"/>
          <w:color w:val="000000" w:themeColor="text1"/>
          <w:kern w:val="0"/>
          <w:szCs w:val="21"/>
          <w:highlight w:val="none"/>
          <w:u w:val="single"/>
          <w14:textFill>
            <w14:solidFill>
              <w14:schemeClr w14:val="tx1"/>
            </w14:solidFill>
          </w14:textFill>
        </w:rPr>
        <w:t>项目总投资61186万元人民币，其中建安费约47729万元。</w:t>
      </w:r>
    </w:p>
    <w:p>
      <w:pPr>
        <w:widowControl/>
        <w:spacing w:line="400" w:lineRule="exact"/>
        <w:ind w:firstLine="420" w:firstLineChars="200"/>
        <w:rPr>
          <w:rFonts w:ascii="宋体" w:hAnsi="宋体" w:cs="宋体"/>
          <w:color w:val="000000" w:themeColor="text1"/>
          <w:kern w:val="0"/>
          <w:szCs w:val="21"/>
          <w:highlight w:val="none"/>
          <w:u w:val="single"/>
          <w14:textFill>
            <w14:solidFill>
              <w14:schemeClr w14:val="tx1"/>
            </w14:solidFill>
          </w14:textFill>
        </w:rPr>
      </w:pPr>
      <w:r>
        <w:rPr>
          <w:rFonts w:ascii="宋体" w:hAnsi="宋体" w:cs="Arial"/>
          <w:color w:val="000000" w:themeColor="text1"/>
          <w:kern w:val="0"/>
          <w:szCs w:val="21"/>
          <w:highlight w:val="none"/>
          <w14:textFill>
            <w14:solidFill>
              <w14:schemeClr w14:val="tx1"/>
            </w14:solidFill>
          </w14:textFill>
        </w:rPr>
        <w:t>建设规模：</w:t>
      </w:r>
      <w:r>
        <w:rPr>
          <w:rFonts w:hint="eastAsia" w:ascii="宋体" w:hAnsi="宋体" w:cs="宋体"/>
          <w:color w:val="000000" w:themeColor="text1"/>
          <w:kern w:val="0"/>
          <w:szCs w:val="21"/>
          <w:highlight w:val="none"/>
          <w:u w:val="single"/>
          <w14:textFill>
            <w14:solidFill>
              <w14:schemeClr w14:val="tx1"/>
            </w14:solidFill>
          </w14:textFill>
        </w:rPr>
        <w:t>本工程防潮标准由 100 年一遇提升至 300 年一遇，工程等别为Ⅰ等。（1）提标加固曹娥江大闸枢纽1.6km，包括挡潮泄洪闸0.7公里、堵坝和导流堤0.9公里；（2）提标加固两侧连接段海塘760m，包括左岸九七丘260m、右岸九四丘500m；（3）提标加固左岸盘头1座，新建护塘河护岸500m，新建鱼道进口1处，生产辅助用房1380m2，现有集控楼内部改造2400m2。（4）新建水文化景观节点1处，面积24400m2。改造提升九七丘堤后景观20280m2、导流堤园区景观面积10345m2，新建绿道1600m。（5）生态提质绿化面积175930m2，塘河生态修复500m。</w:t>
      </w:r>
    </w:p>
    <w:p>
      <w:pPr>
        <w:pStyle w:val="11"/>
        <w:tabs>
          <w:tab w:val="left" w:pos="6805"/>
        </w:tabs>
        <w:spacing w:line="400" w:lineRule="exact"/>
        <w:ind w:right="0" w:firstLine="420"/>
        <w:jc w:val="left"/>
        <w:rPr>
          <w:rFonts w:ascii="宋体" w:hAnsi="宋体" w:eastAsia="宋体" w:cs="宋体"/>
          <w:color w:val="000000" w:themeColor="text1"/>
          <w:kern w:val="0"/>
          <w:sz w:val="21"/>
          <w:szCs w:val="21"/>
          <w:highlight w:val="none"/>
          <w:u w:val="single"/>
          <w14:textFill>
            <w14:solidFill>
              <w14:schemeClr w14:val="tx1"/>
            </w14:solidFill>
          </w14:textFill>
        </w:rPr>
      </w:pPr>
      <w:r>
        <w:rPr>
          <w:rFonts w:ascii="宋体" w:hAnsi="宋体" w:eastAsia="宋体" w:cs="Arial"/>
          <w:bCs/>
          <w:color w:val="000000" w:themeColor="text1"/>
          <w:sz w:val="21"/>
          <w:szCs w:val="21"/>
          <w:highlight w:val="none"/>
          <w14:textFill>
            <w14:solidFill>
              <w14:schemeClr w14:val="tx1"/>
            </w14:solidFill>
          </w14:textFill>
        </w:rPr>
        <w:t>资金来源：</w:t>
      </w:r>
      <w:r>
        <w:rPr>
          <w:rFonts w:hint="eastAsia" w:ascii="宋体" w:hAnsi="宋体" w:eastAsia="宋体" w:cs="Arial"/>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 w:val="21"/>
          <w:szCs w:val="21"/>
          <w:highlight w:val="none"/>
          <w:u w:val="single"/>
          <w14:textFill>
            <w14:solidFill>
              <w14:schemeClr w14:val="tx1"/>
            </w14:solidFill>
          </w14:textFill>
        </w:rPr>
        <w:t xml:space="preserve">财政 </w:t>
      </w:r>
    </w:p>
    <w:p>
      <w:pPr>
        <w:pStyle w:val="11"/>
        <w:numPr>
          <w:ilvl w:val="0"/>
          <w:numId w:val="3"/>
        </w:numPr>
        <w:spacing w:line="400" w:lineRule="exact"/>
        <w:ind w:right="0" w:firstLine="422"/>
        <w:rPr>
          <w:rFonts w:ascii="宋体" w:hAnsi="宋体" w:eastAsia="宋体" w:cs="Arial"/>
          <w:b/>
          <w:color w:val="000000" w:themeColor="text1"/>
          <w:sz w:val="21"/>
          <w:szCs w:val="21"/>
          <w:highlight w:val="none"/>
          <w14:textFill>
            <w14:solidFill>
              <w14:schemeClr w14:val="tx1"/>
            </w14:solidFill>
          </w14:textFill>
        </w:rPr>
      </w:pPr>
      <w:r>
        <w:rPr>
          <w:rFonts w:ascii="宋体" w:hAnsi="宋体" w:eastAsia="宋体" w:cs="Arial"/>
          <w:b/>
          <w:color w:val="000000" w:themeColor="text1"/>
          <w:sz w:val="21"/>
          <w:szCs w:val="21"/>
          <w:highlight w:val="none"/>
          <w14:textFill>
            <w14:solidFill>
              <w14:schemeClr w14:val="tx1"/>
            </w14:solidFill>
          </w14:textFill>
        </w:rPr>
        <w:t>项目服务范围和内容</w:t>
      </w:r>
    </w:p>
    <w:p>
      <w:pPr>
        <w:pStyle w:val="11"/>
        <w:spacing w:line="400" w:lineRule="exact"/>
        <w:ind w:right="0" w:firstLine="422"/>
        <w:rPr>
          <w:rFonts w:ascii="宋体" w:hAnsi="宋体" w:eastAsia="宋体" w:cs="宋体"/>
          <w:color w:val="000000" w:themeColor="text1"/>
          <w:kern w:val="0"/>
          <w:sz w:val="21"/>
          <w:szCs w:val="21"/>
          <w:highlight w:val="none"/>
          <w:u w:val="single"/>
          <w14:textFill>
            <w14:solidFill>
              <w14:schemeClr w14:val="tx1"/>
            </w14:solidFill>
          </w14:textFill>
        </w:rPr>
      </w:pPr>
      <w:r>
        <w:rPr>
          <w:rFonts w:hint="eastAsia" w:ascii="宋体" w:hAnsi="宋体" w:eastAsia="宋体" w:cs="宋体"/>
          <w:b/>
          <w:bCs/>
          <w:color w:val="000000" w:themeColor="text1"/>
          <w:kern w:val="0"/>
          <w:sz w:val="21"/>
          <w:szCs w:val="21"/>
          <w:highlight w:val="none"/>
          <w:u w:val="single"/>
          <w14:textFill>
            <w14:solidFill>
              <w14:schemeClr w14:val="tx1"/>
            </w14:solidFill>
          </w14:textFill>
        </w:rPr>
        <w:t>综合性咨询，</w:t>
      </w:r>
      <w:r>
        <w:rPr>
          <w:rFonts w:hint="eastAsia" w:ascii="宋体" w:hAnsi="宋体" w:eastAsia="宋体" w:cs="宋体"/>
          <w:color w:val="000000" w:themeColor="text1"/>
          <w:kern w:val="0"/>
          <w:sz w:val="21"/>
          <w:szCs w:val="21"/>
          <w:highlight w:val="none"/>
          <w:u w:val="single"/>
          <w14:textFill>
            <w14:solidFill>
              <w14:schemeClr w14:val="tx1"/>
            </w14:solidFill>
          </w14:textFill>
        </w:rPr>
        <w:t>主要包括项目策划、项目报批报建、验收管理、设计管理、合同管理、进度管理、安全管理、质量管理、投资管理、信息管理、风险管理、技术管理等；</w:t>
      </w:r>
    </w:p>
    <w:p>
      <w:pPr>
        <w:pStyle w:val="11"/>
        <w:spacing w:line="400" w:lineRule="exact"/>
        <w:ind w:right="0" w:firstLine="422"/>
        <w:rPr>
          <w:rFonts w:ascii="宋体" w:hAnsi="宋体" w:eastAsia="宋体" w:cs="宋体"/>
          <w:color w:val="000000" w:themeColor="text1"/>
          <w:kern w:val="0"/>
          <w:sz w:val="21"/>
          <w:szCs w:val="21"/>
          <w:highlight w:val="none"/>
          <w:u w:val="single"/>
          <w14:textFill>
            <w14:solidFill>
              <w14:schemeClr w14:val="tx1"/>
            </w14:solidFill>
          </w14:textFill>
        </w:rPr>
      </w:pPr>
      <w:r>
        <w:rPr>
          <w:rFonts w:hint="eastAsia" w:ascii="宋体" w:hAnsi="宋体" w:eastAsia="宋体" w:cs="宋体"/>
          <w:b/>
          <w:bCs/>
          <w:color w:val="000000" w:themeColor="text1"/>
          <w:kern w:val="0"/>
          <w:sz w:val="21"/>
          <w:szCs w:val="21"/>
          <w:highlight w:val="none"/>
          <w:u w:val="single"/>
          <w14:textFill>
            <w14:solidFill>
              <w14:schemeClr w14:val="tx1"/>
            </w14:solidFill>
          </w14:textFill>
        </w:rPr>
        <w:t>专项咨询，</w:t>
      </w:r>
      <w:r>
        <w:rPr>
          <w:rFonts w:hint="eastAsia" w:ascii="宋体" w:hAnsi="宋体" w:eastAsia="宋体" w:cs="宋体"/>
          <w:color w:val="000000" w:themeColor="text1"/>
          <w:kern w:val="0"/>
          <w:sz w:val="21"/>
          <w:szCs w:val="21"/>
          <w:highlight w:val="none"/>
          <w:u w:val="single"/>
          <w14:textFill>
            <w14:solidFill>
              <w14:schemeClr w14:val="tx1"/>
            </w14:solidFill>
          </w14:textFill>
        </w:rPr>
        <w:t>主要包括施工图审查、招标代理、施工阶段全过程造价咨询（工程量清单及预算编制、施工阶段造价控制、结算审核、竣工决算编制等）、第三方质量检测、施工期安全监测、水保和环保监测、专家组巡查、工程验收服务（含各类专项验收、技术鉴定和完（竣）工验收等）、绩效评价等。</w:t>
      </w:r>
    </w:p>
    <w:p>
      <w:pPr>
        <w:pStyle w:val="11"/>
        <w:spacing w:line="400" w:lineRule="exact"/>
        <w:ind w:right="0" w:firstLine="422"/>
        <w:rPr>
          <w:rFonts w:ascii="宋体" w:hAnsi="宋体" w:eastAsia="宋体" w:cs="Arial"/>
          <w:b/>
          <w:color w:val="000000" w:themeColor="text1"/>
          <w:sz w:val="21"/>
          <w:szCs w:val="21"/>
          <w:highlight w:val="none"/>
          <w14:textFill>
            <w14:solidFill>
              <w14:schemeClr w14:val="tx1"/>
            </w14:solidFill>
          </w14:textFill>
        </w:rPr>
      </w:pPr>
      <w:r>
        <w:rPr>
          <w:rFonts w:ascii="宋体" w:hAnsi="宋体" w:eastAsia="宋体" w:cs="Arial"/>
          <w:b/>
          <w:color w:val="000000" w:themeColor="text1"/>
          <w:sz w:val="21"/>
          <w:szCs w:val="21"/>
          <w:highlight w:val="none"/>
          <w14:textFill>
            <w14:solidFill>
              <w14:schemeClr w14:val="tx1"/>
            </w14:solidFill>
          </w14:textFill>
        </w:rPr>
        <w:t>三、项目服务目标</w:t>
      </w:r>
    </w:p>
    <w:p>
      <w:pPr>
        <w:pStyle w:val="11"/>
        <w:spacing w:line="400" w:lineRule="exact"/>
        <w:ind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质量目标：</w:t>
      </w:r>
      <w:r>
        <w:rPr>
          <w:rFonts w:hint="eastAsia" w:ascii="宋体" w:hAnsi="宋体" w:eastAsia="宋体" w:cs="Arial"/>
          <w:color w:val="000000" w:themeColor="text1"/>
          <w:kern w:val="0"/>
          <w:sz w:val="21"/>
          <w:szCs w:val="21"/>
          <w:highlight w:val="none"/>
          <w14:textFill>
            <w14:solidFill>
              <w14:schemeClr w14:val="tx1"/>
            </w14:solidFill>
          </w14:textFill>
        </w:rPr>
        <w:t>合格。</w:t>
      </w:r>
    </w:p>
    <w:p>
      <w:pPr>
        <w:pStyle w:val="11"/>
        <w:spacing w:line="400" w:lineRule="exact"/>
        <w:ind w:right="0" w:firstLine="422"/>
        <w:rPr>
          <w:rFonts w:ascii="宋体" w:hAnsi="宋体" w:eastAsia="宋体" w:cs="Arial"/>
          <w:b/>
          <w:color w:val="000000" w:themeColor="text1"/>
          <w:sz w:val="21"/>
          <w:szCs w:val="21"/>
          <w:highlight w:val="none"/>
          <w14:textFill>
            <w14:solidFill>
              <w14:schemeClr w14:val="tx1"/>
            </w14:solidFill>
          </w14:textFill>
        </w:rPr>
      </w:pPr>
      <w:r>
        <w:rPr>
          <w:rFonts w:ascii="宋体" w:hAnsi="宋体" w:eastAsia="宋体" w:cs="Arial"/>
          <w:b/>
          <w:color w:val="000000" w:themeColor="text1"/>
          <w:sz w:val="21"/>
          <w:szCs w:val="21"/>
          <w:highlight w:val="none"/>
          <w14:textFill>
            <w14:solidFill>
              <w14:schemeClr w14:val="tx1"/>
            </w14:solidFill>
          </w14:textFill>
        </w:rPr>
        <w:t>四、项目报酬</w:t>
      </w:r>
    </w:p>
    <w:p>
      <w:pPr>
        <w:widowControl/>
        <w:ind w:firstLine="422" w:firstLineChars="200"/>
        <w:jc w:val="left"/>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color w:val="000000" w:themeColor="text1"/>
          <w:kern w:val="0"/>
          <w:szCs w:val="21"/>
          <w:highlight w:val="none"/>
          <w:lang w:bidi="ar"/>
          <w14:textFill>
            <w14:solidFill>
              <w14:schemeClr w14:val="tx1"/>
            </w14:solidFill>
          </w14:textFill>
        </w:rPr>
        <w:t>根据工程咨询服务范围和内容，本合同工程咨询总报酬为：</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 xml:space="preserve">。 </w:t>
      </w:r>
    </w:p>
    <w:p>
      <w:pPr>
        <w:widowControl/>
        <w:ind w:firstLine="422" w:firstLineChars="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b/>
          <w:bCs/>
          <w:color w:val="000000" w:themeColor="text1"/>
          <w:kern w:val="0"/>
          <w:szCs w:val="21"/>
          <w:highlight w:val="none"/>
          <w:lang w:bidi="ar"/>
          <w14:textFill>
            <w14:solidFill>
              <w14:schemeClr w14:val="tx1"/>
            </w14:solidFill>
          </w14:textFill>
        </w:rPr>
        <w:t>2.</w:t>
      </w:r>
      <w:r>
        <w:rPr>
          <w:rFonts w:hint="eastAsia" w:ascii="宋体" w:hAnsi="宋体" w:cs="宋体"/>
          <w:color w:val="000000" w:themeColor="text1"/>
          <w:kern w:val="0"/>
          <w:szCs w:val="21"/>
          <w:highlight w:val="none"/>
          <w:lang w:bidi="ar"/>
          <w14:textFill>
            <w14:solidFill>
              <w14:schemeClr w14:val="tx1"/>
            </w14:solidFill>
          </w14:textFill>
        </w:rPr>
        <w:t xml:space="preserve">本次总价承包部分咨询费（除第三方质量检测费以外的其余部分）为可调总价合同，总价承包部分最终结算咨询费=总价承包部分咨询费/可研批复估算总投资*初设批复概算总投资。投标人应根据以上服务范围、服务期限及项目组配置要求及实际需要综合考虑报价，投标报价为完 成合同规定的全部工作所需支付的一切费用，包括服务人员工资及差旅费、服务范围内所涉及的各项会议会务费（包含但不限于各专项验收会议、完（竣）工验收会议、技术鉴定验收会议等）、专家费及其差 旅费、企业管理费、利润、税费、保险费、风险因素等投标人认为需要的其他一切费用。  </w:t>
      </w:r>
    </w:p>
    <w:p>
      <w:pPr>
        <w:widowControl/>
        <w:ind w:firstLine="420" w:firstLineChars="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3.第三方质量检测费为单价合同，最终</w:t>
      </w:r>
      <w:r>
        <w:rPr>
          <w:rFonts w:hint="eastAsia" w:ascii="宋体" w:hAnsi="宋体" w:cs="Arial"/>
          <w:color w:val="000000" w:themeColor="text1"/>
          <w:szCs w:val="21"/>
          <w:highlight w:val="none"/>
          <w14:textFill>
            <w14:solidFill>
              <w14:schemeClr w14:val="tx1"/>
            </w14:solidFill>
          </w14:textFill>
        </w:rPr>
        <w:t>第三方检测费=按实调整的工程量*第三方质量检测明细表单价*（1+浮动率）。但当最终第三方检测费超过本项目批复概算中指明的工程质量检测费的，超出部分视作优惠。</w:t>
      </w:r>
    </w:p>
    <w:p>
      <w:pPr>
        <w:pStyle w:val="8"/>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4.项目报酬不因服务期限变化而调整。</w:t>
      </w:r>
    </w:p>
    <w:p>
      <w:pPr>
        <w:adjustRightInd w:val="0"/>
        <w:spacing w:line="400" w:lineRule="exact"/>
        <w:ind w:firstLine="413" w:firstLineChars="196"/>
        <w:contextualSpacing/>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w:t>
      </w:r>
      <w:r>
        <w:rPr>
          <w:rFonts w:ascii="宋体" w:hAnsi="宋体" w:cs="宋体"/>
          <w:b/>
          <w:bCs/>
          <w:color w:val="000000" w:themeColor="text1"/>
          <w:szCs w:val="21"/>
          <w:highlight w:val="none"/>
          <w14:textFill>
            <w14:solidFill>
              <w14:schemeClr w14:val="tx1"/>
            </w14:solidFill>
          </w14:textFill>
        </w:rPr>
        <w:t>、本合同由以下文件组成</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协议书</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2、中标通知书</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3、招投标文件及其附件</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4、</w:t>
      </w:r>
      <w:r>
        <w:rPr>
          <w:rFonts w:hint="eastAsia" w:ascii="宋体" w:hAnsi="宋体" w:cs="Arial"/>
          <w:color w:val="000000" w:themeColor="text1"/>
          <w:szCs w:val="21"/>
          <w:highlight w:val="none"/>
          <w14:textFill>
            <w14:solidFill>
              <w14:schemeClr w14:val="tx1"/>
            </w14:solidFill>
          </w14:textFill>
        </w:rPr>
        <w:t>合同条款</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5</w:t>
      </w:r>
      <w:r>
        <w:rPr>
          <w:rFonts w:ascii="宋体" w:hAnsi="宋体" w:cs="Arial"/>
          <w:color w:val="000000" w:themeColor="text1"/>
          <w:szCs w:val="21"/>
          <w:highlight w:val="none"/>
          <w14:textFill>
            <w14:solidFill>
              <w14:schemeClr w14:val="tx1"/>
            </w14:solidFill>
          </w14:textFill>
        </w:rPr>
        <w:t>、标准、规范及有关技术文件</w:t>
      </w:r>
    </w:p>
    <w:p>
      <w:pPr>
        <w:spacing w:line="400" w:lineRule="exact"/>
        <w:ind w:firstLine="707" w:firstLineChars="337"/>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6</w:t>
      </w:r>
      <w:r>
        <w:rPr>
          <w:rFonts w:ascii="宋体" w:hAnsi="宋体" w:cs="Arial"/>
          <w:color w:val="000000" w:themeColor="text1"/>
          <w:szCs w:val="21"/>
          <w:highlight w:val="none"/>
          <w14:textFill>
            <w14:solidFill>
              <w14:schemeClr w14:val="tx1"/>
            </w14:solidFill>
          </w14:textFill>
        </w:rPr>
        <w:t>、初步设计文件及其审查批复文件</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构成本合同的文件若存在歧义或不一致时，则按上述排列次序进行解释。</w:t>
      </w:r>
    </w:p>
    <w:p>
      <w:pPr>
        <w:numPr>
          <w:ilvl w:val="0"/>
          <w:numId w:val="4"/>
        </w:numPr>
        <w:spacing w:line="400" w:lineRule="exact"/>
        <w:ind w:firstLine="632" w:firstLineChars="3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服务期限</w:t>
      </w:r>
    </w:p>
    <w:p>
      <w:pPr>
        <w:pStyle w:val="2"/>
        <w:ind w:firstLine="420" w:firstLineChars="200"/>
        <w:jc w:val="both"/>
        <w:rPr>
          <w:rFonts w:ascii="宋体" w:hAnsi="宋体" w:eastAsia="宋体" w:cs="Arial"/>
          <w:b w:val="0"/>
          <w:bCs w:val="0"/>
          <w:color w:val="000000" w:themeColor="text1"/>
          <w:sz w:val="21"/>
          <w:szCs w:val="21"/>
          <w:highlight w:val="none"/>
          <w14:textFill>
            <w14:solidFill>
              <w14:schemeClr w14:val="tx1"/>
            </w14:solidFill>
          </w14:textFill>
        </w:rPr>
      </w:pPr>
      <w:r>
        <w:rPr>
          <w:rFonts w:hint="eastAsia" w:ascii="宋体" w:hAnsi="宋体" w:eastAsia="宋体" w:cs="Arial"/>
          <w:b w:val="0"/>
          <w:bCs w:val="0"/>
          <w:color w:val="000000" w:themeColor="text1"/>
          <w:sz w:val="21"/>
          <w:szCs w:val="21"/>
          <w:highlight w:val="none"/>
          <w14:textFill>
            <w14:solidFill>
              <w14:schemeClr w14:val="tx1"/>
            </w14:solidFill>
          </w14:textFill>
        </w:rPr>
        <w:t>自合同签订之日起，至工程竣工验收、财务决算审计结束且缺陷责任期满，同时完成招标范围内所有工作内容之日止。</w:t>
      </w:r>
    </w:p>
    <w:p>
      <w:pPr>
        <w:pStyle w:val="11"/>
        <w:spacing w:line="400" w:lineRule="exact"/>
        <w:ind w:right="0" w:firstLine="422"/>
        <w:rPr>
          <w:rFonts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七</w:t>
      </w:r>
      <w:r>
        <w:rPr>
          <w:rFonts w:ascii="宋体" w:hAnsi="宋体" w:eastAsia="宋体" w:cs="Arial"/>
          <w:b/>
          <w:bCs/>
          <w:color w:val="000000" w:themeColor="text1"/>
          <w:sz w:val="21"/>
          <w:szCs w:val="21"/>
          <w:highlight w:val="none"/>
          <w14:textFill>
            <w14:solidFill>
              <w14:schemeClr w14:val="tx1"/>
            </w14:solidFill>
          </w14:textFill>
        </w:rPr>
        <w:t>、</w:t>
      </w:r>
      <w:r>
        <w:rPr>
          <w:rFonts w:hint="eastAsia" w:ascii="宋体" w:hAnsi="宋体" w:eastAsia="宋体" w:cs="Arial"/>
          <w:b/>
          <w:bCs/>
          <w:color w:val="000000" w:themeColor="text1"/>
          <w:sz w:val="21"/>
          <w:szCs w:val="21"/>
          <w:highlight w:val="none"/>
          <w14:textFill>
            <w14:solidFill>
              <w14:schemeClr w14:val="tx1"/>
            </w14:solidFill>
          </w14:textFill>
        </w:rPr>
        <w:t>承诺条款</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1、委托人</w:t>
      </w:r>
      <w:r>
        <w:rPr>
          <w:rFonts w:ascii="宋体" w:hAnsi="宋体" w:eastAsia="宋体" w:cs="Arial"/>
          <w:color w:val="000000" w:themeColor="text1"/>
          <w:sz w:val="21"/>
          <w:szCs w:val="21"/>
          <w:highlight w:val="none"/>
          <w14:textFill>
            <w14:solidFill>
              <w14:schemeClr w14:val="tx1"/>
            </w14:solidFill>
          </w14:textFill>
        </w:rPr>
        <w:t>承诺，遵守本合同中的各项约定，为</w:t>
      </w:r>
      <w:r>
        <w:rPr>
          <w:rFonts w:hint="eastAsia" w:ascii="宋体" w:hAnsi="宋体" w:eastAsia="宋体" w:cs="Arial"/>
          <w:color w:val="000000" w:themeColor="text1"/>
          <w:sz w:val="21"/>
          <w:szCs w:val="21"/>
          <w:highlight w:val="none"/>
          <w14:textFill>
            <w14:solidFill>
              <w14:schemeClr w14:val="tx1"/>
            </w14:solidFill>
          </w14:textFill>
        </w:rPr>
        <w:t>全过程承包人</w:t>
      </w:r>
      <w:r>
        <w:rPr>
          <w:rFonts w:ascii="宋体" w:hAnsi="宋体" w:eastAsia="宋体" w:cs="Arial"/>
          <w:color w:val="000000" w:themeColor="text1"/>
          <w:sz w:val="21"/>
          <w:szCs w:val="21"/>
          <w:highlight w:val="none"/>
          <w14:textFill>
            <w14:solidFill>
              <w14:schemeClr w14:val="tx1"/>
            </w14:solidFill>
          </w14:textFill>
        </w:rPr>
        <w:t>提供项目建设的必要条件。</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2、全过程承包人</w:t>
      </w:r>
      <w:r>
        <w:rPr>
          <w:rFonts w:ascii="宋体" w:hAnsi="宋体" w:eastAsia="宋体" w:cs="Arial"/>
          <w:color w:val="000000" w:themeColor="text1"/>
          <w:sz w:val="21"/>
          <w:szCs w:val="21"/>
          <w:highlight w:val="none"/>
          <w14:textFill>
            <w14:solidFill>
              <w14:schemeClr w14:val="tx1"/>
            </w14:solidFill>
          </w14:textFill>
        </w:rPr>
        <w:t>承诺，遵守本合同中的各项约定，按照</w:t>
      </w:r>
      <w:r>
        <w:rPr>
          <w:rFonts w:hint="eastAsia" w:ascii="宋体" w:hAnsi="宋体" w:eastAsia="宋体" w:cs="Arial"/>
          <w:color w:val="000000" w:themeColor="text1"/>
          <w:sz w:val="21"/>
          <w:szCs w:val="21"/>
          <w:highlight w:val="none"/>
          <w14:textFill>
            <w14:solidFill>
              <w14:schemeClr w14:val="tx1"/>
            </w14:solidFill>
          </w14:textFill>
        </w:rPr>
        <w:t>招标文件约定的</w:t>
      </w:r>
      <w:r>
        <w:rPr>
          <w:rFonts w:ascii="宋体" w:hAnsi="宋体" w:eastAsia="宋体" w:cs="Arial"/>
          <w:color w:val="000000" w:themeColor="text1"/>
          <w:sz w:val="21"/>
          <w:szCs w:val="21"/>
          <w:highlight w:val="none"/>
          <w14:textFill>
            <w14:solidFill>
              <w14:schemeClr w14:val="tx1"/>
            </w14:solidFill>
          </w14:textFill>
        </w:rPr>
        <w:t>工作范围和内容，承担</w:t>
      </w:r>
      <w:r>
        <w:rPr>
          <w:rFonts w:hint="eastAsia" w:ascii="宋体" w:hAnsi="宋体" w:eastAsia="宋体" w:cs="Arial"/>
          <w:color w:val="000000" w:themeColor="text1"/>
          <w:sz w:val="21"/>
          <w:szCs w:val="21"/>
          <w:highlight w:val="none"/>
          <w14:textFill>
            <w14:solidFill>
              <w14:schemeClr w14:val="tx1"/>
            </w14:solidFill>
          </w14:textFill>
        </w:rPr>
        <w:t>全过程工程咨询</w:t>
      </w:r>
      <w:r>
        <w:rPr>
          <w:rFonts w:ascii="宋体" w:hAnsi="宋体" w:eastAsia="宋体" w:cs="Arial"/>
          <w:color w:val="000000" w:themeColor="text1"/>
          <w:sz w:val="21"/>
          <w:szCs w:val="21"/>
          <w:highlight w:val="none"/>
          <w14:textFill>
            <w14:solidFill>
              <w14:schemeClr w14:val="tx1"/>
            </w14:solidFill>
          </w14:textFill>
        </w:rPr>
        <w:t>任务。</w:t>
      </w:r>
    </w:p>
    <w:p>
      <w:pPr>
        <w:pStyle w:val="11"/>
        <w:spacing w:line="400" w:lineRule="exact"/>
        <w:ind w:right="0" w:firstLine="422"/>
        <w:rPr>
          <w:rFonts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八、协议生效及其他</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w:t>
      </w:r>
      <w:r>
        <w:rPr>
          <w:rFonts w:ascii="宋体" w:hAnsi="宋体" w:eastAsia="宋体" w:cs="Arial"/>
          <w:color w:val="000000" w:themeColor="text1"/>
          <w:sz w:val="21"/>
          <w:szCs w:val="21"/>
          <w:highlight w:val="none"/>
          <w14:textFill>
            <w14:solidFill>
              <w14:schemeClr w14:val="tx1"/>
            </w14:solidFill>
          </w14:textFill>
        </w:rPr>
        <w:t>本</w:t>
      </w:r>
      <w:r>
        <w:rPr>
          <w:rFonts w:hint="eastAsia" w:ascii="宋体" w:hAnsi="宋体" w:eastAsia="宋体" w:cs="Arial"/>
          <w:color w:val="000000" w:themeColor="text1"/>
          <w:sz w:val="21"/>
          <w:szCs w:val="21"/>
          <w:highlight w:val="none"/>
          <w14:textFill>
            <w14:solidFill>
              <w14:schemeClr w14:val="tx1"/>
            </w14:solidFill>
          </w14:textFill>
        </w:rPr>
        <w:t>协议</w:t>
      </w:r>
      <w:r>
        <w:rPr>
          <w:rFonts w:ascii="宋体" w:hAnsi="宋体" w:eastAsia="宋体" w:cs="Arial"/>
          <w:color w:val="000000" w:themeColor="text1"/>
          <w:sz w:val="21"/>
          <w:szCs w:val="21"/>
          <w:highlight w:val="none"/>
          <w14:textFill>
            <w14:solidFill>
              <w14:schemeClr w14:val="tx1"/>
            </w14:solidFill>
          </w14:textFill>
        </w:rPr>
        <w:t xml:space="preserve">一式  </w:t>
      </w:r>
      <w:r>
        <w:rPr>
          <w:rFonts w:hint="eastAsia" w:ascii="宋体" w:hAnsi="宋体" w:eastAsia="宋体" w:cs="Arial"/>
          <w:color w:val="000000" w:themeColor="text1"/>
          <w:sz w:val="21"/>
          <w:szCs w:val="21"/>
          <w:highlight w:val="none"/>
          <w14:textFill>
            <w14:solidFill>
              <w14:schemeClr w14:val="tx1"/>
            </w14:solidFill>
          </w14:textFill>
        </w:rPr>
        <w:t>12</w:t>
      </w:r>
      <w:r>
        <w:rPr>
          <w:rFonts w:ascii="宋体" w:hAnsi="宋体" w:eastAsia="宋体" w:cs="Arial"/>
          <w:color w:val="000000" w:themeColor="text1"/>
          <w:sz w:val="21"/>
          <w:szCs w:val="21"/>
          <w:highlight w:val="none"/>
          <w14:textFill>
            <w14:solidFill>
              <w14:schemeClr w14:val="tx1"/>
            </w14:solidFill>
          </w14:textFill>
        </w:rPr>
        <w:t xml:space="preserve"> 份，具有同等法律效力，双方各执 </w:t>
      </w:r>
      <w:r>
        <w:rPr>
          <w:rFonts w:hint="eastAsia" w:ascii="宋体" w:hAnsi="宋体" w:eastAsia="宋体" w:cs="Arial"/>
          <w:color w:val="000000" w:themeColor="text1"/>
          <w:sz w:val="21"/>
          <w:szCs w:val="21"/>
          <w:highlight w:val="none"/>
          <w14:textFill>
            <w14:solidFill>
              <w14:schemeClr w14:val="tx1"/>
            </w14:solidFill>
          </w14:textFill>
        </w:rPr>
        <w:t>6</w:t>
      </w:r>
      <w:r>
        <w:rPr>
          <w:rFonts w:ascii="宋体" w:hAnsi="宋体" w:eastAsia="宋体" w:cs="Arial"/>
          <w:color w:val="000000" w:themeColor="text1"/>
          <w:sz w:val="21"/>
          <w:szCs w:val="21"/>
          <w:highlight w:val="none"/>
          <w14:textFill>
            <w14:solidFill>
              <w14:schemeClr w14:val="tx1"/>
            </w14:solidFill>
          </w14:textFill>
        </w:rPr>
        <w:t xml:space="preserve"> 份</w:t>
      </w:r>
      <w:r>
        <w:rPr>
          <w:rFonts w:hint="eastAsia" w:ascii="宋体" w:hAnsi="宋体" w:eastAsia="宋体" w:cs="Arial"/>
          <w:color w:val="000000" w:themeColor="text1"/>
          <w:sz w:val="21"/>
          <w:szCs w:val="21"/>
          <w:highlight w:val="none"/>
          <w14:textFill>
            <w14:solidFill>
              <w14:schemeClr w14:val="tx1"/>
            </w14:solidFill>
          </w14:textFill>
        </w:rPr>
        <w:t>，协议自双方盖章后生效</w:t>
      </w:r>
      <w:r>
        <w:rPr>
          <w:rFonts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2、本协议条款中的未尽事项，经双方协商一致后，可签订协议补充合同条款。</w:t>
      </w:r>
    </w:p>
    <w:p>
      <w:pPr>
        <w:pStyle w:val="11"/>
        <w:snapToGrid w:val="0"/>
        <w:spacing w:line="400" w:lineRule="exact"/>
        <w:ind w:right="0" w:firstLine="316" w:firstLineChars="150"/>
        <w:jc w:val="right"/>
        <w:rPr>
          <w:rFonts w:ascii="宋体" w:hAnsi="宋体" w:eastAsia="宋体" w:cs="Arial"/>
          <w:b/>
          <w:bCs/>
          <w:color w:val="000000" w:themeColor="text1"/>
          <w:sz w:val="21"/>
          <w:szCs w:val="21"/>
          <w:highlight w:val="none"/>
          <w14:textFill>
            <w14:solidFill>
              <w14:schemeClr w14:val="tx1"/>
            </w14:solidFill>
          </w14:textFill>
        </w:rPr>
      </w:pPr>
    </w:p>
    <w:p>
      <w:pPr>
        <w:pStyle w:val="11"/>
        <w:snapToGrid w:val="0"/>
        <w:spacing w:line="400" w:lineRule="exact"/>
        <w:ind w:right="0" w:firstLine="316" w:firstLineChars="150"/>
        <w:jc w:val="right"/>
        <w:rPr>
          <w:rFonts w:ascii="宋体" w:hAnsi="宋体" w:eastAsia="宋体" w:cs="Arial"/>
          <w:b/>
          <w:bCs/>
          <w:color w:val="000000" w:themeColor="text1"/>
          <w:sz w:val="21"/>
          <w:szCs w:val="21"/>
          <w:highlight w:val="none"/>
          <w14:textFill>
            <w14:solidFill>
              <w14:schemeClr w14:val="tx1"/>
            </w14:solidFill>
          </w14:textFill>
        </w:rPr>
      </w:pPr>
    </w:p>
    <w:p>
      <w:pPr>
        <w:rPr>
          <w:rFonts w:ascii="宋体" w:hAnsi="宋体" w:cs="Arial"/>
          <w:b/>
          <w:bCs/>
          <w:color w:val="000000" w:themeColor="text1"/>
          <w:sz w:val="28"/>
          <w:szCs w:val="28"/>
          <w:highlight w:val="none"/>
          <w14:textFill>
            <w14:solidFill>
              <w14:schemeClr w14:val="tx1"/>
            </w14:solidFill>
          </w14:textFill>
        </w:rPr>
      </w:pPr>
      <w:r>
        <w:rPr>
          <w:rFonts w:ascii="宋体" w:hAnsi="宋体" w:cs="Arial"/>
          <w:b/>
          <w:bCs/>
          <w:color w:val="000000" w:themeColor="text1"/>
          <w:sz w:val="28"/>
          <w:szCs w:val="28"/>
          <w:highlight w:val="none"/>
          <w14:textFill>
            <w14:solidFill>
              <w14:schemeClr w14:val="tx1"/>
            </w14:solidFill>
          </w14:textFill>
        </w:rPr>
        <w:br w:type="page"/>
      </w:r>
    </w:p>
    <w:p>
      <w:pPr>
        <w:pStyle w:val="10"/>
        <w:spacing w:line="360" w:lineRule="auto"/>
        <w:jc w:val="center"/>
        <w:outlineLvl w:val="1"/>
        <w:rPr>
          <w:rFonts w:ascii="宋体" w:hAnsi="宋体" w:cs="Arial"/>
          <w:b/>
          <w:bCs/>
          <w:color w:val="000000" w:themeColor="text1"/>
          <w:sz w:val="28"/>
          <w:szCs w:val="28"/>
          <w:highlight w:val="none"/>
          <w14:textFill>
            <w14:solidFill>
              <w14:schemeClr w14:val="tx1"/>
            </w14:solidFill>
          </w14:textFill>
        </w:rPr>
      </w:pPr>
      <w:r>
        <w:rPr>
          <w:rFonts w:ascii="宋体" w:hAnsi="宋体" w:cs="Arial"/>
          <w:b/>
          <w:bCs/>
          <w:color w:val="000000" w:themeColor="text1"/>
          <w:sz w:val="28"/>
          <w:szCs w:val="28"/>
          <w:highlight w:val="none"/>
          <w14:textFill>
            <w14:solidFill>
              <w14:schemeClr w14:val="tx1"/>
            </w14:solidFill>
          </w14:textFill>
        </w:rPr>
        <w:t>第</w:t>
      </w:r>
      <w:r>
        <w:rPr>
          <w:rFonts w:hint="eastAsia" w:ascii="宋体" w:hAnsi="宋体" w:cs="Arial"/>
          <w:b/>
          <w:bCs/>
          <w:color w:val="000000" w:themeColor="text1"/>
          <w:sz w:val="28"/>
          <w:szCs w:val="28"/>
          <w:highlight w:val="none"/>
          <w14:textFill>
            <w14:solidFill>
              <w14:schemeClr w14:val="tx1"/>
            </w14:solidFill>
          </w14:textFill>
        </w:rPr>
        <w:t>二</w:t>
      </w:r>
      <w:r>
        <w:rPr>
          <w:rFonts w:ascii="宋体" w:hAnsi="宋体" w:cs="Arial"/>
          <w:b/>
          <w:bCs/>
          <w:color w:val="000000" w:themeColor="text1"/>
          <w:sz w:val="28"/>
          <w:szCs w:val="28"/>
          <w:highlight w:val="none"/>
          <w14:textFill>
            <w14:solidFill>
              <w14:schemeClr w14:val="tx1"/>
            </w14:solidFill>
          </w14:textFill>
        </w:rPr>
        <w:t>部分</w:t>
      </w:r>
      <w:r>
        <w:rPr>
          <w:rFonts w:hint="eastAsia" w:ascii="宋体" w:hAnsi="宋体" w:cs="Arial"/>
          <w:b/>
          <w:bCs/>
          <w:color w:val="000000" w:themeColor="text1"/>
          <w:sz w:val="28"/>
          <w:szCs w:val="28"/>
          <w:highlight w:val="none"/>
          <w14:textFill>
            <w14:solidFill>
              <w14:schemeClr w14:val="tx1"/>
            </w14:solidFill>
          </w14:textFill>
        </w:rPr>
        <w:t xml:space="preserve"> </w:t>
      </w:r>
      <w:r>
        <w:rPr>
          <w:rFonts w:ascii="宋体" w:hAnsi="宋体" w:cs="Arial"/>
          <w:b/>
          <w:bCs/>
          <w:color w:val="000000" w:themeColor="text1"/>
          <w:sz w:val="28"/>
          <w:szCs w:val="28"/>
          <w:highlight w:val="none"/>
          <w14:textFill>
            <w14:solidFill>
              <w14:schemeClr w14:val="tx1"/>
            </w14:solidFill>
          </w14:textFill>
        </w:rPr>
        <w:t>合同</w:t>
      </w:r>
      <w:r>
        <w:rPr>
          <w:rFonts w:hint="eastAsia" w:ascii="宋体" w:hAnsi="宋体" w:cs="Arial"/>
          <w:b/>
          <w:bCs/>
          <w:color w:val="000000" w:themeColor="text1"/>
          <w:sz w:val="28"/>
          <w:szCs w:val="28"/>
          <w:highlight w:val="none"/>
          <w14:textFill>
            <w14:solidFill>
              <w14:schemeClr w14:val="tx1"/>
            </w14:solidFill>
          </w14:textFill>
        </w:rPr>
        <w:t>条款</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第一章  词语定义、适用法律法规、语言</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第一条  下列词语除附加条款另有约定外，赋予定义如下：</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（1）“项目”是指委托人委托实施管理的项目。</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（2）“委托人”是指委托全过程工程咨询业务的项目投资</w:t>
      </w:r>
      <w:r>
        <w:rPr>
          <w:rFonts w:hint="eastAsia" w:ascii="宋体" w:hAnsi="宋体" w:eastAsia="宋体" w:cs="Arial"/>
          <w:color w:val="000000" w:themeColor="text1"/>
          <w:sz w:val="21"/>
          <w:szCs w:val="21"/>
          <w:highlight w:val="none"/>
          <w14:textFill>
            <w14:solidFill>
              <w14:schemeClr w14:val="tx1"/>
            </w14:solidFill>
          </w14:textFill>
        </w:rPr>
        <w:t>人</w:t>
      </w:r>
      <w:r>
        <w:rPr>
          <w:rFonts w:ascii="宋体" w:hAnsi="宋体" w:eastAsia="宋体" w:cs="Arial"/>
          <w:color w:val="000000" w:themeColor="text1"/>
          <w:sz w:val="21"/>
          <w:szCs w:val="21"/>
          <w:highlight w:val="none"/>
          <w14:textFill>
            <w14:solidFill>
              <w14:schemeClr w14:val="tx1"/>
            </w14:solidFill>
          </w14:textFill>
        </w:rPr>
        <w:t>及其合法继承人。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（3）</w:t>
      </w:r>
      <w:r>
        <w:rPr>
          <w:rFonts w:ascii="宋体" w:hAnsi="宋体" w:eastAsia="宋体" w:cs="Arial"/>
          <w:color w:val="000000" w:themeColor="text1"/>
          <w:sz w:val="21"/>
          <w:szCs w:val="21"/>
          <w:highlight w:val="none"/>
          <w14:textFill>
            <w14:solidFill>
              <w14:schemeClr w14:val="tx1"/>
            </w14:solidFill>
          </w14:textFill>
        </w:rPr>
        <w:t>“全过程承包人/单位/机构”是指承担全过程工程咨询业务和全过程工程咨询责任的一方及其合法继承人。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4</w:t>
      </w:r>
      <w:r>
        <w:rPr>
          <w:rFonts w:ascii="宋体" w:hAnsi="宋体" w:eastAsia="宋体" w:cs="Arial"/>
          <w:color w:val="000000" w:themeColor="text1"/>
          <w:sz w:val="21"/>
          <w:szCs w:val="21"/>
          <w:highlight w:val="none"/>
          <w14:textFill>
            <w14:solidFill>
              <w14:schemeClr w14:val="tx1"/>
            </w14:solidFill>
          </w14:textFill>
        </w:rPr>
        <w:t>）“建设管理”是指全过程承包人受委托人委托，根据全过程工程咨询合同约定，在项目实施阶段，对项目规划、设计、采购、施工、竣工、结（决）算、试运行过程及项目范围、质量、安全、进度、费用、合同、信息等内容进行管理和控制，并承担相应管理责任活动。</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5</w:t>
      </w:r>
      <w:r>
        <w:rPr>
          <w:rFonts w:ascii="宋体" w:hAnsi="宋体" w:eastAsia="宋体" w:cs="Arial"/>
          <w:color w:val="000000" w:themeColor="text1"/>
          <w:sz w:val="21"/>
          <w:szCs w:val="21"/>
          <w:highlight w:val="none"/>
          <w14:textFill>
            <w14:solidFill>
              <w14:schemeClr w14:val="tx1"/>
            </w14:solidFill>
          </w14:textFill>
        </w:rPr>
        <w:t>）“全过程工程咨询部”是指由全过程承包人组建实施具体全过程工程咨询工作的机构。</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6</w:t>
      </w:r>
      <w:r>
        <w:rPr>
          <w:rFonts w:ascii="宋体" w:hAnsi="宋体" w:eastAsia="宋体" w:cs="Arial"/>
          <w:color w:val="000000" w:themeColor="text1"/>
          <w:sz w:val="21"/>
          <w:szCs w:val="21"/>
          <w:highlight w:val="none"/>
          <w14:textFill>
            <w14:solidFill>
              <w14:schemeClr w14:val="tx1"/>
            </w14:solidFill>
          </w14:textFill>
        </w:rPr>
        <w:t>）“项目</w:t>
      </w:r>
      <w:r>
        <w:rPr>
          <w:rFonts w:hint="eastAsia" w:ascii="宋体" w:hAnsi="宋体" w:eastAsia="宋体" w:cs="Arial"/>
          <w:color w:val="000000" w:themeColor="text1"/>
          <w:sz w:val="21"/>
          <w:szCs w:val="21"/>
          <w:highlight w:val="none"/>
          <w14:textFill>
            <w14:solidFill>
              <w14:schemeClr w14:val="tx1"/>
            </w14:solidFill>
          </w14:textFill>
        </w:rPr>
        <w:t>总</w:t>
      </w:r>
      <w:r>
        <w:rPr>
          <w:rFonts w:ascii="宋体" w:hAnsi="宋体" w:eastAsia="宋体" w:cs="Arial"/>
          <w:color w:val="000000" w:themeColor="text1"/>
          <w:sz w:val="21"/>
          <w:szCs w:val="21"/>
          <w:highlight w:val="none"/>
          <w14:textFill>
            <w14:solidFill>
              <w14:schemeClr w14:val="tx1"/>
            </w14:solidFill>
          </w14:textFill>
        </w:rPr>
        <w:t>负责人”是指经委托人同意，由全过程承包人任命的全面履行本合同的负责人。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7</w:t>
      </w:r>
      <w:r>
        <w:rPr>
          <w:rFonts w:ascii="宋体" w:hAnsi="宋体" w:eastAsia="宋体" w:cs="Arial"/>
          <w:color w:val="000000" w:themeColor="text1"/>
          <w:sz w:val="21"/>
          <w:szCs w:val="21"/>
          <w:highlight w:val="none"/>
          <w14:textFill>
            <w14:solidFill>
              <w14:schemeClr w14:val="tx1"/>
            </w14:solidFill>
          </w14:textFill>
        </w:rPr>
        <w:t>）“正常工作”是指双方在合同中约定委托的全过程工程咨询工作。</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8</w:t>
      </w:r>
      <w:r>
        <w:rPr>
          <w:rFonts w:ascii="宋体" w:hAnsi="宋体" w:eastAsia="宋体" w:cs="Arial"/>
          <w:color w:val="000000" w:themeColor="text1"/>
          <w:sz w:val="21"/>
          <w:szCs w:val="21"/>
          <w:highlight w:val="none"/>
          <w14:textFill>
            <w14:solidFill>
              <w14:schemeClr w14:val="tx1"/>
            </w14:solidFill>
          </w14:textFill>
        </w:rPr>
        <w:t>）“附加工作”是指本合同约定的正常工作以外，由委托人另行补充协议增加委托全过程承包人的工作内容或由于委托人项目决策或不可抗力等原因使得项目停、缓建及延误，因增加工作量或持续时间而增加全过程承包人的工作。</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9</w:t>
      </w:r>
      <w:r>
        <w:rPr>
          <w:rFonts w:ascii="宋体" w:hAnsi="宋体" w:eastAsia="宋体" w:cs="Arial"/>
          <w:color w:val="000000" w:themeColor="text1"/>
          <w:sz w:val="21"/>
          <w:szCs w:val="21"/>
          <w:highlight w:val="none"/>
          <w14:textFill>
            <w14:solidFill>
              <w14:schemeClr w14:val="tx1"/>
            </w14:solidFill>
          </w14:textFill>
        </w:rPr>
        <w:t>）“日（天）”是指任何一天零时至第二天零时的时间段。如非特别说明“日（天）”均指自然日。</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10</w:t>
      </w:r>
      <w:r>
        <w:rPr>
          <w:rFonts w:ascii="宋体" w:hAnsi="宋体" w:eastAsia="宋体" w:cs="Arial"/>
          <w:color w:val="000000" w:themeColor="text1"/>
          <w:sz w:val="21"/>
          <w:szCs w:val="21"/>
          <w:highlight w:val="none"/>
          <w14:textFill>
            <w14:solidFill>
              <w14:schemeClr w14:val="tx1"/>
            </w14:solidFill>
          </w14:textFill>
        </w:rPr>
        <w:t>）“月”是指根据公历从一个月中任何一天开始到下一个月相应日期前一天的时间段。</w:t>
      </w:r>
    </w:p>
    <w:p>
      <w:pPr>
        <w:widowControl/>
        <w:ind w:firstLine="420" w:firstLineChars="200"/>
        <w:jc w:val="left"/>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1</w:t>
      </w:r>
      <w:r>
        <w:rPr>
          <w:rFonts w:ascii="宋体" w:hAnsi="宋体" w:cs="Arial"/>
          <w:color w:val="000000" w:themeColor="text1"/>
          <w:szCs w:val="21"/>
          <w:highlight w:val="none"/>
          <w14:textFill>
            <w14:solidFill>
              <w14:schemeClr w14:val="tx1"/>
            </w14:solidFill>
          </w14:textFill>
        </w:rPr>
        <w:t>）“专项咨询服务”</w:t>
      </w:r>
      <w:r>
        <w:rPr>
          <w:rFonts w:hint="eastAsia" w:ascii="宋体" w:hAnsi="宋体" w:cs="宋体"/>
          <w:color w:val="000000" w:themeColor="text1"/>
          <w:kern w:val="0"/>
          <w:szCs w:val="21"/>
          <w:highlight w:val="none"/>
          <w:lang w:bidi="ar"/>
          <w14:textFill>
            <w14:solidFill>
              <w14:schemeClr w14:val="tx1"/>
            </w14:solidFill>
          </w14:textFill>
        </w:rPr>
        <w:t>指工程咨询人受托提供的投资咨询、设计技术咨询、招标代理、造价咨询等一项或多项专业化咨询服务。</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第二条  合同适用的法律：《中华人民共和国招标投标法》、《中华人民共和国</w:t>
      </w:r>
      <w:r>
        <w:rPr>
          <w:rFonts w:hint="eastAsia" w:ascii="宋体" w:hAnsi="宋体" w:eastAsia="宋体" w:cs="Arial"/>
          <w:color w:val="000000" w:themeColor="text1"/>
          <w:sz w:val="21"/>
          <w:szCs w:val="21"/>
          <w:highlight w:val="none"/>
          <w14:textFill>
            <w14:solidFill>
              <w14:schemeClr w14:val="tx1"/>
            </w14:solidFill>
          </w14:textFill>
        </w:rPr>
        <w:t>民法典</w:t>
      </w:r>
      <w:r>
        <w:rPr>
          <w:rFonts w:ascii="宋体" w:hAnsi="宋体" w:eastAsia="宋体" w:cs="Arial"/>
          <w:color w:val="000000" w:themeColor="text1"/>
          <w:sz w:val="21"/>
          <w:szCs w:val="21"/>
          <w:highlight w:val="none"/>
          <w14:textFill>
            <w14:solidFill>
              <w14:schemeClr w14:val="tx1"/>
            </w14:solidFill>
          </w14:textFill>
        </w:rPr>
        <w:t>》、《中华人民共和国招标投标法实施条例》、《</w:t>
      </w:r>
      <w:r>
        <w:rPr>
          <w:rFonts w:hint="eastAsia" w:ascii="宋体" w:hAnsi="宋体" w:eastAsia="宋体" w:cs="Arial"/>
          <w:color w:val="000000" w:themeColor="text1"/>
          <w:sz w:val="21"/>
          <w:szCs w:val="21"/>
          <w:highlight w:val="none"/>
          <w14:textFill>
            <w14:solidFill>
              <w14:schemeClr w14:val="tx1"/>
            </w14:solidFill>
          </w14:textFill>
        </w:rPr>
        <w:t>住房城乡建设部关于开展全过程工程咨询试点工作的通知</w:t>
      </w:r>
      <w:r>
        <w:rPr>
          <w:rFonts w:ascii="宋体" w:hAnsi="宋体" w:eastAsia="宋体" w:cs="Arial"/>
          <w:color w:val="000000" w:themeColor="text1"/>
          <w:sz w:val="21"/>
          <w:szCs w:val="21"/>
          <w:highlight w:val="none"/>
          <w14:textFill>
            <w14:solidFill>
              <w14:schemeClr w14:val="tx1"/>
            </w14:solidFill>
          </w14:textFill>
        </w:rPr>
        <w:t>》（建市[20</w:t>
      </w:r>
      <w:r>
        <w:rPr>
          <w:rFonts w:hint="eastAsia" w:ascii="宋体" w:hAnsi="宋体" w:eastAsia="宋体" w:cs="Arial"/>
          <w:color w:val="000000" w:themeColor="text1"/>
          <w:sz w:val="21"/>
          <w:szCs w:val="21"/>
          <w:highlight w:val="none"/>
          <w14:textFill>
            <w14:solidFill>
              <w14:schemeClr w14:val="tx1"/>
            </w14:solidFill>
          </w14:textFill>
        </w:rPr>
        <w:t>17</w:t>
      </w: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101</w:t>
      </w:r>
      <w:r>
        <w:rPr>
          <w:rFonts w:ascii="宋体" w:hAnsi="宋体" w:eastAsia="宋体" w:cs="Arial"/>
          <w:color w:val="000000" w:themeColor="text1"/>
          <w:sz w:val="21"/>
          <w:szCs w:val="21"/>
          <w:highlight w:val="none"/>
          <w14:textFill>
            <w14:solidFill>
              <w14:schemeClr w14:val="tx1"/>
            </w14:solidFill>
          </w14:textFill>
        </w:rPr>
        <w:t>号）、</w:t>
      </w:r>
      <w:r>
        <w:rPr>
          <w:rFonts w:hint="eastAsia" w:ascii="宋体" w:hAnsi="宋体" w:eastAsia="宋体" w:cs="Arial"/>
          <w:color w:val="000000" w:themeColor="text1"/>
          <w:sz w:val="21"/>
          <w:szCs w:val="21"/>
          <w:highlight w:val="none"/>
          <w14:textFill>
            <w14:solidFill>
              <w14:schemeClr w14:val="tx1"/>
            </w14:solidFill>
          </w14:textFill>
        </w:rPr>
        <w:t>《绍兴市全过程工程咨询管理试行办法》</w:t>
      </w:r>
      <w:r>
        <w:rPr>
          <w:rFonts w:ascii="宋体" w:hAnsi="宋体" w:eastAsia="宋体" w:cs="Arial"/>
          <w:color w:val="000000" w:themeColor="text1"/>
          <w:sz w:val="21"/>
          <w:szCs w:val="21"/>
          <w:highlight w:val="none"/>
          <w14:textFill>
            <w14:solidFill>
              <w14:schemeClr w14:val="tx1"/>
            </w14:solidFill>
          </w14:textFill>
        </w:rPr>
        <w:t>等。</w:t>
      </w:r>
    </w:p>
    <w:p>
      <w:pPr>
        <w:pStyle w:val="11"/>
        <w:spacing w:line="400" w:lineRule="exact"/>
        <w:ind w:right="0" w:firstLine="420"/>
        <w:rPr>
          <w:rFonts w:ascii="宋体" w:hAnsi="宋体" w:cs="Arial"/>
          <w:b/>
          <w:color w:val="000000" w:themeColor="text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第三条  本合同文件使用汉语语言文字书写、解释和说明。</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第二章  全过程承包人义务</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第四条 全过程承包人应按合同约定的具体工作范围及工作内容为委托人提供全过程工程咨询服务。全过程承包人在履行本合同义务期间，应遵守国家有关法律、法规，维护委托人的合法权益。</w:t>
      </w:r>
    </w:p>
    <w:p>
      <w:pPr>
        <w:spacing w:line="48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全过程工程咨询具体工作范围</w:t>
      </w:r>
      <w:r>
        <w:rPr>
          <w:rFonts w:hint="eastAsia" w:ascii="宋体" w:hAnsi="宋体" w:cs="Arial"/>
          <w:color w:val="000000" w:themeColor="text1"/>
          <w:szCs w:val="21"/>
          <w:highlight w:val="none"/>
          <w14:textFill>
            <w14:solidFill>
              <w14:schemeClr w14:val="tx1"/>
            </w14:solidFill>
          </w14:textFill>
        </w:rPr>
        <w:t>包括以下内容</w:t>
      </w: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见合同第一部分&lt;协议书&gt;第二款&lt;项目服务范围和内容&gt;。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第五条 全过程</w:t>
      </w:r>
      <w:r>
        <w:rPr>
          <w:rFonts w:hint="eastAsia" w:ascii="宋体" w:hAnsi="宋体" w:eastAsia="宋体" w:cs="Arial"/>
          <w:color w:val="000000" w:themeColor="text1"/>
          <w:sz w:val="21"/>
          <w:szCs w:val="21"/>
          <w:highlight w:val="none"/>
          <w14:textFill>
            <w14:solidFill>
              <w14:schemeClr w14:val="tx1"/>
            </w14:solidFill>
          </w14:textFill>
        </w:rPr>
        <w:t>承包人提供履约担保的形式、金额及期限的：可采用银行保函、专业担保公司担保、保险公司保险等保证方式。</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担保金额：按照《关于加强建设工程担保管理推行工程综合保险工作的通知》（绍市建设 [2017]70 号）、《浙江省人民政府办公厅关于深化企业减负担降成本改革的若干意见》（浙政办发[2017]48 号）及《关于在全省工程建设领域改革保证金制度的通知》（浙建[2020]7 号）文件规定办理。本项目履约担保的金额为合同价的 2%（含工期、质量各1%），在中标通知书发出且在合同签订后</w:t>
      </w:r>
      <w:r>
        <w:rPr>
          <w:rFonts w:ascii="宋体" w:hAnsi="宋体" w:eastAsia="宋体" w:cs="Arial"/>
          <w:color w:val="000000" w:themeColor="text1"/>
          <w:sz w:val="21"/>
          <w:szCs w:val="21"/>
          <w:highlight w:val="none"/>
          <w14:textFill>
            <w14:solidFill>
              <w14:schemeClr w14:val="tx1"/>
            </w14:solidFill>
          </w14:textFill>
        </w:rPr>
        <w:t>3</w:t>
      </w:r>
      <w:r>
        <w:rPr>
          <w:rFonts w:hint="eastAsia" w:ascii="宋体" w:hAnsi="宋体" w:eastAsia="宋体" w:cs="Arial"/>
          <w:color w:val="000000" w:themeColor="text1"/>
          <w:sz w:val="21"/>
          <w:szCs w:val="21"/>
          <w:highlight w:val="none"/>
          <w14:textFill>
            <w14:solidFill>
              <w14:schemeClr w14:val="tx1"/>
            </w14:solidFill>
          </w14:textFill>
        </w:rPr>
        <w:t>0日内向委托人提交，在工程竣工验收合格后且无违约的前提下10日全额返还（不计息）。</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担保期限：自主合同生效之日起至工程合同约定的工程竣工验收合格之日后10日止。如采用保函形式，保证期满但项目尚未完成竣工验收的，</w:t>
      </w:r>
      <w:r>
        <w:rPr>
          <w:rFonts w:ascii="宋体" w:hAnsi="宋体" w:eastAsia="宋体" w:cs="Arial"/>
          <w:color w:val="000000" w:themeColor="text1"/>
          <w:sz w:val="21"/>
          <w:szCs w:val="21"/>
          <w:highlight w:val="none"/>
          <w14:textFill>
            <w14:solidFill>
              <w14:schemeClr w14:val="tx1"/>
            </w14:solidFill>
          </w14:textFill>
        </w:rPr>
        <w:t>全过程</w:t>
      </w:r>
      <w:r>
        <w:rPr>
          <w:rFonts w:hint="eastAsia" w:ascii="宋体" w:hAnsi="宋体" w:eastAsia="宋体" w:cs="Arial"/>
          <w:color w:val="000000" w:themeColor="text1"/>
          <w:sz w:val="21"/>
          <w:szCs w:val="21"/>
          <w:highlight w:val="none"/>
          <w14:textFill>
            <w14:solidFill>
              <w14:schemeClr w14:val="tx1"/>
            </w14:solidFill>
          </w14:textFill>
        </w:rPr>
        <w:t>承包人应办理保函接续手续，担保期限应满足合同约定要求。</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若采用保险公司保函，出具保险保函的保险公司应符合《关于加强建设工程担保管理全面推行工程综合保险工作的通知》（绍市建设[2018]191号）文件的规定，为经行业主管备案的共保体。</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第六条  全过程承包人任命</w:t>
      </w:r>
      <w:r>
        <w:rPr>
          <w:rFonts w:ascii="宋体" w:hAnsi="宋体" w:eastAsia="宋体" w:cs="Arial"/>
          <w:color w:val="000000" w:themeColor="text1"/>
          <w:sz w:val="21"/>
          <w:szCs w:val="21"/>
          <w:highlight w:val="none"/>
          <w:u w:val="single"/>
          <w14:textFill>
            <w14:solidFill>
              <w14:schemeClr w14:val="tx1"/>
            </w14:solidFill>
          </w14:textFill>
        </w:rPr>
        <w:t xml:space="preserve">    </w:t>
      </w:r>
      <w:r>
        <w:rPr>
          <w:rFonts w:ascii="宋体" w:hAnsi="宋体" w:eastAsia="宋体" w:cs="Arial"/>
          <w:color w:val="000000" w:themeColor="text1"/>
          <w:sz w:val="21"/>
          <w:szCs w:val="21"/>
          <w:highlight w:val="none"/>
          <w14:textFill>
            <w14:solidFill>
              <w14:schemeClr w14:val="tx1"/>
            </w14:solidFill>
          </w14:textFill>
        </w:rPr>
        <w:t>为项目</w:t>
      </w:r>
      <w:r>
        <w:rPr>
          <w:rFonts w:hint="eastAsia" w:ascii="宋体" w:hAnsi="宋体" w:eastAsia="宋体" w:cs="Arial"/>
          <w:color w:val="000000" w:themeColor="text1"/>
          <w:sz w:val="21"/>
          <w:szCs w:val="21"/>
          <w:highlight w:val="none"/>
          <w14:textFill>
            <w14:solidFill>
              <w14:schemeClr w14:val="tx1"/>
            </w14:solidFill>
          </w14:textFill>
        </w:rPr>
        <w:t>总</w:t>
      </w:r>
      <w:r>
        <w:rPr>
          <w:rFonts w:ascii="宋体" w:hAnsi="宋体" w:eastAsia="宋体" w:cs="Arial"/>
          <w:color w:val="000000" w:themeColor="text1"/>
          <w:sz w:val="21"/>
          <w:szCs w:val="21"/>
          <w:highlight w:val="none"/>
          <w14:textFill>
            <w14:solidFill>
              <w14:schemeClr w14:val="tx1"/>
            </w14:solidFill>
          </w14:textFill>
        </w:rPr>
        <w:t>负责人，</w:t>
      </w:r>
      <w:r>
        <w:rPr>
          <w:rFonts w:hint="eastAsia" w:ascii="宋体" w:hAnsi="宋体" w:eastAsia="宋体" w:cs="Arial"/>
          <w:color w:val="000000" w:themeColor="text1"/>
          <w:sz w:val="21"/>
          <w:szCs w:val="21"/>
          <w:highlight w:val="none"/>
          <w14:textFill>
            <w14:solidFill>
              <w14:schemeClr w14:val="tx1"/>
            </w14:solidFill>
          </w14:textFill>
        </w:rPr>
        <w:t>任命</w:t>
      </w:r>
      <w:r>
        <w:rPr>
          <w:rFonts w:hint="eastAsia" w:ascii="宋体" w:hAnsi="宋体" w:eastAsia="宋体" w:cs="Arial"/>
          <w:color w:val="000000" w:themeColor="text1"/>
          <w:sz w:val="21"/>
          <w:szCs w:val="21"/>
          <w:highlight w:val="none"/>
          <w:u w:val="single"/>
          <w14:textFill>
            <w14:solidFill>
              <w14:schemeClr w14:val="tx1"/>
            </w14:solidFill>
          </w14:textFill>
        </w:rPr>
        <w:t xml:space="preserve">   </w:t>
      </w:r>
      <w:r>
        <w:rPr>
          <w:rFonts w:hint="eastAsia" w:ascii="宋体" w:hAnsi="宋体" w:eastAsia="宋体" w:cs="Arial"/>
          <w:color w:val="000000" w:themeColor="text1"/>
          <w:sz w:val="21"/>
          <w:szCs w:val="21"/>
          <w:highlight w:val="none"/>
          <w14:textFill>
            <w14:solidFill>
              <w14:schemeClr w14:val="tx1"/>
            </w14:solidFill>
          </w14:textFill>
        </w:rPr>
        <w:t xml:space="preserve"> 为技术负责人，任命</w:t>
      </w:r>
      <w:r>
        <w:rPr>
          <w:rFonts w:hint="eastAsia" w:ascii="宋体" w:hAnsi="宋体" w:eastAsia="宋体" w:cs="Arial"/>
          <w:color w:val="000000" w:themeColor="text1"/>
          <w:sz w:val="21"/>
          <w:szCs w:val="21"/>
          <w:highlight w:val="none"/>
          <w:u w:val="single"/>
          <w14:textFill>
            <w14:solidFill>
              <w14:schemeClr w14:val="tx1"/>
            </w14:solidFill>
          </w14:textFill>
        </w:rPr>
        <w:t xml:space="preserve">     </w:t>
      </w:r>
      <w:r>
        <w:rPr>
          <w:rFonts w:hint="eastAsia" w:ascii="宋体" w:hAnsi="宋体" w:eastAsia="宋体" w:cs="Arial"/>
          <w:color w:val="000000" w:themeColor="text1"/>
          <w:sz w:val="21"/>
          <w:szCs w:val="21"/>
          <w:highlight w:val="none"/>
          <w14:textFill>
            <w14:solidFill>
              <w14:schemeClr w14:val="tx1"/>
            </w14:solidFill>
          </w14:textFill>
        </w:rPr>
        <w:t>为综合性咨询管理负责人，</w:t>
      </w:r>
      <w:r>
        <w:rPr>
          <w:rFonts w:ascii="宋体" w:hAnsi="宋体" w:eastAsia="宋体" w:cs="Arial"/>
          <w:color w:val="000000" w:themeColor="text1"/>
          <w:sz w:val="21"/>
          <w:szCs w:val="21"/>
          <w:highlight w:val="none"/>
          <w14:textFill>
            <w14:solidFill>
              <w14:schemeClr w14:val="tx1"/>
            </w14:solidFill>
          </w14:textFill>
        </w:rPr>
        <w:t>任命</w:t>
      </w:r>
      <w:r>
        <w:rPr>
          <w:rFonts w:ascii="宋体" w:hAnsi="宋体" w:eastAsia="宋体" w:cs="Arial"/>
          <w:color w:val="000000" w:themeColor="text1"/>
          <w:sz w:val="21"/>
          <w:szCs w:val="21"/>
          <w:highlight w:val="none"/>
          <w:u w:val="single"/>
          <w14:textFill>
            <w14:solidFill>
              <w14:schemeClr w14:val="tx1"/>
            </w14:solidFill>
          </w14:textFill>
        </w:rPr>
        <w:t xml:space="preserve">    </w:t>
      </w:r>
      <w:r>
        <w:rPr>
          <w:rFonts w:ascii="宋体" w:hAnsi="宋体" w:eastAsia="宋体" w:cs="Arial"/>
          <w:color w:val="000000" w:themeColor="text1"/>
          <w:sz w:val="21"/>
          <w:szCs w:val="21"/>
          <w:highlight w:val="none"/>
          <w14:textFill>
            <w14:solidFill>
              <w14:schemeClr w14:val="tx1"/>
            </w14:solidFill>
          </w14:textFill>
        </w:rPr>
        <w:t>为</w:t>
      </w:r>
      <w:r>
        <w:rPr>
          <w:rFonts w:hint="eastAsia" w:ascii="宋体" w:hAnsi="宋体" w:eastAsia="宋体" w:cs="Arial"/>
          <w:color w:val="000000" w:themeColor="text1"/>
          <w:sz w:val="21"/>
          <w:szCs w:val="21"/>
          <w:highlight w:val="none"/>
          <w14:textFill>
            <w14:solidFill>
              <w14:schemeClr w14:val="tx1"/>
            </w14:solidFill>
          </w14:textFill>
        </w:rPr>
        <w:t>造价咨询</w:t>
      </w:r>
      <w:r>
        <w:rPr>
          <w:rFonts w:ascii="宋体" w:hAnsi="宋体" w:eastAsia="宋体" w:cs="Arial"/>
          <w:color w:val="000000" w:themeColor="text1"/>
          <w:sz w:val="21"/>
          <w:szCs w:val="21"/>
          <w:highlight w:val="none"/>
          <w14:textFill>
            <w14:solidFill>
              <w14:schemeClr w14:val="tx1"/>
            </w14:solidFill>
          </w14:textFill>
        </w:rPr>
        <w:t>负责人</w:t>
      </w:r>
      <w:r>
        <w:rPr>
          <w:rFonts w:hint="eastAsia" w:ascii="宋体" w:hAnsi="宋体" w:eastAsia="宋体" w:cs="Arial"/>
          <w:color w:val="000000" w:themeColor="text1"/>
          <w:sz w:val="21"/>
          <w:szCs w:val="21"/>
          <w:highlight w:val="none"/>
          <w14:textFill>
            <w14:solidFill>
              <w14:schemeClr w14:val="tx1"/>
            </w14:solidFill>
          </w14:textFill>
        </w:rPr>
        <w:t>，</w:t>
      </w:r>
      <w:r>
        <w:rPr>
          <w:rFonts w:ascii="宋体" w:hAnsi="宋体" w:eastAsia="宋体" w:cs="Arial"/>
          <w:color w:val="000000" w:themeColor="text1"/>
          <w:sz w:val="21"/>
          <w:szCs w:val="21"/>
          <w:highlight w:val="none"/>
          <w14:textFill>
            <w14:solidFill>
              <w14:schemeClr w14:val="tx1"/>
            </w14:solidFill>
          </w14:textFill>
        </w:rPr>
        <w:t>组成全过程工程咨询部，下设</w:t>
      </w:r>
      <w:r>
        <w:rPr>
          <w:rFonts w:hint="eastAsia" w:ascii="宋体" w:hAnsi="宋体" w:eastAsia="宋体" w:cs="Arial"/>
          <w:color w:val="000000" w:themeColor="text1"/>
          <w:sz w:val="21"/>
          <w:szCs w:val="21"/>
          <w:highlight w:val="none"/>
          <w14:textFill>
            <w14:solidFill>
              <w14:schemeClr w14:val="tx1"/>
            </w14:solidFill>
          </w14:textFill>
        </w:rPr>
        <w:t>项目建设管理、全过程造价咨询、招标代理</w:t>
      </w:r>
      <w:r>
        <w:rPr>
          <w:rFonts w:ascii="宋体" w:hAnsi="宋体" w:eastAsia="宋体" w:cs="Arial"/>
          <w:color w:val="000000" w:themeColor="text1"/>
          <w:sz w:val="21"/>
          <w:szCs w:val="21"/>
          <w:highlight w:val="none"/>
          <w14:textFill>
            <w14:solidFill>
              <w14:schemeClr w14:val="tx1"/>
            </w14:solidFill>
          </w14:textFill>
        </w:rPr>
        <w:t>等职能小组。人员组成详后附表。委托人有权要求调换全过程承包人选派的不称职工作人员，全过程承包人更换项目负责人及各组负责人须事先征求委托人意见，其他人员变更须报委托人备案。委托人提出更换要求的，全过程承包人必须于 7 个工作日内完成相关人员的更换，变更后的人员</w:t>
      </w:r>
      <w:r>
        <w:rPr>
          <w:rFonts w:hint="eastAsia" w:ascii="宋体" w:hAnsi="宋体" w:eastAsia="宋体" w:cs="Arial"/>
          <w:color w:val="000000" w:themeColor="text1"/>
          <w:sz w:val="21"/>
          <w:szCs w:val="21"/>
          <w:highlight w:val="none"/>
          <w14:textFill>
            <w14:solidFill>
              <w14:schemeClr w14:val="tx1"/>
            </w14:solidFill>
          </w14:textFill>
        </w:rPr>
        <w:t>的资格不得低于原任职人员且须</w:t>
      </w:r>
      <w:r>
        <w:rPr>
          <w:rFonts w:ascii="宋体" w:hAnsi="宋体" w:eastAsia="宋体" w:cs="Arial"/>
          <w:color w:val="000000" w:themeColor="text1"/>
          <w:sz w:val="21"/>
          <w:szCs w:val="21"/>
          <w:highlight w:val="none"/>
          <w14:textFill>
            <w14:solidFill>
              <w14:schemeClr w14:val="tx1"/>
            </w14:solidFill>
          </w14:textFill>
        </w:rPr>
        <w:t>经委托人认可，</w:t>
      </w:r>
      <w:r>
        <w:rPr>
          <w:rFonts w:hint="eastAsia" w:ascii="宋体" w:hAnsi="宋体" w:eastAsia="宋体" w:cs="Arial"/>
          <w:color w:val="000000" w:themeColor="text1"/>
          <w:sz w:val="21"/>
          <w:szCs w:val="21"/>
          <w:highlight w:val="none"/>
          <w14:textFill>
            <w14:solidFill>
              <w14:schemeClr w14:val="tx1"/>
            </w14:solidFill>
          </w14:textFill>
        </w:rPr>
        <w:t>同时</w:t>
      </w:r>
      <w:r>
        <w:rPr>
          <w:rFonts w:ascii="宋体" w:hAnsi="宋体" w:eastAsia="宋体" w:cs="Arial"/>
          <w:color w:val="000000" w:themeColor="text1"/>
          <w:sz w:val="21"/>
          <w:szCs w:val="21"/>
          <w:highlight w:val="none"/>
          <w14:textFill>
            <w14:solidFill>
              <w14:schemeClr w14:val="tx1"/>
            </w14:solidFill>
          </w14:textFill>
        </w:rPr>
        <w:t>不得影响全过程承包人应提供的管理服务和项目工程的进度。</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第七条  全过程承包人应按批准的建设规模、建设内容和建设标准实施组织管理，严格控制项目投资，确保工程质量，按期交付项目成果。全过程承包人不得在实施管理过程中随意变更建设规模、建设标准、建设内容。如需超出范围变更，应遵循建设程序办理且必须由委托人决定。</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第八条  全过程承包人应根据项目进度需要，向委托人提供资金使用计划。</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第九条  全过程承包人应在项目建成后，及时完成验收、竣工资料审核等相关工作。组织项目移交，配合做好竣工结（决）算审查和项目</w:t>
      </w:r>
      <w:r>
        <w:rPr>
          <w:rFonts w:hint="eastAsia" w:ascii="宋体" w:hAnsi="宋体" w:eastAsia="宋体" w:cs="Arial"/>
          <w:color w:val="000000" w:themeColor="text1"/>
          <w:sz w:val="21"/>
          <w:szCs w:val="21"/>
          <w:highlight w:val="none"/>
          <w14:textFill>
            <w14:solidFill>
              <w14:schemeClr w14:val="tx1"/>
            </w14:solidFill>
          </w14:textFill>
        </w:rPr>
        <w:t>财务决算</w:t>
      </w:r>
      <w:r>
        <w:rPr>
          <w:rFonts w:ascii="宋体" w:hAnsi="宋体" w:eastAsia="宋体" w:cs="Arial"/>
          <w:color w:val="000000" w:themeColor="text1"/>
          <w:sz w:val="21"/>
          <w:szCs w:val="21"/>
          <w:highlight w:val="none"/>
          <w14:textFill>
            <w14:solidFill>
              <w14:schemeClr w14:val="tx1"/>
            </w14:solidFill>
          </w14:textFill>
        </w:rPr>
        <w:t>审计工作。</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第十条  全过程承包人应在项目建成后，监督相关单位落实工程保修责任。</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第十一条  全过程承包人应建立完整的项目建设档案，在全过程工程咨询任务完成后将工程档案及相关资料等整理汇编，向委托人移交。</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第十二条  全过程承包人</w:t>
      </w:r>
      <w:r>
        <w:rPr>
          <w:rFonts w:hint="eastAsia" w:ascii="宋体" w:hAnsi="宋体" w:eastAsia="宋体" w:cs="Arial"/>
          <w:color w:val="000000" w:themeColor="text1"/>
          <w:sz w:val="21"/>
          <w:szCs w:val="21"/>
          <w:highlight w:val="none"/>
          <w14:textFill>
            <w14:solidFill>
              <w14:schemeClr w14:val="tx1"/>
            </w14:solidFill>
          </w14:textFill>
        </w:rPr>
        <w:t>如</w:t>
      </w:r>
      <w:r>
        <w:rPr>
          <w:rFonts w:ascii="宋体" w:hAnsi="宋体" w:eastAsia="宋体" w:cs="Arial"/>
          <w:color w:val="000000" w:themeColor="text1"/>
          <w:sz w:val="21"/>
          <w:szCs w:val="21"/>
          <w:highlight w:val="none"/>
          <w14:textFill>
            <w14:solidFill>
              <w14:schemeClr w14:val="tx1"/>
            </w14:solidFill>
          </w14:textFill>
        </w:rPr>
        <w:t>使用委托人提供的设施和物品属委托人的财产。在全过程工程咨询工作完成或中止时，应将其设施和剩余的物品按合同约定的时间和方式移交给委托人。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第十三条  在全过程工程咨询合同期内或合同终止后，未征得有关方同意，不得泄露与本工程、本合同业务有关的保密资料。</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 xml:space="preserve">第十四条 </w:t>
      </w:r>
      <w:r>
        <w:rPr>
          <w:rFonts w:ascii="宋体" w:hAnsi="宋体" w:eastAsia="宋体" w:cs="Arial"/>
          <w:color w:val="000000" w:themeColor="text1"/>
          <w:sz w:val="21"/>
          <w:szCs w:val="21"/>
          <w:highlight w:val="none"/>
          <w14:textFill>
            <w14:solidFill>
              <w14:schemeClr w14:val="tx1"/>
            </w14:solidFill>
          </w14:textFill>
        </w:rPr>
        <w:t xml:space="preserve"> </w:t>
      </w:r>
      <w:r>
        <w:rPr>
          <w:rFonts w:hint="eastAsia" w:ascii="宋体" w:hAnsi="宋体" w:eastAsia="宋体" w:cs="Arial"/>
          <w:color w:val="000000" w:themeColor="text1"/>
          <w:sz w:val="21"/>
          <w:szCs w:val="21"/>
          <w:highlight w:val="none"/>
          <w14:textFill>
            <w14:solidFill>
              <w14:schemeClr w14:val="tx1"/>
            </w14:solidFill>
          </w14:textFill>
        </w:rPr>
        <w:t>项目开工后</w:t>
      </w:r>
      <w:r>
        <w:rPr>
          <w:rFonts w:ascii="宋体" w:hAnsi="宋体" w:eastAsia="宋体" w:cs="Arial"/>
          <w:color w:val="000000" w:themeColor="text1"/>
          <w:sz w:val="21"/>
          <w:szCs w:val="21"/>
          <w:highlight w:val="none"/>
          <w14:textFill>
            <w14:solidFill>
              <w14:schemeClr w14:val="tx1"/>
            </w14:solidFill>
          </w14:textFill>
        </w:rPr>
        <w:t>全过程工程咨询</w:t>
      </w:r>
      <w:r>
        <w:rPr>
          <w:rFonts w:hint="eastAsia" w:ascii="宋体" w:hAnsi="宋体" w:eastAsia="宋体" w:cs="Arial"/>
          <w:color w:val="000000" w:themeColor="text1"/>
          <w:sz w:val="21"/>
          <w:szCs w:val="21"/>
          <w:highlight w:val="none"/>
          <w14:textFill>
            <w14:solidFill>
              <w14:schemeClr w14:val="tx1"/>
            </w14:solidFill>
          </w14:textFill>
        </w:rPr>
        <w:t>单位应单独设置考勤设备，费用自理。</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第十五条  全过程承包人应负责工程项目建设管理工作人员及第三方的人身、财产安全，若有此引起的责任由相关责任单位承担，与委托人无涉。</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第三章  委托人义务</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十六</w:t>
      </w:r>
      <w:r>
        <w:rPr>
          <w:rFonts w:ascii="宋体" w:hAnsi="宋体" w:eastAsia="宋体" w:cs="Arial"/>
          <w:color w:val="000000" w:themeColor="text1"/>
          <w:sz w:val="21"/>
          <w:szCs w:val="21"/>
          <w:highlight w:val="none"/>
          <w14:textFill>
            <w14:solidFill>
              <w14:schemeClr w14:val="tx1"/>
            </w14:solidFill>
          </w14:textFill>
        </w:rPr>
        <w:t>条 委托人应监督和指导项目的建设实施，并主持项目的竣工验收和移交。</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十七</w:t>
      </w:r>
      <w:r>
        <w:rPr>
          <w:rFonts w:ascii="宋体" w:hAnsi="宋体" w:eastAsia="宋体" w:cs="Arial"/>
          <w:color w:val="000000" w:themeColor="text1"/>
          <w:sz w:val="21"/>
          <w:szCs w:val="21"/>
          <w:highlight w:val="none"/>
          <w14:textFill>
            <w14:solidFill>
              <w14:schemeClr w14:val="tx1"/>
            </w14:solidFill>
          </w14:textFill>
        </w:rPr>
        <w:t>条  委托人应为全过程工程咨询及时提供便利条件：委托人须及时向全过程承包人提供工程全过程工程咨询服务工作所需的有关立项批复等原始资料及背景资料，及时提供委托人已经签订的相关合同。对由全过程承包人管理的各种待签合同，于合同签订后提交副本一份给全过程承包人。上述合同中与全过程承包人管理有关条件的任何变更、补充和争议处理均需征求全过程承包人意见并将结果通告全过程承包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对全过程承包人代表委托人开展工程全过程工程咨询工作所需的授权，委托人应及时明确地以书面委托书形式或以在相关合同条款中载明的形式对全过程承包人做出授权。全过程承包人自行负责开展工程项目建设管理工作人员的人身及财产安全。</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十八</w:t>
      </w:r>
      <w:r>
        <w:rPr>
          <w:rFonts w:ascii="宋体" w:hAnsi="宋体" w:eastAsia="宋体" w:cs="Arial"/>
          <w:color w:val="000000" w:themeColor="text1"/>
          <w:sz w:val="21"/>
          <w:szCs w:val="21"/>
          <w:highlight w:val="none"/>
          <w14:textFill>
            <w14:solidFill>
              <w14:schemeClr w14:val="tx1"/>
            </w14:solidFill>
          </w14:textFill>
        </w:rPr>
        <w:t>条  委托人应按合同约定的方式、时间、金额向全过程承包人支付全过程工程咨询费。</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十九</w:t>
      </w:r>
      <w:r>
        <w:rPr>
          <w:rFonts w:ascii="宋体" w:hAnsi="宋体" w:eastAsia="宋体" w:cs="Arial"/>
          <w:color w:val="000000" w:themeColor="text1"/>
          <w:sz w:val="21"/>
          <w:szCs w:val="21"/>
          <w:highlight w:val="none"/>
          <w14:textFill>
            <w14:solidFill>
              <w14:schemeClr w14:val="tx1"/>
            </w14:solidFill>
          </w14:textFill>
        </w:rPr>
        <w:t>条  委托人应</w:t>
      </w:r>
      <w:r>
        <w:rPr>
          <w:rFonts w:hint="eastAsia" w:ascii="宋体" w:hAnsi="宋体" w:eastAsia="宋体" w:cs="Arial"/>
          <w:color w:val="000000" w:themeColor="text1"/>
          <w:sz w:val="21"/>
          <w:szCs w:val="21"/>
          <w:highlight w:val="none"/>
          <w14:textFill>
            <w14:solidFill>
              <w14:schemeClr w14:val="tx1"/>
            </w14:solidFill>
          </w14:textFill>
        </w:rPr>
        <w:t>负责</w:t>
      </w:r>
      <w:r>
        <w:rPr>
          <w:rFonts w:ascii="宋体" w:hAnsi="宋体" w:eastAsia="宋体" w:cs="Arial"/>
          <w:color w:val="000000" w:themeColor="text1"/>
          <w:sz w:val="21"/>
          <w:szCs w:val="21"/>
          <w:highlight w:val="none"/>
          <w14:textFill>
            <w14:solidFill>
              <w14:schemeClr w14:val="tx1"/>
            </w14:solidFill>
          </w14:textFill>
        </w:rPr>
        <w:t>资金使用计划的审核与管理</w:t>
      </w:r>
      <w:r>
        <w:rPr>
          <w:rFonts w:hint="eastAsia" w:ascii="宋体" w:hAnsi="宋体" w:eastAsia="宋体" w:cs="Arial"/>
          <w:color w:val="000000" w:themeColor="text1"/>
          <w:sz w:val="21"/>
          <w:szCs w:val="21"/>
          <w:highlight w:val="none"/>
          <w14:textFill>
            <w14:solidFill>
              <w14:schemeClr w14:val="tx1"/>
            </w14:solidFill>
          </w14:textFill>
        </w:rPr>
        <w:t>，审核、签证工作进度报表及提出进度款拨付意见。</w:t>
      </w:r>
    </w:p>
    <w:p>
      <w:pPr>
        <w:widowControl/>
        <w:ind w:firstLine="420" w:firstLineChars="200"/>
        <w:jc w:val="left"/>
        <w:rPr>
          <w:color w:val="000000" w:themeColor="text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第</w:t>
      </w:r>
      <w:r>
        <w:rPr>
          <w:rFonts w:hint="eastAsia" w:ascii="宋体" w:hAnsi="宋体" w:cs="Arial"/>
          <w:color w:val="000000" w:themeColor="text1"/>
          <w:szCs w:val="21"/>
          <w:highlight w:val="none"/>
          <w14:textFill>
            <w14:solidFill>
              <w14:schemeClr w14:val="tx1"/>
            </w14:solidFill>
          </w14:textFill>
        </w:rPr>
        <w:t>二十</w:t>
      </w:r>
      <w:r>
        <w:rPr>
          <w:rFonts w:ascii="宋体" w:hAnsi="宋体" w:cs="Arial"/>
          <w:color w:val="000000" w:themeColor="text1"/>
          <w:szCs w:val="21"/>
          <w:highlight w:val="none"/>
          <w14:textFill>
            <w14:solidFill>
              <w14:schemeClr w14:val="tx1"/>
            </w14:solidFill>
          </w14:textFill>
        </w:rPr>
        <w:t xml:space="preserve">条  </w:t>
      </w:r>
      <w:r>
        <w:rPr>
          <w:rFonts w:hint="eastAsia" w:ascii="宋体" w:hAnsi="宋体" w:cs="宋体"/>
          <w:color w:val="000000" w:themeColor="text1"/>
          <w:kern w:val="0"/>
          <w:szCs w:val="21"/>
          <w:highlight w:val="none"/>
          <w:lang w:bidi="ar"/>
          <w14:textFill>
            <w14:solidFill>
              <w14:schemeClr w14:val="tx1"/>
            </w14:solidFill>
          </w14:textFill>
        </w:rPr>
        <w:t xml:space="preserve">委托人应当授权一名熟悉项目情况、能在规定时间内作出决定的常驻代表负责与工程咨询人 </w:t>
      </w:r>
    </w:p>
    <w:p>
      <w:pPr>
        <w:widowControl/>
        <w:jc w:val="left"/>
        <w:rPr>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联系，若委托人更换常驻代表，应当提前通知工程咨询人。 </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二十一</w:t>
      </w:r>
      <w:r>
        <w:rPr>
          <w:rFonts w:ascii="宋体" w:hAnsi="宋体" w:eastAsia="宋体" w:cs="Arial"/>
          <w:color w:val="000000" w:themeColor="text1"/>
          <w:sz w:val="21"/>
          <w:szCs w:val="21"/>
          <w:highlight w:val="none"/>
          <w14:textFill>
            <w14:solidFill>
              <w14:schemeClr w14:val="tx1"/>
            </w14:solidFill>
          </w14:textFill>
        </w:rPr>
        <w:t>条  委托人需建立有效的决策机制，对全过程承包人的请示和建议做出决定，对工作计划和报告进行批复。委托人在项目建设过程中对参建单位的各种实施指令均须通过全过程承包人下达。</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二十二</w:t>
      </w:r>
      <w:r>
        <w:rPr>
          <w:rFonts w:ascii="宋体" w:hAnsi="宋体" w:eastAsia="宋体" w:cs="Arial"/>
          <w:color w:val="000000" w:themeColor="text1"/>
          <w:sz w:val="21"/>
          <w:szCs w:val="21"/>
          <w:highlight w:val="none"/>
          <w14:textFill>
            <w14:solidFill>
              <w14:schemeClr w14:val="tx1"/>
            </w14:solidFill>
          </w14:textFill>
        </w:rPr>
        <w:t>条  委托人应当将授予全过程承包人的管理权利，以及全过程工程咨询机构主要成员的职能分工、管理权限及时书面通知各参建单位。</w:t>
      </w:r>
    </w:p>
    <w:p>
      <w:pPr>
        <w:pStyle w:val="11"/>
        <w:spacing w:line="400" w:lineRule="exact"/>
        <w:ind w:right="0" w:firstLine="420"/>
        <w:rPr>
          <w:rFonts w:ascii="宋体" w:hAnsi="宋体" w:cs="Arial"/>
          <w:b/>
          <w:color w:val="000000" w:themeColor="text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二十三</w:t>
      </w:r>
      <w:r>
        <w:rPr>
          <w:rFonts w:ascii="宋体" w:hAnsi="宋体" w:eastAsia="宋体" w:cs="Arial"/>
          <w:color w:val="000000" w:themeColor="text1"/>
          <w:sz w:val="21"/>
          <w:szCs w:val="21"/>
          <w:highlight w:val="none"/>
          <w14:textFill>
            <w14:solidFill>
              <w14:schemeClr w14:val="tx1"/>
            </w14:solidFill>
          </w14:textFill>
        </w:rPr>
        <w:t>条  委托人应负责项目建设外环境协调，如建设过程中争取相关优惠政策、与当地居民及政府监管部门的关系协调等工作均以委托人为主完成，全过程承包人予以配合。</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四</w:t>
      </w:r>
      <w:r>
        <w:rPr>
          <w:rFonts w:ascii="宋体" w:hAnsi="宋体" w:cs="Arial"/>
          <w:b/>
          <w:color w:val="000000" w:themeColor="text1"/>
          <w:szCs w:val="21"/>
          <w:highlight w:val="none"/>
          <w14:textFill>
            <w14:solidFill>
              <w14:schemeClr w14:val="tx1"/>
            </w14:solidFill>
          </w14:textFill>
        </w:rPr>
        <w:t>章  全过程承包人权利</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二十四</w:t>
      </w:r>
      <w:r>
        <w:rPr>
          <w:rFonts w:ascii="宋体" w:hAnsi="宋体" w:eastAsia="宋体" w:cs="Arial"/>
          <w:color w:val="000000" w:themeColor="text1"/>
          <w:sz w:val="21"/>
          <w:szCs w:val="21"/>
          <w:highlight w:val="none"/>
          <w14:textFill>
            <w14:solidFill>
              <w14:schemeClr w14:val="tx1"/>
            </w14:solidFill>
          </w14:textFill>
        </w:rPr>
        <w:t>条  全过程承包人在委托人委托的全过程工程咨询范围内，享有以下权利：</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(1) 选择参建单位的建议权</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(2) 关注项目进展，应委托人所需，对项目建设资金筹措、建设外环境协调享有知情权，在项目建设过程中负责起草、参与洽商或审核项目参建合同</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(3) 对工程建设有关事项包括工程规模、设计标准、规划设计、生产工艺设计和使用功能要求，向委托人的建议权</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(4) 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应当书面报告委托人并要求设计人更正</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(5) 组织相关单位审批建设组织或技术方案（如工程施工组织设计和施工技术方案），按照兼顾质量、工期和投资、安全的原则，向相关参建方提出建议，并向委托人报告</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(6) 主持参建单位组织协调，重要协调事项应当事先向委托人报告</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(7) 征得委托人同意，有权通过监理实施或独立发布开工令、停工令、复工令</w:t>
      </w:r>
      <w:r>
        <w:rPr>
          <w:rFonts w:hint="eastAsia" w:ascii="宋体" w:hAnsi="宋体" w:eastAsia="宋体" w:cs="Arial"/>
          <w:color w:val="000000" w:themeColor="text1"/>
          <w:sz w:val="21"/>
          <w:szCs w:val="21"/>
          <w:highlight w:val="none"/>
          <w14:textFill>
            <w14:solidFill>
              <w14:schemeClr w14:val="tx1"/>
            </w14:solidFill>
          </w14:textFill>
        </w:rPr>
        <w:t>，</w:t>
      </w:r>
      <w:r>
        <w:rPr>
          <w:rFonts w:ascii="宋体" w:hAnsi="宋体" w:eastAsia="宋体" w:cs="Arial"/>
          <w:color w:val="000000" w:themeColor="text1"/>
          <w:sz w:val="21"/>
          <w:szCs w:val="21"/>
          <w:highlight w:val="none"/>
          <w14:textFill>
            <w14:solidFill>
              <w14:schemeClr w14:val="tx1"/>
            </w14:solidFill>
          </w14:textFill>
        </w:rPr>
        <w:t>但应当事先向委托人报告。在涉及施工安全或人身健康等紧急情况下需要停工的，可先采取措施，事后向委托人报告</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210" w:firstLineChars="10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 xml:space="preserve"> </w:t>
      </w:r>
      <w:r>
        <w:rPr>
          <w:rFonts w:hint="eastAsia" w:ascii="宋体" w:hAnsi="宋体" w:eastAsia="宋体" w:cs="Arial"/>
          <w:color w:val="000000" w:themeColor="text1"/>
          <w:sz w:val="21"/>
          <w:szCs w:val="21"/>
          <w:highlight w:val="none"/>
          <w14:textFill>
            <w14:solidFill>
              <w14:schemeClr w14:val="tx1"/>
            </w14:solidFill>
          </w14:textFill>
        </w:rPr>
        <w:t xml:space="preserve"> </w:t>
      </w:r>
      <w:r>
        <w:rPr>
          <w:rFonts w:ascii="宋体" w:hAnsi="宋体" w:eastAsia="宋体" w:cs="Arial"/>
          <w:color w:val="000000" w:themeColor="text1"/>
          <w:sz w:val="21"/>
          <w:szCs w:val="21"/>
          <w:highlight w:val="none"/>
          <w14:textFill>
            <w14:solidFill>
              <w14:schemeClr w14:val="tx1"/>
            </w14:solidFill>
          </w14:textFill>
        </w:rPr>
        <w:t>(</w:t>
      </w:r>
      <w:r>
        <w:rPr>
          <w:rFonts w:hint="eastAsia" w:ascii="宋体" w:hAnsi="宋体" w:eastAsia="宋体" w:cs="Arial"/>
          <w:color w:val="000000" w:themeColor="text1"/>
          <w:sz w:val="21"/>
          <w:szCs w:val="21"/>
          <w:highlight w:val="none"/>
          <w14:textFill>
            <w14:solidFill>
              <w14:schemeClr w14:val="tx1"/>
            </w14:solidFill>
          </w14:textFill>
        </w:rPr>
        <w:t>8</w:t>
      </w:r>
      <w:r>
        <w:rPr>
          <w:rFonts w:ascii="宋体" w:hAnsi="宋体" w:eastAsia="宋体" w:cs="Arial"/>
          <w:color w:val="000000" w:themeColor="text1"/>
          <w:sz w:val="21"/>
          <w:szCs w:val="21"/>
          <w:highlight w:val="none"/>
          <w14:textFill>
            <w14:solidFill>
              <w14:schemeClr w14:val="tx1"/>
            </w14:solidFill>
          </w14:textFill>
        </w:rPr>
        <w:t>) 征得委托人同意， 按参建合同，在合同约定的价格范围内，对参建单位工作进度款项支付的审核和签认权，以及参建合同结算的复核确认权与否决权。未经全过程工程咨询</w:t>
      </w:r>
      <w:r>
        <w:rPr>
          <w:rFonts w:hint="eastAsia" w:ascii="宋体" w:hAnsi="宋体" w:eastAsia="宋体" w:cs="Arial"/>
          <w:b/>
          <w:bCs/>
          <w:color w:val="000000" w:themeColor="text1"/>
          <w:sz w:val="21"/>
          <w:szCs w:val="21"/>
          <w:highlight w:val="none"/>
          <w14:textFill>
            <w14:solidFill>
              <w14:schemeClr w14:val="tx1"/>
            </w14:solidFill>
          </w14:textFill>
        </w:rPr>
        <w:t>总</w:t>
      </w:r>
      <w:r>
        <w:rPr>
          <w:rFonts w:ascii="宋体" w:hAnsi="宋体" w:eastAsia="宋体" w:cs="Arial"/>
          <w:color w:val="000000" w:themeColor="text1"/>
          <w:sz w:val="21"/>
          <w:szCs w:val="21"/>
          <w:highlight w:val="none"/>
          <w14:textFill>
            <w14:solidFill>
              <w14:schemeClr w14:val="tx1"/>
            </w14:solidFill>
          </w14:textFill>
        </w:rPr>
        <w:t>负责人签字确认，</w:t>
      </w:r>
      <w:r>
        <w:rPr>
          <w:rFonts w:hint="eastAsia" w:ascii="宋体" w:hAnsi="宋体" w:eastAsia="宋体" w:cs="Arial"/>
          <w:color w:val="000000" w:themeColor="text1"/>
          <w:sz w:val="21"/>
          <w:szCs w:val="21"/>
          <w:highlight w:val="none"/>
          <w14:textFill>
            <w14:solidFill>
              <w14:schemeClr w14:val="tx1"/>
            </w14:solidFill>
          </w14:textFill>
        </w:rPr>
        <w:t>委托人</w:t>
      </w:r>
      <w:r>
        <w:rPr>
          <w:rFonts w:ascii="宋体" w:hAnsi="宋体" w:eastAsia="宋体" w:cs="Arial"/>
          <w:color w:val="000000" w:themeColor="text1"/>
          <w:sz w:val="21"/>
          <w:szCs w:val="21"/>
          <w:highlight w:val="none"/>
          <w14:textFill>
            <w14:solidFill>
              <w14:schemeClr w14:val="tx1"/>
            </w14:solidFill>
          </w14:textFill>
        </w:rPr>
        <w:t>不支付参建单位款项</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二十五</w:t>
      </w:r>
      <w:r>
        <w:rPr>
          <w:rFonts w:ascii="宋体" w:hAnsi="宋体" w:eastAsia="宋体" w:cs="Arial"/>
          <w:color w:val="000000" w:themeColor="text1"/>
          <w:sz w:val="21"/>
          <w:szCs w:val="21"/>
          <w:highlight w:val="none"/>
          <w14:textFill>
            <w14:solidFill>
              <w14:schemeClr w14:val="tx1"/>
            </w14:solidFill>
          </w14:textFill>
        </w:rPr>
        <w:t>条  在委托的全过程工程咨询范围内，委托人或其他参建单位对对方的意见或要求甚至出现争议通过全过程承包人协商的，全过程承包人应根据自己的职能，以独立的身份判断，公正地进行调解，有效地维护委托人权益。当双方争议由政府监管部门调解或仲裁或进入司法审判时，应当为委托人提供作证的事实材料</w:t>
      </w:r>
      <w:r>
        <w:rPr>
          <w:rFonts w:hint="eastAsia" w:ascii="宋体" w:hAnsi="宋体" w:eastAsia="宋体" w:cs="Arial"/>
          <w:color w:val="000000" w:themeColor="text1"/>
          <w:sz w:val="21"/>
          <w:szCs w:val="21"/>
          <w:highlight w:val="none"/>
          <w14:textFill>
            <w14:solidFill>
              <w14:schemeClr w14:val="tx1"/>
            </w14:solidFill>
          </w14:textFill>
        </w:rPr>
        <w:t>。</w:t>
      </w:r>
    </w:p>
    <w:p>
      <w:pPr>
        <w:pStyle w:val="11"/>
        <w:spacing w:line="400" w:lineRule="exact"/>
        <w:ind w:right="0" w:firstLine="420"/>
        <w:rPr>
          <w:rFonts w:ascii="宋体" w:hAnsi="宋体" w:cs="Arial"/>
          <w:b/>
          <w:color w:val="000000" w:themeColor="text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二十六</w:t>
      </w:r>
      <w:r>
        <w:rPr>
          <w:rFonts w:ascii="宋体" w:hAnsi="宋体" w:eastAsia="宋体" w:cs="Arial"/>
          <w:color w:val="000000" w:themeColor="text1"/>
          <w:sz w:val="21"/>
          <w:szCs w:val="21"/>
          <w:highlight w:val="none"/>
          <w14:textFill>
            <w14:solidFill>
              <w14:schemeClr w14:val="tx1"/>
            </w14:solidFill>
          </w14:textFill>
        </w:rPr>
        <w:t>条  全过程承包人有权按全过程工程咨询合同取得相应报酬。</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五</w:t>
      </w:r>
      <w:r>
        <w:rPr>
          <w:rFonts w:ascii="宋体" w:hAnsi="宋体" w:cs="Arial"/>
          <w:b/>
          <w:color w:val="000000" w:themeColor="text1"/>
          <w:szCs w:val="21"/>
          <w:highlight w:val="none"/>
          <w14:textFill>
            <w14:solidFill>
              <w14:schemeClr w14:val="tx1"/>
            </w14:solidFill>
          </w14:textFill>
        </w:rPr>
        <w:t>章  委托人权利</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二十七</w:t>
      </w:r>
      <w:r>
        <w:rPr>
          <w:rFonts w:ascii="宋体" w:hAnsi="宋体" w:eastAsia="宋体" w:cs="Arial"/>
          <w:color w:val="000000" w:themeColor="text1"/>
          <w:sz w:val="21"/>
          <w:szCs w:val="21"/>
          <w:highlight w:val="none"/>
          <w14:textFill>
            <w14:solidFill>
              <w14:schemeClr w14:val="tx1"/>
            </w14:solidFill>
          </w14:textFill>
        </w:rPr>
        <w:t xml:space="preserve">条  </w:t>
      </w:r>
      <w:r>
        <w:rPr>
          <w:rFonts w:hint="eastAsia" w:ascii="宋体" w:hAnsi="宋体" w:eastAsia="宋体" w:cs="Arial"/>
          <w:color w:val="000000" w:themeColor="text1"/>
          <w:sz w:val="21"/>
          <w:szCs w:val="21"/>
          <w:highlight w:val="none"/>
          <w14:textFill>
            <w14:solidFill>
              <w14:schemeClr w14:val="tx1"/>
            </w14:solidFill>
          </w14:textFill>
        </w:rPr>
        <w:t>项目建设所需的合同授予、工程变更、价格确认、重要材料及设备选择等的决定和确认是委托人不容弱化的权利，不经委托人同意或明确授权，全过程承包人不得就上述问题及工程规模、设计标准、房屋建筑功能等原则问题进行确认或变更。就招标文件、评标办法、投标单位确定办法等，均需经过委托人批准后方可实施。若工程出现意外的安全及质量险情，全过程承包人可边采取紧急抢险避险措施，边通报委托人。</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二十八</w:t>
      </w:r>
      <w:r>
        <w:rPr>
          <w:rFonts w:ascii="宋体" w:hAnsi="宋体" w:eastAsia="宋体" w:cs="Arial"/>
          <w:color w:val="000000" w:themeColor="text1"/>
          <w:sz w:val="21"/>
          <w:szCs w:val="21"/>
          <w:highlight w:val="none"/>
          <w14:textFill>
            <w14:solidFill>
              <w14:schemeClr w14:val="tx1"/>
            </w14:solidFill>
          </w14:textFill>
        </w:rPr>
        <w:t>条  委托人有权对项目建设过程进行监督，有权对全过程承包人的工作计划、步骤等实施情况进行监督。</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二十九</w:t>
      </w:r>
      <w:r>
        <w:rPr>
          <w:rFonts w:ascii="宋体" w:hAnsi="宋体" w:eastAsia="宋体" w:cs="Arial"/>
          <w:color w:val="000000" w:themeColor="text1"/>
          <w:sz w:val="21"/>
          <w:szCs w:val="21"/>
          <w:highlight w:val="none"/>
          <w14:textFill>
            <w14:solidFill>
              <w14:schemeClr w14:val="tx1"/>
            </w14:solidFill>
          </w14:textFill>
        </w:rPr>
        <w:t>条  委托人有对工程规模、设计标准、规划设计、生产工艺设计和设计使用功能要求的</w:t>
      </w:r>
      <w:r>
        <w:rPr>
          <w:rFonts w:hint="eastAsia" w:ascii="宋体" w:hAnsi="宋体" w:eastAsia="宋体" w:cs="Arial"/>
          <w:color w:val="000000" w:themeColor="text1"/>
          <w:sz w:val="21"/>
          <w:szCs w:val="21"/>
          <w:highlight w:val="none"/>
          <w14:textFill>
            <w14:solidFill>
              <w14:schemeClr w14:val="tx1"/>
            </w14:solidFill>
          </w14:textFill>
        </w:rPr>
        <w:t>联合</w:t>
      </w:r>
      <w:r>
        <w:rPr>
          <w:rFonts w:ascii="宋体" w:hAnsi="宋体" w:eastAsia="宋体" w:cs="Arial"/>
          <w:color w:val="000000" w:themeColor="text1"/>
          <w:sz w:val="21"/>
          <w:szCs w:val="21"/>
          <w:highlight w:val="none"/>
          <w14:textFill>
            <w14:solidFill>
              <w14:schemeClr w14:val="tx1"/>
            </w14:solidFill>
          </w14:textFill>
        </w:rPr>
        <w:t>认定权，以及对工程设计变更的</w:t>
      </w:r>
      <w:r>
        <w:rPr>
          <w:rFonts w:hint="eastAsia" w:ascii="宋体" w:hAnsi="宋体" w:eastAsia="宋体" w:cs="Arial"/>
          <w:color w:val="000000" w:themeColor="text1"/>
          <w:sz w:val="21"/>
          <w:szCs w:val="21"/>
          <w:highlight w:val="none"/>
          <w14:textFill>
            <w14:solidFill>
              <w14:schemeClr w14:val="tx1"/>
            </w14:solidFill>
          </w14:textFill>
        </w:rPr>
        <w:t>联合</w:t>
      </w:r>
      <w:r>
        <w:rPr>
          <w:rFonts w:ascii="宋体" w:hAnsi="宋体" w:eastAsia="宋体" w:cs="Arial"/>
          <w:color w:val="000000" w:themeColor="text1"/>
          <w:sz w:val="21"/>
          <w:szCs w:val="21"/>
          <w:highlight w:val="none"/>
          <w14:textFill>
            <w14:solidFill>
              <w14:schemeClr w14:val="tx1"/>
            </w14:solidFill>
          </w14:textFill>
        </w:rPr>
        <w:t>审批权。</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w:t>
      </w:r>
      <w:r>
        <w:rPr>
          <w:rFonts w:ascii="宋体" w:hAnsi="宋体" w:eastAsia="宋体" w:cs="Arial"/>
          <w:color w:val="000000" w:themeColor="text1"/>
          <w:sz w:val="21"/>
          <w:szCs w:val="21"/>
          <w:highlight w:val="none"/>
          <w14:textFill>
            <w14:solidFill>
              <w14:schemeClr w14:val="tx1"/>
            </w14:solidFill>
          </w14:textFill>
        </w:rPr>
        <w:t>条  全过程承包人调换项目负责人须事先经委托人同意。</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bookmarkStart w:id="6" w:name="_GoBack"/>
      <w:r>
        <w:rPr>
          <w:rFonts w:hint="eastAsia" w:ascii="宋体" w:hAnsi="宋体" w:eastAsia="宋体" w:cs="Arial"/>
          <w:color w:val="000000" w:themeColor="text1"/>
          <w:sz w:val="21"/>
          <w:szCs w:val="21"/>
          <w:highlight w:val="none"/>
          <w14:textFill>
            <w14:solidFill>
              <w14:schemeClr w14:val="tx1"/>
            </w14:solidFill>
          </w14:textFill>
        </w:rPr>
        <w:t>三十一</w:t>
      </w:r>
      <w:bookmarkEnd w:id="6"/>
      <w:r>
        <w:rPr>
          <w:rFonts w:ascii="宋体" w:hAnsi="宋体" w:eastAsia="宋体" w:cs="Arial"/>
          <w:color w:val="000000" w:themeColor="text1"/>
          <w:sz w:val="21"/>
          <w:szCs w:val="21"/>
          <w:highlight w:val="none"/>
          <w14:textFill>
            <w14:solidFill>
              <w14:schemeClr w14:val="tx1"/>
            </w14:solidFill>
          </w14:textFill>
        </w:rPr>
        <w:t>条  委托人有权要求全过程承包人提交业务范围内的专项报告。</w:t>
      </w:r>
    </w:p>
    <w:p>
      <w:pPr>
        <w:pStyle w:val="11"/>
        <w:spacing w:line="400" w:lineRule="exact"/>
        <w:ind w:right="0" w:firstLine="420"/>
        <w:rPr>
          <w:rFonts w:ascii="宋体" w:hAnsi="宋体" w:cs="Arial"/>
          <w:b/>
          <w:color w:val="000000" w:themeColor="text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三十二</w:t>
      </w:r>
      <w:r>
        <w:rPr>
          <w:rFonts w:ascii="宋体" w:hAnsi="宋体" w:eastAsia="宋体" w:cs="Arial"/>
          <w:color w:val="000000" w:themeColor="text1"/>
          <w:sz w:val="21"/>
          <w:szCs w:val="21"/>
          <w:highlight w:val="none"/>
          <w14:textFill>
            <w14:solidFill>
              <w14:schemeClr w14:val="tx1"/>
            </w14:solidFill>
          </w14:textFill>
        </w:rPr>
        <w:t>条  委托人有权要求全过程承包人更换不称职的全过程工程咨询</w:t>
      </w:r>
      <w:r>
        <w:rPr>
          <w:rFonts w:ascii="宋体" w:hAnsi="宋体" w:eastAsia="宋体" w:cs="Arial"/>
          <w:b/>
          <w:bCs/>
          <w:color w:val="000000" w:themeColor="text1"/>
          <w:sz w:val="21"/>
          <w:szCs w:val="21"/>
          <w:highlight w:val="none"/>
          <w14:textFill>
            <w14:solidFill>
              <w14:schemeClr w14:val="tx1"/>
            </w14:solidFill>
          </w14:textFill>
        </w:rPr>
        <w:t>部</w:t>
      </w:r>
      <w:r>
        <w:rPr>
          <w:rFonts w:ascii="宋体" w:hAnsi="宋体" w:eastAsia="宋体" w:cs="Arial"/>
          <w:color w:val="000000" w:themeColor="text1"/>
          <w:sz w:val="21"/>
          <w:szCs w:val="21"/>
          <w:highlight w:val="none"/>
          <w14:textFill>
            <w14:solidFill>
              <w14:schemeClr w14:val="tx1"/>
            </w14:solidFill>
          </w14:textFill>
        </w:rPr>
        <w:t>工作人员，有权就适应全过程工程咨询需要提出增加全过程承包人员的合理要求。</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六</w:t>
      </w:r>
      <w:r>
        <w:rPr>
          <w:rFonts w:ascii="宋体" w:hAnsi="宋体" w:cs="Arial"/>
          <w:b/>
          <w:color w:val="000000" w:themeColor="text1"/>
          <w:szCs w:val="21"/>
          <w:highlight w:val="none"/>
          <w14:textFill>
            <w14:solidFill>
              <w14:schemeClr w14:val="tx1"/>
            </w14:solidFill>
          </w14:textFill>
        </w:rPr>
        <w:t>章  全过程承包人责任</w:t>
      </w:r>
    </w:p>
    <w:p>
      <w:p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第</w:t>
      </w:r>
      <w:r>
        <w:rPr>
          <w:rFonts w:hint="eastAsia" w:ascii="宋体" w:hAnsi="宋体" w:cs="Arial"/>
          <w:color w:val="000000" w:themeColor="text1"/>
          <w:szCs w:val="21"/>
          <w:highlight w:val="none"/>
          <w14:textFill>
            <w14:solidFill>
              <w14:schemeClr w14:val="tx1"/>
            </w14:solidFill>
          </w14:textFill>
        </w:rPr>
        <w:t>三十三</w:t>
      </w:r>
      <w:r>
        <w:rPr>
          <w:rFonts w:ascii="宋体" w:hAnsi="宋体" w:cs="Arial"/>
          <w:color w:val="000000" w:themeColor="text1"/>
          <w:szCs w:val="21"/>
          <w:highlight w:val="none"/>
          <w14:textFill>
            <w14:solidFill>
              <w14:schemeClr w14:val="tx1"/>
            </w14:solidFill>
          </w14:textFill>
        </w:rPr>
        <w:t>条</w:t>
      </w:r>
      <w:r>
        <w:rPr>
          <w:rFonts w:hint="eastAsia" w:ascii="宋体" w:hAnsi="宋体" w:cs="Arial"/>
          <w:color w:val="000000" w:themeColor="text1"/>
          <w:szCs w:val="21"/>
          <w:highlight w:val="none"/>
          <w14:textFill>
            <w14:solidFill>
              <w14:schemeClr w14:val="tx1"/>
            </w14:solidFill>
          </w14:textFill>
        </w:rPr>
        <w:t xml:space="preserve"> 因全过程承包人违约，应承担违约责任：</w:t>
      </w:r>
    </w:p>
    <w:p>
      <w:pPr>
        <w:spacing w:line="440" w:lineRule="exact"/>
        <w:ind w:firstLine="420" w:firstLineChars="200"/>
        <w:rPr>
          <w:rFonts w:ascii="宋体" w:hAnsi="宋体" w:cs="Arial"/>
          <w:szCs w:val="21"/>
          <w:highlight w:val="none"/>
        </w:rPr>
      </w:pPr>
      <w:r>
        <w:rPr>
          <w:rFonts w:hint="eastAsia" w:ascii="宋体" w:hAnsi="宋体" w:cs="Arial"/>
          <w:color w:val="000000" w:themeColor="text1"/>
          <w:szCs w:val="21"/>
          <w:highlight w:val="none"/>
          <w14:textFill>
            <w14:solidFill>
              <w14:schemeClr w14:val="tx1"/>
            </w14:solidFill>
          </w14:textFill>
        </w:rPr>
        <w:t>1、工程咨询项目各负责人不得在其他工地兼任监理</w:t>
      </w:r>
      <w:r>
        <w:rPr>
          <w:rFonts w:hint="eastAsia" w:ascii="宋体" w:hAnsi="宋体" w:cs="Arial"/>
          <w:szCs w:val="21"/>
          <w:highlight w:val="none"/>
        </w:rPr>
        <w:t>，或兼任其他项目常驻岗位，否则一经委托人查实，要求</w:t>
      </w:r>
      <w:r>
        <w:rPr>
          <w:rFonts w:ascii="宋体" w:hAnsi="宋体" w:cs="Arial"/>
          <w:szCs w:val="21"/>
          <w:highlight w:val="none"/>
        </w:rPr>
        <w:t>全过程</w:t>
      </w:r>
      <w:r>
        <w:rPr>
          <w:rFonts w:hint="eastAsia" w:ascii="宋体" w:hAnsi="宋体" w:cs="Arial"/>
          <w:szCs w:val="21"/>
          <w:highlight w:val="none"/>
        </w:rPr>
        <w:t>承包人整改，拒不改正的委托人有权解除合同。</w:t>
      </w:r>
    </w:p>
    <w:p>
      <w:pPr>
        <w:spacing w:line="440" w:lineRule="exact"/>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全过程</w:t>
      </w:r>
      <w:r>
        <w:rPr>
          <w:rFonts w:hint="eastAsia" w:ascii="宋体" w:hAnsi="宋体" w:cs="Arial"/>
          <w:szCs w:val="21"/>
          <w:highlight w:val="none"/>
        </w:rPr>
        <w:t>承包人发生如下情况委托人有权解除合同，并承担相应的赔偿责任：</w:t>
      </w:r>
    </w:p>
    <w:p>
      <w:pPr>
        <w:spacing w:line="440" w:lineRule="exact"/>
        <w:ind w:firstLine="420" w:firstLineChars="200"/>
        <w:rPr>
          <w:rFonts w:ascii="宋体" w:hAnsi="宋体" w:cs="Arial"/>
          <w:szCs w:val="21"/>
          <w:highlight w:val="none"/>
        </w:rPr>
      </w:pPr>
      <w:r>
        <w:rPr>
          <w:rFonts w:hint="eastAsia" w:ascii="宋体" w:hAnsi="宋体" w:cs="Arial"/>
          <w:szCs w:val="21"/>
          <w:highlight w:val="none"/>
        </w:rPr>
        <w:t>①违反《建设工程质量管理条例》、《房屋建筑法》、《建设工程监理规范》等法律、法规中关于咨询管理单位、人员相关规定条款的。</w:t>
      </w:r>
    </w:p>
    <w:p>
      <w:pPr>
        <w:spacing w:line="440" w:lineRule="exact"/>
        <w:ind w:firstLine="420" w:firstLineChars="200"/>
        <w:rPr>
          <w:rFonts w:ascii="宋体" w:hAnsi="宋体" w:cs="Arial"/>
          <w:szCs w:val="21"/>
          <w:highlight w:val="none"/>
        </w:rPr>
      </w:pPr>
      <w:r>
        <w:rPr>
          <w:rFonts w:hint="eastAsia" w:ascii="宋体" w:hAnsi="宋体" w:cs="Arial"/>
          <w:szCs w:val="21"/>
          <w:highlight w:val="none"/>
        </w:rPr>
        <w:t>②咨询管理人员不称职或能力不够，无法完成委托人委托的咨询管理任务,委托人书面要求更换咨询管理人员拒不更换或在书面要求时间内未更换的。</w:t>
      </w:r>
    </w:p>
    <w:p>
      <w:pPr>
        <w:spacing w:line="440" w:lineRule="exact"/>
        <w:ind w:firstLine="420" w:firstLineChars="200"/>
        <w:rPr>
          <w:rFonts w:ascii="宋体" w:hAnsi="宋体" w:cs="Arial"/>
          <w:szCs w:val="21"/>
          <w:highlight w:val="none"/>
        </w:rPr>
      </w:pPr>
      <w:r>
        <w:rPr>
          <w:rFonts w:hint="eastAsia" w:ascii="宋体" w:hAnsi="宋体" w:cs="Arial"/>
          <w:szCs w:val="21"/>
          <w:highlight w:val="none"/>
        </w:rPr>
        <w:t>③现场咨询管理人员到位率不足，经委托人书面通知拒不改正的。</w:t>
      </w:r>
    </w:p>
    <w:p>
      <w:pPr>
        <w:spacing w:line="440" w:lineRule="exact"/>
        <w:ind w:firstLine="420" w:firstLineChars="200"/>
        <w:rPr>
          <w:rFonts w:ascii="宋体" w:hAnsi="宋体" w:cs="Arial"/>
          <w:szCs w:val="21"/>
          <w:highlight w:val="none"/>
        </w:rPr>
      </w:pPr>
      <w:r>
        <w:rPr>
          <w:rFonts w:hint="eastAsia" w:ascii="宋体" w:hAnsi="宋体" w:cs="Arial"/>
          <w:szCs w:val="21"/>
          <w:highlight w:val="none"/>
        </w:rPr>
        <w:t>④咨询管理单位与承担本工程的施工承包人及材料、设施供应商发生经济利益关系经查实的。</w:t>
      </w:r>
    </w:p>
    <w:p>
      <w:pPr>
        <w:spacing w:line="440" w:lineRule="exact"/>
        <w:ind w:firstLine="420" w:firstLineChars="200"/>
        <w:rPr>
          <w:rFonts w:ascii="宋体" w:hAnsi="宋体" w:cs="Arial"/>
          <w:szCs w:val="21"/>
          <w:highlight w:val="none"/>
        </w:rPr>
      </w:pPr>
      <w:r>
        <w:rPr>
          <w:rFonts w:ascii="宋体" w:hAnsi="宋体" w:cs="Arial"/>
          <w:szCs w:val="21"/>
          <w:highlight w:val="none"/>
        </w:rPr>
        <w:t>第三十</w:t>
      </w:r>
      <w:r>
        <w:rPr>
          <w:rFonts w:hint="eastAsia" w:ascii="宋体" w:hAnsi="宋体" w:cs="Arial"/>
          <w:szCs w:val="21"/>
          <w:highlight w:val="none"/>
        </w:rPr>
        <w:t>四</w:t>
      </w:r>
      <w:r>
        <w:rPr>
          <w:rFonts w:ascii="宋体" w:hAnsi="宋体" w:cs="Arial"/>
          <w:szCs w:val="21"/>
          <w:highlight w:val="none"/>
        </w:rPr>
        <w:t>条</w:t>
      </w:r>
      <w:r>
        <w:rPr>
          <w:rFonts w:hint="eastAsia" w:ascii="宋体" w:hAnsi="宋体" w:cs="Arial"/>
          <w:szCs w:val="21"/>
          <w:highlight w:val="none"/>
        </w:rPr>
        <w:t xml:space="preserve"> 因</w:t>
      </w:r>
      <w:r>
        <w:rPr>
          <w:rFonts w:ascii="宋体" w:hAnsi="宋体" w:cs="Arial"/>
          <w:szCs w:val="21"/>
          <w:highlight w:val="none"/>
        </w:rPr>
        <w:t>全过程</w:t>
      </w:r>
      <w:r>
        <w:rPr>
          <w:rFonts w:hint="eastAsia" w:ascii="宋体" w:hAnsi="宋体" w:cs="Arial"/>
          <w:szCs w:val="21"/>
          <w:highlight w:val="none"/>
        </w:rPr>
        <w:t>承包人责任，应承担赔偿责任：</w:t>
      </w:r>
    </w:p>
    <w:p>
      <w:pPr>
        <w:numPr>
          <w:ilvl w:val="0"/>
          <w:numId w:val="5"/>
        </w:numPr>
        <w:spacing w:line="440" w:lineRule="exact"/>
        <w:ind w:firstLine="420" w:firstLineChars="200"/>
        <w:rPr>
          <w:rFonts w:ascii="宋体" w:hAnsi="宋体" w:cs="Arial"/>
          <w:szCs w:val="21"/>
          <w:highlight w:val="none"/>
        </w:rPr>
      </w:pPr>
      <w:r>
        <w:rPr>
          <w:rFonts w:ascii="宋体" w:hAnsi="宋体" w:cs="Arial"/>
          <w:szCs w:val="21"/>
          <w:highlight w:val="none"/>
        </w:rPr>
        <w:t>全过程</w:t>
      </w:r>
      <w:r>
        <w:rPr>
          <w:rFonts w:hint="eastAsia" w:ascii="宋体" w:hAnsi="宋体" w:cs="Arial"/>
          <w:szCs w:val="21"/>
          <w:highlight w:val="none"/>
        </w:rPr>
        <w:t>承包人原则上不得更换项目班子成员，但确需更换的，需事先征得委托人书面同意，并办理好相关变更手续，且更换人员不得低于原任职人员的资格；若全过程承包人擅自更换项目总负责人、技术负责人、综合性咨询管理负责人或造价负责人的，</w:t>
      </w:r>
      <w:r>
        <w:rPr>
          <w:rFonts w:ascii="宋体" w:hAnsi="宋体" w:cs="Arial"/>
          <w:szCs w:val="21"/>
          <w:highlight w:val="none"/>
        </w:rPr>
        <w:t>全过程承包人</w:t>
      </w:r>
      <w:r>
        <w:rPr>
          <w:rFonts w:hint="eastAsia" w:ascii="宋体" w:hAnsi="宋体" w:cs="Arial"/>
          <w:szCs w:val="21"/>
          <w:highlight w:val="none"/>
        </w:rPr>
        <w:t>应向委托人支付500000 元/次的违约金，且委托人有权终止合同并向相关部门通报其违约行为。</w:t>
      </w:r>
    </w:p>
    <w:p>
      <w:pPr>
        <w:numPr>
          <w:ilvl w:val="0"/>
          <w:numId w:val="5"/>
        </w:num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如发现不称职或能力不够的咨询管理人员，委托人有权要求更换咨询管理人员，要求更换的咨询管理人员应在7天内更换，不及时更换的承担500元/人·天支付违约金。</w:t>
      </w:r>
    </w:p>
    <w:p>
      <w:pPr>
        <w:numPr>
          <w:ilvl w:val="0"/>
          <w:numId w:val="5"/>
        </w:num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班子组应按承诺的人员到位：项目总负责人每月到位天数不得少于7天；综合性咨询管理负责人每月到位率不得低于70%(22天），否则委托人可按照脱岗天数以每天1000元标准，向</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收取脱岗违约金；如以上人员累计三个月到位率低于70%（22天），委托人可从次月起，按每天3000元标准向</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收取脱岗违约金。</w:t>
      </w:r>
    </w:p>
    <w:p>
      <w:pPr>
        <w:pStyle w:val="11"/>
        <w:numPr>
          <w:ilvl w:val="0"/>
          <w:numId w:val="5"/>
        </w:numPr>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工程施工当中的所有专项验收、中间结构验收、竣工验收、例会、专题会议等，项目总负责人必须按时到现场参加，未参加的并且无书面请假，罚2000元/次的违约金。</w:t>
      </w:r>
    </w:p>
    <w:p>
      <w:pPr>
        <w:pStyle w:val="11"/>
        <w:numPr>
          <w:ilvl w:val="0"/>
          <w:numId w:val="5"/>
        </w:numPr>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不及时核定工程量的（施工单位的变更联系单、每月(期)完成进度款月报表审核时间要求在施工方提交的7个工作日内完成），委托人有权责令其在规定时间内提交，逾期仍未提交的，按1000元/天支付违约金，同时，若因工程变更部分价款编制或审核质量原因，导致其与实际误率在3%及以上的或5万元以上的，每一项处以5000元的罚款</w:t>
      </w:r>
      <w:r>
        <w:rPr>
          <w:rFonts w:ascii="宋体" w:hAnsi="宋体" w:eastAsia="宋体" w:cs="Arial"/>
          <w:color w:val="000000" w:themeColor="text1"/>
          <w:sz w:val="21"/>
          <w:szCs w:val="21"/>
          <w:highlight w:val="none"/>
          <w14:textFill>
            <w14:solidFill>
              <w14:schemeClr w14:val="tx1"/>
            </w14:solidFill>
          </w14:textFill>
        </w:rPr>
        <w:t>。</w:t>
      </w:r>
    </w:p>
    <w:p>
      <w:pPr>
        <w:pStyle w:val="11"/>
        <w:numPr>
          <w:ilvl w:val="0"/>
          <w:numId w:val="5"/>
        </w:numPr>
        <w:spacing w:line="400" w:lineRule="exact"/>
        <w:ind w:right="0" w:firstLine="420" w:firstLineChars="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编制单个项目工程量清单单项漏项或工程量错误等原因引起的造价合计超过20万元的，扣本次标底编制费的2%；编制工程量清单单项漏项或工程量错误等原因引起的造价合计超过50万元的，扣本次标底编制费的4%；编制工程量清单单项漏项或工程量错误等原因引起的造价合计超过100万元的，扣本次标底编制费的10%。</w:t>
      </w:r>
    </w:p>
    <w:p>
      <w:pPr>
        <w:pStyle w:val="11"/>
        <w:numPr>
          <w:ilvl w:val="0"/>
          <w:numId w:val="5"/>
        </w:numPr>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需对施工单位提交的结算进行初审，为确保审核的正确性，如最终审定价与</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的初审价差错率大于2.5%（差错额包括核减金额和核增金额的绝对值之和），则委托人将按照以下公式对</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进行处罚：</w:t>
      </w:r>
    </w:p>
    <w:p>
      <w:pPr>
        <w:pStyle w:val="11"/>
        <w:spacing w:line="400" w:lineRule="exact"/>
        <w:ind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处罚金额=[(∣审定后的核减金额∣+∣审定后的核增金额∣)-送审价×2.5%]÷送审价×造价咨询费。</w:t>
      </w:r>
    </w:p>
    <w:p>
      <w:pPr>
        <w:pStyle w:val="11"/>
        <w:numPr>
          <w:ilvl w:val="0"/>
          <w:numId w:val="5"/>
        </w:numPr>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在保修期间，因工作需要，咨询管理人在接到委托人的通知后24小时内未到位的，处以1000元/次支付违约金。</w:t>
      </w:r>
    </w:p>
    <w:p>
      <w:pPr>
        <w:pStyle w:val="11"/>
        <w:numPr>
          <w:ilvl w:val="0"/>
          <w:numId w:val="5"/>
        </w:numPr>
        <w:spacing w:line="400" w:lineRule="exact"/>
        <w:ind w:right="0" w:firstLine="420"/>
        <w:rPr>
          <w:rFonts w:ascii="宋体" w:hAnsi="宋体" w:eastAsia="宋体" w:cs="Arial"/>
          <w:color w:val="000000" w:themeColor="text1"/>
          <w:sz w:val="21"/>
          <w:szCs w:val="21"/>
          <w:highlight w:val="none"/>
          <w:shd w:val="pct10" w:color="auto" w:fill="FFFFFF"/>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如</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出现以下问题，</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应按要求限期整改外，视情节问题严重，每次处以1000元以上，10000元以下违约金。</w:t>
      </w:r>
    </w:p>
    <w:p>
      <w:p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①未发现或发现后未及时处理的质量、安全隐患造成损失或事故的；</w:t>
      </w:r>
    </w:p>
    <w:p>
      <w:p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②施工过程中出现质量、安全、进度、文明施工等问题，</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未尽到相关责任，未采取有效措施；</w:t>
      </w:r>
    </w:p>
    <w:p>
      <w:p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③其他违反规范及项目管理规范相关规定的。</w:t>
      </w:r>
    </w:p>
    <w:p>
      <w:pPr>
        <w:numPr>
          <w:ilvl w:val="0"/>
          <w:numId w:val="5"/>
        </w:numPr>
        <w:spacing w:line="44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不得接受所有第三方的礼品、宴请和任何其它好处，不得泄露全过程工程咨询过程中依法需要保密的内容。合同终止后，未经委托人同意，</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不得泄漏与本合同工程相关的任何资料和情况。否则，委托人有权要求其承担赔偿责任。</w:t>
      </w:r>
    </w:p>
    <w:p>
      <w:pPr>
        <w:numPr>
          <w:ilvl w:val="0"/>
          <w:numId w:val="5"/>
        </w:numPr>
        <w:spacing w:line="440" w:lineRule="exact"/>
        <w:ind w:firstLine="420" w:firstLineChars="200"/>
        <w:rPr>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如果出现责任事故，承担相应的法律责任，委托人有权对</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处以违约金，违约金限额为履约担保金额的100%，由委托人从履约担保中扣除，该项限额不足时，</w:t>
      </w:r>
      <w:r>
        <w:rPr>
          <w:rFonts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14:textFill>
            <w14:solidFill>
              <w14:schemeClr w14:val="tx1"/>
            </w14:solidFill>
          </w14:textFill>
        </w:rPr>
        <w:t>应在10天内补足</w:t>
      </w:r>
      <w:r>
        <w:rPr>
          <w:rFonts w:hint="eastAsia" w:ascii="宋体" w:hAnsi="宋体" w:cs="Arial"/>
          <w:strike/>
          <w:color w:val="000000" w:themeColor="text1"/>
          <w:szCs w:val="21"/>
          <w:highlight w:val="none"/>
          <w14:textFill>
            <w14:solidFill>
              <w14:schemeClr w14:val="tx1"/>
            </w14:solidFill>
          </w14:textFill>
        </w:rPr>
        <w:t>追偿。</w:t>
      </w:r>
      <w:r>
        <w:rPr>
          <w:rFonts w:hint="eastAsia" w:ascii="宋体" w:hAnsi="宋体" w:cs="Arial"/>
          <w:color w:val="000000" w:themeColor="text1"/>
          <w:szCs w:val="21"/>
          <w:highlight w:val="none"/>
          <w14:textFill>
            <w14:solidFill>
              <w14:schemeClr w14:val="tx1"/>
            </w14:solidFill>
          </w14:textFill>
        </w:rPr>
        <w:t>，履约保证金不足以弥补损失的，委托人有权要求全过程承包人另行承担赔偿责任。</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七</w:t>
      </w:r>
      <w:r>
        <w:rPr>
          <w:rFonts w:ascii="宋体" w:hAnsi="宋体" w:cs="Arial"/>
          <w:b/>
          <w:color w:val="000000" w:themeColor="text1"/>
          <w:szCs w:val="21"/>
          <w:highlight w:val="none"/>
          <w14:textFill>
            <w14:solidFill>
              <w14:schemeClr w14:val="tx1"/>
            </w14:solidFill>
          </w14:textFill>
        </w:rPr>
        <w:t>章  委托人责任</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三十五</w:t>
      </w:r>
      <w:r>
        <w:rPr>
          <w:rFonts w:ascii="宋体" w:hAnsi="宋体" w:eastAsia="宋体" w:cs="Arial"/>
          <w:color w:val="000000" w:themeColor="text1"/>
          <w:sz w:val="21"/>
          <w:szCs w:val="21"/>
          <w:highlight w:val="none"/>
          <w14:textFill>
            <w14:solidFill>
              <w14:schemeClr w14:val="tx1"/>
            </w14:solidFill>
          </w14:textFill>
        </w:rPr>
        <w:t>条  委托人应当履行委托全过程工程咨询合同约定的义务，对违反合同约定或未适当履行合约且引发不良后果的行为，应视为违约，并承担相应的违约责任。</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三十六</w:t>
      </w:r>
      <w:r>
        <w:rPr>
          <w:rFonts w:ascii="宋体" w:hAnsi="宋体" w:eastAsia="宋体" w:cs="Arial"/>
          <w:color w:val="000000" w:themeColor="text1"/>
          <w:sz w:val="21"/>
          <w:szCs w:val="21"/>
          <w:highlight w:val="none"/>
          <w14:textFill>
            <w14:solidFill>
              <w14:schemeClr w14:val="tx1"/>
            </w14:solidFill>
          </w14:textFill>
        </w:rPr>
        <w:t>条  因不可抗力导致委托全过程工程咨询合同不能全部履行或部分履行，委托人不承担责任，委托人就相关事项全过程承包人进行协商解决。</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第三十七条  委托人</w:t>
      </w:r>
      <w:r>
        <w:rPr>
          <w:rFonts w:ascii="宋体" w:hAnsi="宋体" w:eastAsia="宋体" w:cs="Arial"/>
          <w:color w:val="000000" w:themeColor="text1"/>
          <w:sz w:val="21"/>
          <w:szCs w:val="21"/>
          <w:highlight w:val="none"/>
          <w14:textFill>
            <w14:solidFill>
              <w14:schemeClr w14:val="tx1"/>
            </w14:solidFill>
          </w14:textFill>
        </w:rPr>
        <w:t>有权就全过程工程咨询造成的损失提出索赔，</w:t>
      </w:r>
      <w:r>
        <w:rPr>
          <w:rFonts w:hint="eastAsia" w:ascii="宋体" w:hAnsi="宋体" w:eastAsia="宋体" w:cs="Arial"/>
          <w:color w:val="000000" w:themeColor="text1"/>
          <w:sz w:val="21"/>
          <w:szCs w:val="21"/>
          <w:highlight w:val="none"/>
          <w14:textFill>
            <w14:solidFill>
              <w14:schemeClr w14:val="tx1"/>
            </w14:solidFill>
          </w14:textFill>
        </w:rPr>
        <w:t>相关事宜应依法实施</w:t>
      </w:r>
      <w:r>
        <w:rPr>
          <w:rFonts w:ascii="宋体" w:hAnsi="宋体" w:eastAsia="宋体" w:cs="Arial"/>
          <w:color w:val="000000" w:themeColor="text1"/>
          <w:sz w:val="21"/>
          <w:szCs w:val="21"/>
          <w:highlight w:val="none"/>
          <w14:textFill>
            <w14:solidFill>
              <w14:schemeClr w14:val="tx1"/>
            </w14:solidFill>
          </w14:textFill>
        </w:rPr>
        <w:t>。</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八</w:t>
      </w:r>
      <w:r>
        <w:rPr>
          <w:rFonts w:ascii="宋体" w:hAnsi="宋体" w:cs="Arial"/>
          <w:b/>
          <w:color w:val="000000" w:themeColor="text1"/>
          <w:szCs w:val="21"/>
          <w:highlight w:val="none"/>
          <w14:textFill>
            <w14:solidFill>
              <w14:schemeClr w14:val="tx1"/>
            </w14:solidFill>
          </w14:textFill>
        </w:rPr>
        <w:t>章  合同生效、变更与终止</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三十八</w:t>
      </w:r>
      <w:r>
        <w:rPr>
          <w:rFonts w:ascii="宋体" w:hAnsi="宋体" w:eastAsia="宋体" w:cs="Arial"/>
          <w:color w:val="000000" w:themeColor="text1"/>
          <w:sz w:val="21"/>
          <w:szCs w:val="21"/>
          <w:highlight w:val="none"/>
          <w14:textFill>
            <w14:solidFill>
              <w14:schemeClr w14:val="tx1"/>
            </w14:solidFill>
          </w14:textFill>
        </w:rPr>
        <w:t>条  本合同自签订之日起生效。</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三十九</w:t>
      </w:r>
      <w:r>
        <w:rPr>
          <w:rFonts w:ascii="宋体" w:hAnsi="宋体" w:eastAsia="宋体" w:cs="Arial"/>
          <w:color w:val="000000" w:themeColor="text1"/>
          <w:sz w:val="21"/>
          <w:szCs w:val="21"/>
          <w:highlight w:val="none"/>
          <w14:textFill>
            <w14:solidFill>
              <w14:schemeClr w14:val="tx1"/>
            </w14:solidFill>
          </w14:textFill>
        </w:rPr>
        <w:t xml:space="preserve">条  </w:t>
      </w:r>
      <w:r>
        <w:rPr>
          <w:rFonts w:hint="eastAsia" w:ascii="宋体" w:hAnsi="宋体" w:eastAsia="宋体" w:cs="Arial"/>
          <w:color w:val="000000" w:themeColor="text1"/>
          <w:sz w:val="21"/>
          <w:szCs w:val="21"/>
          <w:highlight w:val="none"/>
          <w14:textFill>
            <w14:solidFill>
              <w14:schemeClr w14:val="tx1"/>
            </w14:solidFill>
          </w14:textFill>
        </w:rPr>
        <w:t>至工程竣工验收、财务决算审计结束且缺陷责任期满，同时完成招标范围内所有工作内容之日止。</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w:t>
      </w:r>
      <w:r>
        <w:rPr>
          <w:rFonts w:ascii="宋体" w:hAnsi="宋体" w:eastAsia="宋体" w:cs="Arial"/>
          <w:color w:val="000000" w:themeColor="text1"/>
          <w:sz w:val="21"/>
          <w:szCs w:val="21"/>
          <w:highlight w:val="none"/>
          <w14:textFill>
            <w14:solidFill>
              <w14:schemeClr w14:val="tx1"/>
            </w14:solidFill>
          </w14:textFill>
        </w:rPr>
        <w:t xml:space="preserve">条  </w:t>
      </w:r>
      <w:r>
        <w:rPr>
          <w:rFonts w:hint="eastAsia" w:ascii="宋体" w:hAnsi="宋体" w:eastAsia="宋体" w:cs="Arial"/>
          <w:color w:val="000000" w:themeColor="text1"/>
          <w:sz w:val="21"/>
          <w:szCs w:val="21"/>
          <w:highlight w:val="none"/>
          <w14:textFill>
            <w14:solidFill>
              <w14:schemeClr w14:val="tx1"/>
            </w14:solidFill>
          </w14:textFill>
        </w:rPr>
        <w:t>当全过程承包人未履行全部或部分本合同约定内容或投标文件中的承诺事项，而且又无正当理由，视为违约，全过程承包人承担违约责任，委托人可发出整改通知，全过程承包人应按要求限期整改外，视情节问题严重，每次处以2000元以上罚款，直至解除合同。</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四十一</w:t>
      </w:r>
      <w:r>
        <w:rPr>
          <w:rFonts w:ascii="宋体" w:hAnsi="宋体" w:eastAsia="宋体" w:cs="Arial"/>
          <w:color w:val="000000" w:themeColor="text1"/>
          <w:sz w:val="21"/>
          <w:szCs w:val="21"/>
          <w:highlight w:val="none"/>
          <w14:textFill>
            <w14:solidFill>
              <w14:schemeClr w14:val="tx1"/>
            </w14:solidFill>
          </w14:textFill>
        </w:rPr>
        <w:t>条  当事人一方要求变更或解除合同时，应当在30日前以书面形式通知</w:t>
      </w:r>
      <w:r>
        <w:rPr>
          <w:rFonts w:hint="eastAsia" w:ascii="宋体" w:hAnsi="宋体" w:eastAsia="宋体" w:cs="Arial"/>
          <w:color w:val="000000" w:themeColor="text1"/>
          <w:sz w:val="21"/>
          <w:szCs w:val="21"/>
          <w:highlight w:val="none"/>
          <w14:textFill>
            <w14:solidFill>
              <w14:schemeClr w14:val="tx1"/>
            </w14:solidFill>
          </w14:textFill>
        </w:rPr>
        <w:t>其他两</w:t>
      </w:r>
      <w:r>
        <w:rPr>
          <w:rFonts w:ascii="宋体" w:hAnsi="宋体" w:eastAsia="宋体" w:cs="Arial"/>
          <w:color w:val="000000" w:themeColor="text1"/>
          <w:sz w:val="21"/>
          <w:szCs w:val="21"/>
          <w:highlight w:val="none"/>
          <w14:textFill>
            <w14:solidFill>
              <w14:schemeClr w14:val="tx1"/>
            </w14:solidFill>
          </w14:textFill>
        </w:rPr>
        <w:t>方。在取得</w:t>
      </w:r>
      <w:r>
        <w:rPr>
          <w:rFonts w:hint="eastAsia" w:ascii="宋体" w:hAnsi="宋体" w:eastAsia="宋体" w:cs="Arial"/>
          <w:color w:val="000000" w:themeColor="text1"/>
          <w:sz w:val="21"/>
          <w:szCs w:val="21"/>
          <w:highlight w:val="none"/>
          <w14:textFill>
            <w14:solidFill>
              <w14:schemeClr w14:val="tx1"/>
            </w14:solidFill>
          </w14:textFill>
        </w:rPr>
        <w:t>对</w:t>
      </w:r>
      <w:r>
        <w:rPr>
          <w:rFonts w:ascii="宋体" w:hAnsi="宋体" w:eastAsia="宋体" w:cs="Arial"/>
          <w:color w:val="000000" w:themeColor="text1"/>
          <w:sz w:val="21"/>
          <w:szCs w:val="21"/>
          <w:highlight w:val="none"/>
          <w14:textFill>
            <w14:solidFill>
              <w14:schemeClr w14:val="tx1"/>
            </w14:solidFill>
          </w14:textFill>
        </w:rPr>
        <w:t>方同意后，</w:t>
      </w:r>
      <w:r>
        <w:rPr>
          <w:rFonts w:hint="eastAsia" w:ascii="宋体" w:hAnsi="宋体" w:eastAsia="宋体" w:cs="Arial"/>
          <w:color w:val="000000" w:themeColor="text1"/>
          <w:sz w:val="21"/>
          <w:szCs w:val="21"/>
          <w:highlight w:val="none"/>
          <w14:textFill>
            <w14:solidFill>
              <w14:schemeClr w14:val="tx1"/>
            </w14:solidFill>
          </w14:textFill>
        </w:rPr>
        <w:t>进行</w:t>
      </w:r>
      <w:r>
        <w:rPr>
          <w:rFonts w:ascii="宋体" w:hAnsi="宋体" w:eastAsia="宋体" w:cs="Arial"/>
          <w:color w:val="000000" w:themeColor="text1"/>
          <w:sz w:val="21"/>
          <w:szCs w:val="21"/>
          <w:highlight w:val="none"/>
          <w14:textFill>
            <w14:solidFill>
              <w14:schemeClr w14:val="tx1"/>
            </w14:solidFill>
          </w14:textFill>
        </w:rPr>
        <w:t>协议变更或解除合同。因解除合同使</w:t>
      </w:r>
      <w:r>
        <w:rPr>
          <w:rFonts w:hint="eastAsia" w:ascii="宋体" w:hAnsi="宋体" w:eastAsia="宋体" w:cs="Arial"/>
          <w:color w:val="000000" w:themeColor="text1"/>
          <w:sz w:val="21"/>
          <w:szCs w:val="21"/>
          <w:highlight w:val="none"/>
          <w14:textFill>
            <w14:solidFill>
              <w14:schemeClr w14:val="tx1"/>
            </w14:solidFill>
          </w14:textFill>
        </w:rPr>
        <w:t>对</w:t>
      </w:r>
      <w:r>
        <w:rPr>
          <w:rFonts w:ascii="宋体" w:hAnsi="宋体" w:eastAsia="宋体" w:cs="Arial"/>
          <w:color w:val="000000" w:themeColor="text1"/>
          <w:sz w:val="21"/>
          <w:szCs w:val="21"/>
          <w:highlight w:val="none"/>
          <w14:textFill>
            <w14:solidFill>
              <w14:schemeClr w14:val="tx1"/>
            </w14:solidFill>
          </w14:textFill>
        </w:rPr>
        <w:t>方遭受损失的，除依法可以免除责任的情况外，应由责任方负责赔偿。</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变更或解除合同的通知或协议必须采用书面形式，协议未达成之前，原合同仍然有效。</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四十二</w:t>
      </w:r>
      <w:r>
        <w:rPr>
          <w:rFonts w:ascii="宋体" w:hAnsi="宋体" w:eastAsia="宋体" w:cs="Arial"/>
          <w:color w:val="000000" w:themeColor="text1"/>
          <w:sz w:val="21"/>
          <w:szCs w:val="21"/>
          <w:highlight w:val="none"/>
          <w14:textFill>
            <w14:solidFill>
              <w14:schemeClr w14:val="tx1"/>
            </w14:solidFill>
          </w14:textFill>
        </w:rPr>
        <w:t>条  当全过程承包人完成本合同约定的全部工作且</w:t>
      </w:r>
      <w:r>
        <w:rPr>
          <w:rFonts w:hint="eastAsia" w:ascii="宋体" w:hAnsi="宋体" w:eastAsia="宋体" w:cs="Arial"/>
          <w:color w:val="000000" w:themeColor="text1"/>
          <w:sz w:val="21"/>
          <w:szCs w:val="21"/>
          <w:highlight w:val="none"/>
          <w14:textFill>
            <w14:solidFill>
              <w14:schemeClr w14:val="tx1"/>
            </w14:solidFill>
          </w14:textFill>
        </w:rPr>
        <w:t>委托人</w:t>
      </w:r>
      <w:r>
        <w:rPr>
          <w:rFonts w:ascii="宋体" w:hAnsi="宋体" w:eastAsia="宋体" w:cs="Arial"/>
          <w:color w:val="000000" w:themeColor="text1"/>
          <w:sz w:val="21"/>
          <w:szCs w:val="21"/>
          <w:highlight w:val="none"/>
          <w14:textFill>
            <w14:solidFill>
              <w14:schemeClr w14:val="tx1"/>
            </w14:solidFill>
          </w14:textFill>
        </w:rPr>
        <w:t>支付完所有全过程工程咨询费用后，本合同即告终止。</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w:t>
      </w:r>
      <w:r>
        <w:rPr>
          <w:rFonts w:hint="eastAsia" w:ascii="宋体" w:hAnsi="宋体" w:cs="Arial"/>
          <w:b/>
          <w:color w:val="000000" w:themeColor="text1"/>
          <w:szCs w:val="21"/>
          <w:highlight w:val="none"/>
          <w14:textFill>
            <w14:solidFill>
              <w14:schemeClr w14:val="tx1"/>
            </w14:solidFill>
          </w14:textFill>
        </w:rPr>
        <w:t>九</w:t>
      </w:r>
      <w:r>
        <w:rPr>
          <w:rFonts w:ascii="宋体" w:hAnsi="宋体" w:cs="Arial"/>
          <w:b/>
          <w:color w:val="000000" w:themeColor="text1"/>
          <w:szCs w:val="21"/>
          <w:highlight w:val="none"/>
          <w14:textFill>
            <w14:solidFill>
              <w14:schemeClr w14:val="tx1"/>
            </w14:solidFill>
          </w14:textFill>
        </w:rPr>
        <w:t>章  全过程工程咨询报酬</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四十三</w:t>
      </w:r>
      <w:r>
        <w:rPr>
          <w:rFonts w:ascii="宋体" w:hAnsi="宋体" w:eastAsia="宋体" w:cs="Arial"/>
          <w:color w:val="000000" w:themeColor="text1"/>
          <w:sz w:val="21"/>
          <w:szCs w:val="21"/>
          <w:highlight w:val="none"/>
          <w14:textFill>
            <w14:solidFill>
              <w14:schemeClr w14:val="tx1"/>
            </w14:solidFill>
          </w14:textFill>
        </w:rPr>
        <w:t xml:space="preserve">条 </w:t>
      </w:r>
      <w:r>
        <w:rPr>
          <w:rFonts w:hint="eastAsia" w:ascii="宋体" w:hAnsi="宋体" w:eastAsia="宋体" w:cs="Arial"/>
          <w:color w:val="000000" w:themeColor="text1"/>
          <w:sz w:val="21"/>
          <w:szCs w:val="21"/>
          <w:highlight w:val="none"/>
          <w14:textFill>
            <w14:solidFill>
              <w14:schemeClr w14:val="tx1"/>
            </w14:solidFill>
          </w14:textFill>
        </w:rPr>
        <w:t xml:space="preserve"> </w:t>
      </w:r>
      <w:r>
        <w:rPr>
          <w:rFonts w:ascii="宋体" w:hAnsi="宋体" w:eastAsia="宋体" w:cs="Arial"/>
          <w:color w:val="000000" w:themeColor="text1"/>
          <w:sz w:val="21"/>
          <w:szCs w:val="21"/>
          <w:highlight w:val="none"/>
          <w14:textFill>
            <w14:solidFill>
              <w14:schemeClr w14:val="tx1"/>
            </w14:solidFill>
          </w14:textFill>
        </w:rPr>
        <w:t>全过程工程咨询报酬</w:t>
      </w:r>
      <w:r>
        <w:rPr>
          <w:rFonts w:hint="eastAsia" w:ascii="宋体" w:hAnsi="宋体" w:eastAsia="宋体" w:cs="Arial"/>
          <w:color w:val="000000" w:themeColor="text1"/>
          <w:sz w:val="21"/>
          <w:szCs w:val="21"/>
          <w:highlight w:val="none"/>
          <w14:textFill>
            <w14:solidFill>
              <w14:schemeClr w14:val="tx1"/>
            </w14:solidFill>
          </w14:textFill>
        </w:rPr>
        <w:t>：见合同第一部分&lt;协议书&gt;第四款&lt;项目报酬&gt;。</w:t>
      </w:r>
    </w:p>
    <w:p>
      <w:pPr>
        <w:spacing w:line="440" w:lineRule="exact"/>
        <w:ind w:firstLine="422" w:firstLineChars="200"/>
        <w:rPr>
          <w:rFonts w:ascii="宋体" w:hAnsi="宋体"/>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第</w:t>
      </w:r>
      <w:r>
        <w:rPr>
          <w:rFonts w:hint="eastAsia" w:ascii="宋体" w:hAnsi="宋体" w:cs="Arial"/>
          <w:b/>
          <w:bCs/>
          <w:color w:val="000000" w:themeColor="text1"/>
          <w:szCs w:val="21"/>
          <w:highlight w:val="none"/>
          <w14:textFill>
            <w14:solidFill>
              <w14:schemeClr w14:val="tx1"/>
            </w14:solidFill>
          </w14:textFill>
        </w:rPr>
        <w:t>四十四</w:t>
      </w:r>
      <w:r>
        <w:rPr>
          <w:rFonts w:ascii="宋体" w:hAnsi="宋体" w:cs="Arial"/>
          <w:b/>
          <w:bCs/>
          <w:color w:val="000000" w:themeColor="text1"/>
          <w:szCs w:val="21"/>
          <w:highlight w:val="none"/>
          <w14:textFill>
            <w14:solidFill>
              <w14:schemeClr w14:val="tx1"/>
            </w14:solidFill>
          </w14:textFill>
        </w:rPr>
        <w:t>条</w:t>
      </w:r>
      <w:r>
        <w:rPr>
          <w:rFonts w:hint="eastAsia" w:ascii="宋体" w:hAnsi="宋体" w:cs="Arial"/>
          <w:color w:val="000000" w:themeColor="text1"/>
          <w:szCs w:val="21"/>
          <w:highlight w:val="none"/>
          <w14:textFill>
            <w14:solidFill>
              <w14:schemeClr w14:val="tx1"/>
            </w14:solidFill>
          </w14:textFill>
        </w:rPr>
        <w:t xml:space="preserve">  本项目双方同意按人民币计取报酬。委托人同意按以下方式、时间、分类、分期分批支付全过程工程咨询报酬：</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1、预付款：合同签订后 15 个工作日内支付总价承包部分最终咨询费的 10%作为预付款。</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2、总价承包部分咨询费：工程进度每达到 10%支总价承包部分最终结算咨询费的 7%，至工程完工支付至总价承包部分最终结算咨询费80%（含预付款）。竣工验收合格后支付至总价承包部分最终结算咨询费的 90%。工程质量缺陷责任期满且工程财务决算审核结束，结清余款。</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3、第三方质量检测费：与总价承包部分咨询费同时支付，每次支付当次完成检测工作费用的80%（该项支付总额超过本项目批复概算中指明的工程质量检测费的80%除外），至工程完工支付至最终第三方检测费或本项目批复概算中指明的工程质量检测费（两者取其小）的80%。竣工验收合格后支付至最终第三方检测费或本项目批复概算中指明的工程质量检测费（两者取其小）的90%。工程质量缺陷责任期满且工程财务决算审核结束，结清余款。</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四十五</w:t>
      </w:r>
      <w:r>
        <w:rPr>
          <w:rFonts w:ascii="宋体" w:hAnsi="宋体" w:eastAsia="宋体" w:cs="Arial"/>
          <w:color w:val="000000" w:themeColor="text1"/>
          <w:sz w:val="21"/>
          <w:szCs w:val="21"/>
          <w:highlight w:val="none"/>
          <w14:textFill>
            <w14:solidFill>
              <w14:schemeClr w14:val="tx1"/>
            </w14:solidFill>
          </w14:textFill>
        </w:rPr>
        <w:t>条 支付</w:t>
      </w:r>
      <w:r>
        <w:rPr>
          <w:rFonts w:hint="eastAsia" w:ascii="宋体" w:hAnsi="宋体" w:eastAsia="宋体" w:cs="Arial"/>
          <w:color w:val="000000" w:themeColor="text1"/>
          <w:sz w:val="21"/>
          <w:szCs w:val="21"/>
          <w:highlight w:val="none"/>
          <w14:textFill>
            <w14:solidFill>
              <w14:schemeClr w14:val="tx1"/>
            </w14:solidFill>
          </w14:textFill>
        </w:rPr>
        <w:t>方式：如</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为联合体投标的，费用由联合体各方共同申请相应款项，支付给联合体某方由</w:t>
      </w:r>
      <w:r>
        <w:rPr>
          <w:rFonts w:ascii="宋体" w:hAnsi="宋体" w:eastAsia="宋体" w:cs="Arial"/>
          <w:color w:val="000000" w:themeColor="text1"/>
          <w:sz w:val="21"/>
          <w:szCs w:val="21"/>
          <w:highlight w:val="none"/>
          <w14:textFill>
            <w14:solidFill>
              <w14:schemeClr w14:val="tx1"/>
            </w14:solidFill>
          </w14:textFill>
        </w:rPr>
        <w:t>委托人</w:t>
      </w:r>
      <w:r>
        <w:rPr>
          <w:rFonts w:hint="eastAsia" w:ascii="宋体" w:hAnsi="宋体" w:eastAsia="宋体" w:cs="Arial"/>
          <w:color w:val="000000" w:themeColor="text1"/>
          <w:sz w:val="21"/>
          <w:szCs w:val="21"/>
          <w:highlight w:val="none"/>
          <w14:textFill>
            <w14:solidFill>
              <w14:schemeClr w14:val="tx1"/>
            </w14:solidFill>
          </w14:textFill>
        </w:rPr>
        <w:t>指定，发票由被指定的联合体某方开具。</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第四十六条 每次付款前应开具相应款项的发票，否则委托人有权顺延付款且不视为违约。</w:t>
      </w:r>
    </w:p>
    <w:p>
      <w:pPr>
        <w:pStyle w:val="11"/>
        <w:spacing w:line="40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四十七</w:t>
      </w:r>
      <w:r>
        <w:rPr>
          <w:rFonts w:ascii="宋体" w:hAnsi="宋体" w:eastAsia="宋体" w:cs="Arial"/>
          <w:color w:val="000000" w:themeColor="text1"/>
          <w:sz w:val="21"/>
          <w:szCs w:val="21"/>
          <w:highlight w:val="none"/>
          <w14:textFill>
            <w14:solidFill>
              <w14:schemeClr w14:val="tx1"/>
            </w14:solidFill>
          </w14:textFill>
        </w:rPr>
        <w:t>条 如果委托人对全过程承包人提交的支付通知书中报酬或部分报酬项目提出异议，应当在收到支付通知书后7个工作日内与全过程承包人协商。</w:t>
      </w:r>
    </w:p>
    <w:p>
      <w:pPr>
        <w:tabs>
          <w:tab w:val="left" w:pos="4250"/>
          <w:tab w:val="left" w:pos="7480"/>
        </w:tabs>
        <w:spacing w:before="156" w:beforeLines="50" w:after="156" w:afterLines="50" w:line="400" w:lineRule="exact"/>
        <w:jc w:val="center"/>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第十章  其他</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四十八</w:t>
      </w:r>
      <w:r>
        <w:rPr>
          <w:rFonts w:ascii="宋体" w:hAnsi="宋体" w:eastAsia="宋体" w:cs="Arial"/>
          <w:color w:val="000000" w:themeColor="text1"/>
          <w:sz w:val="21"/>
          <w:szCs w:val="21"/>
          <w:highlight w:val="none"/>
          <w14:textFill>
            <w14:solidFill>
              <w14:schemeClr w14:val="tx1"/>
            </w14:solidFill>
          </w14:textFill>
        </w:rPr>
        <w:t>条  全过程承包人及其全过程工程咨询部成员不得接受参与本项目相关参建单位的任何非法报酬或非法经济利益。</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ascii="宋体" w:hAnsi="宋体" w:eastAsia="宋体" w:cs="Arial"/>
          <w:color w:val="000000" w:themeColor="text1"/>
          <w:sz w:val="21"/>
          <w:szCs w:val="21"/>
          <w:highlight w:val="none"/>
          <w14:textFill>
            <w14:solidFill>
              <w14:schemeClr w14:val="tx1"/>
            </w14:solidFill>
          </w14:textFill>
        </w:rPr>
        <w:t>第</w:t>
      </w:r>
      <w:r>
        <w:rPr>
          <w:rFonts w:hint="eastAsia" w:ascii="宋体" w:hAnsi="宋体" w:eastAsia="宋体" w:cs="Arial"/>
          <w:color w:val="000000" w:themeColor="text1"/>
          <w:sz w:val="21"/>
          <w:szCs w:val="21"/>
          <w:highlight w:val="none"/>
          <w14:textFill>
            <w14:solidFill>
              <w14:schemeClr w14:val="tx1"/>
            </w14:solidFill>
          </w14:textFill>
        </w:rPr>
        <w:t>四十九</w:t>
      </w:r>
      <w:r>
        <w:rPr>
          <w:rFonts w:ascii="宋体" w:hAnsi="宋体" w:eastAsia="宋体" w:cs="Arial"/>
          <w:color w:val="000000" w:themeColor="text1"/>
          <w:sz w:val="21"/>
          <w:szCs w:val="21"/>
          <w:highlight w:val="none"/>
          <w14:textFill>
            <w14:solidFill>
              <w14:schemeClr w14:val="tx1"/>
            </w14:solidFill>
          </w14:textFill>
        </w:rPr>
        <w:t>条</w:t>
      </w:r>
      <w:r>
        <w:rPr>
          <w:rFonts w:hint="eastAsia" w:ascii="宋体" w:hAnsi="宋体" w:eastAsia="宋体" w:cs="Arial"/>
          <w:color w:val="000000" w:themeColor="text1"/>
          <w:sz w:val="21"/>
          <w:szCs w:val="21"/>
          <w:highlight w:val="none"/>
          <w14:textFill>
            <w14:solidFill>
              <w14:schemeClr w14:val="tx1"/>
            </w14:solidFill>
          </w14:textFill>
        </w:rPr>
        <w:t xml:space="preserve">  补充条款</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1、本工程由</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实施。综合性咨询服务外的专项咨询服务工作中非主体、非关键性咨询服务工作需分包的，经委托方同意后，可依法委托给具有相应资质或能力的单位，受托方对其负总责。</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2、</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在合同签订后10天内集结项目管理组团队所有成员开展工作，</w:t>
      </w:r>
      <w:r>
        <w:rPr>
          <w:rFonts w:hint="eastAsia" w:ascii="宋体" w:hAnsi="宋体" w:eastAsia="宋体" w:cs="Arial"/>
          <w:b/>
          <w:bCs/>
          <w:color w:val="000000" w:themeColor="text1"/>
          <w:sz w:val="21"/>
          <w:szCs w:val="21"/>
          <w:highlight w:val="none"/>
          <w14:textFill>
            <w14:solidFill>
              <w14:schemeClr w14:val="tx1"/>
            </w14:solidFill>
          </w14:textFill>
        </w:rPr>
        <w:t>建设单位将通过施工单位提供现场办公场地给工程咨询单位。</w:t>
      </w:r>
      <w:r>
        <w:rPr>
          <w:rFonts w:hint="eastAsia" w:ascii="宋体" w:hAnsi="宋体" w:eastAsia="宋体" w:cs="Arial"/>
          <w:color w:val="000000" w:themeColor="text1"/>
          <w:sz w:val="21"/>
          <w:szCs w:val="21"/>
          <w:highlight w:val="none"/>
          <w14:textFill>
            <w14:solidFill>
              <w14:schemeClr w14:val="tx1"/>
            </w14:solidFill>
          </w14:textFill>
        </w:rPr>
        <w:t>所有办公设施和设备（含交通工具、办公设备及相关的检测、检验、监控设备、数码相机等）均由</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自备，费用已包括在投标报价之内，并承担相应的使用费和维修费，委托人不再给予补偿。</w:t>
      </w:r>
      <w:r>
        <w:rPr>
          <w:rFonts w:hint="eastAsia" w:ascii="宋体" w:hAnsi="宋体" w:eastAsia="宋体" w:cs="Arial"/>
          <w:b/>
          <w:bCs/>
          <w:color w:val="000000" w:themeColor="text1"/>
          <w:sz w:val="21"/>
          <w:szCs w:val="21"/>
          <w:highlight w:val="none"/>
          <w14:textFill>
            <w14:solidFill>
              <w14:schemeClr w14:val="tx1"/>
            </w14:solidFill>
          </w14:textFill>
        </w:rPr>
        <w:t>（项目部）</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3、</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在工作过程中要严格实行质量、安全、进度及投资四控制。工程正式开工后，每天必须有现场关键用材、关键施工部位或隐蔽工程的照片或影像资料，每周上报委托人现场代表并按规定存档。</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4、工程投资控制为工程咨询服务重要内容之一，</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需安排专门的造价工程师随施工进度全过程到岗，并对施工单位上报的工程量、工程变更联系单中的工程量和价格进行复核，委托人有权对</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审核的工程量、工程变更联系单中的量进行抽查，若抽查发现</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审核的工程量、变更联系单中的量与实际相差5%以上，处以5000元/次的违约金。针对无价材料，</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要独立进行市场询价，并出具询价报告。</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5、质量：在工程初验时，</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应按图纸和清单，组织与工程实际进行认真核对，确认后方可安排竣工验收，如工程不能一次性通过竣工验收，扣除全部质量履约保证金；如工程中使用了伪劣材料或因施工质量造成返工，根据造成后果的大小，扣除部分或全部质量履约保证金，后果特别严重的，按国家相关法律、法规处理。</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6、工期：工程不能按期完工的，如属</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未尽责的，每延迟一天扣工期履约保证金的2%。</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7、</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应严格执行并督促施工单位遵守委托人单位的相关规章制度。</w:t>
      </w:r>
    </w:p>
    <w:p>
      <w:pPr>
        <w:pStyle w:val="11"/>
        <w:spacing w:line="380" w:lineRule="exact"/>
        <w:ind w:right="0" w:firstLine="420"/>
        <w:rPr>
          <w:rFonts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8、</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的人员根据工程进度及业主指令</w:t>
      </w:r>
      <w:r>
        <w:rPr>
          <w:rFonts w:hint="eastAsia" w:ascii="宋体" w:hAnsi="宋体" w:eastAsia="宋体" w:cs="Arial"/>
          <w:b/>
          <w:bCs/>
          <w:color w:val="000000" w:themeColor="text1"/>
          <w:sz w:val="21"/>
          <w:szCs w:val="21"/>
          <w:highlight w:val="none"/>
          <w14:textFill>
            <w14:solidFill>
              <w14:schemeClr w14:val="tx1"/>
            </w14:solidFill>
          </w14:textFill>
        </w:rPr>
        <w:t>逐步</w:t>
      </w:r>
      <w:r>
        <w:rPr>
          <w:rFonts w:hint="eastAsia" w:ascii="宋体" w:hAnsi="宋体" w:eastAsia="宋体" w:cs="Arial"/>
          <w:color w:val="000000" w:themeColor="text1"/>
          <w:sz w:val="21"/>
          <w:szCs w:val="21"/>
          <w:highlight w:val="none"/>
          <w14:textFill>
            <w14:solidFill>
              <w14:schemeClr w14:val="tx1"/>
            </w14:solidFill>
          </w14:textFill>
        </w:rPr>
        <w:t>到位。本合同条款要求的人员，如在要求时间内未到位，项目总负责人及各组负责人按2000元/人·天支付违约金，组员按1000元/人·天支付违约金。具体详后表全过程工程咨询服务人员要求。</w:t>
      </w:r>
    </w:p>
    <w:p>
      <w:pPr>
        <w:pStyle w:val="11"/>
        <w:spacing w:line="400" w:lineRule="exact"/>
        <w:ind w:right="0" w:firstLine="420"/>
        <w:rPr>
          <w:rFonts w:ascii="宋体" w:hAnsi="宋体" w:cs="Arial"/>
          <w:color w:val="000000" w:themeColor="text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9、本合同项目开工后，</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须分阶段按委托人要求派驻与项目进度相匹配专业的注册造价师2名，其中要求每天至少保证1名注册造价师常驻现场，做好施工现场跟踪审计服务，及时处理相关造价问题。若未能按要求配备驻场人员，委托人有权发出整改通知，并每次向</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收取1000元违约金，超过三次无故不能到现场服务的，委托人有权要求</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更换造价咨询组组员，情节严重的，可要求</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更换造价咨询负责人，并由</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承担相关法律连带责任，一切损失由</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Arial"/>
          <w:color w:val="000000" w:themeColor="text1"/>
          <w:sz w:val="21"/>
          <w:szCs w:val="21"/>
          <w:highlight w:val="none"/>
          <w14:textFill>
            <w14:solidFill>
              <w14:schemeClr w14:val="tx1"/>
            </w14:solidFill>
          </w14:textFill>
        </w:rPr>
        <w:t>承担。</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10、入驻人员</w:t>
      </w:r>
      <w:r>
        <w:rPr>
          <w:rFonts w:hint="eastAsia" w:ascii="宋体" w:hAnsi="宋体" w:cs="宋体"/>
          <w:color w:val="000000" w:themeColor="text1"/>
          <w:szCs w:val="21"/>
          <w:highlight w:val="none"/>
          <w14:textFill>
            <w14:solidFill>
              <w14:schemeClr w14:val="tx1"/>
            </w14:solidFill>
          </w14:textFill>
        </w:rPr>
        <w:t>需</w:t>
      </w:r>
      <w:r>
        <w:rPr>
          <w:rFonts w:ascii="宋体" w:hAnsi="宋体" w:cs="宋体"/>
          <w:color w:val="000000" w:themeColor="text1"/>
          <w:szCs w:val="21"/>
          <w:highlight w:val="none"/>
          <w14:textFill>
            <w14:solidFill>
              <w14:schemeClr w14:val="tx1"/>
            </w14:solidFill>
          </w14:textFill>
        </w:rPr>
        <w:t>入驻</w:t>
      </w:r>
      <w:r>
        <w:rPr>
          <w:rFonts w:hint="eastAsia" w:ascii="宋体" w:hAnsi="宋体" w:cs="宋体"/>
          <w:color w:val="000000" w:themeColor="text1"/>
          <w:szCs w:val="21"/>
          <w:highlight w:val="none"/>
          <w14:textFill>
            <w14:solidFill>
              <w14:schemeClr w14:val="tx1"/>
            </w14:solidFill>
          </w14:textFill>
        </w:rPr>
        <w:t>符合委托人要求的办公场所</w:t>
      </w:r>
      <w:r>
        <w:rPr>
          <w:rFonts w:ascii="宋体" w:hAnsi="宋体" w:cs="宋体"/>
          <w:color w:val="000000" w:themeColor="text1"/>
          <w:szCs w:val="21"/>
          <w:highlight w:val="none"/>
          <w14:textFill>
            <w14:solidFill>
              <w14:schemeClr w14:val="tx1"/>
            </w14:solidFill>
          </w14:textFill>
        </w:rPr>
        <w:t>，配合</w:t>
      </w:r>
      <w:r>
        <w:rPr>
          <w:rFonts w:hint="eastAsia" w:ascii="宋体" w:hAnsi="宋体" w:cs="宋体"/>
          <w:color w:val="000000" w:themeColor="text1"/>
          <w:szCs w:val="21"/>
          <w:highlight w:val="none"/>
          <w14:textFill>
            <w14:solidFill>
              <w14:schemeClr w14:val="tx1"/>
            </w14:solidFill>
          </w14:textFill>
        </w:rPr>
        <w:t>委托人</w:t>
      </w:r>
      <w:r>
        <w:rPr>
          <w:rFonts w:ascii="宋体" w:hAnsi="宋体" w:cs="宋体"/>
          <w:color w:val="000000" w:themeColor="text1"/>
          <w:szCs w:val="21"/>
          <w:highlight w:val="none"/>
          <w14:textFill>
            <w14:solidFill>
              <w14:schemeClr w14:val="tx1"/>
            </w14:solidFill>
          </w14:textFill>
        </w:rPr>
        <w:t>开展相关</w:t>
      </w:r>
      <w:r>
        <w:rPr>
          <w:rFonts w:hint="eastAsia" w:ascii="宋体" w:hAnsi="宋体" w:cs="宋体"/>
          <w:color w:val="000000" w:themeColor="text1"/>
          <w:szCs w:val="21"/>
          <w:highlight w:val="none"/>
          <w14:textFill>
            <w14:solidFill>
              <w14:schemeClr w14:val="tx1"/>
            </w14:solidFill>
          </w14:textFill>
        </w:rPr>
        <w:t>项目管理工作，并配备工作用机动车，该组人员由委托人调配使用。</w:t>
      </w:r>
    </w:p>
    <w:p>
      <w:pPr>
        <w:spacing w:line="400" w:lineRule="exact"/>
        <w:ind w:firstLine="420" w:firstLineChars="200"/>
        <w:rPr>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11、本项目人员进出场时间最终按委托人要求时间约定。</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12、本项目人员配备数量如遇政府文件规定需要调整的委托人应无条件服从，相关费用委托人不再另行支付。</w:t>
      </w:r>
    </w:p>
    <w:p>
      <w:pPr>
        <w:pStyle w:val="11"/>
        <w:spacing w:line="380" w:lineRule="exact"/>
        <w:ind w:firstLine="420"/>
        <w:jc w:val="left"/>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以暂定价形式列入招标控制价的，在签证定价时，</w:t>
      </w:r>
      <w:r>
        <w:rPr>
          <w:rFonts w:ascii="宋体" w:hAnsi="宋体" w:eastAsia="宋体" w:cs="Arial"/>
          <w:color w:val="000000" w:themeColor="text1"/>
          <w:sz w:val="21"/>
          <w:szCs w:val="21"/>
          <w:highlight w:val="none"/>
          <w14:textFill>
            <w14:solidFill>
              <w14:schemeClr w14:val="tx1"/>
            </w14:solidFill>
          </w14:textFill>
        </w:rPr>
        <w:t>全过程承包人</w:t>
      </w:r>
      <w:r>
        <w:rPr>
          <w:rFonts w:hint="eastAsia" w:ascii="宋体" w:hAnsi="宋体" w:eastAsia="宋体" w:cs="宋体"/>
          <w:color w:val="000000" w:themeColor="text1"/>
          <w:sz w:val="21"/>
          <w:szCs w:val="21"/>
          <w:highlight w:val="none"/>
          <w14:textFill>
            <w14:solidFill>
              <w14:schemeClr w14:val="tx1"/>
            </w14:solidFill>
          </w14:textFill>
        </w:rPr>
        <w:t>需提供书面询价依据并加盖单位公章。</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14、合同发生争议或由于不可抗力因素致使合同无法履行时，双方协商解决；协商不成的，双方当事人可向项目所在地的人民法院起诉。</w:t>
      </w:r>
    </w:p>
    <w:p>
      <w:pPr>
        <w:pStyle w:val="11"/>
        <w:spacing w:line="380" w:lineRule="exact"/>
        <w:ind w:right="0" w:firstLine="420"/>
        <w:rPr>
          <w:rFonts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送达条款：协议载明的通讯地址为双方有关通知、文件（包括诉讼文书、律师函等）的法定送达地址，无论何种原因造成无法送达而被退回的，邮件退回之日视为送达。</w:t>
      </w:r>
    </w:p>
    <w:p>
      <w:pPr>
        <w:jc w:val="left"/>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pStyle w:val="10"/>
        <w:rPr>
          <w:rFonts w:ascii="宋体" w:hAnsi="宋体" w:cs="宋体"/>
          <w:b/>
          <w:color w:val="000000" w:themeColor="text1"/>
          <w:highlight w:val="none"/>
          <w14:textFill>
            <w14:solidFill>
              <w14:schemeClr w14:val="tx1"/>
            </w14:solidFill>
          </w14:textFill>
        </w:rPr>
      </w:pPr>
    </w:p>
    <w:p>
      <w:pPr>
        <w:pStyle w:val="10"/>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jc w:val="left"/>
        <w:rPr>
          <w:rFonts w:ascii="宋体" w:hAnsi="宋体" w:cs="宋体"/>
          <w:b/>
          <w:color w:val="000000" w:themeColor="text1"/>
          <w:highlight w:val="none"/>
          <w14:textFill>
            <w14:solidFill>
              <w14:schemeClr w14:val="tx1"/>
            </w14:solidFill>
          </w14:textFill>
        </w:rPr>
      </w:pPr>
    </w:p>
    <w:p>
      <w:pPr>
        <w:spacing w:line="600" w:lineRule="exact"/>
        <w:rPr>
          <w:rFonts w:ascii="宋体" w:hAnsi="宋体"/>
          <w:color w:val="000000" w:themeColor="text1"/>
          <w:kern w:val="16"/>
          <w:position w:val="6"/>
          <w:sz w:val="44"/>
          <w:szCs w:val="44"/>
          <w:highlight w:val="none"/>
          <w14:textFill>
            <w14:solidFill>
              <w14:schemeClr w14:val="tx1"/>
            </w14:solidFill>
          </w14:textFill>
        </w:rPr>
      </w:pPr>
    </w:p>
    <w:p>
      <w:pPr>
        <w:pStyle w:val="2"/>
        <w:rPr>
          <w:rFonts w:ascii="宋体" w:hAnsi="宋体"/>
          <w:color w:val="000000" w:themeColor="text1"/>
          <w:kern w:val="16"/>
          <w:position w:val="6"/>
          <w:sz w:val="44"/>
          <w:szCs w:val="44"/>
          <w:highlight w:val="none"/>
          <w14:textFill>
            <w14:solidFill>
              <w14:schemeClr w14:val="tx1"/>
            </w14:solidFill>
          </w14:textFill>
        </w:rPr>
      </w:pPr>
    </w:p>
    <w:p>
      <w:pPr>
        <w:rPr>
          <w:rFonts w:ascii="宋体" w:hAnsi="宋体"/>
          <w:color w:val="000000" w:themeColor="text1"/>
          <w:kern w:val="16"/>
          <w:position w:val="6"/>
          <w:sz w:val="44"/>
          <w:szCs w:val="44"/>
          <w:highlight w:val="none"/>
          <w14:textFill>
            <w14:solidFill>
              <w14:schemeClr w14:val="tx1"/>
            </w14:solidFill>
          </w14:textFill>
        </w:rPr>
      </w:pPr>
    </w:p>
    <w:p>
      <w:pPr>
        <w:pStyle w:val="2"/>
        <w:rPr>
          <w:rFonts w:ascii="宋体" w:hAnsi="宋体"/>
          <w:color w:val="000000" w:themeColor="text1"/>
          <w:kern w:val="16"/>
          <w:position w:val="6"/>
          <w:sz w:val="44"/>
          <w:szCs w:val="44"/>
          <w:highlight w:val="none"/>
          <w14:textFill>
            <w14:solidFill>
              <w14:schemeClr w14:val="tx1"/>
            </w14:solidFill>
          </w14:textFill>
        </w:rPr>
      </w:pPr>
    </w:p>
    <w:p>
      <w:pPr>
        <w:rPr>
          <w:rFonts w:ascii="宋体" w:hAnsi="宋体"/>
          <w:color w:val="000000" w:themeColor="text1"/>
          <w:kern w:val="16"/>
          <w:position w:val="6"/>
          <w:sz w:val="44"/>
          <w:szCs w:val="44"/>
          <w:highlight w:val="none"/>
          <w14:textFill>
            <w14:solidFill>
              <w14:schemeClr w14:val="tx1"/>
            </w14:solidFill>
          </w14:textFill>
        </w:rPr>
      </w:pPr>
    </w:p>
    <w:p>
      <w:pPr>
        <w:pStyle w:val="2"/>
        <w:rPr>
          <w:rFonts w:ascii="宋体" w:hAnsi="宋体"/>
          <w:color w:val="000000" w:themeColor="text1"/>
          <w:kern w:val="16"/>
          <w:position w:val="6"/>
          <w:sz w:val="44"/>
          <w:szCs w:val="44"/>
          <w:highlight w:val="none"/>
          <w14:textFill>
            <w14:solidFill>
              <w14:schemeClr w14:val="tx1"/>
            </w14:solidFill>
          </w14:textFill>
        </w:rPr>
      </w:pPr>
    </w:p>
    <w:p>
      <w:pPr>
        <w:rPr>
          <w:rFonts w:ascii="宋体" w:hAnsi="宋体"/>
          <w:color w:val="000000" w:themeColor="text1"/>
          <w:kern w:val="16"/>
          <w:position w:val="6"/>
          <w:sz w:val="44"/>
          <w:szCs w:val="44"/>
          <w:highlight w:val="none"/>
          <w14:textFill>
            <w14:solidFill>
              <w14:schemeClr w14:val="tx1"/>
            </w14:solidFill>
          </w14:textFill>
        </w:rPr>
      </w:pPr>
    </w:p>
    <w:p>
      <w:pPr>
        <w:rPr>
          <w:color w:val="000000" w:themeColor="text1"/>
          <w:highlight w:val="none"/>
          <w14:textFill>
            <w14:solidFill>
              <w14:schemeClr w14:val="tx1"/>
            </w14:solidFill>
          </w14:textFill>
        </w:rPr>
      </w:pPr>
    </w:p>
    <w:p>
      <w:pPr>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安全生产责任书</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为了确保</w:t>
      </w:r>
      <w:r>
        <w:rPr>
          <w:rFonts w:hint="eastAsia" w:ascii="宋体" w:hAnsi="宋体" w:cs="Arial"/>
          <w:color w:val="000000" w:themeColor="text1"/>
          <w:szCs w:val="21"/>
          <w:highlight w:val="none"/>
          <w:u w:val="single"/>
          <w14:textFill>
            <w14:solidFill>
              <w14:schemeClr w14:val="tx1"/>
            </w14:solidFill>
          </w14:textFill>
        </w:rPr>
        <w:t>绍兴市本级海塘安澜工程（曹娥江大闸段）全过程工程咨询</w:t>
      </w:r>
      <w:r>
        <w:rPr>
          <w:rFonts w:ascii="宋体" w:hAnsi="宋体" w:cs="Arial"/>
          <w:color w:val="000000" w:themeColor="text1"/>
          <w:szCs w:val="21"/>
          <w:highlight w:val="none"/>
          <w14:textFill>
            <w14:solidFill>
              <w14:schemeClr w14:val="tx1"/>
            </w14:solidFill>
          </w14:textFill>
        </w:rPr>
        <w:t>的顺利进行，在合同履行过程中无安全生产责任事故，</w:t>
      </w:r>
      <w:r>
        <w:rPr>
          <w:rFonts w:hint="eastAsia" w:ascii="宋体" w:hAnsi="宋体" w:cs="Arial"/>
          <w:color w:val="000000" w:themeColor="text1"/>
          <w:szCs w:val="21"/>
          <w:highlight w:val="none"/>
          <w14:textFill>
            <w14:solidFill>
              <w14:schemeClr w14:val="tx1"/>
            </w14:solidFill>
          </w14:textFill>
        </w:rPr>
        <w:t>委托方</w:t>
      </w:r>
      <w:r>
        <w:rPr>
          <w:rFonts w:hint="eastAsia" w:ascii="宋体" w:hAnsi="宋体" w:cs="Arial"/>
          <w:color w:val="000000" w:themeColor="text1"/>
          <w:szCs w:val="21"/>
          <w:highlight w:val="none"/>
          <w:u w:val="single"/>
          <w14:textFill>
            <w14:solidFill>
              <w14:schemeClr w14:val="tx1"/>
            </w14:solidFill>
          </w14:textFill>
        </w:rPr>
        <w:t xml:space="preserve"> </w:t>
      </w:r>
      <w:r>
        <w:rPr>
          <w:rFonts w:ascii="宋体" w:hAnsi="宋体" w:cs="Arial"/>
          <w:color w:val="000000" w:themeColor="text1"/>
          <w:szCs w:val="21"/>
          <w:highlight w:val="none"/>
          <w:u w:val="single"/>
          <w14:textFill>
            <w14:solidFill>
              <w14:schemeClr w14:val="tx1"/>
            </w14:solidFill>
          </w14:textFill>
        </w:rPr>
        <w:t xml:space="preserve">           </w:t>
      </w:r>
      <w:r>
        <w:rPr>
          <w:rFonts w:ascii="宋体" w:hAnsi="宋体" w:cs="Arial"/>
          <w:color w:val="000000" w:themeColor="text1"/>
          <w:szCs w:val="21"/>
          <w:highlight w:val="none"/>
          <w14:textFill>
            <w14:solidFill>
              <w14:schemeClr w14:val="tx1"/>
            </w14:solidFill>
          </w14:textFill>
        </w:rPr>
        <w:t>与</w:t>
      </w:r>
      <w:r>
        <w:rPr>
          <w:rFonts w:hint="eastAsia" w:ascii="宋体" w:hAnsi="宋体" w:cs="Arial"/>
          <w:color w:val="000000" w:themeColor="text1"/>
          <w:szCs w:val="21"/>
          <w:highlight w:val="none"/>
          <w14:textFill>
            <w14:solidFill>
              <w14:schemeClr w14:val="tx1"/>
            </w14:solidFill>
          </w14:textFill>
        </w:rPr>
        <w:t>全过程承包人</w:t>
      </w:r>
      <w:r>
        <w:rPr>
          <w:rFonts w:hint="eastAsia" w:ascii="宋体" w:hAnsi="宋体" w:cs="Arial"/>
          <w:color w:val="000000" w:themeColor="text1"/>
          <w:szCs w:val="21"/>
          <w:highlight w:val="none"/>
          <w:u w:val="single"/>
          <w14:textFill>
            <w14:solidFill>
              <w14:schemeClr w14:val="tx1"/>
            </w14:solidFill>
          </w14:textFill>
        </w:rPr>
        <w:t xml:space="preserve"> </w:t>
      </w:r>
      <w:r>
        <w:rPr>
          <w:rFonts w:ascii="宋体" w:hAnsi="宋体" w:cs="Arial"/>
          <w:color w:val="000000" w:themeColor="text1"/>
          <w:szCs w:val="21"/>
          <w:highlight w:val="none"/>
          <w:u w:val="single"/>
          <w14:textFill>
            <w14:solidFill>
              <w14:schemeClr w14:val="tx1"/>
            </w14:solidFill>
          </w14:textFill>
        </w:rPr>
        <w:t xml:space="preserve">           </w:t>
      </w:r>
      <w:r>
        <w:rPr>
          <w:rFonts w:ascii="宋体" w:hAnsi="宋体" w:cs="Arial"/>
          <w:color w:val="000000" w:themeColor="text1"/>
          <w:szCs w:val="21"/>
          <w:highlight w:val="none"/>
          <w14:textFill>
            <w14:solidFill>
              <w14:schemeClr w14:val="tx1"/>
            </w14:solidFill>
          </w14:textFill>
        </w:rPr>
        <w:t>签订本安全生产责任书。</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一、</w:t>
      </w:r>
      <w:r>
        <w:rPr>
          <w:rFonts w:hint="eastAsia" w:ascii="宋体" w:hAnsi="宋体" w:cs="Arial"/>
          <w:color w:val="000000" w:themeColor="text1"/>
          <w:szCs w:val="21"/>
          <w:highlight w:val="none"/>
          <w14:textFill>
            <w14:solidFill>
              <w14:schemeClr w14:val="tx1"/>
            </w14:solidFill>
          </w14:textFill>
        </w:rPr>
        <w:t>全过程承包人</w:t>
      </w:r>
      <w:r>
        <w:rPr>
          <w:rFonts w:ascii="宋体" w:hAnsi="宋体" w:cs="Arial"/>
          <w:color w:val="000000" w:themeColor="text1"/>
          <w:szCs w:val="21"/>
          <w:highlight w:val="none"/>
          <w14:textFill>
            <w14:solidFill>
              <w14:schemeClr w14:val="tx1"/>
            </w14:solidFill>
          </w14:textFill>
        </w:rPr>
        <w:t>的安全生产职责</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1、认真贯彻国家安全生产的政策、法规及有关部门制定的安全生产规章制度。</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2、生产前组织编制安全生产技术措施，建立项目安全生产责任制，按规定配备专职安全员。</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3、生产前召开生产及管理人员安全生产教育会，进行安全技术交底，明确安全责任及各项安全制度。</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4、搞好</w:t>
      </w:r>
      <w:r>
        <w:rPr>
          <w:rFonts w:hint="eastAsia" w:ascii="宋体" w:hAnsi="宋体" w:cs="Arial"/>
          <w:color w:val="000000" w:themeColor="text1"/>
          <w:szCs w:val="21"/>
          <w:highlight w:val="none"/>
          <w14:textFill>
            <w14:solidFill>
              <w14:schemeClr w14:val="tx1"/>
            </w14:solidFill>
          </w14:textFill>
        </w:rPr>
        <w:t>合同</w:t>
      </w:r>
      <w:r>
        <w:rPr>
          <w:rFonts w:ascii="宋体" w:hAnsi="宋体" w:cs="Arial"/>
          <w:color w:val="000000" w:themeColor="text1"/>
          <w:szCs w:val="21"/>
          <w:highlight w:val="none"/>
          <w14:textFill>
            <w14:solidFill>
              <w14:schemeClr w14:val="tx1"/>
            </w14:solidFill>
          </w14:textFill>
        </w:rPr>
        <w:t>期的安全生产宣传教育及培训工作，坚持持证上岗制度。</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5、积极开展安全日活动，设立安全台帐，把安全生产放在重要位置。经常性开展安全生产检查工作，对发现的隐患及时整改消除，并做好记录，确保安全生产，做到文明作业。</w:t>
      </w:r>
    </w:p>
    <w:p>
      <w:pPr>
        <w:spacing w:line="400" w:lineRule="exact"/>
        <w:ind w:firstLine="420" w:firstLineChars="200"/>
        <w:rPr>
          <w:color w:val="000000" w:themeColor="text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6、作业现场设置醒目安全标志，办公室各种安全操作规程上墙，作业船上需配置规定数量救生衣、救生</w:t>
      </w:r>
      <w:r>
        <w:rPr>
          <w:color w:val="000000" w:themeColor="text1"/>
          <w:highlight w:val="none"/>
          <w14:textFill>
            <w14:solidFill>
              <w14:schemeClr w14:val="tx1"/>
            </w14:solidFill>
          </w14:textFill>
        </w:rPr>
        <w:t>圈。</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7、发生事故必须按规定及时上报，并严格按“四不放过”的原则进行处理，认真落实防范措施，杜绝同类事故的再次发生。</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8、做好各种劳动保护用品的发放工作，并确保其质量。</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9、做好各项安全工作内容的记录，并督促本项目部人员及时上报各种报表及总结资料，并对其真实性负责。</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二、奖惩措施</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发生安全生产事故除按有关部门的规定程序进行处理外，发包人将按下列标准加罚，在月承包款中扣除。</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1、发生重大或特别重大安全生产责任事故，罚款30000元，中止合同，清退出场。</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2、发生一般或较大安全生产责任事故，每次罚款3000～6000元；累加至三次，则中止合同，没收履约保证金，清退出场。</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w:t>
      </w:r>
      <w:r>
        <w:rPr>
          <w:rFonts w:ascii="宋体" w:hAnsi="宋体" w:cs="Arial"/>
          <w:color w:val="000000" w:themeColor="text1"/>
          <w:szCs w:val="21"/>
          <w:highlight w:val="none"/>
          <w14:textFill>
            <w14:solidFill>
              <w14:schemeClr w14:val="tx1"/>
            </w14:solidFill>
          </w14:textFill>
        </w:rPr>
        <w:t>安全生产事故级别按国家相关部门规定划定。</w:t>
      </w:r>
    </w:p>
    <w:p>
      <w:pPr>
        <w:spacing w:line="400" w:lineRule="exact"/>
        <w:ind w:firstLine="420" w:firstLineChars="200"/>
        <w:rPr>
          <w:rFonts w:ascii="宋体" w:hAnsi="宋体" w:cs="Arial"/>
          <w:color w:val="000000" w:themeColor="text1"/>
          <w:szCs w:val="21"/>
          <w:highlight w:val="none"/>
          <w14:textFill>
            <w14:solidFill>
              <w14:schemeClr w14:val="tx1"/>
            </w14:solidFill>
          </w14:textFill>
        </w:rPr>
      </w:pPr>
    </w:p>
    <w:p>
      <w:pPr>
        <w:pStyle w:val="10"/>
        <w:ind w:firstLine="480"/>
        <w:rPr>
          <w:color w:val="000000" w:themeColor="text1"/>
          <w:highlight w:val="none"/>
          <w14:textFill>
            <w14:solidFill>
              <w14:schemeClr w14:val="tx1"/>
            </w14:solidFill>
          </w14:textFill>
        </w:rPr>
      </w:pP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委托方：（ 盖章 ）                   </w:t>
      </w:r>
      <w:r>
        <w:rPr>
          <w:rFonts w:hint="eastAsia" w:ascii="宋体" w:hAnsi="宋体" w:cs="Arial"/>
          <w:color w:val="000000" w:themeColor="text1"/>
          <w:szCs w:val="21"/>
          <w:highlight w:val="none"/>
          <w14:textFill>
            <w14:solidFill>
              <w14:schemeClr w14:val="tx1"/>
            </w14:solidFill>
          </w14:textFill>
        </w:rPr>
        <w:t>全过程承包人</w:t>
      </w:r>
      <w:r>
        <w:rPr>
          <w:rFonts w:hint="eastAsia"/>
          <w:color w:val="000000" w:themeColor="text1"/>
          <w:highlight w:val="none"/>
          <w14:textFill>
            <w14:solidFill>
              <w14:schemeClr w14:val="tx1"/>
            </w14:solidFill>
          </w14:textFill>
        </w:rPr>
        <w:t xml:space="preserve">：（ 盖章 ） </w:t>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绍兴市曹娥江大闸投资                 </w:t>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开发有限公司                         </w:t>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法定代表人（或委托代理人）：          法定代表人（或委托代理人）： </w:t>
      </w:r>
    </w:p>
    <w:p>
      <w:pPr>
        <w:ind w:firstLine="480"/>
        <w:rPr>
          <w:color w:val="000000" w:themeColor="text1"/>
          <w:highlight w:val="none"/>
          <w14:textFill>
            <w14:solidFill>
              <w14:schemeClr w14:val="tx1"/>
            </w14:solidFill>
          </w14:textFill>
        </w:rPr>
      </w:pP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签订日期：      年     月    日</w:t>
      </w:r>
    </w:p>
    <w:p>
      <w:pPr>
        <w:tabs>
          <w:tab w:val="left" w:pos="4702"/>
          <w:tab w:val="left" w:pos="6142"/>
          <w:tab w:val="left" w:pos="7582"/>
          <w:tab w:val="left" w:pos="8224"/>
        </w:tabs>
        <w:ind w:firstLine="174" w:firstLineChars="62"/>
        <w:rPr>
          <w:rFonts w:eastAsia="仿宋"/>
          <w:b/>
          <w:color w:val="000000" w:themeColor="text1"/>
          <w:kern w:val="0"/>
          <w:sz w:val="28"/>
          <w:szCs w:val="28"/>
          <w:highlight w:val="none"/>
          <w14:textFill>
            <w14:solidFill>
              <w14:schemeClr w14:val="tx1"/>
            </w14:solidFill>
          </w14:textFill>
        </w:rPr>
      </w:pPr>
      <w:r>
        <w:rPr>
          <w:rFonts w:eastAsia="仿宋"/>
          <w:b/>
          <w:color w:val="000000" w:themeColor="text1"/>
          <w:kern w:val="0"/>
          <w:sz w:val="28"/>
          <w:szCs w:val="28"/>
          <w:highlight w:val="none"/>
          <w14:textFill>
            <w14:solidFill>
              <w14:schemeClr w14:val="tx1"/>
            </w14:solidFill>
          </w14:textFill>
        </w:rPr>
        <w:br w:type="page"/>
      </w:r>
    </w:p>
    <w:p>
      <w:pPr>
        <w:tabs>
          <w:tab w:val="left" w:pos="6510"/>
        </w:tabs>
        <w:spacing w:line="460" w:lineRule="exact"/>
        <w:jc w:val="center"/>
        <w:rPr>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廉政责任书</w:t>
      </w:r>
    </w:p>
    <w:p>
      <w:pPr>
        <w:tabs>
          <w:tab w:val="left" w:pos="6510"/>
        </w:tabs>
        <w:spacing w:line="400" w:lineRule="atLeast"/>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双方的责任</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（一）应严格遵守国家关于市场准入、项目招标投标、工程建设、勘察设计和市场活动的有关法律、法规，相关政策，以及廉政建设的各项规定。</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（二）严格执行建设工程项目设计及勘察合同文件，自觉按合同办事。</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（三）业务活动必须坚持公开、公平、公正、诚信、透明的原则（除法律法规另有规定者外），不得为获取不正当的利益，损害国家、集体和对方利益，不得违反工程建设管理、勘察设计的规章制度。</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（四）发现对方在业务活动中有违规、违纪、违法行为的应及时提醒对方，情节严重的应向其上级主管部门或纪检监察、司法等有关机关举报。</w:t>
      </w:r>
    </w:p>
    <w:p>
      <w:pPr>
        <w:tabs>
          <w:tab w:val="left" w:pos="6510"/>
        </w:tabs>
        <w:spacing w:line="400" w:lineRule="atLeast"/>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w:t>
      </w:r>
      <w:r>
        <w:rPr>
          <w:rFonts w:hint="eastAsia"/>
          <w:b/>
          <w:color w:val="000000" w:themeColor="text1"/>
          <w:highlight w:val="none"/>
          <w14:textFill>
            <w14:solidFill>
              <w14:schemeClr w14:val="tx1"/>
            </w14:solidFill>
          </w14:textFill>
        </w:rPr>
        <w:t>、委托方</w:t>
      </w:r>
      <w:r>
        <w:rPr>
          <w:b/>
          <w:color w:val="000000" w:themeColor="text1"/>
          <w:highlight w:val="none"/>
          <w14:textFill>
            <w14:solidFill>
              <w14:schemeClr w14:val="tx1"/>
            </w14:solidFill>
          </w14:textFill>
        </w:rPr>
        <w:t>的责任</w:t>
      </w:r>
    </w:p>
    <w:p>
      <w:pPr>
        <w:spacing w:line="40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委托方</w:t>
      </w:r>
      <w:r>
        <w:rPr>
          <w:color w:val="000000" w:themeColor="text1"/>
          <w:highlight w:val="none"/>
          <w14:textFill>
            <w14:solidFill>
              <w14:schemeClr w14:val="tx1"/>
            </w14:solidFill>
          </w14:textFill>
        </w:rPr>
        <w:t>的领导和从事该建设工程项目的工作人员，在工程建设的事前、事中、事后就遵守以下规定：</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（一）不准向</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和相关单位索要或接受回扣、礼金、有价证券、贵重物品和好处费、感谢费等。</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（二）不准在</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和相关单位报销任何应由发包方或个人支付的费用。</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（三）不准要求、暗示或接受</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和相关单位为个人装修住房、婚丧嫁娶、配偶子女的工作安排以及出国（境）、旅游等提供方便。</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（四）不准参加有可能影响公正执行公务的</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和相关单位的宴请、健身、娱乐等活动。</w:t>
      </w:r>
    </w:p>
    <w:p>
      <w:pPr>
        <w:spacing w:line="400" w:lineRule="atLeas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（五）不准向</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和相关单位介绍或为配偶、子女、亲属参与同</w:t>
      </w:r>
      <w:r>
        <w:rPr>
          <w:rFonts w:hint="eastAsia"/>
          <w:color w:val="000000" w:themeColor="text1"/>
          <w:highlight w:val="none"/>
          <w14:textFill>
            <w14:solidFill>
              <w14:schemeClr w14:val="tx1"/>
            </w14:solidFill>
          </w14:textFill>
        </w:rPr>
        <w:t>委托方全过程工程咨询</w:t>
      </w:r>
      <w:r>
        <w:rPr>
          <w:color w:val="000000" w:themeColor="text1"/>
          <w:highlight w:val="none"/>
          <w14:textFill>
            <w14:solidFill>
              <w14:schemeClr w14:val="tx1"/>
            </w14:solidFill>
          </w14:textFill>
        </w:rPr>
        <w:t>合同有关的勘察设计业务等活动。不得以任何理由要求</w:t>
      </w:r>
      <w:r>
        <w:rPr>
          <w:rFonts w:hint="eastAsia"/>
          <w:color w:val="000000" w:themeColor="text1"/>
          <w:highlight w:val="none"/>
          <w14:textFill>
            <w14:solidFill>
              <w14:schemeClr w14:val="tx1"/>
            </w14:solidFill>
          </w14:textFill>
        </w:rPr>
        <w:t>全过程承包人</w:t>
      </w:r>
      <w:r>
        <w:rPr>
          <w:color w:val="000000" w:themeColor="text1"/>
          <w:highlight w:val="none"/>
          <w14:textFill>
            <w14:solidFill>
              <w14:schemeClr w14:val="tx1"/>
            </w14:solidFill>
          </w14:textFill>
        </w:rPr>
        <w:t>和相关单位在设计中使用某种产品、材料和设备。</w:t>
      </w:r>
    </w:p>
    <w:p>
      <w:pPr>
        <w:tabs>
          <w:tab w:val="left" w:pos="6510"/>
        </w:tabs>
        <w:spacing w:line="400" w:lineRule="atLeast"/>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、全过程承包人</w:t>
      </w:r>
      <w:r>
        <w:rPr>
          <w:b/>
          <w:color w:val="000000" w:themeColor="text1"/>
          <w:highlight w:val="none"/>
          <w14:textFill>
            <w14:solidFill>
              <w14:schemeClr w14:val="tx1"/>
            </w14:solidFill>
          </w14:textFill>
        </w:rPr>
        <w:t>的责任</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应与</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保持正常的业务交往，按照有关法律法规和程序开展业务工作，严格执行工程建设的有关方针、政策，尤其是有关勘察设计的强制性标准和规范，并遵守以下规定：</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（一）不准以任何理由向</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及其工作人员索要、接受或赠送礼金、有价证券、贵重物品及回扣、好处费、感谢费等；</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（二）不准以任何理由为</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和相关单位报销应由对方或个人支付的费用。</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（三）不准接受或暗示为</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、相关单位或个人装修住房、婚丧嫁娶、配偶子女的工作安排以及出国（境）、旅游等提供方便。</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（四）不准以任何理由为</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、相关单位或个人组织有可能影响公下执行公务的宴请、健身、娱乐等活动。</w:t>
      </w:r>
    </w:p>
    <w:p>
      <w:pPr>
        <w:tabs>
          <w:tab w:val="left" w:pos="6510"/>
        </w:tabs>
        <w:spacing w:line="400" w:lineRule="atLeast"/>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违约责任</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（一）</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工作人员有违反责任书第一、二条责任行为的，按照管理权限，依据有关法律法规和规定给予党纪、政纪处分或组织处理；涉嫌犯罪的，移交司法机关追究刑事责任；给</w:t>
      </w:r>
      <w:r>
        <w:rPr>
          <w:rFonts w:hint="eastAsia"/>
          <w:bCs/>
          <w:color w:val="000000" w:themeColor="text1"/>
          <w:highlight w:val="none"/>
          <w14:textFill>
            <w14:solidFill>
              <w14:schemeClr w14:val="tx1"/>
            </w14:solidFill>
          </w14:textFill>
        </w:rPr>
        <w:t>全过程承包人</w:t>
      </w:r>
      <w:r>
        <w:rPr>
          <w:bCs/>
          <w:color w:val="000000" w:themeColor="text1"/>
          <w:highlight w:val="none"/>
          <w14:textFill>
            <w14:solidFill>
              <w14:schemeClr w14:val="tx1"/>
            </w14:solidFill>
          </w14:textFill>
        </w:rPr>
        <w:t>单位造成经济损失的，应予以赔偿。</w:t>
      </w:r>
    </w:p>
    <w:p>
      <w:pPr>
        <w:tabs>
          <w:tab w:val="left" w:pos="6510"/>
        </w:tabs>
        <w:spacing w:line="400" w:lineRule="atLeast"/>
        <w:ind w:firstLine="482"/>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（二）</w:t>
      </w:r>
      <w:r>
        <w:rPr>
          <w:rFonts w:hint="eastAsia"/>
          <w:bCs/>
          <w:color w:val="000000" w:themeColor="text1"/>
          <w:highlight w:val="none"/>
          <w14:textFill>
            <w14:solidFill>
              <w14:schemeClr w14:val="tx1"/>
            </w14:solidFill>
          </w14:textFill>
        </w:rPr>
        <w:t>全过程承包人</w:t>
      </w:r>
      <w:r>
        <w:rPr>
          <w:bCs/>
          <w:color w:val="000000" w:themeColor="text1"/>
          <w:highlight w:val="none"/>
          <w14:textFill>
            <w14:solidFill>
              <w14:schemeClr w14:val="tx1"/>
            </w14:solidFill>
          </w14:textFill>
        </w:rPr>
        <w:t>工作人员有违反本责任书第一、三条责任行为的，按照管理权限，依据有关法律法规和规定给予党纪、政纪处分或组织处理；涉嫌犯罪的，移交司法机关追究刑事责任；给</w:t>
      </w:r>
      <w:r>
        <w:rPr>
          <w:rFonts w:hint="eastAsia"/>
          <w:bCs/>
          <w:color w:val="000000" w:themeColor="text1"/>
          <w:highlight w:val="none"/>
          <w14:textFill>
            <w14:solidFill>
              <w14:schemeClr w14:val="tx1"/>
            </w14:solidFill>
          </w14:textFill>
        </w:rPr>
        <w:t>委托方</w:t>
      </w:r>
      <w:r>
        <w:rPr>
          <w:bCs/>
          <w:color w:val="000000" w:themeColor="text1"/>
          <w:highlight w:val="none"/>
          <w14:textFill>
            <w14:solidFill>
              <w14:schemeClr w14:val="tx1"/>
            </w14:solidFill>
          </w14:textFill>
        </w:rPr>
        <w:t>单位造成经济损失的，应予以赔偿；</w:t>
      </w:r>
    </w:p>
    <w:p>
      <w:pPr>
        <w:tabs>
          <w:tab w:val="left" w:pos="6510"/>
        </w:tabs>
        <w:spacing w:line="400" w:lineRule="atLeast"/>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五</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本责任书作为</w:t>
      </w:r>
      <w:r>
        <w:rPr>
          <w:rFonts w:hint="eastAsia"/>
          <w:b/>
          <w:color w:val="000000" w:themeColor="text1"/>
          <w:highlight w:val="none"/>
          <w14:textFill>
            <w14:solidFill>
              <w14:schemeClr w14:val="tx1"/>
            </w14:solidFill>
          </w14:textFill>
        </w:rPr>
        <w:t>全过程工程咨询</w:t>
      </w:r>
      <w:r>
        <w:rPr>
          <w:b/>
          <w:color w:val="000000" w:themeColor="text1"/>
          <w:highlight w:val="none"/>
          <w14:textFill>
            <w14:solidFill>
              <w14:schemeClr w14:val="tx1"/>
            </w14:solidFill>
          </w14:textFill>
        </w:rPr>
        <w:t>合同的附件，与</w:t>
      </w:r>
      <w:r>
        <w:rPr>
          <w:rFonts w:hint="eastAsia"/>
          <w:b/>
          <w:color w:val="000000" w:themeColor="text1"/>
          <w:highlight w:val="none"/>
          <w14:textFill>
            <w14:solidFill>
              <w14:schemeClr w14:val="tx1"/>
            </w14:solidFill>
          </w14:textFill>
        </w:rPr>
        <w:t>全过程工程咨询</w:t>
      </w:r>
      <w:r>
        <w:rPr>
          <w:b/>
          <w:color w:val="000000" w:themeColor="text1"/>
          <w:highlight w:val="none"/>
          <w14:textFill>
            <w14:solidFill>
              <w14:schemeClr w14:val="tx1"/>
            </w14:solidFill>
          </w14:textFill>
        </w:rPr>
        <w:t>合同具有同等法律效力。</w:t>
      </w:r>
    </w:p>
    <w:p>
      <w:pPr>
        <w:tabs>
          <w:tab w:val="left" w:pos="6510"/>
        </w:tabs>
        <w:spacing w:line="400" w:lineRule="atLeast"/>
        <w:ind w:firstLine="48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六、本责任书经双方签署后立即生效，有效期为双方签署之日起至本项目完结且项目款结清时止。</w:t>
      </w:r>
    </w:p>
    <w:p>
      <w:pPr>
        <w:tabs>
          <w:tab w:val="left" w:pos="6510"/>
        </w:tabs>
        <w:spacing w:line="400" w:lineRule="atLeast"/>
        <w:ind w:firstLine="482"/>
        <w:rPr>
          <w:bCs/>
          <w:color w:val="000000" w:themeColor="text1"/>
          <w:highlight w:val="none"/>
          <w14:textFill>
            <w14:solidFill>
              <w14:schemeClr w14:val="tx1"/>
            </w14:solidFill>
          </w14:textFill>
        </w:rPr>
      </w:pPr>
    </w:p>
    <w:p>
      <w:pPr>
        <w:tabs>
          <w:tab w:val="left" w:pos="6510"/>
        </w:tabs>
        <w:spacing w:line="400" w:lineRule="atLeast"/>
        <w:ind w:firstLine="482"/>
        <w:rPr>
          <w:bCs/>
          <w:color w:val="000000" w:themeColor="text1"/>
          <w:highlight w:val="none"/>
          <w14:textFill>
            <w14:solidFill>
              <w14:schemeClr w14:val="tx1"/>
            </w14:solidFill>
          </w14:textFill>
        </w:rPr>
      </w:pPr>
    </w:p>
    <w:p>
      <w:pPr>
        <w:adjustRightInd w:val="0"/>
        <w:snapToGrid w:val="0"/>
        <w:spacing w:line="360" w:lineRule="auto"/>
        <w:ind w:firstLine="882" w:firstLineChars="420"/>
        <w:rPr>
          <w:rFonts w:eastAsiaTheme="minorEastAsia"/>
          <w:color w:val="000000" w:themeColor="text1"/>
          <w:kern w:val="0"/>
          <w:szCs w:val="22"/>
          <w:highlight w:val="none"/>
          <w14:textFill>
            <w14:solidFill>
              <w14:schemeClr w14:val="tx1"/>
            </w14:solidFill>
          </w14:textFill>
        </w:rPr>
      </w:pPr>
      <w:r>
        <w:rPr>
          <w:rFonts w:hint="eastAsia"/>
          <w:color w:val="000000" w:themeColor="text1"/>
          <w:kern w:val="0"/>
          <w:szCs w:val="22"/>
          <w:highlight w:val="none"/>
          <w14:textFill>
            <w14:solidFill>
              <w14:schemeClr w14:val="tx1"/>
            </w14:solidFill>
          </w14:textFill>
        </w:rPr>
        <w:t>委托方</w:t>
      </w:r>
      <w:r>
        <w:rPr>
          <w:color w:val="000000" w:themeColor="text1"/>
          <w:kern w:val="0"/>
          <w:szCs w:val="22"/>
          <w:highlight w:val="none"/>
          <w14:textFill>
            <w14:solidFill>
              <w14:schemeClr w14:val="tx1"/>
            </w14:solidFill>
          </w14:textFill>
        </w:rPr>
        <w:t>：（</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盖章</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w:t>
      </w:r>
      <w:r>
        <w:rPr>
          <w:rFonts w:eastAsia="Calibri"/>
          <w:color w:val="000000" w:themeColor="text1"/>
          <w:kern w:val="0"/>
          <w:szCs w:val="22"/>
          <w:highlight w:val="none"/>
          <w14:textFill>
            <w14:solidFill>
              <w14:schemeClr w14:val="tx1"/>
            </w14:solidFill>
          </w14:textFill>
        </w:rPr>
        <w:t xml:space="preserve">      </w:t>
      </w:r>
      <w:r>
        <w:rPr>
          <w:rFonts w:eastAsiaTheme="minorEastAsia"/>
          <w:color w:val="000000" w:themeColor="text1"/>
          <w:kern w:val="0"/>
          <w:szCs w:val="22"/>
          <w:highlight w:val="none"/>
          <w14:textFill>
            <w14:solidFill>
              <w14:schemeClr w14:val="tx1"/>
            </w14:solidFill>
          </w14:textFill>
        </w:rPr>
        <w:t xml:space="preserve">      </w:t>
      </w:r>
      <w:r>
        <w:rPr>
          <w:rFonts w:eastAsia="Calibri"/>
          <w:color w:val="000000" w:themeColor="text1"/>
          <w:kern w:val="0"/>
          <w:szCs w:val="22"/>
          <w:highlight w:val="none"/>
          <w14:textFill>
            <w14:solidFill>
              <w14:schemeClr w14:val="tx1"/>
            </w14:solidFill>
          </w14:textFill>
        </w:rPr>
        <w:t xml:space="preserve">   </w:t>
      </w:r>
      <w:r>
        <w:rPr>
          <w:rFonts w:eastAsiaTheme="minorEastAsia"/>
          <w:color w:val="000000" w:themeColor="text1"/>
          <w:kern w:val="0"/>
          <w:szCs w:val="22"/>
          <w:highlight w:val="none"/>
          <w14:textFill>
            <w14:solidFill>
              <w14:schemeClr w14:val="tx1"/>
            </w14:solidFill>
          </w14:textFill>
        </w:rPr>
        <w:t xml:space="preserve">  </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 xml:space="preserve">  </w:t>
      </w:r>
      <w:r>
        <w:rPr>
          <w:rFonts w:hint="eastAsia"/>
          <w:color w:val="000000" w:themeColor="text1"/>
          <w:kern w:val="0"/>
          <w:szCs w:val="22"/>
          <w:highlight w:val="none"/>
          <w14:textFill>
            <w14:solidFill>
              <w14:schemeClr w14:val="tx1"/>
            </w14:solidFill>
          </w14:textFill>
        </w:rPr>
        <w:t>全过程承包人</w:t>
      </w:r>
      <w:r>
        <w:rPr>
          <w:color w:val="000000" w:themeColor="text1"/>
          <w:kern w:val="0"/>
          <w:szCs w:val="22"/>
          <w:highlight w:val="none"/>
          <w14:textFill>
            <w14:solidFill>
              <w14:schemeClr w14:val="tx1"/>
            </w14:solidFill>
          </w14:textFill>
        </w:rPr>
        <w:t>：（</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盖章</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w:t>
      </w:r>
      <w:r>
        <w:rPr>
          <w:rFonts w:eastAsia="Calibri"/>
          <w:color w:val="000000" w:themeColor="text1"/>
          <w:kern w:val="0"/>
          <w:szCs w:val="22"/>
          <w:highlight w:val="none"/>
          <w14:textFill>
            <w14:solidFill>
              <w14:schemeClr w14:val="tx1"/>
            </w14:solidFill>
          </w14:textFill>
        </w:rPr>
        <w:t xml:space="preserve"> </w:t>
      </w:r>
    </w:p>
    <w:p>
      <w:pPr>
        <w:adjustRightInd w:val="0"/>
        <w:snapToGrid w:val="0"/>
        <w:spacing w:line="360" w:lineRule="auto"/>
        <w:ind w:left="17" w:leftChars="8" w:firstLine="885" w:firstLineChars="420"/>
        <w:rPr>
          <w:rFonts w:eastAsiaTheme="minorEastAsia"/>
          <w:b/>
          <w:bCs/>
          <w:color w:val="000000" w:themeColor="text1"/>
          <w:kern w:val="0"/>
          <w:szCs w:val="22"/>
          <w:highlight w:val="none"/>
          <w14:textFill>
            <w14:solidFill>
              <w14:schemeClr w14:val="tx1"/>
            </w14:solidFill>
          </w14:textFill>
        </w:rPr>
      </w:pPr>
      <w:r>
        <w:rPr>
          <w:rFonts w:hint="eastAsia" w:eastAsiaTheme="minorEastAsia"/>
          <w:b/>
          <w:bCs/>
          <w:color w:val="000000" w:themeColor="text1"/>
          <w:kern w:val="0"/>
          <w:szCs w:val="22"/>
          <w:highlight w:val="none"/>
          <w14:textFill>
            <w14:solidFill>
              <w14:schemeClr w14:val="tx1"/>
            </w14:solidFill>
          </w14:textFill>
        </w:rPr>
        <w:t>绍兴市曹娥江大闸投资</w:t>
      </w:r>
      <w:r>
        <w:rPr>
          <w:rFonts w:eastAsiaTheme="minorEastAsia"/>
          <w:b/>
          <w:bCs/>
          <w:color w:val="000000" w:themeColor="text1"/>
          <w:kern w:val="0"/>
          <w:szCs w:val="22"/>
          <w:highlight w:val="none"/>
          <w14:textFill>
            <w14:solidFill>
              <w14:schemeClr w14:val="tx1"/>
            </w14:solidFill>
          </w14:textFill>
        </w:rPr>
        <w:t xml:space="preserve">                  </w:t>
      </w:r>
    </w:p>
    <w:p>
      <w:pPr>
        <w:adjustRightInd w:val="0"/>
        <w:snapToGrid w:val="0"/>
        <w:spacing w:line="360" w:lineRule="auto"/>
        <w:ind w:left="17" w:leftChars="8" w:firstLine="885" w:firstLineChars="420"/>
        <w:rPr>
          <w:rFonts w:eastAsiaTheme="minorEastAsia"/>
          <w:b/>
          <w:color w:val="000000" w:themeColor="text1"/>
          <w:kern w:val="0"/>
          <w:szCs w:val="22"/>
          <w:highlight w:val="none"/>
          <w14:textFill>
            <w14:solidFill>
              <w14:schemeClr w14:val="tx1"/>
            </w14:solidFill>
          </w14:textFill>
        </w:rPr>
      </w:pPr>
      <w:r>
        <w:rPr>
          <w:rFonts w:hint="eastAsia" w:eastAsiaTheme="minorEastAsia"/>
          <w:b/>
          <w:bCs/>
          <w:color w:val="000000" w:themeColor="text1"/>
          <w:kern w:val="0"/>
          <w:szCs w:val="22"/>
          <w:highlight w:val="none"/>
          <w14:textFill>
            <w14:solidFill>
              <w14:schemeClr w14:val="tx1"/>
            </w14:solidFill>
          </w14:textFill>
        </w:rPr>
        <w:t xml:space="preserve">开发有限公司 </w:t>
      </w:r>
      <w:r>
        <w:rPr>
          <w:rFonts w:eastAsiaTheme="minorEastAsia"/>
          <w:b/>
          <w:bCs/>
          <w:color w:val="000000" w:themeColor="text1"/>
          <w:kern w:val="0"/>
          <w:szCs w:val="22"/>
          <w:highlight w:val="none"/>
          <w14:textFill>
            <w14:solidFill>
              <w14:schemeClr w14:val="tx1"/>
            </w14:solidFill>
          </w14:textFill>
        </w:rPr>
        <w:t xml:space="preserve">  </w:t>
      </w:r>
      <w:r>
        <w:rPr>
          <w:rFonts w:eastAsiaTheme="minorEastAsia"/>
          <w:b/>
          <w:color w:val="000000" w:themeColor="text1"/>
          <w:kern w:val="0"/>
          <w:szCs w:val="22"/>
          <w:highlight w:val="none"/>
          <w14:textFill>
            <w14:solidFill>
              <w14:schemeClr w14:val="tx1"/>
            </w14:solidFill>
          </w14:textFill>
        </w:rPr>
        <w:t xml:space="preserve">                      </w:t>
      </w:r>
    </w:p>
    <w:p>
      <w:pPr>
        <w:adjustRightInd w:val="0"/>
        <w:snapToGrid w:val="0"/>
        <w:spacing w:line="360" w:lineRule="auto"/>
        <w:ind w:firstLine="882" w:firstLineChars="420"/>
        <w:rPr>
          <w:rFonts w:eastAsia="Calibri"/>
          <w:color w:val="000000" w:themeColor="text1"/>
          <w:kern w:val="0"/>
          <w:szCs w:val="22"/>
          <w:highlight w:val="none"/>
          <w14:textFill>
            <w14:solidFill>
              <w14:schemeClr w14:val="tx1"/>
            </w14:solidFill>
          </w14:textFill>
        </w:rPr>
      </w:pPr>
      <w:r>
        <w:rPr>
          <w:color w:val="000000" w:themeColor="text1"/>
          <w:kern w:val="0"/>
          <w:szCs w:val="22"/>
          <w:highlight w:val="none"/>
          <w14:textFill>
            <w14:solidFill>
              <w14:schemeClr w14:val="tx1"/>
            </w14:solidFill>
          </w14:textFill>
        </w:rPr>
        <w:t xml:space="preserve">法定代表人（或委托代理人）：   </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 xml:space="preserve">      法定代表人（或委托代理人）：</w:t>
      </w:r>
      <w:r>
        <w:rPr>
          <w:rFonts w:eastAsia="Calibri"/>
          <w:color w:val="000000" w:themeColor="text1"/>
          <w:kern w:val="0"/>
          <w:szCs w:val="22"/>
          <w:highlight w:val="none"/>
          <w14:textFill>
            <w14:solidFill>
              <w14:schemeClr w14:val="tx1"/>
            </w14:solidFill>
          </w14:textFill>
        </w:rPr>
        <w:t xml:space="preserve"> </w:t>
      </w:r>
    </w:p>
    <w:p>
      <w:pPr>
        <w:tabs>
          <w:tab w:val="left" w:pos="4702"/>
          <w:tab w:val="left" w:pos="6142"/>
          <w:tab w:val="left" w:pos="7582"/>
          <w:tab w:val="left" w:pos="8224"/>
        </w:tabs>
        <w:spacing w:before="60" w:after="60" w:line="360" w:lineRule="auto"/>
        <w:ind w:firstLine="840" w:firstLineChars="400"/>
        <w:rPr>
          <w:color w:val="000000" w:themeColor="text1"/>
          <w:spacing w:val="-1"/>
          <w:kern w:val="0"/>
          <w:szCs w:val="22"/>
          <w:highlight w:val="none"/>
          <w14:textFill>
            <w14:solidFill>
              <w14:schemeClr w14:val="tx1"/>
            </w14:solidFill>
          </w14:textFill>
        </w:rPr>
      </w:pPr>
      <w:r>
        <w:rPr>
          <w:color w:val="000000" w:themeColor="text1"/>
          <w:kern w:val="0"/>
          <w:szCs w:val="22"/>
          <w:highlight w:val="none"/>
          <w14:textFill>
            <w14:solidFill>
              <w14:schemeClr w14:val="tx1"/>
            </w14:solidFill>
          </w14:textFill>
        </w:rPr>
        <w:t>签订日期：</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 xml:space="preserve">     年   </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月</w:t>
      </w:r>
      <w:r>
        <w:rPr>
          <w:rFonts w:eastAsia="Calibri"/>
          <w:color w:val="000000" w:themeColor="text1"/>
          <w:kern w:val="0"/>
          <w:szCs w:val="22"/>
          <w:highlight w:val="none"/>
          <w14:textFill>
            <w14:solidFill>
              <w14:schemeClr w14:val="tx1"/>
            </w14:solidFill>
          </w14:textFill>
        </w:rPr>
        <w:t xml:space="preserve"> </w:t>
      </w:r>
      <w:r>
        <w:rPr>
          <w:color w:val="000000" w:themeColor="text1"/>
          <w:kern w:val="0"/>
          <w:szCs w:val="22"/>
          <w:highlight w:val="none"/>
          <w14:textFill>
            <w14:solidFill>
              <w14:schemeClr w14:val="tx1"/>
            </w14:solidFill>
          </w14:textFill>
        </w:rPr>
        <w:t xml:space="preserve">   日</w:t>
      </w:r>
    </w:p>
    <w:p>
      <w:pPr>
        <w:adjustRightInd w:val="0"/>
        <w:snapToGrid w:val="0"/>
        <w:spacing w:before="60" w:after="60" w:line="360" w:lineRule="auto"/>
        <w:ind w:left="17" w:leftChars="8" w:right="65" w:rightChars="31"/>
        <w:rPr>
          <w:rFonts w:eastAsia="Calibri"/>
          <w:color w:val="000000" w:themeColor="text1"/>
          <w:kern w:val="0"/>
          <w:szCs w:val="22"/>
          <w:highlight w:val="none"/>
          <w14:textFill>
            <w14:solidFill>
              <w14:schemeClr w14:val="tx1"/>
            </w14:solidFill>
          </w14:textFill>
        </w:rPr>
      </w:pPr>
    </w:p>
    <w:p>
      <w:pPr>
        <w:pStyle w:val="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spacing w:line="600" w:lineRule="exact"/>
        <w:jc w:val="center"/>
        <w:rPr>
          <w:rFonts w:ascii="宋体" w:hAnsi="宋体" w:cs="Arial"/>
          <w:bCs/>
          <w:color w:val="000000" w:themeColor="text1"/>
          <w:sz w:val="24"/>
          <w:highlight w:val="none"/>
          <w14:textFill>
            <w14:solidFill>
              <w14:schemeClr w14:val="tx1"/>
            </w14:solidFill>
          </w14:textFill>
        </w:rPr>
      </w:pPr>
      <w:r>
        <w:rPr>
          <w:rFonts w:hint="eastAsia" w:ascii="宋体" w:hAnsi="宋体"/>
          <w:color w:val="000000" w:themeColor="text1"/>
          <w:kern w:val="16"/>
          <w:position w:val="6"/>
          <w:sz w:val="44"/>
          <w:szCs w:val="44"/>
          <w:highlight w:val="none"/>
          <w14:textFill>
            <w14:solidFill>
              <w14:schemeClr w14:val="tx1"/>
            </w14:solidFill>
          </w14:textFill>
        </w:rPr>
        <w:t>第四章  技术规范及设计文件</w:t>
      </w:r>
      <w:r>
        <w:rPr>
          <w:rFonts w:hint="eastAsia" w:ascii="宋体" w:hAnsi="宋体"/>
          <w:color w:val="000000" w:themeColor="text1"/>
          <w:highlight w:val="none"/>
          <w14:textFill>
            <w14:solidFill>
              <w14:schemeClr w14:val="tx1"/>
            </w14:solidFill>
          </w14:textFill>
        </w:rPr>
        <w:t xml:space="preserve"> </w:t>
      </w:r>
    </w:p>
    <w:p>
      <w:pPr>
        <w:spacing w:line="360" w:lineRule="auto"/>
        <w:jc w:val="center"/>
        <w:rPr>
          <w:rFonts w:ascii="宋体" w:hAnsi="宋体" w:cs="Arial"/>
          <w:b/>
          <w:color w:val="000000" w:themeColor="text1"/>
          <w:sz w:val="32"/>
          <w:szCs w:val="32"/>
          <w:highlight w:val="none"/>
          <w14:textFill>
            <w14:solidFill>
              <w14:schemeClr w14:val="tx1"/>
            </w14:solidFill>
          </w14:textFill>
        </w:rPr>
      </w:pPr>
      <w:r>
        <w:rPr>
          <w:rFonts w:hint="eastAsia" w:ascii="宋体" w:hAnsi="宋体" w:cs="Arial"/>
          <w:b/>
          <w:color w:val="000000" w:themeColor="text1"/>
          <w:sz w:val="32"/>
          <w:szCs w:val="32"/>
          <w:highlight w:val="none"/>
          <w14:textFill>
            <w14:solidFill>
              <w14:schemeClr w14:val="tx1"/>
            </w14:solidFill>
          </w14:textFill>
        </w:rPr>
        <w:t>全过程工程咨询服务人员要求</w:t>
      </w:r>
    </w:p>
    <w:p>
      <w:pPr>
        <w:spacing w:line="360" w:lineRule="auto"/>
        <w:ind w:firstLine="480"/>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1.人员最低需求</w:t>
      </w:r>
    </w:p>
    <w:tbl>
      <w:tblPr>
        <w:tblStyle w:val="22"/>
        <w:tblW w:w="909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81"/>
        <w:gridCol w:w="1182"/>
        <w:gridCol w:w="1095"/>
        <w:gridCol w:w="3288"/>
        <w:gridCol w:w="2350"/>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2363" w:type="dxa"/>
            <w:gridSpan w:val="2"/>
            <w:tcBorders>
              <w:top w:val="single" w:color="000000" w:sz="12" w:space="0"/>
              <w:left w:val="single" w:color="000000" w:sz="12"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岗位</w:t>
            </w:r>
          </w:p>
        </w:tc>
        <w:tc>
          <w:tcPr>
            <w:tcW w:w="1095" w:type="dxa"/>
            <w:tcBorders>
              <w:top w:val="single" w:color="000000" w:sz="12" w:space="0"/>
              <w:left w:val="single" w:color="000000" w:sz="4" w:space="0"/>
              <w:bottom w:val="single" w:color="000000" w:sz="4" w:space="0"/>
              <w:right w:val="single" w:color="000000" w:sz="4" w:space="0"/>
            </w:tcBorders>
            <w:vAlign w:val="center"/>
          </w:tcPr>
          <w:p>
            <w:pPr>
              <w:pStyle w:val="67"/>
              <w:spacing w:line="400" w:lineRule="exact"/>
              <w:ind w:left="-107" w:leftChars="-51" w:right="-107"/>
              <w:jc w:val="center"/>
              <w:rPr>
                <w:rStyle w:val="52"/>
                <w:color w:val="auto"/>
                <w:szCs w:val="21"/>
                <w:highlight w:val="none"/>
              </w:rPr>
            </w:pPr>
            <w:r>
              <w:rPr>
                <w:rStyle w:val="52"/>
                <w:color w:val="auto"/>
                <w:szCs w:val="21"/>
                <w:highlight w:val="none"/>
              </w:rPr>
              <w:t>人数</w:t>
            </w:r>
          </w:p>
          <w:p>
            <w:pPr>
              <w:pStyle w:val="67"/>
              <w:spacing w:line="400" w:lineRule="exact"/>
              <w:ind w:left="-107" w:leftChars="-51" w:right="-107"/>
              <w:jc w:val="center"/>
              <w:rPr>
                <w:rStyle w:val="52"/>
                <w:color w:val="auto"/>
                <w:szCs w:val="21"/>
                <w:highlight w:val="none"/>
              </w:rPr>
            </w:pPr>
            <w:r>
              <w:rPr>
                <w:rStyle w:val="52"/>
                <w:color w:val="auto"/>
                <w:szCs w:val="21"/>
                <w:highlight w:val="none"/>
              </w:rPr>
              <w:t>（不少于）</w:t>
            </w:r>
          </w:p>
        </w:tc>
        <w:tc>
          <w:tcPr>
            <w:tcW w:w="3288" w:type="dxa"/>
            <w:tcBorders>
              <w:top w:val="single" w:color="000000" w:sz="12" w:space="0"/>
              <w:left w:val="single" w:color="000000" w:sz="4"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资历要求</w:t>
            </w:r>
          </w:p>
        </w:tc>
        <w:tc>
          <w:tcPr>
            <w:tcW w:w="2350" w:type="dxa"/>
            <w:tcBorders>
              <w:top w:val="single" w:color="000000" w:sz="12" w:space="0"/>
              <w:left w:val="single" w:color="000000" w:sz="4" w:space="0"/>
              <w:bottom w:val="single" w:color="000000" w:sz="4" w:space="0"/>
              <w:right w:val="single" w:color="000000" w:sz="12" w:space="0"/>
            </w:tcBorders>
            <w:vAlign w:val="center"/>
          </w:tcPr>
          <w:p>
            <w:pPr>
              <w:pStyle w:val="67"/>
              <w:spacing w:line="400" w:lineRule="exact"/>
              <w:jc w:val="center"/>
              <w:rPr>
                <w:rStyle w:val="52"/>
                <w:color w:val="auto"/>
                <w:szCs w:val="21"/>
                <w:highlight w:val="none"/>
              </w:rPr>
            </w:pPr>
            <w:r>
              <w:rPr>
                <w:rStyle w:val="52"/>
                <w:rFonts w:hint="eastAsia"/>
                <w:color w:val="auto"/>
                <w:szCs w:val="21"/>
                <w:highlight w:val="none"/>
              </w:rPr>
              <w:t>备注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2363" w:type="dxa"/>
            <w:gridSpan w:val="2"/>
            <w:tcBorders>
              <w:top w:val="single" w:color="000000" w:sz="4" w:space="0"/>
              <w:left w:val="single" w:color="000000" w:sz="12"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项目总负责人</w:t>
            </w:r>
          </w:p>
        </w:tc>
        <w:tc>
          <w:tcPr>
            <w:tcW w:w="1095"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ind w:left="-107" w:leftChars="-51" w:right="-107"/>
              <w:jc w:val="center"/>
              <w:rPr>
                <w:rStyle w:val="52"/>
                <w:color w:val="auto"/>
                <w:szCs w:val="21"/>
                <w:highlight w:val="none"/>
              </w:rPr>
            </w:pPr>
            <w:r>
              <w:rPr>
                <w:rStyle w:val="52"/>
                <w:color w:val="auto"/>
                <w:szCs w:val="21"/>
                <w:highlight w:val="none"/>
              </w:rPr>
              <w:t>1</w:t>
            </w:r>
          </w:p>
        </w:tc>
        <w:tc>
          <w:tcPr>
            <w:tcW w:w="3288"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left"/>
              <w:rPr>
                <w:color w:val="auto"/>
                <w:szCs w:val="21"/>
                <w:highlight w:val="none"/>
              </w:rPr>
            </w:pPr>
            <w:r>
              <w:rPr>
                <w:rFonts w:hint="eastAsia"/>
                <w:color w:val="auto"/>
                <w:szCs w:val="21"/>
                <w:highlight w:val="none"/>
              </w:rPr>
              <w:t>有注册咨询工程师（投资）或一级建造师（水利水电工程）或注册土木工程师（水利水电工程）或水利部注册监理工程师（水利工程）。</w:t>
            </w:r>
          </w:p>
        </w:tc>
        <w:tc>
          <w:tcPr>
            <w:tcW w:w="2350" w:type="dxa"/>
            <w:tcBorders>
              <w:top w:val="single" w:color="000000" w:sz="4" w:space="0"/>
              <w:left w:val="single" w:color="000000" w:sz="4" w:space="0"/>
              <w:bottom w:val="single" w:color="000000" w:sz="4" w:space="0"/>
              <w:right w:val="single" w:color="000000" w:sz="12" w:space="0"/>
            </w:tcBorders>
            <w:vAlign w:val="center"/>
          </w:tcPr>
          <w:p>
            <w:pPr>
              <w:spacing w:line="400" w:lineRule="exact"/>
              <w:jc w:val="left"/>
              <w:rPr>
                <w:rStyle w:val="52"/>
                <w:color w:val="auto"/>
                <w:szCs w:val="21"/>
                <w:highlight w:val="none"/>
              </w:rPr>
            </w:pPr>
            <w:r>
              <w:rPr>
                <w:rStyle w:val="52"/>
                <w:rFonts w:hint="eastAsia"/>
                <w:color w:val="auto"/>
                <w:szCs w:val="21"/>
                <w:highlight w:val="none"/>
              </w:rPr>
              <w:t>若联合体投标的，项目总负责人须为联合体牵头人单位人员，施工阶段每月驻场不少于 7天，其他阶段按需驻场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2363" w:type="dxa"/>
            <w:gridSpan w:val="2"/>
            <w:tcBorders>
              <w:top w:val="single" w:color="000000" w:sz="4" w:space="0"/>
              <w:left w:val="single" w:color="000000" w:sz="12"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rFonts w:hint="eastAsia"/>
                <w:color w:val="auto"/>
                <w:szCs w:val="21"/>
                <w:highlight w:val="none"/>
              </w:rPr>
              <w:t>技术负责人</w:t>
            </w:r>
          </w:p>
        </w:tc>
        <w:tc>
          <w:tcPr>
            <w:tcW w:w="1095"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ind w:left="-107" w:leftChars="-51" w:right="-107"/>
              <w:jc w:val="center"/>
              <w:rPr>
                <w:rStyle w:val="52"/>
                <w:color w:val="auto"/>
                <w:szCs w:val="21"/>
                <w:highlight w:val="none"/>
              </w:rPr>
            </w:pPr>
            <w:r>
              <w:rPr>
                <w:rStyle w:val="52"/>
                <w:rFonts w:hint="eastAsia"/>
                <w:color w:val="auto"/>
                <w:szCs w:val="21"/>
                <w:highlight w:val="none"/>
              </w:rPr>
              <w:t>1</w:t>
            </w:r>
          </w:p>
        </w:tc>
        <w:tc>
          <w:tcPr>
            <w:tcW w:w="3288"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left"/>
              <w:rPr>
                <w:color w:val="auto"/>
                <w:szCs w:val="21"/>
                <w:highlight w:val="none"/>
              </w:rPr>
            </w:pPr>
            <w:r>
              <w:rPr>
                <w:rFonts w:hint="eastAsia"/>
                <w:color w:val="auto"/>
                <w:szCs w:val="21"/>
                <w:highlight w:val="none"/>
              </w:rPr>
              <w:t>具备有注册咨询工程师（投资）或一级建造师（水利水电工程）或注册土木工程师（水利水电工程）或水利部注册监理工程师（水利工程）。须提供有效证明文件。</w:t>
            </w:r>
          </w:p>
        </w:tc>
        <w:tc>
          <w:tcPr>
            <w:tcW w:w="2350" w:type="dxa"/>
            <w:tcBorders>
              <w:top w:val="single" w:color="000000" w:sz="4" w:space="0"/>
              <w:left w:val="single" w:color="000000" w:sz="4" w:space="0"/>
              <w:bottom w:val="single" w:color="000000" w:sz="4" w:space="0"/>
              <w:right w:val="single" w:color="000000" w:sz="12" w:space="0"/>
            </w:tcBorders>
            <w:vAlign w:val="center"/>
          </w:tcPr>
          <w:p>
            <w:pPr>
              <w:spacing w:line="400" w:lineRule="exact"/>
              <w:jc w:val="left"/>
              <w:rPr>
                <w:rStyle w:val="52"/>
                <w:color w:val="auto"/>
                <w:szCs w:val="21"/>
                <w:highlight w:val="none"/>
              </w:rPr>
            </w:pPr>
            <w:r>
              <w:rPr>
                <w:rStyle w:val="52"/>
                <w:rFonts w:hint="eastAsia"/>
                <w:color w:val="auto"/>
                <w:szCs w:val="21"/>
                <w:highlight w:val="none"/>
              </w:rPr>
              <w:t>若联合体投标的，技术负责人须为联合体牵头人单位人员，按需驻场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2363" w:type="dxa"/>
            <w:gridSpan w:val="2"/>
            <w:tcBorders>
              <w:top w:val="single" w:color="000000" w:sz="4" w:space="0"/>
              <w:left w:val="single" w:color="000000" w:sz="12"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rFonts w:hint="eastAsia"/>
                <w:color w:val="auto"/>
                <w:szCs w:val="21"/>
                <w:highlight w:val="none"/>
              </w:rPr>
              <w:t>综合性咨</w:t>
            </w:r>
          </w:p>
          <w:p>
            <w:pPr>
              <w:pStyle w:val="67"/>
              <w:spacing w:line="400" w:lineRule="exact"/>
              <w:jc w:val="center"/>
              <w:rPr>
                <w:rStyle w:val="52"/>
                <w:color w:val="auto"/>
                <w:szCs w:val="21"/>
                <w:highlight w:val="none"/>
              </w:rPr>
            </w:pPr>
            <w:r>
              <w:rPr>
                <w:rStyle w:val="52"/>
                <w:rFonts w:hint="eastAsia"/>
                <w:color w:val="auto"/>
                <w:szCs w:val="21"/>
                <w:highlight w:val="none"/>
              </w:rPr>
              <w:t>询管理负</w:t>
            </w:r>
          </w:p>
          <w:p>
            <w:pPr>
              <w:pStyle w:val="67"/>
              <w:spacing w:line="400" w:lineRule="exact"/>
              <w:jc w:val="center"/>
              <w:rPr>
                <w:rStyle w:val="52"/>
                <w:color w:val="auto"/>
                <w:szCs w:val="21"/>
                <w:highlight w:val="none"/>
              </w:rPr>
            </w:pPr>
            <w:r>
              <w:rPr>
                <w:rStyle w:val="52"/>
                <w:rFonts w:hint="eastAsia"/>
                <w:color w:val="auto"/>
                <w:szCs w:val="21"/>
                <w:highlight w:val="none"/>
              </w:rPr>
              <w:t>责人</w:t>
            </w:r>
          </w:p>
        </w:tc>
        <w:tc>
          <w:tcPr>
            <w:tcW w:w="1095"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ind w:left="-107" w:leftChars="-51" w:right="-107"/>
              <w:jc w:val="center"/>
              <w:rPr>
                <w:rStyle w:val="52"/>
                <w:color w:val="auto"/>
                <w:szCs w:val="21"/>
                <w:highlight w:val="none"/>
              </w:rPr>
            </w:pPr>
            <w:r>
              <w:rPr>
                <w:rStyle w:val="52"/>
                <w:rFonts w:hint="eastAsia"/>
                <w:color w:val="auto"/>
                <w:szCs w:val="21"/>
                <w:highlight w:val="none"/>
              </w:rPr>
              <w:t>1</w:t>
            </w:r>
          </w:p>
        </w:tc>
        <w:tc>
          <w:tcPr>
            <w:tcW w:w="3288"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left"/>
              <w:rPr>
                <w:color w:val="auto"/>
                <w:szCs w:val="21"/>
                <w:highlight w:val="none"/>
              </w:rPr>
            </w:pPr>
            <w:r>
              <w:rPr>
                <w:rFonts w:hint="eastAsia"/>
                <w:color w:val="auto"/>
                <w:szCs w:val="21"/>
                <w:highlight w:val="none"/>
              </w:rPr>
              <w:t>须具有注册咨询工程师（投资）或一级建造师（水利水电工程）或注册土木工程师（水利水电工程）</w:t>
            </w:r>
          </w:p>
        </w:tc>
        <w:tc>
          <w:tcPr>
            <w:tcW w:w="2350" w:type="dxa"/>
            <w:tcBorders>
              <w:top w:val="single" w:color="000000" w:sz="4" w:space="0"/>
              <w:left w:val="single" w:color="000000" w:sz="4" w:space="0"/>
              <w:bottom w:val="single" w:color="000000" w:sz="4" w:space="0"/>
              <w:right w:val="single" w:color="000000" w:sz="12" w:space="0"/>
            </w:tcBorders>
            <w:vAlign w:val="center"/>
          </w:tcPr>
          <w:p>
            <w:pPr>
              <w:pStyle w:val="67"/>
              <w:spacing w:line="400" w:lineRule="exact"/>
              <w:jc w:val="left"/>
              <w:rPr>
                <w:rStyle w:val="52"/>
                <w:color w:val="auto"/>
                <w:szCs w:val="21"/>
                <w:highlight w:val="none"/>
              </w:rPr>
            </w:pPr>
            <w:r>
              <w:rPr>
                <w:rStyle w:val="52"/>
                <w:rFonts w:hint="eastAsia"/>
                <w:color w:val="auto"/>
                <w:szCs w:val="21"/>
                <w:highlight w:val="none"/>
              </w:rPr>
              <w:t>若联合体投标的，综合性咨询管理负责人须为联合体牵头人单位人员，施工阶段全过程驻场（每月不少于22天），其他阶段按需驻场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363" w:type="dxa"/>
            <w:gridSpan w:val="2"/>
            <w:tcBorders>
              <w:top w:val="single" w:color="000000" w:sz="4" w:space="0"/>
              <w:left w:val="single" w:color="000000" w:sz="12"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项目管理人员</w:t>
            </w:r>
          </w:p>
        </w:tc>
        <w:tc>
          <w:tcPr>
            <w:tcW w:w="1095" w:type="dxa"/>
            <w:tcBorders>
              <w:top w:val="single" w:color="000000" w:sz="4" w:space="0"/>
              <w:left w:val="single" w:color="000000" w:sz="4" w:space="0"/>
              <w:right w:val="single" w:color="000000" w:sz="4" w:space="0"/>
            </w:tcBorders>
            <w:vAlign w:val="center"/>
          </w:tcPr>
          <w:p>
            <w:pPr>
              <w:pStyle w:val="67"/>
              <w:spacing w:line="400" w:lineRule="exact"/>
              <w:ind w:left="-107" w:leftChars="-51" w:right="-107"/>
              <w:jc w:val="center"/>
              <w:rPr>
                <w:rStyle w:val="52"/>
                <w:color w:val="auto"/>
                <w:szCs w:val="21"/>
                <w:highlight w:val="none"/>
              </w:rPr>
            </w:pPr>
            <w:r>
              <w:rPr>
                <w:rStyle w:val="52"/>
                <w:rFonts w:hint="eastAsia"/>
                <w:color w:val="auto"/>
                <w:szCs w:val="21"/>
                <w:highlight w:val="none"/>
              </w:rPr>
              <w:t>3</w:t>
            </w:r>
          </w:p>
        </w:tc>
        <w:tc>
          <w:tcPr>
            <w:tcW w:w="3288" w:type="dxa"/>
            <w:tcBorders>
              <w:top w:val="single" w:color="000000" w:sz="4" w:space="0"/>
              <w:left w:val="single" w:color="000000" w:sz="4" w:space="0"/>
              <w:right w:val="single" w:color="000000" w:sz="4" w:space="0"/>
            </w:tcBorders>
            <w:vAlign w:val="center"/>
          </w:tcPr>
          <w:p>
            <w:pPr>
              <w:pStyle w:val="67"/>
              <w:spacing w:line="400" w:lineRule="exact"/>
              <w:jc w:val="left"/>
              <w:rPr>
                <w:color w:val="auto"/>
                <w:szCs w:val="21"/>
                <w:highlight w:val="none"/>
              </w:rPr>
            </w:pPr>
            <w:r>
              <w:rPr>
                <w:rFonts w:hint="eastAsia"/>
                <w:color w:val="auto"/>
                <w:szCs w:val="21"/>
                <w:highlight w:val="none"/>
              </w:rPr>
              <w:t>中级及以上职称（专业根据项目进度及时在水利水电、金属结构、信息化等相关专业范围调整）</w:t>
            </w:r>
          </w:p>
        </w:tc>
        <w:tc>
          <w:tcPr>
            <w:tcW w:w="2350" w:type="dxa"/>
            <w:tcBorders>
              <w:top w:val="single" w:color="000000" w:sz="4" w:space="0"/>
              <w:left w:val="single" w:color="000000" w:sz="4" w:space="0"/>
              <w:bottom w:val="single" w:color="000000" w:sz="4" w:space="0"/>
              <w:right w:val="single" w:color="000000" w:sz="12" w:space="0"/>
            </w:tcBorders>
            <w:vAlign w:val="center"/>
          </w:tcPr>
          <w:p>
            <w:pPr>
              <w:spacing w:line="400" w:lineRule="exact"/>
              <w:jc w:val="left"/>
              <w:rPr>
                <w:rStyle w:val="52"/>
                <w:color w:val="auto"/>
                <w:szCs w:val="21"/>
                <w:highlight w:val="none"/>
              </w:rPr>
            </w:pPr>
            <w:r>
              <w:rPr>
                <w:rStyle w:val="52"/>
                <w:rFonts w:hint="eastAsia"/>
                <w:color w:val="auto"/>
                <w:szCs w:val="21"/>
                <w:highlight w:val="none"/>
              </w:rPr>
              <w:t>施工阶段全过程驻场（每月不少于22天），其他阶段按需驻场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1181" w:type="dxa"/>
            <w:vMerge w:val="restart"/>
            <w:tcBorders>
              <w:top w:val="single" w:color="000000" w:sz="4" w:space="0"/>
              <w:left w:val="single" w:color="000000" w:sz="12"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rFonts w:ascii="Times New Roman" w:hAnsi="Times New Roman"/>
                <w:color w:val="auto"/>
                <w:szCs w:val="21"/>
                <w:highlight w:val="none"/>
              </w:rPr>
              <w:t>造价控制咨询人员</w:t>
            </w:r>
          </w:p>
        </w:tc>
        <w:tc>
          <w:tcPr>
            <w:tcW w:w="1182"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造价咨询负责人</w:t>
            </w:r>
          </w:p>
        </w:tc>
        <w:tc>
          <w:tcPr>
            <w:tcW w:w="1095"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1</w:t>
            </w:r>
          </w:p>
        </w:tc>
        <w:tc>
          <w:tcPr>
            <w:tcW w:w="3288" w:type="dxa"/>
            <w:tcBorders>
              <w:top w:val="single" w:color="000000" w:sz="4" w:space="0"/>
              <w:left w:val="single" w:color="000000" w:sz="4" w:space="0"/>
              <w:bottom w:val="single" w:color="000000" w:sz="4" w:space="0"/>
              <w:right w:val="single" w:color="000000" w:sz="4" w:space="0"/>
            </w:tcBorders>
            <w:vAlign w:val="center"/>
          </w:tcPr>
          <w:p>
            <w:pPr>
              <w:pStyle w:val="67"/>
              <w:spacing w:line="400" w:lineRule="exact"/>
              <w:jc w:val="left"/>
              <w:rPr>
                <w:rStyle w:val="52"/>
                <w:color w:val="auto"/>
                <w:szCs w:val="21"/>
                <w:highlight w:val="none"/>
              </w:rPr>
            </w:pPr>
            <w:r>
              <w:rPr>
                <w:rFonts w:hint="eastAsia"/>
                <w:color w:val="auto"/>
                <w:szCs w:val="21"/>
                <w:highlight w:val="none"/>
              </w:rPr>
              <w:t>一级注册造价工程师（水利工程专业）</w:t>
            </w:r>
          </w:p>
        </w:tc>
        <w:tc>
          <w:tcPr>
            <w:tcW w:w="2350" w:type="dxa"/>
            <w:tcBorders>
              <w:top w:val="single" w:color="000000" w:sz="4" w:space="0"/>
              <w:left w:val="single" w:color="000000" w:sz="4" w:space="0"/>
              <w:bottom w:val="single" w:color="000000" w:sz="4" w:space="0"/>
              <w:right w:val="single" w:color="000000" w:sz="12" w:space="0"/>
            </w:tcBorders>
            <w:vAlign w:val="center"/>
          </w:tcPr>
          <w:p>
            <w:pPr>
              <w:spacing w:line="400" w:lineRule="exact"/>
              <w:jc w:val="left"/>
              <w:rPr>
                <w:rStyle w:val="52"/>
                <w:color w:val="auto"/>
                <w:szCs w:val="21"/>
                <w:highlight w:val="none"/>
              </w:rPr>
            </w:pPr>
            <w:r>
              <w:rPr>
                <w:rStyle w:val="52"/>
                <w:rFonts w:hint="eastAsia"/>
                <w:color w:val="auto"/>
                <w:szCs w:val="21"/>
                <w:highlight w:val="none"/>
              </w:rPr>
              <w:t>按需驻场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1181" w:type="dxa"/>
            <w:vMerge w:val="continue"/>
            <w:tcBorders>
              <w:top w:val="single" w:color="000000" w:sz="4" w:space="0"/>
              <w:left w:val="single" w:color="000000" w:sz="12" w:space="0"/>
              <w:bottom w:val="single" w:color="000000" w:sz="12" w:space="0"/>
              <w:right w:val="single" w:color="000000" w:sz="4" w:space="0"/>
            </w:tcBorders>
            <w:vAlign w:val="center"/>
          </w:tcPr>
          <w:p>
            <w:pPr>
              <w:pStyle w:val="67"/>
              <w:spacing w:line="400" w:lineRule="exact"/>
              <w:jc w:val="center"/>
              <w:rPr>
                <w:rStyle w:val="52"/>
                <w:color w:val="auto"/>
                <w:szCs w:val="21"/>
                <w:highlight w:val="none"/>
              </w:rPr>
            </w:pPr>
          </w:p>
        </w:tc>
        <w:tc>
          <w:tcPr>
            <w:tcW w:w="1182" w:type="dxa"/>
            <w:tcBorders>
              <w:top w:val="single" w:color="000000" w:sz="4" w:space="0"/>
              <w:left w:val="single" w:color="000000" w:sz="4" w:space="0"/>
              <w:bottom w:val="single" w:color="000000" w:sz="12"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造价组组员</w:t>
            </w:r>
          </w:p>
        </w:tc>
        <w:tc>
          <w:tcPr>
            <w:tcW w:w="1095" w:type="dxa"/>
            <w:tcBorders>
              <w:top w:val="single" w:color="000000" w:sz="4" w:space="0"/>
              <w:left w:val="single" w:color="000000" w:sz="4" w:space="0"/>
              <w:bottom w:val="single" w:color="000000" w:sz="12" w:space="0"/>
              <w:right w:val="single" w:color="000000" w:sz="4" w:space="0"/>
            </w:tcBorders>
            <w:vAlign w:val="center"/>
          </w:tcPr>
          <w:p>
            <w:pPr>
              <w:pStyle w:val="67"/>
              <w:spacing w:line="400" w:lineRule="exact"/>
              <w:jc w:val="center"/>
              <w:rPr>
                <w:rStyle w:val="52"/>
                <w:color w:val="auto"/>
                <w:szCs w:val="21"/>
                <w:highlight w:val="none"/>
              </w:rPr>
            </w:pPr>
            <w:r>
              <w:rPr>
                <w:rStyle w:val="52"/>
                <w:color w:val="auto"/>
                <w:szCs w:val="21"/>
                <w:highlight w:val="none"/>
              </w:rPr>
              <w:t>1</w:t>
            </w:r>
          </w:p>
        </w:tc>
        <w:tc>
          <w:tcPr>
            <w:tcW w:w="3288" w:type="dxa"/>
            <w:tcBorders>
              <w:top w:val="single" w:color="000000" w:sz="4" w:space="0"/>
              <w:left w:val="single" w:color="000000" w:sz="4" w:space="0"/>
              <w:bottom w:val="single" w:color="000000" w:sz="12" w:space="0"/>
              <w:right w:val="single" w:color="000000" w:sz="4" w:space="0"/>
            </w:tcBorders>
            <w:vAlign w:val="center"/>
          </w:tcPr>
          <w:p>
            <w:pPr>
              <w:pStyle w:val="67"/>
              <w:spacing w:line="400" w:lineRule="exact"/>
              <w:jc w:val="left"/>
              <w:rPr>
                <w:rStyle w:val="52"/>
                <w:rFonts w:ascii="Times New Roman" w:hAnsi="Times New Roman"/>
                <w:color w:val="auto"/>
                <w:szCs w:val="21"/>
                <w:highlight w:val="none"/>
              </w:rPr>
            </w:pPr>
            <w:r>
              <w:rPr>
                <w:rStyle w:val="52"/>
                <w:rFonts w:hint="eastAsia" w:ascii="Times New Roman" w:hAnsi="Times New Roman"/>
                <w:color w:val="auto"/>
                <w:szCs w:val="21"/>
                <w:highlight w:val="none"/>
              </w:rPr>
              <w:t>二级及以上注册造价工程师（或造价员）</w:t>
            </w:r>
          </w:p>
        </w:tc>
        <w:tc>
          <w:tcPr>
            <w:tcW w:w="2350" w:type="dxa"/>
            <w:tcBorders>
              <w:top w:val="single" w:color="000000" w:sz="4" w:space="0"/>
              <w:left w:val="single" w:color="000000" w:sz="4" w:space="0"/>
              <w:bottom w:val="single" w:color="000000" w:sz="12" w:space="0"/>
              <w:right w:val="single" w:color="000000" w:sz="12" w:space="0"/>
            </w:tcBorders>
            <w:vAlign w:val="center"/>
          </w:tcPr>
          <w:p>
            <w:pPr>
              <w:spacing w:line="400" w:lineRule="exact"/>
              <w:jc w:val="left"/>
              <w:rPr>
                <w:rStyle w:val="52"/>
                <w:color w:val="auto"/>
                <w:szCs w:val="21"/>
                <w:highlight w:val="none"/>
              </w:rPr>
            </w:pPr>
            <w:r>
              <w:rPr>
                <w:rStyle w:val="52"/>
                <w:rFonts w:hint="eastAsia"/>
                <w:color w:val="auto"/>
                <w:szCs w:val="21"/>
                <w:highlight w:val="none"/>
              </w:rPr>
              <w:t>施工阶段全过程驻场（每月不少于22天），其他阶段按需驻场</w:t>
            </w:r>
          </w:p>
        </w:tc>
      </w:tr>
    </w:tbl>
    <w:p>
      <w:pPr>
        <w:rPr>
          <w:color w:val="000000" w:themeColor="text1"/>
          <w:highlight w:val="none"/>
          <w14:textFill>
            <w14:solidFill>
              <w14:schemeClr w14:val="tx1"/>
            </w14:solidFill>
          </w14:textFill>
        </w:rPr>
      </w:pPr>
    </w:p>
    <w:p>
      <w:pPr>
        <w:snapToGrid w:val="0"/>
        <w:spacing w:line="400" w:lineRule="exact"/>
        <w:ind w:left="63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注：（1）以上表列组成人员均要求为投标单位自有人员。此表为招标人的最低人员需求，投标人可根据招标项目工程内容、规模、工期等特点并结合本公司的自身实力综合考虑，增加配备岗位及数量。</w:t>
      </w:r>
    </w:p>
    <w:p>
      <w:pPr>
        <w:snapToGrid w:val="0"/>
        <w:spacing w:line="400" w:lineRule="exact"/>
        <w:ind w:left="630" w:firstLine="420" w:firstLineChars="20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（2）项目人员在进场前，委托人将就其资格条件、专业能力、管理能力进行复核并考察，经委</w:t>
      </w:r>
    </w:p>
    <w:p>
      <w:pPr>
        <w:snapToGrid w:val="0"/>
        <w:spacing w:line="400" w:lineRule="exact"/>
        <w:ind w:left="63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托人确认后方可进场。</w:t>
      </w:r>
    </w:p>
    <w:p>
      <w:pPr>
        <w:numPr>
          <w:ilvl w:val="0"/>
          <w:numId w:val="6"/>
        </w:numPr>
        <w:snapToGrid w:val="0"/>
        <w:spacing w:line="400" w:lineRule="exact"/>
        <w:ind w:left="630" w:firstLine="420" w:firstLineChars="20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上述驻场时间及到位率为最低要求，如遇项目赶进度、抢工期等特殊情况，需根据招标人要 求随时响应，费用包含在投标总价中，中标后不予调整。 </w:t>
      </w:r>
    </w:p>
    <w:p>
      <w:pPr>
        <w:snapToGrid w:val="0"/>
        <w:spacing w:line="400" w:lineRule="exact"/>
        <w:ind w:left="420" w:leftChars="200" w:firstLine="422" w:firstLineChars="200"/>
        <w:rPr>
          <w:rStyle w:val="52"/>
          <w:b/>
          <w:bCs/>
          <w:color w:val="000000" w:themeColor="text1"/>
          <w:highlight w:val="none"/>
          <w14:textFill>
            <w14:solidFill>
              <w14:schemeClr w14:val="tx1"/>
            </w14:solidFill>
          </w14:textFill>
        </w:rPr>
      </w:pPr>
      <w:r>
        <w:rPr>
          <w:rStyle w:val="52"/>
          <w:rFonts w:hint="eastAsia"/>
          <w:b/>
          <w:bCs/>
          <w:color w:val="000000" w:themeColor="text1"/>
          <w:highlight w:val="none"/>
          <w14:textFill>
            <w14:solidFill>
              <w14:schemeClr w14:val="tx1"/>
            </w14:solidFill>
          </w14:textFill>
        </w:rPr>
        <w:t>（4）上述除资格要求外的内容为建议性要求，投标人在投标文件中完善和补充人员配备、职责分 工、到位率、人员职称等内容和要求。如未达到上述人员配备要求，则投标人须在合同签订时补齐。</w:t>
      </w:r>
    </w:p>
    <w:p>
      <w:pPr>
        <w:snapToGrid w:val="0"/>
        <w:spacing w:line="400" w:lineRule="exact"/>
        <w:rPr>
          <w:rStyle w:val="52"/>
          <w:color w:val="000000" w:themeColor="text1"/>
          <w:highlight w:val="none"/>
          <w14:textFill>
            <w14:solidFill>
              <w14:schemeClr w14:val="tx1"/>
            </w14:solidFill>
          </w14:textFill>
        </w:rPr>
      </w:pPr>
    </w:p>
    <w:p>
      <w:pPr>
        <w:pStyle w:val="39"/>
        <w:ind w:firstLine="237"/>
        <w:jc w:val="center"/>
        <w:rPr>
          <w:rStyle w:val="52"/>
          <w:rFonts w:cs="宋体"/>
          <w:b/>
          <w:bCs/>
          <w:color w:val="000000" w:themeColor="text1"/>
          <w:spacing w:val="-2"/>
          <w:sz w:val="24"/>
          <w:highlight w:val="none"/>
          <w14:textFill>
            <w14:solidFill>
              <w14:schemeClr w14:val="tx1"/>
            </w14:solidFill>
          </w14:textFill>
        </w:rPr>
      </w:pPr>
    </w:p>
    <w:p>
      <w:pPr>
        <w:widowControl/>
        <w:spacing w:line="400" w:lineRule="exact"/>
        <w:ind w:firstLine="723" w:firstLineChars="200"/>
        <w:rPr>
          <w:rFonts w:ascii="宋体" w:hAnsi="宋体" w:cs="仿宋_GB2312"/>
          <w:b/>
          <w:color w:val="000000" w:themeColor="text1"/>
          <w:kern w:val="16"/>
          <w:sz w:val="36"/>
          <w:szCs w:val="36"/>
          <w:highlight w:val="none"/>
          <w:u w:val="single"/>
          <w14:textFill>
            <w14:solidFill>
              <w14:schemeClr w14:val="tx1"/>
            </w14:solidFill>
          </w14:textFill>
        </w:rPr>
      </w:pPr>
    </w:p>
    <w:p>
      <w:pPr>
        <w:spacing w:line="360" w:lineRule="auto"/>
        <w:jc w:val="center"/>
        <w:rPr>
          <w:rFonts w:ascii="宋体" w:hAnsi="宋体" w:cs="Arial"/>
          <w:b/>
          <w:color w:val="000000" w:themeColor="text1"/>
          <w:sz w:val="28"/>
          <w:highlight w:val="none"/>
          <w14:textFill>
            <w14:solidFill>
              <w14:schemeClr w14:val="tx1"/>
            </w14:solidFill>
          </w14:textFill>
        </w:rPr>
      </w:pPr>
      <w:r>
        <w:rPr>
          <w:rFonts w:hint="eastAsia" w:ascii="宋体" w:hAnsi="宋体" w:cs="Arial"/>
          <w:b/>
          <w:color w:val="000000" w:themeColor="text1"/>
          <w:sz w:val="32"/>
          <w:szCs w:val="32"/>
          <w:highlight w:val="none"/>
          <w14:textFill>
            <w14:solidFill>
              <w14:schemeClr w14:val="tx1"/>
            </w14:solidFill>
          </w14:textFill>
        </w:rPr>
        <w:t>服务内容和费用</w:t>
      </w:r>
    </w:p>
    <w:p>
      <w:pPr>
        <w:pStyle w:val="39"/>
        <w:ind w:firstLine="210"/>
        <w:jc w:val="center"/>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  </w:t>
      </w:r>
    </w:p>
    <w:p>
      <w:pPr>
        <w:spacing w:line="360" w:lineRule="auto"/>
        <w:jc w:val="left"/>
        <w:rPr>
          <w:rFonts w:ascii="宋体" w:hAnsi="宋体" w:cs="Arial"/>
          <w:b/>
          <w:color w:val="000000" w:themeColor="text1"/>
          <w:sz w:val="28"/>
          <w:highlight w:val="none"/>
          <w14:textFill>
            <w14:solidFill>
              <w14:schemeClr w14:val="tx1"/>
            </w14:solidFill>
          </w14:textFill>
        </w:rPr>
      </w:pPr>
      <w:r>
        <w:rPr>
          <w:rFonts w:hint="eastAsia" w:ascii="宋体" w:hAnsi="宋体" w:cs="Arial"/>
          <w:b/>
          <w:color w:val="000000" w:themeColor="text1"/>
          <w:sz w:val="28"/>
          <w:szCs w:val="28"/>
          <w:highlight w:val="none"/>
          <w14:textFill>
            <w14:solidFill>
              <w14:schemeClr w14:val="tx1"/>
            </w14:solidFill>
          </w14:textFill>
        </w:rPr>
        <w:t>一、服务内容</w:t>
      </w:r>
    </w:p>
    <w:p>
      <w:pPr>
        <w:widowControl/>
        <w:numPr>
          <w:ilvl w:val="0"/>
          <w:numId w:val="7"/>
        </w:numPr>
        <w:spacing w:line="400" w:lineRule="exact"/>
        <w:ind w:firstLine="482" w:firstLineChars="200"/>
        <w:rPr>
          <w:rFonts w:ascii="宋体" w:hAnsi="宋体" w:cs="仿宋_GB2312"/>
          <w:b/>
          <w:color w:val="000000" w:themeColor="text1"/>
          <w:kern w:val="16"/>
          <w:sz w:val="24"/>
          <w:highlight w:val="none"/>
          <w:u w:val="single"/>
          <w14:textFill>
            <w14:solidFill>
              <w14:schemeClr w14:val="tx1"/>
            </w14:solidFill>
          </w14:textFill>
        </w:rPr>
      </w:pPr>
      <w:r>
        <w:rPr>
          <w:rFonts w:hint="eastAsia" w:ascii="宋体" w:hAnsi="宋体" w:cs="仿宋_GB2312"/>
          <w:b/>
          <w:color w:val="000000" w:themeColor="text1"/>
          <w:kern w:val="16"/>
          <w:sz w:val="24"/>
          <w:highlight w:val="none"/>
          <w:u w:val="single"/>
          <w14:textFill>
            <w14:solidFill>
              <w14:schemeClr w14:val="tx1"/>
            </w14:solidFill>
          </w14:textFill>
        </w:rPr>
        <w:t>综合性咨询（主要协助业主报批报建、相关专家技术服务和协助项目管理）：</w:t>
      </w:r>
    </w:p>
    <w:p>
      <w:pPr>
        <w:widowControl/>
        <w:spacing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招标人授权范围内履行工程项目建设管理的义务，主要内容包括但不限于开展施工前准备阶段、施工阶段全过程投资管理、流程管理、合同管理、施工管理、工程变更管理、招投标管理、采购管理。项目全过程施工管理直至各单项阶段验收、完（竣）工验收合格、完工备案、整体移交、工程保修期内的缺陷修复督促管理等。含配合业主进行设备选型；计划管理、 设计优化管理、施工设计审核、组织专项设计审查、设计变更管理；对本项目相关专业的工程咨询管理，包括工艺流程设计管理、提交专项复核意见、组织召开专业系统会议和评审会，负责各专业系统与建筑的及时衔接；做好报批报建、技术管理、进度管理、投资管理、质量安全管理、项目组织协调管理、合同管理、档案信息管理、信息宣传管理、验收及移交管理、工程结算管理、质量保修期内的跟踪服务等涉及本项目建设全过程管理中已表述或未表述到位的所有管理及服务项目。</w:t>
      </w:r>
    </w:p>
    <w:p>
      <w:pPr>
        <w:pStyle w:val="2"/>
        <w:ind w:firstLine="482" w:firstLineChars="200"/>
        <w:jc w:val="left"/>
        <w:rPr>
          <w:rFonts w:ascii="宋体" w:hAnsi="宋体" w:eastAsia="宋体" w:cs="仿宋_GB2312"/>
          <w:bCs w:val="0"/>
          <w:color w:val="000000" w:themeColor="text1"/>
          <w:kern w:val="16"/>
          <w:sz w:val="24"/>
          <w:szCs w:val="24"/>
          <w:highlight w:val="none"/>
          <w:u w:val="single"/>
          <w14:textFill>
            <w14:solidFill>
              <w14:schemeClr w14:val="tx1"/>
            </w14:solidFill>
          </w14:textFill>
        </w:rPr>
      </w:pPr>
      <w:r>
        <w:rPr>
          <w:rFonts w:hint="eastAsia" w:ascii="宋体" w:hAnsi="宋体" w:eastAsia="宋体" w:cs="仿宋_GB2312"/>
          <w:bCs w:val="0"/>
          <w:color w:val="000000" w:themeColor="text1"/>
          <w:kern w:val="16"/>
          <w:sz w:val="24"/>
          <w:szCs w:val="24"/>
          <w:highlight w:val="none"/>
          <w:u w:val="single"/>
          <w14:textFill>
            <w14:solidFill>
              <w14:schemeClr w14:val="tx1"/>
            </w14:solidFill>
          </w14:textFill>
        </w:rPr>
        <w:t>2.专项咨询</w:t>
      </w:r>
    </w:p>
    <w:p>
      <w:pPr>
        <w:ind w:firstLine="422" w:firstLineChars="200"/>
        <w:rPr>
          <w:color w:val="000000" w:themeColor="text1"/>
          <w:highlight w:val="non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（1）施工图审查：按照相关文件规定，</w:t>
      </w:r>
      <w:r>
        <w:rPr>
          <w:rFonts w:ascii="宋体" w:hAnsi="宋体" w:cs="仿宋_GB2312"/>
          <w:b/>
          <w:color w:val="000000" w:themeColor="text1"/>
          <w:kern w:val="16"/>
          <w:szCs w:val="21"/>
          <w:highlight w:val="none"/>
          <w:u w:val="single"/>
          <w14:textFill>
            <w14:solidFill>
              <w14:schemeClr w14:val="tx1"/>
            </w14:solidFill>
          </w14:textFill>
        </w:rPr>
        <w:t>根据委托方的任务要求，完成本工程的施工图审查。</w:t>
      </w:r>
    </w:p>
    <w:p>
      <w:pPr>
        <w:pStyle w:val="21"/>
        <w:spacing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2）招标代理：招标代理服务范围为涉及本项目的全部工程等招标代理工作，主要内容包括但不限于拟订招标方案，协助招标人审查投标人资格，编制招标文件（包括资格预审文件），组织投标人踏勘现场和答疑，整理发布答疑纪要，组织开标、评标和定标，提交招投标书面情况报告等涉及本项目建设全过程管理中已表述或未表述到位的所有管理及服务项目（招标代理业务根据实际需求作相应调整）。费用包含评标专家费用、餐旅费、食宿费等一切与本项目招标有关的费用。</w:t>
      </w:r>
    </w:p>
    <w:p>
      <w:pPr>
        <w:spacing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3）全过程造价咨询：包括建设过程中涉及的全部工程量清单及预算的编制、全过程造价控制、结算初步审核等涉及本项目建设全过程管理中已表述或未表述到位的所有管理及服务项目。主要内容包括但不限于：①包含工程量清单及预算编制；②配合业主审核、财政审查；③根据承包合同、进度计划编制用款计划书；④参与造价控制有关的工程会议；⑤负责对承包人报送的经监理单位审核的每月(期)完成进度款月报表进行审核；⑥承发包方提出索赔时，依据合同和有关法律、法规，提供咨询意见；⑦协助发包人及时审核因设计变更、现场签证等发生的费用，相应调整造价控制目标，并向发包人提供造价控制动态分析报告，负责施工过程中实际发生工程量的计量复核；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工程量签证、材料价格及形象进度等涉及工程费用方面的问题配合发包人提供咨询及控制；⑪配合并协同业主参与建设项目前期财务审计、建设期财务跟踪审计和竣工财务决算，并配合工程竣工结算审核；⑫跟踪审计需符合浙审投〔2014〕27号《浙江省政府投资项目跟踪审计实施细则》和《浙江省政府投资项目竣工决算审计实施细则》的要求；⑬其他以上内容不包括的全过程造价控制工作内容。</w:t>
      </w:r>
    </w:p>
    <w:p>
      <w:pPr>
        <w:pStyle w:val="10"/>
        <w:adjustRightInd w:val="0"/>
        <w:snapToGrid w:val="0"/>
        <w:spacing w:after="0"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（5）</w:t>
      </w:r>
      <w:r>
        <w:rPr>
          <w:rFonts w:ascii="宋体" w:hAnsi="宋体" w:cs="仿宋_GB2312"/>
          <w:b/>
          <w:color w:val="000000" w:themeColor="text1"/>
          <w:kern w:val="16"/>
          <w:szCs w:val="21"/>
          <w:highlight w:val="none"/>
          <w:u w:val="single"/>
          <w14:textFill>
            <w14:solidFill>
              <w14:schemeClr w14:val="tx1"/>
            </w14:solidFill>
          </w14:textFill>
        </w:rPr>
        <w:t>第三方检测</w:t>
      </w:r>
      <w:r>
        <w:rPr>
          <w:rFonts w:hint="eastAsia" w:ascii="宋体" w:hAnsi="宋体" w:cs="仿宋_GB2312"/>
          <w:b/>
          <w:color w:val="000000" w:themeColor="text1"/>
          <w:kern w:val="16"/>
          <w:szCs w:val="21"/>
          <w:highlight w:val="none"/>
          <w:u w:val="single"/>
          <w14:textFill>
            <w14:solidFill>
              <w14:schemeClr w14:val="tx1"/>
            </w14:solidFill>
          </w14:textFill>
        </w:rPr>
        <w:t>：负责编制本项目质量检测方案，并协助业主完成方案审查，同时按照检测方案落实工程各项内容质量检测，具体检测内容和检测数量以满足工程完（竣）工要求为准。</w:t>
      </w:r>
    </w:p>
    <w:p>
      <w:pPr>
        <w:pStyle w:val="10"/>
        <w:adjustRightInd w:val="0"/>
        <w:snapToGrid w:val="0"/>
        <w:spacing w:after="0"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cs="仿宋_GB2312"/>
          <w:b/>
          <w:color w:val="000000" w:themeColor="text1"/>
          <w:kern w:val="16"/>
          <w:szCs w:val="21"/>
          <w:highlight w:val="none"/>
          <w:u w:val="single"/>
          <w14:textFill>
            <w14:solidFill>
              <w14:schemeClr w14:val="tx1"/>
            </w14:solidFill>
          </w14:textFill>
        </w:rPr>
        <w:t>（6）施工期</w:t>
      </w:r>
      <w:r>
        <w:rPr>
          <w:rFonts w:hint="eastAsia" w:ascii="宋体" w:hAnsi="宋体" w:cs="仿宋_GB2312"/>
          <w:b/>
          <w:color w:val="000000" w:themeColor="text1"/>
          <w:kern w:val="16"/>
          <w:szCs w:val="21"/>
          <w:highlight w:val="none"/>
          <w:u w:val="single"/>
          <w14:textFill>
            <w14:solidFill>
              <w14:schemeClr w14:val="tx1"/>
            </w14:solidFill>
          </w14:textFill>
        </w:rPr>
        <w:t>安全监测：根据国家有关规程规范及强制性条文规定和本工程实际情况，做好本工程施工期安全监测</w:t>
      </w:r>
      <w:r>
        <w:rPr>
          <w:rFonts w:ascii="宋体" w:hAnsi="宋体" w:cs="仿宋_GB2312"/>
          <w:b/>
          <w:color w:val="000000" w:themeColor="text1"/>
          <w:kern w:val="16"/>
          <w:szCs w:val="21"/>
          <w:highlight w:val="none"/>
          <w:u w:val="single"/>
          <w14:textFill>
            <w14:solidFill>
              <w14:schemeClr w14:val="tx1"/>
            </w14:solidFill>
          </w14:textFill>
        </w:rPr>
        <w:t>。</w:t>
      </w:r>
    </w:p>
    <w:p>
      <w:pPr>
        <w:pStyle w:val="10"/>
        <w:adjustRightInd w:val="0"/>
        <w:snapToGrid w:val="0"/>
        <w:spacing w:after="0"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（7）</w:t>
      </w:r>
      <w:r>
        <w:rPr>
          <w:rFonts w:ascii="宋体" w:hAnsi="宋体" w:cs="仿宋_GB2312"/>
          <w:b/>
          <w:color w:val="000000" w:themeColor="text1"/>
          <w:kern w:val="16"/>
          <w:szCs w:val="21"/>
          <w:highlight w:val="none"/>
          <w:u w:val="single"/>
          <w14:textFill>
            <w14:solidFill>
              <w14:schemeClr w14:val="tx1"/>
            </w14:solidFill>
          </w14:textFill>
        </w:rPr>
        <w:t>水土保持技术服务</w:t>
      </w:r>
      <w:r>
        <w:rPr>
          <w:rFonts w:hint="eastAsia" w:ascii="宋体" w:hAnsi="宋体" w:cs="仿宋_GB2312"/>
          <w:b/>
          <w:color w:val="000000" w:themeColor="text1"/>
          <w:kern w:val="16"/>
          <w:szCs w:val="21"/>
          <w:highlight w:val="none"/>
          <w:u w:val="single"/>
          <w14:textFill>
            <w14:solidFill>
              <w14:schemeClr w14:val="tx1"/>
            </w14:solidFill>
          </w14:textFill>
        </w:rPr>
        <w:t>：1、水土保持监测：按照水土保持相关法律法规、规范标准及水土保持方案与相关批复的要求，针对本工程建设期特性，结合其所处的环境状况，对项目建设实施前或初期、实施阶段、试运行期开展水土保持监测工作，按要求提交工程水土保持监测实施方案、季报和总结报告等相关成果报告。2、水土保持验收：项目竣工验收阶段对建成的水土保持设施开展调查评估，编制水土保持设施验收等相关报告，配合招标人组织水土保持设施自主验收工作，并协助完成本项目水土保持设施验收公示、备案等工作。</w:t>
      </w:r>
    </w:p>
    <w:p>
      <w:pPr>
        <w:pStyle w:val="19"/>
        <w:adjustRightInd w:val="0"/>
        <w:snapToGrid w:val="0"/>
        <w:spacing w:before="0" w:beforeAutospacing="0" w:after="0" w:afterAutospacing="0" w:line="400" w:lineRule="exact"/>
        <w:ind w:firstLine="422" w:firstLineChars="200"/>
        <w:rPr>
          <w:rFonts w:cs="仿宋_GB2312"/>
          <w:b/>
          <w:color w:val="000000" w:themeColor="text1"/>
          <w:kern w:val="16"/>
          <w:sz w:val="21"/>
          <w:szCs w:val="21"/>
          <w:highlight w:val="none"/>
          <w:u w:val="single"/>
          <w14:textFill>
            <w14:solidFill>
              <w14:schemeClr w14:val="tx1"/>
            </w14:solidFill>
          </w14:textFill>
        </w:rPr>
      </w:pPr>
      <w:r>
        <w:rPr>
          <w:rFonts w:hint="eastAsia" w:cs="仿宋_GB2312"/>
          <w:b/>
          <w:color w:val="000000" w:themeColor="text1"/>
          <w:kern w:val="16"/>
          <w:sz w:val="21"/>
          <w:szCs w:val="21"/>
          <w:highlight w:val="none"/>
          <w:u w:val="single"/>
          <w14:textFill>
            <w14:solidFill>
              <w14:schemeClr w14:val="tx1"/>
            </w14:solidFill>
          </w14:textFill>
        </w:rPr>
        <w:t>（8）</w:t>
      </w:r>
      <w:r>
        <w:rPr>
          <w:rFonts w:cs="仿宋_GB2312"/>
          <w:b/>
          <w:color w:val="000000" w:themeColor="text1"/>
          <w:kern w:val="16"/>
          <w:sz w:val="21"/>
          <w:szCs w:val="21"/>
          <w:highlight w:val="none"/>
          <w:u w:val="single"/>
          <w14:textFill>
            <w14:solidFill>
              <w14:schemeClr w14:val="tx1"/>
            </w14:solidFill>
          </w14:textFill>
        </w:rPr>
        <w:t>环境保护技术服务</w:t>
      </w:r>
      <w:r>
        <w:rPr>
          <w:rFonts w:hint="eastAsia" w:cs="仿宋_GB2312"/>
          <w:b/>
          <w:color w:val="000000" w:themeColor="text1"/>
          <w:kern w:val="16"/>
          <w:sz w:val="21"/>
          <w:szCs w:val="21"/>
          <w:highlight w:val="none"/>
          <w:u w:val="single"/>
          <w14:textFill>
            <w14:solidFill>
              <w14:schemeClr w14:val="tx1"/>
            </w14:solidFill>
          </w14:textFill>
        </w:rPr>
        <w:t>：1、</w:t>
      </w:r>
      <w:r>
        <w:rPr>
          <w:rFonts w:cs="仿宋_GB2312"/>
          <w:b/>
          <w:color w:val="000000" w:themeColor="text1"/>
          <w:kern w:val="16"/>
          <w:sz w:val="21"/>
          <w:szCs w:val="21"/>
          <w:highlight w:val="none"/>
          <w:u w:val="single"/>
          <w14:textFill>
            <w14:solidFill>
              <w14:schemeClr w14:val="tx1"/>
            </w14:solidFill>
          </w14:textFill>
        </w:rPr>
        <w:t>施工期环境监测：根据环境保护相关法律法规、环评报告及相关批复的要求，针对本工程建设期特性，开展工程施工期环境监测，按要求提交施工期环境监测阶段报告和环境监测总结报告等相关成果报告。</w:t>
      </w:r>
      <w:r>
        <w:rPr>
          <w:rFonts w:hint="eastAsia" w:cs="仿宋_GB2312"/>
          <w:b/>
          <w:color w:val="000000" w:themeColor="text1"/>
          <w:kern w:val="16"/>
          <w:sz w:val="21"/>
          <w:szCs w:val="21"/>
          <w:highlight w:val="none"/>
          <w:u w:val="single"/>
          <w14:textFill>
            <w14:solidFill>
              <w14:schemeClr w14:val="tx1"/>
            </w14:solidFill>
          </w14:textFill>
        </w:rPr>
        <w:t>2、</w:t>
      </w:r>
      <w:r>
        <w:rPr>
          <w:rFonts w:cs="仿宋_GB2312"/>
          <w:b/>
          <w:color w:val="000000" w:themeColor="text1"/>
          <w:kern w:val="16"/>
          <w:sz w:val="21"/>
          <w:szCs w:val="21"/>
          <w:highlight w:val="none"/>
          <w:u w:val="single"/>
          <w14:textFill>
            <w14:solidFill>
              <w14:schemeClr w14:val="tx1"/>
            </w14:solidFill>
          </w14:textFill>
        </w:rPr>
        <w:t>环境保护验收：项目竣工验收阶段对建成的环境保护设施开展调查评估，编制工程竣工环境保护验收调查</w:t>
      </w:r>
      <w:r>
        <w:rPr>
          <w:rFonts w:hint="eastAsia" w:cs="仿宋_GB2312"/>
          <w:b/>
          <w:color w:val="000000" w:themeColor="text1"/>
          <w:kern w:val="16"/>
          <w:sz w:val="21"/>
          <w:szCs w:val="21"/>
          <w:highlight w:val="none"/>
          <w:u w:val="single"/>
          <w14:textFill>
            <w14:solidFill>
              <w14:schemeClr w14:val="tx1"/>
            </w14:solidFill>
          </w14:textFill>
        </w:rPr>
        <w:t>等相关报告</w:t>
      </w:r>
      <w:r>
        <w:rPr>
          <w:rFonts w:cs="仿宋_GB2312"/>
          <w:b/>
          <w:color w:val="000000" w:themeColor="text1"/>
          <w:kern w:val="16"/>
          <w:sz w:val="21"/>
          <w:szCs w:val="21"/>
          <w:highlight w:val="none"/>
          <w:u w:val="single"/>
          <w14:textFill>
            <w14:solidFill>
              <w14:schemeClr w14:val="tx1"/>
            </w14:solidFill>
          </w14:textFill>
        </w:rPr>
        <w:t>；配合招标人组织环境保护设施自主验收工作，并协助完成本项目环境保护设施验收公示、备案等工作。</w:t>
      </w:r>
    </w:p>
    <w:p>
      <w:pPr>
        <w:pStyle w:val="19"/>
        <w:adjustRightInd w:val="0"/>
        <w:snapToGrid w:val="0"/>
        <w:spacing w:before="0" w:beforeAutospacing="0" w:after="0" w:afterAutospacing="0" w:line="400" w:lineRule="exact"/>
        <w:ind w:firstLine="422" w:firstLineChars="200"/>
        <w:rPr>
          <w:rFonts w:cs="仿宋_GB2312"/>
          <w:b/>
          <w:color w:val="000000" w:themeColor="text1"/>
          <w:kern w:val="16"/>
          <w:sz w:val="21"/>
          <w:szCs w:val="21"/>
          <w:highlight w:val="none"/>
          <w:u w:val="single"/>
          <w14:textFill>
            <w14:solidFill>
              <w14:schemeClr w14:val="tx1"/>
            </w14:solidFill>
          </w14:textFill>
        </w:rPr>
      </w:pPr>
      <w:r>
        <w:rPr>
          <w:rFonts w:hint="eastAsia" w:cs="仿宋_GB2312"/>
          <w:b/>
          <w:color w:val="000000" w:themeColor="text1"/>
          <w:kern w:val="16"/>
          <w:sz w:val="21"/>
          <w:szCs w:val="21"/>
          <w:highlight w:val="none"/>
          <w:u w:val="single"/>
          <w14:textFill>
            <w14:solidFill>
              <w14:schemeClr w14:val="tx1"/>
            </w14:solidFill>
          </w14:textFill>
        </w:rPr>
        <w:t>（9）</w:t>
      </w:r>
      <w:r>
        <w:rPr>
          <w:rFonts w:cs="仿宋_GB2312"/>
          <w:b/>
          <w:color w:val="000000" w:themeColor="text1"/>
          <w:kern w:val="16"/>
          <w:sz w:val="21"/>
          <w:szCs w:val="21"/>
          <w:highlight w:val="none"/>
          <w:u w:val="single"/>
          <w14:textFill>
            <w14:solidFill>
              <w14:schemeClr w14:val="tx1"/>
            </w14:solidFill>
          </w14:textFill>
        </w:rPr>
        <w:t>专家组定期巡查</w:t>
      </w:r>
      <w:r>
        <w:rPr>
          <w:rFonts w:hint="eastAsia" w:cs="仿宋_GB2312"/>
          <w:b/>
          <w:color w:val="000000" w:themeColor="text1"/>
          <w:kern w:val="16"/>
          <w:sz w:val="21"/>
          <w:szCs w:val="21"/>
          <w:highlight w:val="none"/>
          <w:u w:val="single"/>
          <w14:textFill>
            <w14:solidFill>
              <w14:schemeClr w14:val="tx1"/>
            </w14:solidFill>
          </w14:textFill>
        </w:rPr>
        <w:t>：</w:t>
      </w:r>
      <w:r>
        <w:rPr>
          <w:rFonts w:cs="仿宋_GB2312"/>
          <w:b/>
          <w:color w:val="000000" w:themeColor="text1"/>
          <w:kern w:val="16"/>
          <w:sz w:val="21"/>
          <w:szCs w:val="21"/>
          <w:highlight w:val="none"/>
          <w:u w:val="single"/>
          <w14:textFill>
            <w14:solidFill>
              <w14:schemeClr w14:val="tx1"/>
            </w14:solidFill>
          </w14:textFill>
        </w:rPr>
        <w:t>按照工程稽察的相关要求，组织专家组定期（</w:t>
      </w:r>
      <w:r>
        <w:rPr>
          <w:rFonts w:hint="eastAsia" w:cs="仿宋_GB2312"/>
          <w:b/>
          <w:color w:val="000000" w:themeColor="text1"/>
          <w:kern w:val="16"/>
          <w:sz w:val="21"/>
          <w:szCs w:val="21"/>
          <w:highlight w:val="none"/>
          <w:u w:val="single"/>
          <w14:textFill>
            <w14:solidFill>
              <w14:schemeClr w14:val="tx1"/>
            </w14:solidFill>
          </w14:textFill>
        </w:rPr>
        <w:t>原则每年一次，同时根据工程稽查安排适当增加次数</w:t>
      </w:r>
      <w:r>
        <w:rPr>
          <w:rFonts w:cs="仿宋_GB2312"/>
          <w:b/>
          <w:color w:val="000000" w:themeColor="text1"/>
          <w:kern w:val="16"/>
          <w:sz w:val="21"/>
          <w:szCs w:val="21"/>
          <w:highlight w:val="none"/>
          <w:u w:val="single"/>
          <w14:textFill>
            <w14:solidFill>
              <w14:schemeClr w14:val="tx1"/>
            </w14:solidFill>
          </w14:textFill>
        </w:rPr>
        <w:t>）对工程实施情况进行全面巡查（模拟稽查），及时发现并解决相关问题，进一步提升工程实施的规范性，并提供书面巡查报告。</w:t>
      </w:r>
    </w:p>
    <w:p>
      <w:pPr>
        <w:widowControl/>
        <w:ind w:firstLine="422" w:firstLineChars="200"/>
        <w:jc w:val="left"/>
        <w:rPr>
          <w:rFonts w:ascii="宋体" w:hAnsi="宋体" w:cs="仿宋_GB2312"/>
          <w:b/>
          <w:color w:val="000000" w:themeColor="text1"/>
          <w:kern w:val="16"/>
          <w:szCs w:val="21"/>
          <w:highlight w:val="none"/>
          <w:u w:val="single"/>
          <w14:textFill>
            <w14:solidFill>
              <w14:schemeClr w14:val="tx1"/>
            </w14:solidFill>
          </w14:textFill>
        </w:rPr>
      </w:pPr>
      <w:r>
        <w:rPr>
          <w:rFonts w:hint="eastAsia" w:cs="仿宋_GB2312"/>
          <w:b/>
          <w:color w:val="000000" w:themeColor="text1"/>
          <w:kern w:val="16"/>
          <w:szCs w:val="21"/>
          <w:highlight w:val="none"/>
          <w:u w:val="single"/>
          <w14:textFill>
            <w14:solidFill>
              <w14:schemeClr w14:val="tx1"/>
            </w14:solidFill>
          </w14:textFill>
        </w:rPr>
        <w:t>（10</w:t>
      </w:r>
      <w:r>
        <w:rPr>
          <w:rFonts w:hint="eastAsia" w:ascii="宋体" w:hAnsi="宋体" w:cs="仿宋_GB2312"/>
          <w:b/>
          <w:color w:val="000000" w:themeColor="text1"/>
          <w:kern w:val="16"/>
          <w:szCs w:val="21"/>
          <w:highlight w:val="none"/>
          <w:u w:val="single"/>
          <w14:textFill>
            <w14:solidFill>
              <w14:schemeClr w14:val="tx1"/>
            </w14:solidFill>
          </w14:textFill>
        </w:rPr>
        <w:t>）</w:t>
      </w:r>
      <w:r>
        <w:rPr>
          <w:rFonts w:ascii="宋体" w:hAnsi="宋体" w:cs="仿宋_GB2312"/>
          <w:b/>
          <w:color w:val="000000" w:themeColor="text1"/>
          <w:kern w:val="16"/>
          <w:szCs w:val="21"/>
          <w:highlight w:val="none"/>
          <w:u w:val="single"/>
          <w14:textFill>
            <w14:solidFill>
              <w14:schemeClr w14:val="tx1"/>
            </w14:solidFill>
          </w14:textFill>
        </w:rPr>
        <w:t>工程验收</w:t>
      </w:r>
      <w:r>
        <w:rPr>
          <w:rFonts w:hint="eastAsia" w:ascii="宋体" w:hAnsi="宋体" w:cs="仿宋_GB2312"/>
          <w:b/>
          <w:color w:val="000000" w:themeColor="text1"/>
          <w:kern w:val="16"/>
          <w:szCs w:val="21"/>
          <w:highlight w:val="none"/>
          <w:u w:val="single"/>
          <w14:textFill>
            <w14:solidFill>
              <w14:schemeClr w14:val="tx1"/>
            </w14:solidFill>
          </w14:textFill>
        </w:rPr>
        <w:t>：负责按照《水利水电建设工程验收规程》要求组织协调本工程各项验收，对各参建方验收条件进行检查，承担验收自查服务，编制验收报告和拟定验收鉴定书，加快验收的进程和工作质量；组织专家组进行工程项目竣工验收技术鉴定，对工程的设计、施工质量和工程运行情况进行评价，形成竣工验收技术鉴定报告。</w:t>
      </w:r>
    </w:p>
    <w:p>
      <w:pPr>
        <w:widowControl/>
        <w:ind w:firstLine="422" w:firstLineChars="200"/>
        <w:jc w:val="left"/>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 xml:space="preserve">（11）绩效评价：根据财政部门要求，对项目进行事中、事后进行绩效评价。结合预算编审、项目审批等，对拟新出台的重大政策和项目，运用科学合理的评估方法，就立项必要性、投入经济性、绩效目标合理性、实施方案可行性和筹资合规性等进行客观、公正的评估。评估内容包括立项必要性、投入经济性、绩效目标合理性、实施方案可行性、筹资合规性等五个方面。 </w:t>
      </w:r>
    </w:p>
    <w:p>
      <w:pPr>
        <w:spacing w:line="400" w:lineRule="exact"/>
        <w:ind w:firstLine="422" w:firstLineChars="200"/>
        <w:rPr>
          <w:rFonts w:ascii="宋体" w:hAnsi="宋体" w:cs="仿宋_GB2312"/>
          <w:b/>
          <w:color w:val="000000" w:themeColor="text1"/>
          <w:kern w:val="16"/>
          <w:szCs w:val="21"/>
          <w:highlight w:val="none"/>
          <w:u w:val="single"/>
          <w14:textFill>
            <w14:solidFill>
              <w14:schemeClr w14:val="tx1"/>
            </w14:solidFill>
          </w14:textFill>
        </w:rPr>
      </w:pPr>
      <w:r>
        <w:rPr>
          <w:rFonts w:hint="eastAsia" w:ascii="宋体" w:hAnsi="宋体" w:cs="仿宋_GB2312"/>
          <w:b/>
          <w:color w:val="000000" w:themeColor="text1"/>
          <w:kern w:val="16"/>
          <w:szCs w:val="21"/>
          <w:highlight w:val="none"/>
          <w:u w:val="single"/>
          <w14:textFill>
            <w14:solidFill>
              <w14:schemeClr w14:val="tx1"/>
            </w14:solidFill>
          </w14:textFill>
        </w:rPr>
        <w:t>（12）综合性咨询服务外的专项咨询服务工作中非主体、非关键性咨询服务工作需分包的，经委托方同意后，可依法委托给具有相应资质或能力的单位，受托方对其负总责。</w:t>
      </w:r>
    </w:p>
    <w:p>
      <w:pPr>
        <w:pStyle w:val="4"/>
        <w:widowControl/>
        <w:adjustRightInd w:val="0"/>
        <w:snapToGrid w:val="0"/>
        <w:spacing w:before="0" w:line="360" w:lineRule="auto"/>
        <w:ind w:left="0"/>
        <w:jc w:val="left"/>
        <w:rPr>
          <w:rFonts w:ascii="Times New Roman" w:hAnsi="Times New Roman"/>
          <w:bCs w:val="0"/>
          <w:color w:val="000000" w:themeColor="text1"/>
          <w:sz w:val="24"/>
          <w:szCs w:val="24"/>
          <w:highlight w:val="none"/>
          <w14:textFill>
            <w14:solidFill>
              <w14:schemeClr w14:val="tx1"/>
            </w14:solidFill>
          </w14:textFill>
        </w:rPr>
      </w:pPr>
    </w:p>
    <w:p>
      <w:pPr>
        <w:pStyle w:val="4"/>
        <w:widowControl/>
        <w:adjustRightInd w:val="0"/>
        <w:snapToGrid w:val="0"/>
        <w:spacing w:before="0" w:line="360" w:lineRule="auto"/>
        <w:ind w:left="0" w:firstLine="482" w:firstLineChars="200"/>
        <w:jc w:val="left"/>
        <w:rPr>
          <w:rFonts w:ascii="Times New Roman" w:hAnsi="Times New Roman"/>
          <w:color w:val="000000" w:themeColor="text1"/>
          <w:spacing w:val="9"/>
          <w:kern w:val="0"/>
          <w:sz w:val="24"/>
          <w:szCs w:val="24"/>
          <w:highlight w:val="none"/>
          <w14:textFill>
            <w14:solidFill>
              <w14:schemeClr w14:val="tx1"/>
            </w14:solidFill>
          </w14:textFill>
        </w:rPr>
      </w:pPr>
      <w:r>
        <w:rPr>
          <w:rFonts w:ascii="Times New Roman" w:hAnsi="Times New Roman"/>
          <w:bCs w:val="0"/>
          <w:color w:val="000000" w:themeColor="text1"/>
          <w:sz w:val="24"/>
          <w:szCs w:val="24"/>
          <w:highlight w:val="none"/>
          <w14:textFill>
            <w14:solidFill>
              <w14:schemeClr w14:val="tx1"/>
            </w14:solidFill>
          </w14:textFill>
        </w:rPr>
        <w:t>第三方检测</w:t>
      </w:r>
      <w:r>
        <w:rPr>
          <w:rFonts w:hint="eastAsia" w:ascii="Times New Roman" w:hAnsi="Times New Roman"/>
          <w:bCs w:val="0"/>
          <w:color w:val="000000" w:themeColor="text1"/>
          <w:sz w:val="24"/>
          <w:szCs w:val="24"/>
          <w:highlight w:val="none"/>
          <w14:textFill>
            <w14:solidFill>
              <w14:schemeClr w14:val="tx1"/>
            </w14:solidFill>
          </w14:textFill>
        </w:rPr>
        <w:t>明细表</w:t>
      </w:r>
    </w:p>
    <w:tbl>
      <w:tblPr>
        <w:tblStyle w:val="22"/>
        <w:tblW w:w="9228" w:type="dxa"/>
        <w:tblInd w:w="0" w:type="dxa"/>
        <w:tblLayout w:type="fixed"/>
        <w:tblCellMar>
          <w:top w:w="0" w:type="dxa"/>
          <w:left w:w="0" w:type="dxa"/>
          <w:bottom w:w="0" w:type="dxa"/>
          <w:right w:w="0" w:type="dxa"/>
        </w:tblCellMar>
      </w:tblPr>
      <w:tblGrid>
        <w:gridCol w:w="846"/>
        <w:gridCol w:w="2187"/>
        <w:gridCol w:w="1995"/>
        <w:gridCol w:w="1400"/>
        <w:gridCol w:w="355"/>
        <w:gridCol w:w="1045"/>
        <w:gridCol w:w="1400"/>
      </w:tblGrid>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序号</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检测项目</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检测方法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单位</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数量</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备注</w:t>
            </w:r>
          </w:p>
        </w:tc>
      </w:tr>
      <w:tr>
        <w:tblPrEx>
          <w:tblCellMar>
            <w:top w:w="0" w:type="dxa"/>
            <w:left w:w="0" w:type="dxa"/>
            <w:bottom w:w="0" w:type="dxa"/>
            <w:right w:w="0" w:type="dxa"/>
          </w:tblCellMar>
        </w:tblPrEx>
        <w:trPr>
          <w:trHeight w:val="40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相对密度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抗压强度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抗压强度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回弹法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砌筑质量</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撬挖</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厚度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压实度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灌水法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混合料击实</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低应变</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竖向承载力</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静载试验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10</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水平承载力</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水平推力试验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11</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抗冻强度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机口取样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12</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抗渗强度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机口取样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13</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m</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14</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声波透射法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面</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完整性、竖向承载力</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高应变</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16</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钢筋笼长度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磁测井法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17</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梢径、长度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18</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压实度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环刀取样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19</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渗透系数</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环刀取样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土方击实</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21</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钢筋保护层厚度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电磁感应法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22</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注浆试验</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孔</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23</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焊缝</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超声波法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扇</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24</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钢板厚度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超声波法</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个构件</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25</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防腐涂层厚度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电磁感应</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个构件</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26</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安全性能</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27</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电气检测</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面</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3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28</w:t>
            </w:r>
          </w:p>
        </w:tc>
        <w:tc>
          <w:tcPr>
            <w:tcW w:w="21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电气检测</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627"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29</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kern w:val="0"/>
                <w:sz w:val="24"/>
                <w:highlight w:val="none"/>
                <w:lang w:bidi="ar"/>
                <w14:textFill>
                  <w14:solidFill>
                    <w14:schemeClr w14:val="tx1"/>
                  </w14:solidFill>
                </w14:textFill>
              </w:rPr>
            </w:pPr>
            <w:r>
              <w:rPr>
                <w:color w:val="000000" w:themeColor="text1"/>
                <w:kern w:val="0"/>
                <w:sz w:val="24"/>
                <w:highlight w:val="none"/>
                <w:lang w:bidi="ar"/>
                <w14:textFill>
                  <w14:solidFill>
                    <w14:schemeClr w14:val="tx1"/>
                  </w14:solidFill>
                </w14:textFill>
              </w:rPr>
              <w:t>变压器绕组连同套管的直流</w:t>
            </w:r>
          </w:p>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电阻、电压比、三相变压器接线组别和单相变压器极性、铁心</w:t>
            </w:r>
          </w:p>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及紧固件绝缘、绕组连同套管的绝缘电阻</w:t>
            </w:r>
          </w:p>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与吸收比、相序、接地</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30</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绝缘电阻、耐压试验</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31</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结构高程、垂直度、厚度、断面尺寸、平整度及外观尺寸测量等</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现场量测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rPr>
                <w:color w:val="000000" w:themeColor="text1"/>
                <w:sz w:val="24"/>
                <w:highlight w:val="none"/>
                <w14:textFill>
                  <w14:solidFill>
                    <w14:schemeClr w14:val="tx1"/>
                  </w14:solidFill>
                </w14:textFill>
              </w:rPr>
            </w:pP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32</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比表面积（水泥细度）、标准稠度、凝结时间、安定性、强度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水泥</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33</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细度模数、含泥量（石粉）、泥块含量、氯离子含量、表观密度、堆积密度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砂</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34</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颗分、含泥量、压碎指标值、超逊径、表观密度、堆积密度、泥块含量</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碎石</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35</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屈服强度、抗拉强度、伸长率、冷弯、重量偏差</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36</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钢筋焊接接头抗拉强度、冷弯等</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钢筋接头</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37</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单轴抗压强度、软化系数</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块石</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38</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厚度、抗拉强度、断后伸长率</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止水铜片</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39</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单位面积质量、厚度、拉伸（撕裂）强度、延伸率、顶破强度、渗透系数</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土工布</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40</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尺寸、环刚度、拉伸、冲击性能、纵向回缩率、静液压强度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塑料管材</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41</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硬度、拉伸强度、扯断伸长率、压缩永久变形、撕裂强度</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止水带</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42</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下游抛石防冲槽地貌图像</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声呐侧扫</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Style w:val="72"/>
                <w:rFonts w:hint="default" w:ascii="Times New Roman" w:hAnsi="Times New Roman" w:cs="Times New Roman"/>
                <w:color w:val="000000" w:themeColor="text1"/>
                <w:highlight w:val="none"/>
                <w:lang w:bidi="ar"/>
                <w14:textFill>
                  <w14:solidFill>
                    <w14:schemeClr w14:val="tx1"/>
                  </w14:solidFill>
                </w14:textFill>
              </w:rPr>
            </w:pPr>
            <w:r>
              <w:rPr>
                <w:rStyle w:val="72"/>
                <w:rFonts w:hint="default" w:ascii="Times New Roman" w:hAnsi="Times New Roman" w:cs="Times New Roman"/>
                <w:color w:val="000000" w:themeColor="text1"/>
                <w:highlight w:val="none"/>
                <w:lang w:bidi="ar"/>
                <w14:textFill>
                  <w14:solidFill>
                    <w14:schemeClr w14:val="tx1"/>
                  </w14:solidFill>
                </w14:textFill>
              </w:rPr>
              <w:t>满足验</w:t>
            </w:r>
          </w:p>
          <w:p>
            <w:pPr>
              <w:widowControl/>
              <w:jc w:val="center"/>
              <w:textAlignment w:val="center"/>
              <w:rPr>
                <w:color w:val="000000" w:themeColor="text1"/>
                <w:sz w:val="24"/>
                <w:highlight w:val="none"/>
                <w14:textFill>
                  <w14:solidFill>
                    <w14:schemeClr w14:val="tx1"/>
                  </w14:solidFill>
                </w14:textFill>
              </w:rPr>
            </w:pPr>
            <w:r>
              <w:rPr>
                <w:rStyle w:val="72"/>
                <w:rFonts w:hint="default" w:ascii="Times New Roman" w:hAnsi="Times New Roman" w:cs="Times New Roman"/>
                <w:color w:val="000000" w:themeColor="text1"/>
                <w:highlight w:val="none"/>
                <w:lang w:bidi="ar"/>
                <w14:textFill>
                  <w14:solidFill>
                    <w14:schemeClr w14:val="tx1"/>
                  </w14:solidFill>
                </w14:textFill>
              </w:rPr>
              <w:t>收要求</w:t>
            </w:r>
          </w:p>
        </w:tc>
      </w:tr>
      <w:tr>
        <w:tblPrEx>
          <w:tblCellMar>
            <w:top w:w="0" w:type="dxa"/>
            <w:left w:w="0" w:type="dxa"/>
            <w:bottom w:w="0" w:type="dxa"/>
            <w:right w:w="0" w:type="dxa"/>
          </w:tblCellMar>
        </w:tblPrEx>
        <w:trPr>
          <w:trHeight w:val="72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43</w:t>
            </w:r>
          </w:p>
        </w:tc>
        <w:tc>
          <w:tcPr>
            <w:tcW w:w="21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闸底板脱空注浆后探测</w:t>
            </w:r>
          </w:p>
        </w:tc>
        <w:tc>
          <w:tcPr>
            <w:tcW w:w="19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探地雷达探测</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项</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Style w:val="72"/>
                <w:rFonts w:hint="default" w:ascii="Times New Roman" w:hAnsi="Times New Roman" w:cs="Times New Roman"/>
                <w:color w:val="000000" w:themeColor="text1"/>
                <w:highlight w:val="none"/>
                <w:lang w:bidi="ar"/>
                <w14:textFill>
                  <w14:solidFill>
                    <w14:schemeClr w14:val="tx1"/>
                  </w14:solidFill>
                </w14:textFill>
              </w:rPr>
            </w:pPr>
            <w:r>
              <w:rPr>
                <w:rStyle w:val="72"/>
                <w:rFonts w:hint="default" w:ascii="Times New Roman" w:hAnsi="Times New Roman" w:cs="Times New Roman"/>
                <w:color w:val="000000" w:themeColor="text1"/>
                <w:highlight w:val="none"/>
                <w:lang w:bidi="ar"/>
                <w14:textFill>
                  <w14:solidFill>
                    <w14:schemeClr w14:val="tx1"/>
                  </w14:solidFill>
                </w14:textFill>
              </w:rPr>
              <w:t>满足验</w:t>
            </w:r>
          </w:p>
          <w:p>
            <w:pPr>
              <w:widowControl/>
              <w:jc w:val="center"/>
              <w:textAlignment w:val="center"/>
              <w:rPr>
                <w:color w:val="000000" w:themeColor="text1"/>
                <w:sz w:val="24"/>
                <w:highlight w:val="none"/>
                <w14:textFill>
                  <w14:solidFill>
                    <w14:schemeClr w14:val="tx1"/>
                  </w14:solidFill>
                </w14:textFill>
              </w:rPr>
            </w:pPr>
            <w:r>
              <w:rPr>
                <w:rStyle w:val="72"/>
                <w:rFonts w:hint="default" w:ascii="Times New Roman" w:hAnsi="Times New Roman" w:cs="Times New Roman"/>
                <w:color w:val="000000" w:themeColor="text1"/>
                <w:highlight w:val="none"/>
                <w:lang w:bidi="ar"/>
                <w14:textFill>
                  <w14:solidFill>
                    <w14:schemeClr w14:val="tx1"/>
                  </w14:solidFill>
                </w14:textFill>
              </w:rPr>
              <w:t>收要求</w:t>
            </w:r>
          </w:p>
        </w:tc>
      </w:tr>
      <w:tr>
        <w:tblPrEx>
          <w:tblCellMar>
            <w:top w:w="0" w:type="dxa"/>
            <w:left w:w="0" w:type="dxa"/>
            <w:bottom w:w="0" w:type="dxa"/>
            <w:right w:w="0" w:type="dxa"/>
          </w:tblCellMar>
        </w:tblPrEx>
        <w:trPr>
          <w:trHeight w:val="380" w:hRule="atLeast"/>
        </w:trPr>
        <w:tc>
          <w:tcPr>
            <w:tcW w:w="6783"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合计</w:t>
            </w:r>
          </w:p>
        </w:tc>
        <w:tc>
          <w:tcPr>
            <w:tcW w:w="244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color w:val="000000" w:themeColor="text1"/>
                <w:sz w:val="24"/>
                <w:highlight w:val="none"/>
                <w14:textFill>
                  <w14:solidFill>
                    <w14:schemeClr w14:val="tx1"/>
                  </w14:solidFill>
                </w14:textFill>
              </w:rPr>
            </w:pPr>
          </w:p>
        </w:tc>
      </w:tr>
    </w:tbl>
    <w:p>
      <w:pPr>
        <w:adjustRightInd w:val="0"/>
        <w:spacing w:line="400" w:lineRule="exact"/>
        <w:contextualSpacing/>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r>
        <w:rPr>
          <w:rStyle w:val="52"/>
          <w:rFonts w:hint="eastAsia" w:ascii="宋体" w:hAnsi="宋体"/>
          <w:b/>
          <w:color w:val="000000" w:themeColor="text1"/>
          <w:szCs w:val="21"/>
          <w:highlight w:val="none"/>
          <w14:textFill>
            <w14:solidFill>
              <w14:schemeClr w14:val="tx1"/>
            </w14:solidFill>
          </w14:textFill>
        </w:rPr>
        <w:t>检测费用单价以浙江省水利工程检测协会发布的《浙江省水利工程质量检测费用调研报告》（以下简称“调研报告”）为参考。</w:t>
      </w:r>
      <w:r>
        <w:rPr>
          <w:rFonts w:hint="eastAsia" w:ascii="宋体" w:hAnsi="宋体" w:cs="宋体"/>
          <w:b/>
          <w:color w:val="000000" w:themeColor="text1"/>
          <w:szCs w:val="21"/>
          <w:highlight w:val="none"/>
          <w14:textFill>
            <w14:solidFill>
              <w14:schemeClr w14:val="tx1"/>
            </w14:solidFill>
          </w14:textFill>
        </w:rPr>
        <w:t>如出现本表以外、调研报告以内的工作内容，检测单价按单价承包部分/单价承包部分限价（1</w:t>
      </w:r>
      <w:r>
        <w:rPr>
          <w:rFonts w:ascii="宋体" w:hAnsi="宋体" w:cs="宋体"/>
          <w:b/>
          <w:color w:val="000000" w:themeColor="text1"/>
          <w:szCs w:val="21"/>
          <w:highlight w:val="none"/>
          <w14:textFill>
            <w14:solidFill>
              <w14:schemeClr w14:val="tx1"/>
            </w14:solidFill>
          </w14:textFill>
        </w:rPr>
        <w:t>63</w:t>
      </w:r>
      <w:r>
        <w:rPr>
          <w:rFonts w:hint="eastAsia" w:ascii="宋体" w:hAnsi="宋体" w:cs="宋体"/>
          <w:b/>
          <w:color w:val="000000" w:themeColor="text1"/>
          <w:szCs w:val="21"/>
          <w:highlight w:val="none"/>
          <w14:textFill>
            <w14:solidFill>
              <w14:schemeClr w14:val="tx1"/>
            </w14:solidFill>
          </w14:textFill>
        </w:rPr>
        <w:t>万元）</w:t>
      </w:r>
      <w:r>
        <w:rPr>
          <w:rFonts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调研报告中单价计算；如出现本表及调研报告以外的工作内容，检测单价由双方另行协商。以上检测内容和数量仅为招投标使用，具体检测内容和数量以满足工程完（竣）工验收为准。</w:t>
      </w:r>
    </w:p>
    <w:p>
      <w:pPr>
        <w:pStyle w:val="2"/>
        <w:rPr>
          <w:color w:val="000000" w:themeColor="text1"/>
          <w:highlight w:val="none"/>
          <w14:textFill>
            <w14:solidFill>
              <w14:schemeClr w14:val="tx1"/>
            </w14:solidFill>
          </w14:textFill>
        </w:rPr>
      </w:pPr>
    </w:p>
    <w:p>
      <w:pPr>
        <w:spacing w:line="360" w:lineRule="auto"/>
        <w:jc w:val="left"/>
        <w:rPr>
          <w:rFonts w:ascii="宋体" w:hAnsi="宋体" w:cs="Arial"/>
          <w:b/>
          <w:color w:val="000000" w:themeColor="text1"/>
          <w:sz w:val="28"/>
          <w:highlight w:val="none"/>
          <w14:textFill>
            <w14:solidFill>
              <w14:schemeClr w14:val="tx1"/>
            </w14:solidFill>
          </w14:textFill>
        </w:rPr>
      </w:pPr>
      <w:r>
        <w:rPr>
          <w:rFonts w:hint="eastAsia" w:ascii="宋体" w:hAnsi="宋体" w:cs="Arial"/>
          <w:b/>
          <w:color w:val="000000" w:themeColor="text1"/>
          <w:sz w:val="28"/>
          <w:highlight w:val="none"/>
          <w14:textFill>
            <w14:solidFill>
              <w14:schemeClr w14:val="tx1"/>
            </w14:solidFill>
          </w14:textFill>
        </w:rPr>
        <w:t>二、服务费用</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合同所列的服务费用为完成本项目招标范围内所有服务工作的全部费用，已包含国家规定的增值税税金。 </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1、投标人应根据本招标文件所提供的资料及全过程工程咨询服务范围、内容，参照国家有关取费标准，并结合自身工程全过程工程咨询服务能力和投入，按招标文件的规定进行竞争报价。 </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2、本次招标的全过程工程咨询服务费报价应包括为完成本工程服务内容可能发生的各项费用，包括且不限于全过程工程咨询服务范围内的人工费、现场测量费、专家咨询费、外出考察费、会议费、差旅费、 管理费、通讯费、设备（仪器）费、利润、进驻人员工伤保险费和意外伤害保险费、税金、风险费以及政策和行业规定的各项税费，凡未列入的均将被认为已包含在投标总价中。 </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3、参加各阶段审查会、工程例会、配合法定审计，参加开工、交工、竣工、交付使用典礼活动所涉及的自身的相关费用等均由中标单位自理。</w:t>
      </w:r>
    </w:p>
    <w:p>
      <w:pPr>
        <w:pStyle w:val="39"/>
        <w:ind w:firstLine="237"/>
        <w:jc w:val="center"/>
        <w:rPr>
          <w:rStyle w:val="52"/>
          <w:rFonts w:cs="宋体"/>
          <w:b/>
          <w:bCs/>
          <w:color w:val="000000" w:themeColor="text1"/>
          <w:spacing w:val="-2"/>
          <w:sz w:val="24"/>
          <w:highlight w:val="none"/>
          <w14:textFill>
            <w14:solidFill>
              <w14:schemeClr w14:val="tx1"/>
            </w14:solidFill>
          </w14:textFill>
        </w:rPr>
      </w:pPr>
    </w:p>
    <w:p>
      <w:pPr>
        <w:pStyle w:val="39"/>
        <w:ind w:firstLine="297"/>
        <w:jc w:val="center"/>
        <w:rPr>
          <w:rStyle w:val="52"/>
          <w:rFonts w:cs="宋体"/>
          <w:b/>
          <w:bCs/>
          <w:color w:val="000000" w:themeColor="text1"/>
          <w:spacing w:val="-2"/>
          <w:sz w:val="24"/>
          <w:highlight w:val="none"/>
          <w14:textFill>
            <w14:solidFill>
              <w14:schemeClr w14:val="tx1"/>
            </w14:solidFill>
          </w14:textFill>
        </w:rPr>
      </w:pPr>
      <w:r>
        <w:rPr>
          <w:rStyle w:val="52"/>
          <w:rFonts w:cs="宋体"/>
          <w:b/>
          <w:bCs/>
          <w:color w:val="000000" w:themeColor="text1"/>
          <w:spacing w:val="-2"/>
          <w:sz w:val="30"/>
          <w:szCs w:val="30"/>
          <w:highlight w:val="none"/>
          <w14:textFill>
            <w14:solidFill>
              <w14:schemeClr w14:val="tx1"/>
            </w14:solidFill>
          </w14:textFill>
        </w:rPr>
        <w:t>全过程工程咨询服务办公和检测设备配置</w:t>
      </w:r>
    </w:p>
    <w:p>
      <w:pPr>
        <w:pStyle w:val="39"/>
        <w:spacing w:line="400" w:lineRule="exact"/>
        <w:ind w:firstLine="210"/>
        <w:jc w:val="left"/>
        <w:rPr>
          <w:rStyle w:val="52"/>
          <w:color w:val="000000" w:themeColor="text1"/>
          <w:highlight w:val="none"/>
          <w14:textFill>
            <w14:solidFill>
              <w14:schemeClr w14:val="tx1"/>
            </w14:solidFill>
          </w14:textFill>
        </w:rPr>
      </w:pP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1、工程咨询人应配备必要的办公用具和检测设备</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2、建设单位将通过施工单位提供现场办公场地给工程咨询单位，办公设施由工程咨询单位自行负责，食宿自理。不得使用或借用施工单位生活用房，不得搭伙施工单位食堂（建设单位按合同约定提供的施工现场办公用房除外）</w:t>
      </w:r>
    </w:p>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 xml:space="preserve">3、办公和检测设备配置基本要求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833"/>
        <w:gridCol w:w="4500"/>
        <w:gridCol w:w="2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序号</w:t>
            </w:r>
          </w:p>
        </w:tc>
        <w:tc>
          <w:tcPr>
            <w:tcW w:w="1833" w:type="dxa"/>
          </w:tcPr>
          <w:p>
            <w:pPr>
              <w:pStyle w:val="39"/>
              <w:spacing w:line="400" w:lineRule="exact"/>
              <w:ind w:firstLine="21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货物、设备名称</w:t>
            </w:r>
          </w:p>
        </w:tc>
        <w:tc>
          <w:tcPr>
            <w:tcW w:w="4500" w:type="dxa"/>
          </w:tcPr>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配置要求</w:t>
            </w:r>
          </w:p>
        </w:tc>
        <w:tc>
          <w:tcPr>
            <w:tcW w:w="2853" w:type="dxa"/>
          </w:tcPr>
          <w:p>
            <w:pPr>
              <w:pStyle w:val="39"/>
              <w:spacing w:line="400" w:lineRule="exact"/>
              <w:ind w:firstLineChars="20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1</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车辆</w:t>
            </w:r>
          </w:p>
        </w:tc>
        <w:tc>
          <w:tcPr>
            <w:tcW w:w="4500"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不少于 2 辆（至少包含1名专职驾驶员，不得由全过程咨询人员兼任）</w:t>
            </w:r>
          </w:p>
        </w:tc>
        <w:tc>
          <w:tcPr>
            <w:tcW w:w="285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施工期间项目组织机构人员工作证及车辆通行牌证办理费用自行承担。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2</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通讯</w:t>
            </w:r>
          </w:p>
        </w:tc>
        <w:tc>
          <w:tcPr>
            <w:tcW w:w="450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所有工作人员应配有移动电话并确保 24 小时 通讯畅通，项目负责人、各岗位负责人办公室 配备传真和电话。</w:t>
            </w:r>
          </w:p>
        </w:tc>
        <w:tc>
          <w:tcPr>
            <w:tcW w:w="285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通讯设备应满足正常工作需要。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3</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办公设备</w:t>
            </w:r>
          </w:p>
        </w:tc>
        <w:tc>
          <w:tcPr>
            <w:tcW w:w="450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至少应包括计算机、打印机、复印机、传真 机、照像机、摄像机、录音笔、投影仪等必备的办公设备和用品等。</w:t>
            </w:r>
          </w:p>
        </w:tc>
        <w:tc>
          <w:tcPr>
            <w:tcW w:w="285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配备的设备规格、型号及数量 应能够满足工程实际需要。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4</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办公、生活设备</w:t>
            </w:r>
          </w:p>
        </w:tc>
        <w:tc>
          <w:tcPr>
            <w:tcW w:w="450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包括日常办公、生活用品、家具、水电消耗、食 宿、维护等。</w:t>
            </w:r>
          </w:p>
        </w:tc>
        <w:tc>
          <w:tcPr>
            <w:tcW w:w="285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满足办公与生活需要。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5</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测量设备</w:t>
            </w:r>
          </w:p>
        </w:tc>
        <w:tc>
          <w:tcPr>
            <w:tcW w:w="450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应至少包括全站仪（精度达到 2″及以上）、水准仪、水平尺、测厚仪、回弹仪、温度测量仪、风速测量仪、湿度测量仪、光照测量仪、便 携式超声波流量仪、热成像仪、电气专用检 测设备等工程必要的仪器设备。</w:t>
            </w:r>
          </w:p>
        </w:tc>
        <w:tc>
          <w:tcPr>
            <w:tcW w:w="285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设备检测应符合相应的计量 规定。配备的设备规格、型号及量应能够满足工程实际需要。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pPr>
              <w:pStyle w:val="39"/>
              <w:spacing w:line="400" w:lineRule="exact"/>
              <w:ind w:firstLine="21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6</w:t>
            </w:r>
          </w:p>
        </w:tc>
        <w:tc>
          <w:tcPr>
            <w:tcW w:w="1833" w:type="dxa"/>
            <w:vAlign w:val="center"/>
          </w:tcPr>
          <w:p>
            <w:pPr>
              <w:pStyle w:val="39"/>
              <w:spacing w:line="400" w:lineRule="exact"/>
              <w:ind w:firstLine="0" w:firstLineChars="0"/>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其他设备</w:t>
            </w:r>
          </w:p>
        </w:tc>
        <w:tc>
          <w:tcPr>
            <w:tcW w:w="4500"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为完成本项目所需的其它设备。</w:t>
            </w:r>
          </w:p>
        </w:tc>
        <w:tc>
          <w:tcPr>
            <w:tcW w:w="2853" w:type="dxa"/>
          </w:tcPr>
          <w:p>
            <w:pPr>
              <w:pStyle w:val="39"/>
              <w:spacing w:line="400" w:lineRule="exact"/>
              <w:ind w:firstLine="0" w:firstLineChars="0"/>
              <w:jc w:val="left"/>
              <w:rPr>
                <w:rStyle w:val="52"/>
                <w:color w:val="000000" w:themeColor="text1"/>
                <w:highlight w:val="none"/>
                <w14:textFill>
                  <w14:solidFill>
                    <w14:schemeClr w14:val="tx1"/>
                  </w14:solidFill>
                </w14:textFill>
              </w:rPr>
            </w:pPr>
            <w:r>
              <w:rPr>
                <w:rStyle w:val="52"/>
                <w:rFonts w:hint="eastAsia"/>
                <w:color w:val="000000" w:themeColor="text1"/>
                <w:highlight w:val="none"/>
                <w14:textFill>
                  <w14:solidFill>
                    <w14:schemeClr w14:val="tx1"/>
                  </w14:solidFill>
                </w14:textFill>
              </w:rPr>
              <w:t>投标人自行考虑。</w:t>
            </w:r>
          </w:p>
        </w:tc>
      </w:tr>
    </w:tbl>
    <w:p>
      <w:pPr>
        <w:pStyle w:val="39"/>
        <w:spacing w:line="400" w:lineRule="exact"/>
        <w:ind w:firstLine="0" w:firstLineChars="0"/>
        <w:jc w:val="left"/>
        <w:rPr>
          <w:rFonts w:ascii="宋体" w:hAnsi="宋体" w:cs="宋体"/>
          <w:color w:val="000000" w:themeColor="text1"/>
          <w:sz w:val="24"/>
          <w:highlight w:val="none"/>
          <w14:textFill>
            <w14:solidFill>
              <w14:schemeClr w14:val="tx1"/>
            </w14:solidFill>
          </w14:textFill>
        </w:rPr>
      </w:pPr>
    </w:p>
    <w:p>
      <w:pPr>
        <w:pStyle w:val="39"/>
        <w:spacing w:line="400" w:lineRule="exact"/>
        <w:ind w:firstLine="0" w:firstLineChars="0"/>
        <w:jc w:val="left"/>
        <w:rPr>
          <w:rFonts w:ascii="宋体" w:hAnsi="宋体" w:cs="宋体"/>
          <w:color w:val="000000" w:themeColor="text1"/>
          <w:sz w:val="2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pStyle w:val="18"/>
        <w:spacing w:line="600" w:lineRule="exact"/>
        <w:ind w:left="0" w:firstLine="0"/>
        <w:jc w:val="center"/>
        <w:rPr>
          <w:rFonts w:ascii="宋体" w:hAnsi="宋体"/>
          <w:bCs/>
          <w:color w:val="000000" w:themeColor="text1"/>
          <w:position w:val="6"/>
          <w:sz w:val="44"/>
          <w:szCs w:val="44"/>
          <w:highlight w:val="none"/>
          <w14:textFill>
            <w14:solidFill>
              <w14:schemeClr w14:val="tx1"/>
            </w14:solidFill>
          </w14:textFill>
        </w:rPr>
      </w:pPr>
    </w:p>
    <w:p>
      <w:pPr>
        <w:rPr>
          <w:rFonts w:ascii="宋体" w:hAnsi="宋体"/>
          <w:bCs/>
          <w:color w:val="000000" w:themeColor="text1"/>
          <w:position w:val="6"/>
          <w:sz w:val="44"/>
          <w:szCs w:val="44"/>
          <w:highlight w:val="none"/>
          <w14:textFill>
            <w14:solidFill>
              <w14:schemeClr w14:val="tx1"/>
            </w14:solidFill>
          </w14:textFill>
        </w:rPr>
      </w:pPr>
      <w:r>
        <w:rPr>
          <w:rFonts w:hint="eastAsia" w:ascii="宋体" w:hAnsi="宋体"/>
          <w:bCs/>
          <w:color w:val="000000" w:themeColor="text1"/>
          <w:position w:val="6"/>
          <w:sz w:val="44"/>
          <w:szCs w:val="44"/>
          <w:highlight w:val="none"/>
          <w14:textFill>
            <w14:solidFill>
              <w14:schemeClr w14:val="tx1"/>
            </w14:solidFill>
          </w14:textFill>
        </w:rPr>
        <w:br w:type="page"/>
      </w:r>
    </w:p>
    <w:p>
      <w:pPr>
        <w:pStyle w:val="18"/>
        <w:spacing w:line="600" w:lineRule="exact"/>
        <w:ind w:left="0" w:firstLine="0"/>
        <w:jc w:val="center"/>
        <w:rPr>
          <w:rFonts w:ascii="宋体" w:hAnsi="宋体"/>
          <w:color w:val="000000" w:themeColor="text1"/>
          <w:sz w:val="44"/>
          <w:szCs w:val="44"/>
          <w:highlight w:val="none"/>
          <w14:textFill>
            <w14:solidFill>
              <w14:schemeClr w14:val="tx1"/>
            </w14:solidFill>
          </w14:textFill>
        </w:rPr>
      </w:pPr>
      <w:r>
        <w:rPr>
          <w:rFonts w:hint="eastAsia" w:ascii="宋体" w:hAnsi="宋体"/>
          <w:bCs/>
          <w:color w:val="000000" w:themeColor="text1"/>
          <w:position w:val="6"/>
          <w:sz w:val="44"/>
          <w:szCs w:val="44"/>
          <w:highlight w:val="none"/>
          <w14:textFill>
            <w14:solidFill>
              <w14:schemeClr w14:val="tx1"/>
            </w14:solidFill>
          </w14:textFill>
        </w:rPr>
        <w:t>第五章  投标文件（附表件）</w:t>
      </w:r>
    </w:p>
    <w:p>
      <w:pPr>
        <w:adjustRightInd w:val="0"/>
        <w:snapToGrid w:val="0"/>
        <w:spacing w:line="360" w:lineRule="auto"/>
        <w:rPr>
          <w:rFonts w:ascii="宋体" w:hAnsi="宋体"/>
          <w:b/>
          <w:color w:val="000000" w:themeColor="text1"/>
          <w:sz w:val="24"/>
          <w:highlight w:val="none"/>
          <w14:textFill>
            <w14:solidFill>
              <w14:schemeClr w14:val="tx1"/>
            </w14:solidFill>
          </w14:textFill>
        </w:rPr>
      </w:pPr>
    </w:p>
    <w:p>
      <w:pPr>
        <w:adjustRightInd w:val="0"/>
        <w:snapToGrid w:val="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资格审查文件封面</w:t>
      </w:r>
    </w:p>
    <w:p>
      <w:pPr>
        <w:spacing w:line="360" w:lineRule="auto"/>
        <w:ind w:firstLine="1280" w:firstLineChars="400"/>
        <w:rPr>
          <w:rFonts w:ascii="宋体" w:hAnsi="宋体"/>
          <w:color w:val="000000" w:themeColor="text1"/>
          <w:sz w:val="32"/>
          <w:highlight w:val="none"/>
          <w:u w:val="single"/>
          <w14:textFill>
            <w14:solidFill>
              <w14:schemeClr w14:val="tx1"/>
            </w14:solidFill>
          </w14:textFill>
        </w:rPr>
      </w:pPr>
    </w:p>
    <w:p>
      <w:pPr>
        <w:spacing w:line="360" w:lineRule="auto"/>
        <w:ind w:firstLine="1280" w:firstLineChars="400"/>
        <w:rPr>
          <w:rFonts w:ascii="宋体" w:hAnsi="宋体"/>
          <w:color w:val="000000" w:themeColor="text1"/>
          <w:sz w:val="32"/>
          <w:highlight w:val="none"/>
          <w:u w:val="single"/>
          <w14:textFill>
            <w14:solidFill>
              <w14:schemeClr w14:val="tx1"/>
            </w14:solidFill>
          </w14:textFill>
        </w:rPr>
      </w:pPr>
    </w:p>
    <w:p>
      <w:pPr>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u w:val="single"/>
          <w14:textFill>
            <w14:solidFill>
              <w14:schemeClr w14:val="tx1"/>
            </w14:solidFill>
          </w14:textFill>
        </w:rPr>
        <w:t xml:space="preserve">                       </w:t>
      </w:r>
      <w:r>
        <w:rPr>
          <w:rFonts w:hint="eastAsia" w:ascii="宋体" w:hAnsi="宋体"/>
          <w:b/>
          <w:color w:val="000000" w:themeColor="text1"/>
          <w:sz w:val="36"/>
          <w:szCs w:val="36"/>
          <w:highlight w:val="none"/>
          <w14:textFill>
            <w14:solidFill>
              <w14:schemeClr w14:val="tx1"/>
            </w14:solidFill>
          </w14:textFill>
        </w:rPr>
        <w:t>全过程工程咨询</w:t>
      </w:r>
    </w:p>
    <w:p>
      <w:pPr>
        <w:spacing w:line="360" w:lineRule="auto"/>
        <w:jc w:val="center"/>
        <w:rPr>
          <w:rFonts w:ascii="宋体" w:hAnsi="宋体"/>
          <w:b/>
          <w:color w:val="000000" w:themeColor="text1"/>
          <w:sz w:val="48"/>
          <w:highlight w:val="none"/>
          <w14:textFill>
            <w14:solidFill>
              <w14:schemeClr w14:val="tx1"/>
            </w14:solidFill>
          </w14:textFill>
        </w:rPr>
      </w:pPr>
    </w:p>
    <w:p>
      <w:pPr>
        <w:spacing w:line="360" w:lineRule="auto"/>
        <w:jc w:val="center"/>
        <w:rPr>
          <w:rFonts w:ascii="宋体" w:hAnsi="宋体"/>
          <w:b/>
          <w:color w:val="000000" w:themeColor="text1"/>
          <w:sz w:val="48"/>
          <w:highlight w:val="none"/>
          <w14:textFill>
            <w14:solidFill>
              <w14:schemeClr w14:val="tx1"/>
            </w14:solidFill>
          </w14:textFill>
        </w:rPr>
      </w:pPr>
    </w:p>
    <w:p>
      <w:pPr>
        <w:spacing w:line="360" w:lineRule="auto"/>
        <w:jc w:val="center"/>
        <w:rPr>
          <w:rFonts w:ascii="宋体" w:hAnsi="宋体"/>
          <w:b/>
          <w:color w:val="000000" w:themeColor="text1"/>
          <w:sz w:val="48"/>
          <w:highlight w:val="none"/>
          <w14:textFill>
            <w14:solidFill>
              <w14:schemeClr w14:val="tx1"/>
            </w14:solidFill>
          </w14:textFill>
        </w:rPr>
      </w:pPr>
      <w:r>
        <w:rPr>
          <w:rFonts w:hint="eastAsia" w:ascii="宋体" w:hAnsi="宋体"/>
          <w:b/>
          <w:color w:val="000000" w:themeColor="text1"/>
          <w:sz w:val="48"/>
          <w:highlight w:val="none"/>
          <w14:textFill>
            <w14:solidFill>
              <w14:schemeClr w14:val="tx1"/>
            </w14:solidFill>
          </w14:textFill>
        </w:rPr>
        <w:t xml:space="preserve">投 标 文 件 </w:t>
      </w:r>
    </w:p>
    <w:p>
      <w:pPr>
        <w:spacing w:line="360" w:lineRule="auto"/>
        <w:jc w:val="center"/>
        <w:rPr>
          <w:rFonts w:ascii="宋体" w:hAnsi="宋体"/>
          <w:b/>
          <w:color w:val="000000" w:themeColor="text1"/>
          <w:sz w:val="36"/>
          <w:highlight w:val="none"/>
          <w14:textFill>
            <w14:solidFill>
              <w14:schemeClr w14:val="tx1"/>
            </w14:solidFill>
          </w14:textFill>
        </w:rPr>
      </w:pPr>
    </w:p>
    <w:p>
      <w:pPr>
        <w:spacing w:line="360" w:lineRule="auto"/>
        <w:rPr>
          <w:rFonts w:ascii="宋体" w:hAnsi="宋体"/>
          <w:b/>
          <w:color w:val="000000" w:themeColor="text1"/>
          <w:sz w:val="28"/>
          <w:highlight w:val="none"/>
          <w14:textFill>
            <w14:solidFill>
              <w14:schemeClr w14:val="tx1"/>
            </w14:solidFill>
          </w14:textFill>
        </w:rPr>
      </w:pPr>
    </w:p>
    <w:p>
      <w:pPr>
        <w:spacing w:line="360" w:lineRule="auto"/>
        <w:rPr>
          <w:rFonts w:ascii="宋体" w:hAnsi="宋体"/>
          <w:b/>
          <w:color w:val="000000" w:themeColor="text1"/>
          <w:sz w:val="28"/>
          <w:highlight w:val="none"/>
          <w14:textFill>
            <w14:solidFill>
              <w14:schemeClr w14:val="tx1"/>
            </w14:solidFill>
          </w14:textFill>
        </w:rPr>
      </w:pPr>
    </w:p>
    <w:p>
      <w:pPr>
        <w:spacing w:line="360" w:lineRule="auto"/>
        <w:rPr>
          <w:rFonts w:ascii="宋体" w:hAnsi="宋体"/>
          <w:b/>
          <w:color w:val="000000" w:themeColor="text1"/>
          <w:sz w:val="28"/>
          <w:highlight w:val="none"/>
          <w14:textFill>
            <w14:solidFill>
              <w14:schemeClr w14:val="tx1"/>
            </w14:solidFill>
          </w14:textFill>
        </w:rPr>
      </w:pPr>
    </w:p>
    <w:p>
      <w:pPr>
        <w:spacing w:line="360" w:lineRule="auto"/>
        <w:rPr>
          <w:rFonts w:ascii="宋体" w:hAnsi="宋体"/>
          <w:b/>
          <w:color w:val="000000" w:themeColor="text1"/>
          <w:sz w:val="28"/>
          <w:highlight w:val="none"/>
          <w14:textFill>
            <w14:solidFill>
              <w14:schemeClr w14:val="tx1"/>
            </w14:solidFill>
          </w14:textFill>
        </w:rPr>
      </w:pPr>
    </w:p>
    <w:p>
      <w:pPr>
        <w:spacing w:line="360" w:lineRule="auto"/>
        <w:rPr>
          <w:rFonts w:ascii="宋体" w:hAnsi="宋体"/>
          <w:b/>
          <w:color w:val="000000" w:themeColor="text1"/>
          <w:sz w:val="28"/>
          <w:highlight w:val="none"/>
          <w14:textFill>
            <w14:solidFill>
              <w14:schemeClr w14:val="tx1"/>
            </w14:solidFill>
          </w14:textFill>
        </w:rPr>
      </w:pPr>
    </w:p>
    <w:p>
      <w:pPr>
        <w:spacing w:line="360" w:lineRule="auto"/>
        <w:ind w:firstLine="560" w:firstLineChars="20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投标文件内容：</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b/>
          <w:color w:val="000000" w:themeColor="text1"/>
          <w:sz w:val="28"/>
          <w:highlight w:val="none"/>
          <w:u w:val="single"/>
          <w14:textFill>
            <w14:solidFill>
              <w14:schemeClr w14:val="tx1"/>
            </w14:solidFill>
          </w14:textFill>
        </w:rPr>
        <w:t>资格审查资料/技术标/商务标</w:t>
      </w:r>
      <w:r>
        <w:rPr>
          <w:rFonts w:ascii="宋体" w:hAnsi="宋体"/>
          <w:b/>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p>
    <w:p>
      <w:pPr>
        <w:spacing w:line="360" w:lineRule="auto"/>
        <w:ind w:firstLine="560" w:firstLineChars="200"/>
        <w:rPr>
          <w:rFonts w:ascii="宋体" w:hAnsi="宋体"/>
          <w:b/>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投标人：</w:t>
      </w:r>
      <w:r>
        <w:rPr>
          <w:rFonts w:ascii="宋体" w:hAnsi="宋体"/>
          <w:b/>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(盖章)</w:t>
      </w:r>
      <w:r>
        <w:rPr>
          <w:rFonts w:ascii="宋体" w:hAnsi="宋体"/>
          <w:color w:val="000000" w:themeColor="text1"/>
          <w:sz w:val="28"/>
          <w:highlight w:val="none"/>
          <w:u w:val="single"/>
          <w14:textFill>
            <w14:solidFill>
              <w14:schemeClr w14:val="tx1"/>
            </w14:solidFill>
          </w14:textFill>
        </w:rPr>
        <w:t xml:space="preserve">       </w:t>
      </w:r>
    </w:p>
    <w:p>
      <w:pPr>
        <w:spacing w:line="360" w:lineRule="auto"/>
        <w:ind w:firstLine="560" w:firstLineChars="200"/>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法定代表人或其委托代理人：</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(签字或盖章)</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p>
    <w:p>
      <w:pPr>
        <w:spacing w:line="360" w:lineRule="auto"/>
        <w:ind w:firstLine="560" w:firstLineChars="20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日期：</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w:t>
      </w:r>
    </w:p>
    <w:p>
      <w:pPr>
        <w:pStyle w:val="18"/>
        <w:tabs>
          <w:tab w:val="left" w:pos="0"/>
          <w:tab w:val="left" w:pos="540"/>
          <w:tab w:val="clear" w:pos="1800"/>
        </w:tabs>
        <w:spacing w:line="360" w:lineRule="exact"/>
        <w:ind w:left="0" w:firstLine="0"/>
        <w:rPr>
          <w:rFonts w:ascii="宋体" w:hAnsi="宋体"/>
          <w:bCs/>
          <w:color w:val="000000" w:themeColor="text1"/>
          <w:highlight w:val="none"/>
          <w14:textFill>
            <w14:solidFill>
              <w14:schemeClr w14:val="tx1"/>
            </w14:solidFill>
          </w14:textFill>
        </w:rPr>
      </w:pPr>
    </w:p>
    <w:p>
      <w:pPr>
        <w:pStyle w:val="18"/>
        <w:tabs>
          <w:tab w:val="left" w:pos="0"/>
          <w:tab w:val="left" w:pos="540"/>
          <w:tab w:val="clear" w:pos="1800"/>
        </w:tabs>
        <w:spacing w:line="360" w:lineRule="exact"/>
        <w:ind w:left="0" w:firstLine="0"/>
        <w:rPr>
          <w:rFonts w:ascii="宋体" w:hAnsi="宋体"/>
          <w:bCs/>
          <w:color w:val="000000" w:themeColor="text1"/>
          <w:highlight w:val="none"/>
          <w14:textFill>
            <w14:solidFill>
              <w14:schemeClr w14:val="tx1"/>
            </w14:solidFill>
          </w14:textFill>
        </w:rPr>
      </w:pPr>
    </w:p>
    <w:p>
      <w:pPr>
        <w:spacing w:line="360" w:lineRule="auto"/>
        <w:ind w:left="315" w:leftChars="150"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注：若以联合体形式投标的，允许只盖联合体牵头单位的章。</w:t>
      </w:r>
    </w:p>
    <w:p>
      <w:pPr>
        <w:tabs>
          <w:tab w:val="left" w:pos="0"/>
          <w:tab w:val="left" w:pos="720"/>
          <w:tab w:val="left" w:pos="900"/>
        </w:tabs>
        <w:spacing w:line="420" w:lineRule="exact"/>
        <w:jc w:val="center"/>
        <w:rPr>
          <w:rFonts w:ascii="宋体" w:hAnsi="宋体"/>
          <w:color w:val="000000" w:themeColor="text1"/>
          <w:sz w:val="28"/>
          <w:highlight w:val="none"/>
          <w:u w:val="singl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br w:type="page"/>
      </w:r>
    </w:p>
    <w:p>
      <w:pPr>
        <w:spacing w:before="240" w:line="400" w:lineRule="exact"/>
        <w:jc w:val="center"/>
        <w:rPr>
          <w:rFonts w:ascii="宋体"/>
          <w:b/>
          <w:color w:val="000000" w:themeColor="text1"/>
          <w:sz w:val="28"/>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法定代表人身份证明书</w:t>
      </w:r>
    </w:p>
    <w:p>
      <w:pPr>
        <w:spacing w:line="360" w:lineRule="auto"/>
        <w:jc w:val="center"/>
        <w:rPr>
          <w:rFonts w:ascii="宋体"/>
          <w:b/>
          <w:color w:val="000000" w:themeColor="text1"/>
          <w:sz w:val="28"/>
          <w:highlight w:val="none"/>
          <w14:textFill>
            <w14:solidFill>
              <w14:schemeClr w14:val="tx1"/>
            </w14:solidFill>
          </w14:textFill>
        </w:rPr>
      </w:pPr>
    </w:p>
    <w:p>
      <w:pPr>
        <w:spacing w:line="360" w:lineRule="auto"/>
        <w:jc w:val="left"/>
        <w:rPr>
          <w:rFonts w:ascii="宋体"/>
          <w:color w:val="000000" w:themeColor="text1"/>
          <w:sz w:val="24"/>
          <w:highlight w:val="none"/>
          <w:u w:val="single"/>
          <w14:textFill>
            <w14:solidFill>
              <w14:schemeClr w14:val="tx1"/>
            </w14:solidFill>
          </w14:textFill>
        </w:rPr>
      </w:pPr>
      <w:r>
        <w:rPr>
          <w:rFonts w:hint="eastAsia" w:ascii="宋体"/>
          <w:color w:val="000000" w:themeColor="text1"/>
          <w:sz w:val="24"/>
          <w:highlight w:val="none"/>
          <w14:textFill>
            <w14:solidFill>
              <w14:schemeClr w14:val="tx1"/>
            </w14:solidFill>
          </w14:textFill>
        </w:rPr>
        <w:t>单位名称：</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p>
    <w:p>
      <w:pPr>
        <w:spacing w:line="360" w:lineRule="auto"/>
        <w:jc w:val="left"/>
        <w:rPr>
          <w:rFonts w:ascii="宋体"/>
          <w:color w:val="000000" w:themeColor="text1"/>
          <w:sz w:val="24"/>
          <w:highlight w:val="none"/>
          <w:u w:val="single"/>
          <w14:textFill>
            <w14:solidFill>
              <w14:schemeClr w14:val="tx1"/>
            </w14:solidFill>
          </w14:textFill>
        </w:rPr>
      </w:pPr>
      <w:r>
        <w:rPr>
          <w:rFonts w:hint="eastAsia" w:ascii="宋体"/>
          <w:color w:val="000000" w:themeColor="text1"/>
          <w:sz w:val="24"/>
          <w:highlight w:val="none"/>
          <w14:textFill>
            <w14:solidFill>
              <w14:schemeClr w14:val="tx1"/>
            </w14:solidFill>
          </w14:textFill>
        </w:rPr>
        <w:t>单位性质：</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p>
    <w:p>
      <w:pPr>
        <w:spacing w:line="360" w:lineRule="auto"/>
        <w:jc w:val="left"/>
        <w:rPr>
          <w:rFonts w:ascii="宋体"/>
          <w:color w:val="000000" w:themeColor="text1"/>
          <w:sz w:val="24"/>
          <w:highlight w:val="none"/>
          <w:u w:val="single"/>
          <w14:textFill>
            <w14:solidFill>
              <w14:schemeClr w14:val="tx1"/>
            </w14:solidFill>
          </w14:textFill>
        </w:rPr>
      </w:pPr>
      <w:r>
        <w:rPr>
          <w:rFonts w:hint="eastAsia" w:ascii="宋体"/>
          <w:color w:val="000000" w:themeColor="text1"/>
          <w:sz w:val="24"/>
          <w:highlight w:val="none"/>
          <w14:textFill>
            <w14:solidFill>
              <w14:schemeClr w14:val="tx1"/>
            </w14:solidFill>
          </w14:textFill>
        </w:rPr>
        <w:t>地</w:t>
      </w: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址：</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电话号码：</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成立时间：</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年</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月</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日</w:t>
      </w:r>
    </w:p>
    <w:p>
      <w:pPr>
        <w:spacing w:line="360" w:lineRule="auto"/>
        <w:jc w:val="left"/>
        <w:rPr>
          <w:rFonts w:ascii="宋体"/>
          <w:color w:val="000000" w:themeColor="text1"/>
          <w:sz w:val="24"/>
          <w:highlight w:val="none"/>
          <w:u w:val="single"/>
          <w14:textFill>
            <w14:solidFill>
              <w14:schemeClr w14:val="tx1"/>
            </w14:solidFill>
          </w14:textFill>
        </w:rPr>
      </w:pPr>
      <w:r>
        <w:rPr>
          <w:rFonts w:hint="eastAsia" w:ascii="宋体"/>
          <w:color w:val="000000" w:themeColor="text1"/>
          <w:sz w:val="24"/>
          <w:highlight w:val="none"/>
          <w14:textFill>
            <w14:solidFill>
              <w14:schemeClr w14:val="tx1"/>
            </w14:solidFill>
          </w14:textFill>
        </w:rPr>
        <w:t>经营期限：</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p>
    <w:p>
      <w:pPr>
        <w:spacing w:line="360" w:lineRule="auto"/>
        <w:rPr>
          <w:rFonts w:ascii="宋体"/>
          <w:color w:val="000000" w:themeColor="text1"/>
          <w:sz w:val="24"/>
          <w:highlight w:val="none"/>
          <w:u w:val="single"/>
          <w14:textFill>
            <w14:solidFill>
              <w14:schemeClr w14:val="tx1"/>
            </w14:solidFill>
          </w14:textFill>
        </w:rPr>
      </w:pPr>
      <w:r>
        <w:rPr>
          <w:rFonts w:hint="eastAsia" w:ascii="宋体"/>
          <w:color w:val="000000" w:themeColor="text1"/>
          <w:sz w:val="24"/>
          <w:highlight w:val="none"/>
          <w14:textFill>
            <w14:solidFill>
              <w14:schemeClr w14:val="tx1"/>
            </w14:solidFill>
          </w14:textFill>
        </w:rPr>
        <w:t>姓</w:t>
      </w: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名：</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性别：</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年龄：</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职务：</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系</w:t>
      </w:r>
      <w:r>
        <w:rPr>
          <w:rFonts w:ascii="宋体"/>
          <w:color w:val="000000" w:themeColor="text1"/>
          <w:sz w:val="24"/>
          <w:highlight w:val="non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(投标人名称)</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的法定代表人。</w:t>
      </w:r>
    </w:p>
    <w:p>
      <w:pPr>
        <w:spacing w:line="360" w:lineRule="auto"/>
        <w:rPr>
          <w:rFonts w:ascii="宋体"/>
          <w:color w:val="000000" w:themeColor="text1"/>
          <w:sz w:val="24"/>
          <w:highlight w:val="none"/>
          <w14:textFill>
            <w14:solidFill>
              <w14:schemeClr w14:val="tx1"/>
            </w14:solidFill>
          </w14:textFill>
        </w:rPr>
      </w:pPr>
    </w:p>
    <w:p>
      <w:pPr>
        <w:spacing w:line="360" w:lineRule="auto"/>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特此证明。</w:t>
      </w:r>
    </w:p>
    <w:p>
      <w:pPr>
        <w:spacing w:line="360" w:lineRule="auto"/>
        <w:rPr>
          <w:rFonts w:ascii="宋体"/>
          <w:color w:val="000000" w:themeColor="text1"/>
          <w:sz w:val="24"/>
          <w:highlight w:val="none"/>
          <w14:textFill>
            <w14:solidFill>
              <w14:schemeClr w14:val="tx1"/>
            </w14:solidFill>
          </w14:textFill>
        </w:rPr>
      </w:pPr>
    </w:p>
    <w:p>
      <w:pPr>
        <w:spacing w:line="360" w:lineRule="auto"/>
        <w:rPr>
          <w:rFonts w:ascii="宋体"/>
          <w:color w:val="000000" w:themeColor="text1"/>
          <w:sz w:val="24"/>
          <w:highlight w:val="none"/>
          <w14:textFill>
            <w14:solidFill>
              <w14:schemeClr w14:val="tx1"/>
            </w14:solidFill>
          </w14:textFill>
        </w:rPr>
      </w:pPr>
    </w:p>
    <w:p>
      <w:pPr>
        <w:spacing w:line="360" w:lineRule="auto"/>
        <w:rPr>
          <w:rFonts w:ascii="宋体"/>
          <w:color w:val="000000" w:themeColor="text1"/>
          <w:sz w:val="24"/>
          <w:highlight w:val="none"/>
          <w:u w:val="single"/>
          <w14:textFill>
            <w14:solidFill>
              <w14:schemeClr w14:val="tx1"/>
            </w14:solidFill>
          </w14:textFill>
        </w:rPr>
      </w:pP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投标人：</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u w:val="single"/>
          <w14:textFill>
            <w14:solidFill>
              <w14:schemeClr w14:val="tx1"/>
            </w14:solidFill>
          </w14:textFill>
        </w:rPr>
        <w:t xml:space="preserve">      </w:t>
      </w: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(盖本单位公章)</w:t>
      </w:r>
      <w:r>
        <w:rPr>
          <w:rFonts w:ascii="宋体"/>
          <w:color w:val="000000" w:themeColor="text1"/>
          <w:sz w:val="24"/>
          <w:highlight w:val="none"/>
          <w14:textFill>
            <w14:solidFill>
              <w14:schemeClr w14:val="tx1"/>
            </w14:solidFill>
          </w14:textFill>
        </w:rPr>
        <w:t xml:space="preserve"> </w:t>
      </w:r>
    </w:p>
    <w:p>
      <w:pPr>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日</w:t>
      </w:r>
      <w:r>
        <w:rPr>
          <w:rFonts w:ascii="宋体"/>
          <w:color w:val="000000" w:themeColor="text1"/>
          <w:sz w:val="24"/>
          <w:highlight w:val="non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期：</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年</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月</w:t>
      </w:r>
      <w:r>
        <w:rPr>
          <w:rFonts w:ascii="宋体"/>
          <w:color w:val="000000" w:themeColor="text1"/>
          <w:sz w:val="24"/>
          <w:highlight w:val="none"/>
          <w:u w:val="single"/>
          <w14:textFill>
            <w14:solidFill>
              <w14:schemeClr w14:val="tx1"/>
            </w14:solidFill>
          </w14:textFill>
        </w:rPr>
        <w:t xml:space="preserve">       </w:t>
      </w:r>
      <w:r>
        <w:rPr>
          <w:rFonts w:hint="eastAsia" w:ascii="宋体"/>
          <w:color w:val="000000" w:themeColor="text1"/>
          <w:sz w:val="24"/>
          <w:highlight w:val="none"/>
          <w14:textFill>
            <w14:solidFill>
              <w14:schemeClr w14:val="tx1"/>
            </w14:solidFill>
          </w14:textFill>
        </w:rPr>
        <w:t>日</w:t>
      </w:r>
    </w:p>
    <w:p>
      <w:pPr>
        <w:spacing w:line="360" w:lineRule="auto"/>
        <w:rPr>
          <w:rFonts w:ascii="宋体"/>
          <w:b/>
          <w:color w:val="000000" w:themeColor="text1"/>
          <w:sz w:val="24"/>
          <w:highlight w:val="none"/>
          <w14:textFill>
            <w14:solidFill>
              <w14:schemeClr w14:val="tx1"/>
            </w14:solidFill>
          </w14:textFill>
        </w:rPr>
      </w:pPr>
    </w:p>
    <w:p>
      <w:pPr>
        <w:spacing w:line="360" w:lineRule="auto"/>
        <w:rPr>
          <w:rFonts w:ascii="宋体"/>
          <w:b/>
          <w:color w:val="000000" w:themeColor="text1"/>
          <w:sz w:val="24"/>
          <w:highlight w:val="none"/>
          <w14:textFill>
            <w14:solidFill>
              <w14:schemeClr w14:val="tx1"/>
            </w14:solidFill>
          </w14:textFill>
        </w:rPr>
      </w:pPr>
    </w:p>
    <w:p>
      <w:pPr>
        <w:spacing w:line="360" w:lineRule="auto"/>
        <w:rPr>
          <w:rFonts w:ascii="宋体"/>
          <w:b/>
          <w:color w:val="000000" w:themeColor="text1"/>
          <w:sz w:val="24"/>
          <w:highlight w:val="none"/>
          <w14:textFill>
            <w14:solidFill>
              <w14:schemeClr w14:val="tx1"/>
            </w14:solidFill>
          </w14:textFill>
        </w:rPr>
      </w:pPr>
    </w:p>
    <w:p>
      <w:pPr>
        <w:spacing w:before="240" w:line="400" w:lineRule="exact"/>
        <w:jc w:val="center"/>
        <w:rPr>
          <w:rFonts w:ascii="宋体"/>
          <w:b/>
          <w:color w:val="000000" w:themeColor="text1"/>
          <w:sz w:val="28"/>
          <w:highlight w:val="none"/>
          <w14:textFill>
            <w14:solidFill>
              <w14:schemeClr w14:val="tx1"/>
            </w14:solidFill>
          </w14:textFill>
        </w:rPr>
      </w:pPr>
      <w:r>
        <w:rPr>
          <w:rFonts w:ascii="宋体"/>
          <w:b/>
          <w:color w:val="000000" w:themeColor="text1"/>
          <w:sz w:val="28"/>
          <w:highlight w:val="none"/>
          <w14:textFill>
            <w14:solidFill>
              <w14:schemeClr w14:val="tx1"/>
            </w14:solidFill>
          </w14:textFill>
        </w:rPr>
        <w:br w:type="page"/>
      </w:r>
      <w:r>
        <w:rPr>
          <w:rFonts w:hint="eastAsia"/>
          <w:b/>
          <w:color w:val="000000" w:themeColor="text1"/>
          <w:sz w:val="30"/>
          <w:szCs w:val="30"/>
          <w:highlight w:val="none"/>
          <w14:textFill>
            <w14:solidFill>
              <w14:schemeClr w14:val="tx1"/>
            </w14:solidFill>
          </w14:textFill>
        </w:rPr>
        <w:t>投标文件签署授权委托书</w:t>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pPr>
        <w:spacing w:line="360" w:lineRule="auto"/>
        <w:ind w:firstLine="437"/>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本授权委托书声明：我</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(姓名)</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系</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(投标人名称)</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的法定代表人，现授权委托</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(单位名称)</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的</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(姓名)</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为我公司签署</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(招标人名称)</w:t>
      </w:r>
      <w:r>
        <w:rPr>
          <w:rFonts w:ascii="宋体"/>
          <w:color w:val="000000" w:themeColor="text1"/>
          <w:szCs w:val="21"/>
          <w:highlight w:val="none"/>
          <w:u w:val="singl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的</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(招标工程名称)</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投标文件的法定代表人授权委托代理人，并以我公司的名义参加本工程的投标活动。我承认代理人全权代表我所签署的本工程的投标文件的内容以及在开标、评标、过程中所签署的一切文件。</w:t>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p>
    <w:p>
      <w:pPr>
        <w:spacing w:line="360" w:lineRule="auto"/>
        <w:rPr>
          <w:rFonts w:ascii="宋体"/>
          <w:color w:val="000000" w:themeColor="text1"/>
          <w:szCs w:val="21"/>
          <w:highlight w:val="none"/>
          <w14:textFill>
            <w14:solidFill>
              <w14:schemeClr w14:val="tx1"/>
            </w14:solidFill>
          </w14:textFill>
        </w:rPr>
      </w:pP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代理人无转委权，特此委托。</w:t>
      </w:r>
    </w:p>
    <w:p>
      <w:pPr>
        <w:spacing w:line="360" w:lineRule="auto"/>
        <w:rPr>
          <w:rFonts w:ascii="宋体"/>
          <w:color w:val="000000" w:themeColor="text1"/>
          <w:szCs w:val="21"/>
          <w:highlight w:val="none"/>
          <w14:textFill>
            <w14:solidFill>
              <w14:schemeClr w14:val="tx1"/>
            </w14:solidFill>
          </w14:textFill>
        </w:rPr>
      </w:pPr>
    </w:p>
    <w:p>
      <w:pPr>
        <w:spacing w:line="360" w:lineRule="auto"/>
        <w:rPr>
          <w:rFonts w:ascii="宋体"/>
          <w:color w:val="000000" w:themeColor="text1"/>
          <w:szCs w:val="21"/>
          <w:highlight w:val="none"/>
          <w14:textFill>
            <w14:solidFill>
              <w14:schemeClr w14:val="tx1"/>
            </w14:solidFill>
          </w14:textFill>
        </w:rPr>
      </w:pP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代理人：</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(签字)</w:t>
      </w:r>
      <w:r>
        <w:rPr>
          <w:rFonts w:ascii="宋体"/>
          <w:color w:val="000000" w:themeColor="text1"/>
          <w:szCs w:val="21"/>
          <w:highlight w:val="none"/>
          <w:u w:val="singl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性别：</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年龄：</w:t>
      </w:r>
      <w:r>
        <w:rPr>
          <w:rFonts w:ascii="宋体"/>
          <w:color w:val="000000" w:themeColor="text1"/>
          <w:szCs w:val="21"/>
          <w:highlight w:val="none"/>
          <w:u w:val="singl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身份证号码：</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电话：</w:t>
      </w:r>
      <w:r>
        <w:rPr>
          <w:rFonts w:ascii="宋体"/>
          <w:color w:val="000000" w:themeColor="text1"/>
          <w:szCs w:val="21"/>
          <w:highlight w:val="none"/>
          <w:u w:val="singl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投标人：</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(盖章)</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 xml:space="preserve"> </w:t>
      </w:r>
    </w:p>
    <w:p>
      <w:pPr>
        <w:spacing w:line="360" w:lineRule="auto"/>
        <w:rPr>
          <w:rFonts w:ascii="宋体"/>
          <w:color w:val="000000" w:themeColor="text1"/>
          <w:szCs w:val="21"/>
          <w:highlight w:val="none"/>
          <w:u w:val="singl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法定代表人：</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(签字或盖章)</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u w:val="single"/>
          <w14:textFill>
            <w14:solidFill>
              <w14:schemeClr w14:val="tx1"/>
            </w14:solidFill>
          </w14:textFill>
        </w:rPr>
        <w:t xml:space="preserve"> </w:t>
      </w:r>
    </w:p>
    <w:p>
      <w:pPr>
        <w:tabs>
          <w:tab w:val="left" w:pos="0"/>
          <w:tab w:val="left" w:pos="720"/>
          <w:tab w:val="left" w:pos="900"/>
        </w:tabs>
        <w:spacing w:line="420" w:lineRule="exact"/>
        <w:ind w:firstLine="2100" w:firstLineChars="1000"/>
        <w:rPr>
          <w:rFonts w:ascii="宋体" w:hAnsi="宋体"/>
          <w:color w:val="000000" w:themeColor="text1"/>
          <w:sz w:val="28"/>
          <w:highlight w:val="none"/>
          <w:u w:val="single"/>
          <w14:textFill>
            <w14:solidFill>
              <w14:schemeClr w14:val="tx1"/>
            </w14:solidFill>
          </w14:textFill>
        </w:rPr>
      </w:pPr>
      <w:r>
        <w:rPr>
          <w:rFonts w:hint="eastAsia" w:ascii="宋体"/>
          <w:color w:val="000000" w:themeColor="text1"/>
          <w:szCs w:val="21"/>
          <w:highlight w:val="none"/>
          <w14:textFill>
            <w14:solidFill>
              <w14:schemeClr w14:val="tx1"/>
            </w14:solidFill>
          </w14:textFill>
        </w:rPr>
        <w:t>授权委托日期：</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年</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月</w:t>
      </w:r>
      <w:r>
        <w:rPr>
          <w:rFonts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日</w:t>
      </w:r>
      <w:r>
        <w:rPr>
          <w:rFonts w:ascii="宋体"/>
          <w:color w:val="000000" w:themeColor="text1"/>
          <w:szCs w:val="21"/>
          <w:highlight w:val="none"/>
          <w14:textFill>
            <w14:solidFill>
              <w14:schemeClr w14:val="tx1"/>
            </w14:solidFill>
          </w14:textFill>
        </w:rPr>
        <w:t xml:space="preserve"> </w:t>
      </w: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p>
    <w:p>
      <w:pPr>
        <w:tabs>
          <w:tab w:val="left" w:pos="0"/>
          <w:tab w:val="left" w:pos="720"/>
          <w:tab w:val="left" w:pos="900"/>
        </w:tabs>
        <w:spacing w:line="420" w:lineRule="exact"/>
        <w:jc w:val="center"/>
        <w:rPr>
          <w:rFonts w:ascii="宋体"/>
          <w:color w:val="000000" w:themeColor="text1"/>
          <w:sz w:val="32"/>
          <w:highlight w:val="none"/>
          <w:u w:val="singl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承</w:t>
      </w:r>
      <w:r>
        <w:rPr>
          <w:rFonts w:ascii="宋体" w:hAnsi="宋体"/>
          <w:b/>
          <w:snapToGrid w:val="0"/>
          <w:color w:val="000000" w:themeColor="text1"/>
          <w:kern w:val="0"/>
          <w:sz w:val="30"/>
          <w:szCs w:val="30"/>
          <w:highlight w:val="none"/>
          <w14:textFill>
            <w14:solidFill>
              <w14:schemeClr w14:val="tx1"/>
            </w14:solidFill>
          </w14:textFill>
        </w:rPr>
        <w:t xml:space="preserve"> </w:t>
      </w:r>
      <w:r>
        <w:rPr>
          <w:rFonts w:hint="eastAsia" w:ascii="宋体" w:hAnsi="宋体"/>
          <w:b/>
          <w:snapToGrid w:val="0"/>
          <w:color w:val="000000" w:themeColor="text1"/>
          <w:kern w:val="0"/>
          <w:sz w:val="30"/>
          <w:szCs w:val="30"/>
          <w:highlight w:val="none"/>
          <w14:textFill>
            <w14:solidFill>
              <w14:schemeClr w14:val="tx1"/>
            </w14:solidFill>
          </w14:textFill>
        </w:rPr>
        <w:t>诺</w:t>
      </w:r>
      <w:r>
        <w:rPr>
          <w:rFonts w:ascii="宋体" w:hAnsi="宋体"/>
          <w:b/>
          <w:snapToGrid w:val="0"/>
          <w:color w:val="000000" w:themeColor="text1"/>
          <w:kern w:val="0"/>
          <w:sz w:val="30"/>
          <w:szCs w:val="30"/>
          <w:highlight w:val="none"/>
          <w14:textFill>
            <w14:solidFill>
              <w14:schemeClr w14:val="tx1"/>
            </w14:solidFill>
          </w14:textFill>
        </w:rPr>
        <w:t xml:space="preserve"> </w:t>
      </w:r>
      <w:r>
        <w:rPr>
          <w:rFonts w:hint="eastAsia" w:ascii="宋体" w:hAnsi="宋体"/>
          <w:b/>
          <w:snapToGrid w:val="0"/>
          <w:color w:val="000000" w:themeColor="text1"/>
          <w:kern w:val="0"/>
          <w:sz w:val="30"/>
          <w:szCs w:val="30"/>
          <w:highlight w:val="none"/>
          <w14:textFill>
            <w14:solidFill>
              <w14:schemeClr w14:val="tx1"/>
            </w14:solidFill>
          </w14:textFill>
        </w:rPr>
        <w:t>书</w:t>
      </w:r>
    </w:p>
    <w:p>
      <w:pPr>
        <w:adjustRightInd w:val="0"/>
        <w:snapToGrid w:val="0"/>
        <w:spacing w:line="400" w:lineRule="exact"/>
        <w:jc w:val="left"/>
        <w:rPr>
          <w:rFonts w:ascii="宋体" w:hAnsi="宋体" w:cs="宋体"/>
          <w:b/>
          <w:bCs/>
          <w:color w:val="000000" w:themeColor="text1"/>
          <w:sz w:val="24"/>
          <w:highlight w:val="none"/>
          <w:u w:val="single"/>
          <w14:textFill>
            <w14:solidFill>
              <w14:schemeClr w14:val="tx1"/>
            </w14:solidFill>
          </w14:textFill>
        </w:rPr>
      </w:pPr>
    </w:p>
    <w:p>
      <w:pPr>
        <w:adjustRightInd w:val="0"/>
        <w:snapToGrid w:val="0"/>
        <w:spacing w:line="460" w:lineRule="exact"/>
        <w:jc w:val="left"/>
        <w:rPr>
          <w:rFonts w:ascii="宋体"/>
          <w:color w:val="000000" w:themeColor="text1"/>
          <w:sz w:val="24"/>
          <w:highlight w:val="none"/>
          <w:u w:val="single"/>
          <w14:textFill>
            <w14:solidFill>
              <w14:schemeClr w14:val="tx1"/>
            </w14:solidFill>
          </w14:textFill>
        </w:rPr>
      </w:pPr>
      <w:r>
        <w:rPr>
          <w:rFonts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（招标人）：</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本公司承诺如下：</w:t>
      </w:r>
    </w:p>
    <w:p>
      <w:pPr>
        <w:adjustRightInd w:val="0"/>
        <w:snapToGrid w:val="0"/>
        <w:spacing w:line="46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本单位自愿参加</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招标的投标，并保证投标文件中所列举的投标报价文件及相关资料和公司基本情况资料是真实的、有效的、合法的，并承诺：</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、同意招标文件中的有关规定。</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、同意提供按照贵方要求的与投标有关的一切数据、情况和资料等。</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、本单位如中标，保证按照投标文件的承诺与贵方签订</w:t>
      </w:r>
      <w:r>
        <w:rPr>
          <w:rFonts w:hint="eastAsia" w:ascii="宋体" w:hAnsi="宋体" w:cs="宋体"/>
          <w:color w:val="000000" w:themeColor="text1"/>
          <w:sz w:val="24"/>
          <w:highlight w:val="none"/>
          <w:u w:val="single"/>
          <w14:textFill>
            <w14:solidFill>
              <w14:schemeClr w14:val="tx1"/>
            </w14:solidFill>
          </w14:textFill>
        </w:rPr>
        <w:t>全过程工程咨询</w:t>
      </w:r>
      <w:r>
        <w:rPr>
          <w:rFonts w:hint="eastAsia" w:ascii="宋体" w:hAnsi="宋体" w:cs="宋体"/>
          <w:color w:val="000000" w:themeColor="text1"/>
          <w:sz w:val="24"/>
          <w:highlight w:val="none"/>
          <w14:textFill>
            <w14:solidFill>
              <w14:schemeClr w14:val="tx1"/>
            </w14:solidFill>
          </w14:textFill>
        </w:rPr>
        <w:t>合同，保证履行合同条款。</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本单位如中标，保证严格遵守</w:t>
      </w:r>
      <w:r>
        <w:rPr>
          <w:rFonts w:hint="eastAsia" w:ascii="宋体" w:hAnsi="宋体" w:cs="宋体"/>
          <w:color w:val="000000" w:themeColor="text1"/>
          <w:sz w:val="24"/>
          <w:highlight w:val="none"/>
          <w14:textFill>
            <w14:solidFill>
              <w14:schemeClr w14:val="tx1"/>
            </w14:solidFill>
          </w14:textFill>
        </w:rPr>
        <w:t>有关法律规定及政策</w:t>
      </w:r>
      <w:r>
        <w:rPr>
          <w:rFonts w:hint="eastAsia" w:ascii="宋体" w:hAnsi="宋体" w:cs="宋体"/>
          <w:color w:val="000000" w:themeColor="text1"/>
          <w:kern w:val="0"/>
          <w:sz w:val="24"/>
          <w:highlight w:val="none"/>
          <w14:textFill>
            <w14:solidFill>
              <w14:schemeClr w14:val="tx1"/>
            </w14:solidFill>
          </w14:textFill>
        </w:rPr>
        <w:t>，如有下列情形之一的，取消中标资格，愿意没收投标保证金</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元，并承担由此造成的一切经济和法律责任。</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）提供虚假材料谋取中标；</w:t>
      </w:r>
    </w:p>
    <w:p>
      <w:pPr>
        <w:widowControl/>
        <w:adjustRightInd w:val="0"/>
        <w:snapToGrid w:val="0"/>
        <w:spacing w:line="460" w:lineRule="exact"/>
        <w:ind w:firstLine="480" w:firstLineChars="200"/>
        <w:jc w:val="left"/>
        <w:rPr>
          <w:rFonts w:ascii="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）采取不正当手段诋毁、排挤其他投标人的；</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）与其它投标人恶意串通的；</w:t>
      </w:r>
    </w:p>
    <w:p>
      <w:pPr>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）向招标人行贿或者提供其他不正当利益的；</w:t>
      </w:r>
    </w:p>
    <w:p>
      <w:pPr>
        <w:widowControl/>
        <w:adjustRightInd w:val="0"/>
        <w:snapToGrid w:val="0"/>
        <w:spacing w:line="460" w:lineRule="exact"/>
        <w:ind w:firstLine="480" w:firstLineChars="200"/>
        <w:jc w:val="left"/>
        <w:rPr>
          <w:rFonts w:ascii="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5</w:t>
      </w:r>
      <w:r>
        <w:rPr>
          <w:rFonts w:hint="eastAsia" w:ascii="宋体" w:hAnsi="宋体" w:cs="宋体"/>
          <w:color w:val="000000" w:themeColor="text1"/>
          <w:kern w:val="0"/>
          <w:sz w:val="24"/>
          <w:highlight w:val="none"/>
          <w14:textFill>
            <w14:solidFill>
              <w14:schemeClr w14:val="tx1"/>
            </w14:solidFill>
          </w14:textFill>
        </w:rPr>
        <w:t>）拒绝有关部门监督检查或提供虚假情况的。</w:t>
      </w:r>
    </w:p>
    <w:p>
      <w:pPr>
        <w:widowControl/>
        <w:adjustRightInd w:val="0"/>
        <w:snapToGrid w:val="0"/>
        <w:spacing w:line="460" w:lineRule="exact"/>
        <w:ind w:firstLine="480" w:firstLineChars="200"/>
        <w:jc w:val="left"/>
        <w:rPr>
          <w:rFonts w:ascii="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14:textFill>
            <w14:solidFill>
              <w14:schemeClr w14:val="tx1"/>
            </w14:solidFill>
          </w14:textFill>
        </w:rPr>
        <w:t>）有其他违规行为的。</w:t>
      </w:r>
    </w:p>
    <w:p>
      <w:pPr>
        <w:adjustRightInd w:val="0"/>
        <w:snapToGrid w:val="0"/>
        <w:spacing w:line="460" w:lineRule="exact"/>
        <w:rPr>
          <w:rFonts w:ascii="宋体"/>
          <w:color w:val="000000" w:themeColor="text1"/>
          <w:sz w:val="24"/>
          <w:highlight w:val="none"/>
          <w14:textFill>
            <w14:solidFill>
              <w14:schemeClr w14:val="tx1"/>
            </w14:solidFill>
          </w14:textFill>
        </w:rPr>
      </w:pPr>
    </w:p>
    <w:p>
      <w:pPr>
        <w:adjustRightInd w:val="0"/>
        <w:snapToGrid w:val="0"/>
        <w:spacing w:line="460" w:lineRule="exact"/>
        <w:rPr>
          <w:rFonts w:ascii="宋体"/>
          <w:color w:val="000000" w:themeColor="text1"/>
          <w:sz w:val="24"/>
          <w:highlight w:val="none"/>
          <w14:textFill>
            <w14:solidFill>
              <w14:schemeClr w14:val="tx1"/>
            </w14:solidFill>
          </w14:textFill>
        </w:rPr>
      </w:pPr>
    </w:p>
    <w:p>
      <w:pPr>
        <w:adjustRightInd w:val="0"/>
        <w:snapToGrid w:val="0"/>
        <w:spacing w:line="460" w:lineRule="exact"/>
        <w:rPr>
          <w:rFonts w:ascii="宋体"/>
          <w:color w:val="000000" w:themeColor="text1"/>
          <w:sz w:val="24"/>
          <w:highlight w:val="none"/>
          <w14:textFill>
            <w14:solidFill>
              <w14:schemeClr w14:val="tx1"/>
            </w14:solidFill>
          </w14:textFill>
        </w:rPr>
      </w:pPr>
    </w:p>
    <w:p>
      <w:pPr>
        <w:spacing w:line="460" w:lineRule="exact"/>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投标人：（盖章）</w:t>
      </w:r>
    </w:p>
    <w:p>
      <w:pPr>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法定代表人或其委托代理人：（签字或盖章）</w:t>
      </w:r>
    </w:p>
    <w:p>
      <w:pPr>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日期：    年    月     日</w:t>
      </w:r>
    </w:p>
    <w:p>
      <w:pPr>
        <w:spacing w:line="420" w:lineRule="exact"/>
        <w:jc w:val="center"/>
        <w:rPr>
          <w:rFonts w:ascii="宋体" w:hAnsi="宋体"/>
          <w:color w:val="000000" w:themeColor="text1"/>
          <w:sz w:val="28"/>
          <w:highlight w:val="none"/>
          <w:u w:val="single"/>
          <w14:textFill>
            <w14:solidFill>
              <w14:schemeClr w14:val="tx1"/>
            </w14:solidFill>
          </w14:textFill>
        </w:rPr>
        <w:sectPr>
          <w:footerReference r:id="rId7" w:type="first"/>
          <w:footerReference r:id="rId5" w:type="default"/>
          <w:footerReference r:id="rId6" w:type="even"/>
          <w:pgSz w:w="11906" w:h="16838"/>
          <w:pgMar w:top="1418" w:right="1133" w:bottom="1361" w:left="993" w:header="851" w:footer="992" w:gutter="0"/>
          <w:pgNumType w:start="1"/>
          <w:cols w:space="720" w:num="1"/>
          <w:titlePg/>
          <w:docGrid w:type="lines" w:linePitch="312" w:charSpace="0"/>
        </w:sectPr>
      </w:pPr>
    </w:p>
    <w:p>
      <w:pPr>
        <w:tabs>
          <w:tab w:val="left" w:pos="0"/>
          <w:tab w:val="left" w:pos="720"/>
          <w:tab w:val="left" w:pos="900"/>
        </w:tabs>
        <w:spacing w:line="420" w:lineRule="exact"/>
        <w:jc w:val="center"/>
        <w:rPr>
          <w:rFonts w:ascii="宋体" w:hAnsi="宋体"/>
          <w:b/>
          <w:sz w:val="28"/>
          <w:szCs w:val="28"/>
          <w:highlight w:val="none"/>
        </w:rPr>
      </w:pPr>
      <w:r>
        <w:rPr>
          <w:rFonts w:hint="eastAsia" w:ascii="宋体" w:hAnsi="宋体"/>
          <w:b/>
          <w:snapToGrid w:val="0"/>
          <w:kern w:val="0"/>
          <w:sz w:val="30"/>
          <w:szCs w:val="30"/>
          <w:highlight w:val="none"/>
        </w:rPr>
        <w:t>联合体投标协议书（联合体投标的须提供）</w:t>
      </w:r>
    </w:p>
    <w:p>
      <w:pPr>
        <w:spacing w:line="360" w:lineRule="auto"/>
        <w:jc w:val="center"/>
        <w:rPr>
          <w:rFonts w:ascii="宋体" w:hAnsi="宋体"/>
          <w:b/>
          <w:sz w:val="28"/>
          <w:szCs w:val="28"/>
          <w:highlight w:val="none"/>
        </w:rPr>
      </w:pP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u w:val="single"/>
        </w:rPr>
        <w:t xml:space="preserve">   （所有成员单位名称）  </w:t>
      </w:r>
      <w:r>
        <w:rPr>
          <w:rFonts w:hint="eastAsia" w:ascii="宋体" w:hAnsi="宋体"/>
          <w:sz w:val="22"/>
          <w:szCs w:val="22"/>
          <w:highlight w:val="none"/>
        </w:rPr>
        <w:t>自愿组成联合体，共同参加</w:t>
      </w:r>
      <w:r>
        <w:rPr>
          <w:rFonts w:hint="eastAsia" w:ascii="宋体" w:hAnsi="宋体"/>
          <w:sz w:val="22"/>
          <w:szCs w:val="22"/>
          <w:highlight w:val="none"/>
          <w:u w:val="single"/>
        </w:rPr>
        <w:t>绍兴市本级海塘安澜工程（曹娥江大闸段）全过程工程咨询</w:t>
      </w:r>
      <w:r>
        <w:rPr>
          <w:rFonts w:hint="eastAsia" w:ascii="宋体" w:hAnsi="宋体"/>
          <w:sz w:val="22"/>
          <w:szCs w:val="22"/>
          <w:highlight w:val="none"/>
        </w:rPr>
        <w:t>投标。现就联合体投标事宜订立如下协议。</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1、</w:t>
      </w:r>
      <w:r>
        <w:rPr>
          <w:rFonts w:hint="eastAsia" w:ascii="宋体" w:hAnsi="宋体"/>
          <w:sz w:val="22"/>
          <w:szCs w:val="22"/>
          <w:highlight w:val="none"/>
          <w:u w:val="single"/>
        </w:rPr>
        <w:t xml:space="preserve">     （某成员单位名称）     </w:t>
      </w:r>
      <w:r>
        <w:rPr>
          <w:rFonts w:hint="eastAsia" w:ascii="宋体" w:hAnsi="宋体"/>
          <w:sz w:val="22"/>
          <w:szCs w:val="22"/>
          <w:highlight w:val="none"/>
        </w:rPr>
        <w:t>为本联合体的牵头人。</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2、联合体牵头人合法代表联合体各成员负责本招标项目投标文件编制、项目总负责人委派和合同谈判活动，代表联合体提交和接收相关的资料、信息及指示，处理与之有关的一切事务，并负责合同实施阶段的主办、组织和协调工作。</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3、联合体将严格按照招标文件的各项要求，提交投标文件，履行合同，并对外承担连带责任。</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4、联合体各成员单位内部的职责分工如下：</w:t>
      </w:r>
    </w:p>
    <w:p>
      <w:pPr>
        <w:snapToGrid w:val="0"/>
        <w:spacing w:line="360" w:lineRule="auto"/>
        <w:ind w:firstLine="440" w:firstLineChars="200"/>
        <w:rPr>
          <w:rFonts w:ascii="宋体" w:hAnsi="宋体" w:cs="Arial"/>
          <w:sz w:val="22"/>
          <w:szCs w:val="22"/>
          <w:highlight w:val="none"/>
          <w:lang w:val="zh-CN"/>
        </w:rPr>
      </w:pPr>
      <w:r>
        <w:rPr>
          <w:rFonts w:hint="eastAsia" w:ascii="宋体" w:hAnsi="宋体" w:cs="Arial"/>
          <w:sz w:val="22"/>
          <w:szCs w:val="22"/>
          <w:highlight w:val="none"/>
          <w:lang w:val="zh-CN"/>
        </w:rPr>
        <w:t>（</w:t>
      </w:r>
      <w:r>
        <w:rPr>
          <w:rFonts w:hint="eastAsia" w:ascii="宋体" w:hAnsi="宋体" w:cs="Arial"/>
          <w:sz w:val="22"/>
          <w:szCs w:val="22"/>
          <w:highlight w:val="none"/>
        </w:rPr>
        <w:t>1</w:t>
      </w:r>
      <w:r>
        <w:rPr>
          <w:rFonts w:hint="eastAsia" w:ascii="宋体" w:hAnsi="宋体" w:cs="Arial"/>
          <w:sz w:val="22"/>
          <w:szCs w:val="22"/>
          <w:highlight w:val="none"/>
          <w:lang w:val="zh-CN"/>
        </w:rPr>
        <w:t>）造价咨询由</w:t>
      </w:r>
      <w:r>
        <w:rPr>
          <w:rFonts w:hint="eastAsia" w:ascii="宋体" w:hAnsi="宋体" w:cs="Arial"/>
          <w:sz w:val="22"/>
          <w:szCs w:val="22"/>
          <w:highlight w:val="none"/>
          <w:u w:val="single"/>
          <w:lang w:val="zh-CN"/>
        </w:rPr>
        <w:t xml:space="preserve">                                          </w:t>
      </w:r>
      <w:r>
        <w:rPr>
          <w:rFonts w:hint="eastAsia" w:ascii="宋体" w:hAnsi="宋体" w:cs="Arial"/>
          <w:sz w:val="22"/>
          <w:szCs w:val="22"/>
          <w:highlight w:val="none"/>
          <w:lang w:val="zh-CN"/>
        </w:rPr>
        <w:t>为主负责</w:t>
      </w:r>
    </w:p>
    <w:p>
      <w:pPr>
        <w:snapToGrid w:val="0"/>
        <w:spacing w:line="360" w:lineRule="auto"/>
        <w:ind w:firstLine="440" w:firstLineChars="200"/>
        <w:rPr>
          <w:rFonts w:ascii="宋体" w:hAnsi="宋体" w:cs="Arial"/>
          <w:sz w:val="22"/>
          <w:szCs w:val="22"/>
          <w:highlight w:val="none"/>
          <w:lang w:val="zh-CN"/>
        </w:rPr>
      </w:pPr>
      <w:r>
        <w:rPr>
          <w:rFonts w:hint="eastAsia" w:ascii="宋体" w:hAnsi="宋体" w:cs="Arial"/>
          <w:sz w:val="22"/>
          <w:szCs w:val="22"/>
          <w:highlight w:val="none"/>
          <w:lang w:val="zh-CN"/>
        </w:rPr>
        <w:t>（</w:t>
      </w:r>
      <w:r>
        <w:rPr>
          <w:rFonts w:hint="eastAsia" w:ascii="宋体" w:hAnsi="宋体" w:cs="Arial"/>
          <w:sz w:val="22"/>
          <w:szCs w:val="22"/>
          <w:highlight w:val="none"/>
        </w:rPr>
        <w:t>2</w:t>
      </w:r>
      <w:r>
        <w:rPr>
          <w:rFonts w:hint="eastAsia" w:ascii="宋体" w:hAnsi="宋体" w:cs="Arial"/>
          <w:sz w:val="22"/>
          <w:szCs w:val="22"/>
          <w:highlight w:val="none"/>
          <w:lang w:val="zh-CN"/>
        </w:rPr>
        <w:t>）招标代理由</w:t>
      </w:r>
      <w:r>
        <w:rPr>
          <w:rFonts w:hint="eastAsia" w:ascii="宋体" w:hAnsi="宋体" w:cs="Arial"/>
          <w:sz w:val="22"/>
          <w:szCs w:val="22"/>
          <w:highlight w:val="none"/>
          <w:u w:val="single"/>
          <w:lang w:val="zh-CN"/>
        </w:rPr>
        <w:t xml:space="preserve">                                          </w:t>
      </w:r>
      <w:r>
        <w:rPr>
          <w:rFonts w:hint="eastAsia" w:ascii="宋体" w:hAnsi="宋体" w:cs="Arial"/>
          <w:sz w:val="22"/>
          <w:szCs w:val="22"/>
          <w:highlight w:val="none"/>
          <w:lang w:val="zh-CN"/>
        </w:rPr>
        <w:t>为主负责。</w:t>
      </w:r>
    </w:p>
    <w:p>
      <w:pPr>
        <w:snapToGrid w:val="0"/>
        <w:spacing w:line="360" w:lineRule="auto"/>
        <w:ind w:firstLine="440" w:firstLineChars="200"/>
        <w:rPr>
          <w:rFonts w:ascii="宋体" w:hAnsi="宋体" w:cs="Arial"/>
          <w:sz w:val="22"/>
          <w:szCs w:val="22"/>
          <w:highlight w:val="none"/>
          <w:lang w:val="zh-CN"/>
        </w:rPr>
      </w:pPr>
      <w:r>
        <w:rPr>
          <w:rFonts w:hint="eastAsia" w:ascii="宋体" w:hAnsi="宋体" w:cs="Arial"/>
          <w:sz w:val="22"/>
          <w:szCs w:val="22"/>
          <w:highlight w:val="none"/>
          <w:lang w:val="zh-CN"/>
        </w:rPr>
        <w:t>（</w:t>
      </w:r>
      <w:r>
        <w:rPr>
          <w:rFonts w:hint="eastAsia" w:ascii="宋体" w:hAnsi="宋体" w:cs="Arial"/>
          <w:sz w:val="22"/>
          <w:szCs w:val="22"/>
          <w:highlight w:val="none"/>
        </w:rPr>
        <w:t>3</w:t>
      </w:r>
      <w:r>
        <w:rPr>
          <w:rFonts w:hint="eastAsia" w:ascii="宋体" w:hAnsi="宋体" w:cs="Arial"/>
          <w:sz w:val="22"/>
          <w:szCs w:val="22"/>
          <w:highlight w:val="none"/>
          <w:lang w:val="zh-CN"/>
        </w:rPr>
        <w:t>）项目建设管理由</w:t>
      </w:r>
      <w:r>
        <w:rPr>
          <w:rFonts w:hint="eastAsia" w:ascii="宋体" w:hAnsi="宋体" w:cs="Arial"/>
          <w:sz w:val="22"/>
          <w:szCs w:val="22"/>
          <w:highlight w:val="none"/>
          <w:u w:val="single"/>
          <w:lang w:val="zh-CN"/>
        </w:rPr>
        <w:t xml:space="preserve">                                          </w:t>
      </w:r>
      <w:r>
        <w:rPr>
          <w:rFonts w:hint="eastAsia" w:ascii="宋体" w:hAnsi="宋体" w:cs="Arial"/>
          <w:sz w:val="22"/>
          <w:szCs w:val="22"/>
          <w:highlight w:val="none"/>
          <w:lang w:val="zh-CN"/>
        </w:rPr>
        <w:t>为主负责。</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5、本协议书自签署之日起生效，合同履行完毕后自动失效。</w:t>
      </w:r>
    </w:p>
    <w:p>
      <w:pPr>
        <w:snapToGrid w:val="0"/>
        <w:spacing w:line="360" w:lineRule="auto"/>
        <w:ind w:firstLine="440" w:firstLineChars="200"/>
        <w:rPr>
          <w:rFonts w:ascii="宋体" w:hAnsi="宋体"/>
          <w:sz w:val="22"/>
          <w:szCs w:val="22"/>
          <w:highlight w:val="none"/>
        </w:rPr>
      </w:pPr>
      <w:r>
        <w:rPr>
          <w:rFonts w:hint="eastAsia" w:ascii="宋体" w:hAnsi="宋体"/>
          <w:sz w:val="22"/>
          <w:szCs w:val="22"/>
          <w:highlight w:val="none"/>
        </w:rPr>
        <w:t>6、本协议书一式</w:t>
      </w:r>
      <w:r>
        <w:rPr>
          <w:rFonts w:hint="eastAsia" w:ascii="宋体" w:hAnsi="宋体"/>
          <w:sz w:val="22"/>
          <w:szCs w:val="22"/>
          <w:highlight w:val="none"/>
          <w:u w:val="single"/>
        </w:rPr>
        <w:t xml:space="preserve">     </w:t>
      </w:r>
      <w:r>
        <w:rPr>
          <w:rFonts w:hint="eastAsia" w:ascii="宋体" w:hAnsi="宋体"/>
          <w:sz w:val="22"/>
          <w:szCs w:val="22"/>
          <w:highlight w:val="none"/>
        </w:rPr>
        <w:t>份，联合体成员和招标人各执一份。</w:t>
      </w:r>
    </w:p>
    <w:p>
      <w:pPr>
        <w:snapToGrid w:val="0"/>
        <w:spacing w:line="360" w:lineRule="auto"/>
        <w:rPr>
          <w:rFonts w:ascii="宋体" w:hAnsi="宋体"/>
          <w:b/>
          <w:sz w:val="22"/>
          <w:szCs w:val="22"/>
          <w:highlight w:val="none"/>
        </w:rPr>
      </w:pPr>
    </w:p>
    <w:p>
      <w:pPr>
        <w:snapToGrid w:val="0"/>
        <w:spacing w:line="360" w:lineRule="auto"/>
        <w:rPr>
          <w:rFonts w:ascii="宋体" w:hAnsi="宋体"/>
          <w:sz w:val="22"/>
          <w:szCs w:val="22"/>
          <w:highlight w:val="none"/>
        </w:rPr>
      </w:pPr>
    </w:p>
    <w:p>
      <w:pPr>
        <w:snapToGrid w:val="0"/>
        <w:spacing w:line="360" w:lineRule="auto"/>
        <w:ind w:firstLine="4070" w:firstLineChars="1850"/>
        <w:rPr>
          <w:rFonts w:ascii="宋体" w:hAnsi="宋体"/>
          <w:sz w:val="22"/>
          <w:szCs w:val="22"/>
          <w:highlight w:val="none"/>
        </w:rPr>
      </w:pPr>
      <w:r>
        <w:rPr>
          <w:rFonts w:hint="eastAsia" w:ascii="宋体" w:hAnsi="宋体"/>
          <w:sz w:val="22"/>
          <w:szCs w:val="22"/>
          <w:highlight w:val="none"/>
        </w:rPr>
        <w:t>牵头人名称：</w:t>
      </w:r>
      <w:r>
        <w:rPr>
          <w:rFonts w:hint="eastAsia" w:ascii="宋体" w:hAnsi="宋体"/>
          <w:sz w:val="22"/>
          <w:szCs w:val="22"/>
          <w:highlight w:val="none"/>
          <w:u w:val="single"/>
        </w:rPr>
        <w:t xml:space="preserve">      （盖 章）          </w:t>
      </w:r>
    </w:p>
    <w:p>
      <w:pPr>
        <w:snapToGrid w:val="0"/>
        <w:spacing w:line="360" w:lineRule="auto"/>
        <w:ind w:firstLine="4070" w:firstLineChars="1850"/>
        <w:rPr>
          <w:rFonts w:ascii="宋体" w:hAnsi="宋体"/>
          <w:sz w:val="22"/>
          <w:szCs w:val="22"/>
          <w:highlight w:val="none"/>
        </w:rPr>
      </w:pPr>
      <w:r>
        <w:rPr>
          <w:rFonts w:hint="eastAsia" w:ascii="宋体" w:hAnsi="宋体"/>
          <w:sz w:val="22"/>
          <w:szCs w:val="22"/>
          <w:highlight w:val="none"/>
        </w:rPr>
        <w:t>法定代表人：</w:t>
      </w:r>
      <w:r>
        <w:rPr>
          <w:rFonts w:hint="eastAsia" w:ascii="宋体" w:hAnsi="宋体"/>
          <w:sz w:val="22"/>
          <w:szCs w:val="22"/>
          <w:highlight w:val="none"/>
          <w:u w:val="single"/>
        </w:rPr>
        <w:t xml:space="preserve">     （签字或盖章）      </w:t>
      </w:r>
    </w:p>
    <w:p>
      <w:pPr>
        <w:snapToGrid w:val="0"/>
        <w:spacing w:line="360" w:lineRule="auto"/>
        <w:ind w:firstLine="4070" w:firstLineChars="1850"/>
        <w:rPr>
          <w:rFonts w:ascii="宋体" w:hAnsi="宋体"/>
          <w:sz w:val="22"/>
          <w:szCs w:val="22"/>
          <w:highlight w:val="none"/>
        </w:rPr>
      </w:pPr>
      <w:r>
        <w:rPr>
          <w:rFonts w:hint="eastAsia" w:ascii="宋体" w:hAnsi="宋体"/>
          <w:sz w:val="22"/>
          <w:szCs w:val="22"/>
          <w:highlight w:val="none"/>
        </w:rPr>
        <w:t>成员名称：</w:t>
      </w:r>
      <w:r>
        <w:rPr>
          <w:rFonts w:hint="eastAsia" w:ascii="宋体" w:hAnsi="宋体"/>
          <w:sz w:val="22"/>
          <w:szCs w:val="22"/>
          <w:highlight w:val="none"/>
          <w:u w:val="single"/>
        </w:rPr>
        <w:t xml:space="preserve">        （盖 章）          </w:t>
      </w:r>
    </w:p>
    <w:p>
      <w:pPr>
        <w:snapToGrid w:val="0"/>
        <w:spacing w:line="360" w:lineRule="auto"/>
        <w:ind w:firstLine="4070" w:firstLineChars="1850"/>
        <w:rPr>
          <w:rFonts w:ascii="宋体" w:hAnsi="宋体"/>
          <w:sz w:val="22"/>
          <w:szCs w:val="22"/>
          <w:highlight w:val="none"/>
          <w:u w:val="single"/>
        </w:rPr>
      </w:pPr>
      <w:r>
        <w:rPr>
          <w:rFonts w:hint="eastAsia" w:ascii="宋体" w:hAnsi="宋体"/>
          <w:sz w:val="22"/>
          <w:szCs w:val="22"/>
          <w:highlight w:val="none"/>
        </w:rPr>
        <w:t>法定代表人：</w:t>
      </w:r>
      <w:r>
        <w:rPr>
          <w:rFonts w:hint="eastAsia" w:ascii="宋体" w:hAnsi="宋体"/>
          <w:sz w:val="22"/>
          <w:szCs w:val="22"/>
          <w:highlight w:val="none"/>
          <w:u w:val="single"/>
        </w:rPr>
        <w:t xml:space="preserve">     （签字或盖章）        </w:t>
      </w:r>
    </w:p>
    <w:p>
      <w:pPr>
        <w:tabs>
          <w:tab w:val="left" w:pos="3600"/>
          <w:tab w:val="left" w:pos="3780"/>
          <w:tab w:val="left" w:pos="3960"/>
          <w:tab w:val="left" w:pos="4140"/>
        </w:tabs>
        <w:spacing w:line="360" w:lineRule="auto"/>
        <w:ind w:firstLine="5280" w:firstLineChars="2200"/>
        <w:rPr>
          <w:rFonts w:ascii="宋体" w:hAnsi="宋体"/>
          <w:color w:val="000000" w:themeColor="text1"/>
          <w:sz w:val="28"/>
          <w:highlight w:val="none"/>
          <w:u w:val="single"/>
          <w14:textFill>
            <w14:solidFill>
              <w14:schemeClr w14:val="tx1"/>
            </w14:solidFill>
          </w14:textFill>
        </w:rPr>
        <w:sectPr>
          <w:pgSz w:w="11906" w:h="16838"/>
          <w:pgMar w:top="1418" w:right="1133" w:bottom="1361" w:left="993" w:header="851" w:footer="992" w:gutter="0"/>
          <w:pgNumType w:start="1"/>
          <w:cols w:space="720" w:num="1"/>
          <w:titlePg/>
          <w:docGrid w:type="lines" w:linePitch="312" w:charSpace="0"/>
        </w:sectPr>
      </w:pP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pPr>
        <w:spacing w:line="420" w:lineRule="exact"/>
        <w:jc w:val="center"/>
        <w:rPr>
          <w:rFonts w:ascii="宋体" w:hAnsi="宋体"/>
          <w:b/>
          <w:snapToGrid w:val="0"/>
          <w:color w:val="000000" w:themeColor="text1"/>
          <w:kern w:val="0"/>
          <w:sz w:val="30"/>
          <w:szCs w:val="30"/>
          <w:highlight w:val="non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投标人基本情况表</w:t>
      </w:r>
    </w:p>
    <w:p>
      <w:pPr>
        <w:pStyle w:val="8"/>
        <w:rPr>
          <w:highlight w:val="none"/>
        </w:rPr>
      </w:pPr>
    </w:p>
    <w:tbl>
      <w:tblPr>
        <w:tblStyle w:val="22"/>
        <w:tblW w:w="0" w:type="auto"/>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1"/>
        <w:gridCol w:w="937"/>
        <w:gridCol w:w="1111"/>
        <w:gridCol w:w="555"/>
        <w:gridCol w:w="740"/>
        <w:gridCol w:w="1295"/>
        <w:gridCol w:w="926"/>
        <w:gridCol w:w="18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投标人名称</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注册地址</w:t>
            </w:r>
          </w:p>
        </w:tc>
        <w:tc>
          <w:tcPr>
            <w:tcW w:w="3343" w:type="dxa"/>
            <w:gridSpan w:val="4"/>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 w:val="24"/>
                <w:szCs w:val="24"/>
                <w:highlight w:val="none"/>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邮政编码</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1701" w:type="dxa"/>
            <w:vMerge w:val="restart"/>
            <w:tcBorders>
              <w:top w:val="single" w:color="auto" w:sz="4" w:space="0"/>
              <w:left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联系方式</w:t>
            </w:r>
          </w:p>
        </w:tc>
        <w:tc>
          <w:tcPr>
            <w:tcW w:w="93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联系人</w:t>
            </w:r>
          </w:p>
        </w:tc>
        <w:tc>
          <w:tcPr>
            <w:tcW w:w="2406" w:type="dxa"/>
            <w:gridSpan w:val="3"/>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电话</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vMerge w:val="continue"/>
            <w:tcBorders>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Cs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传真</w:t>
            </w:r>
          </w:p>
        </w:tc>
        <w:tc>
          <w:tcPr>
            <w:tcW w:w="2406" w:type="dxa"/>
            <w:gridSpan w:val="3"/>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网址</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组织结构</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法定代表人</w:t>
            </w:r>
          </w:p>
        </w:tc>
        <w:tc>
          <w:tcPr>
            <w:tcW w:w="93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姓名</w:t>
            </w:r>
          </w:p>
        </w:tc>
        <w:tc>
          <w:tcPr>
            <w:tcW w:w="111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1295"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技术职称</w:t>
            </w:r>
          </w:p>
        </w:tc>
        <w:tc>
          <w:tcPr>
            <w:tcW w:w="1295"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926"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电话</w:t>
            </w:r>
          </w:p>
        </w:tc>
        <w:tc>
          <w:tcPr>
            <w:tcW w:w="1802"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技术负责人</w:t>
            </w:r>
          </w:p>
        </w:tc>
        <w:tc>
          <w:tcPr>
            <w:tcW w:w="93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姓名</w:t>
            </w:r>
          </w:p>
        </w:tc>
        <w:tc>
          <w:tcPr>
            <w:tcW w:w="111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1295"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技术职称</w:t>
            </w:r>
          </w:p>
        </w:tc>
        <w:tc>
          <w:tcPr>
            <w:tcW w:w="1295"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926"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电话</w:t>
            </w:r>
          </w:p>
        </w:tc>
        <w:tc>
          <w:tcPr>
            <w:tcW w:w="1802" w:type="dxa"/>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成立时间</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318" w:type="dxa"/>
            <w:gridSpan w:val="5"/>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企业资质等级</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55" w:type="dxa"/>
            <w:vMerge w:val="restart"/>
            <w:tcBorders>
              <w:top w:val="single" w:color="auto" w:sz="4" w:space="0"/>
              <w:left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其</w:t>
            </w:r>
          </w:p>
          <w:p>
            <w:pPr>
              <w:pStyle w:val="12"/>
              <w:spacing w:line="360" w:lineRule="auto"/>
              <w:jc w:val="center"/>
              <w:rPr>
                <w:rFonts w:hint="default" w:hAnsi="宋体"/>
                <w:color w:val="000000" w:themeColor="text1"/>
                <w:sz w:val="24"/>
                <w:szCs w:val="24"/>
                <w:highlight w:val="none"/>
                <w14:textFill>
                  <w14:solidFill>
                    <w14:schemeClr w14:val="tx1"/>
                  </w14:solidFill>
                </w14:textFill>
              </w:rPr>
            </w:pPr>
          </w:p>
          <w:p>
            <w:pPr>
              <w:pStyle w:val="12"/>
              <w:spacing w:line="360" w:lineRule="auto"/>
              <w:jc w:val="center"/>
              <w:rPr>
                <w:rFonts w:hint="default" w:hAnsi="宋体"/>
                <w:color w:val="000000" w:themeColor="text1"/>
                <w:sz w:val="24"/>
                <w:szCs w:val="24"/>
                <w:highlight w:val="none"/>
                <w14:textFill>
                  <w14:solidFill>
                    <w14:schemeClr w14:val="tx1"/>
                  </w14:solidFill>
                </w14:textFill>
              </w:rPr>
            </w:pPr>
          </w:p>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中</w:t>
            </w:r>
          </w:p>
        </w:tc>
        <w:tc>
          <w:tcPr>
            <w:tcW w:w="2035" w:type="dxa"/>
            <w:gridSpan w:val="2"/>
            <w:vMerge w:val="restart"/>
            <w:tcBorders>
              <w:top w:val="single" w:color="auto" w:sz="4" w:space="0"/>
              <w:left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高级职称人员</w:t>
            </w:r>
          </w:p>
        </w:tc>
        <w:tc>
          <w:tcPr>
            <w:tcW w:w="2728" w:type="dxa"/>
            <w:gridSpan w:val="2"/>
            <w:vMerge w:val="restart"/>
            <w:tcBorders>
              <w:top w:val="single" w:color="auto" w:sz="4" w:space="0"/>
              <w:left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营业执照号</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55" w:type="dxa"/>
            <w:vMerge w:val="continue"/>
            <w:tcBorders>
              <w:left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2035" w:type="dxa"/>
            <w:gridSpan w:val="2"/>
            <w:vMerge w:val="continue"/>
            <w:tcBorders>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p>
        </w:tc>
        <w:tc>
          <w:tcPr>
            <w:tcW w:w="2728" w:type="dxa"/>
            <w:gridSpan w:val="2"/>
            <w:vMerge w:val="continue"/>
            <w:tcBorders>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注册资金</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55" w:type="dxa"/>
            <w:vMerge w:val="continue"/>
            <w:tcBorders>
              <w:left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中级职称人员</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开户银行</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55" w:type="dxa"/>
            <w:vMerge w:val="continue"/>
            <w:tcBorders>
              <w:left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初级职称人员</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账号</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555" w:type="dxa"/>
            <w:vMerge w:val="continue"/>
            <w:tcBorders>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技工</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 w:val="24"/>
                <w:highlight w:val="none"/>
                <w14:textFill>
                  <w14:solidFill>
                    <w14:schemeClr w14:val="tx1"/>
                  </w14:solidFill>
                </w14:textFill>
              </w:rPr>
            </w:pPr>
          </w:p>
          <w:p>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经营范围</w:t>
            </w:r>
          </w:p>
          <w:p>
            <w:pPr>
              <w:spacing w:line="360" w:lineRule="auto"/>
              <w:jc w:val="center"/>
              <w:rPr>
                <w:color w:val="000000" w:themeColor="text1"/>
                <w:sz w:val="24"/>
                <w:highlight w:val="none"/>
                <w14:textFill>
                  <w14:solidFill>
                    <w14:schemeClr w14:val="tx1"/>
                  </w14:solidFill>
                </w14:textFill>
              </w:rPr>
            </w:pP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2"/>
              <w:spacing w:line="360" w:lineRule="auto"/>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备注</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2"/>
              <w:spacing w:line="360" w:lineRule="auto"/>
              <w:rPr>
                <w:rFonts w:hint="default" w:hAnsi="宋体"/>
                <w:color w:val="000000" w:themeColor="text1"/>
                <w:szCs w:val="24"/>
                <w:highlight w:val="none"/>
                <w14:textFill>
                  <w14:solidFill>
                    <w14:schemeClr w14:val="tx1"/>
                  </w14:solidFill>
                </w14:textFill>
              </w:rPr>
            </w:pP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本表联合体各单位均需要单独填写。</w:t>
      </w:r>
    </w:p>
    <w:p>
      <w:pPr>
        <w:spacing w:line="360" w:lineRule="auto"/>
        <w:jc w:val="righ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（盖本单位公章）</w:t>
      </w:r>
    </w:p>
    <w:p>
      <w:pPr>
        <w:tabs>
          <w:tab w:val="left" w:pos="3600"/>
          <w:tab w:val="left" w:pos="3780"/>
          <w:tab w:val="left" w:pos="3960"/>
          <w:tab w:val="left" w:pos="4140"/>
        </w:tabs>
        <w:spacing w:line="360" w:lineRule="auto"/>
        <w:ind w:firstLine="5280" w:firstLineChars="2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pPr>
        <w:tabs>
          <w:tab w:val="left" w:pos="0"/>
          <w:tab w:val="left" w:pos="720"/>
          <w:tab w:val="left" w:pos="900"/>
        </w:tabs>
        <w:spacing w:line="420" w:lineRule="exact"/>
        <w:jc w:val="cente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br w:type="page"/>
      </w:r>
      <w:r>
        <w:rPr>
          <w:rFonts w:hint="eastAsia" w:ascii="宋体" w:hAnsi="宋体"/>
          <w:b/>
          <w:snapToGrid w:val="0"/>
          <w:color w:val="000000" w:themeColor="text1"/>
          <w:kern w:val="0"/>
          <w:sz w:val="30"/>
          <w:szCs w:val="30"/>
          <w:highlight w:val="none"/>
          <w14:textFill>
            <w14:solidFill>
              <w14:schemeClr w14:val="tx1"/>
            </w14:solidFill>
          </w14:textFill>
        </w:rPr>
        <w:t>拟投入本项目的项目总负责人简历表</w:t>
      </w:r>
    </w:p>
    <w:tbl>
      <w:tblPr>
        <w:tblStyle w:val="22"/>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性</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学</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FF0000"/>
                <w:szCs w:val="21"/>
                <w:highlight w:val="none"/>
              </w:rPr>
            </w:pPr>
            <w:r>
              <w:rPr>
                <w:rFonts w:hint="eastAsia" w:ascii="宋体" w:hAnsi="宋体"/>
                <w:szCs w:val="21"/>
                <w:highlight w:val="none"/>
              </w:rPr>
              <w:t>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设</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目</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bl>
    <w:p>
      <w:pPr>
        <w:tabs>
          <w:tab w:val="left" w:pos="3600"/>
          <w:tab w:val="left" w:pos="3780"/>
          <w:tab w:val="left" w:pos="3960"/>
          <w:tab w:val="left" w:pos="4140"/>
        </w:tabs>
        <w:spacing w:line="360" w:lineRule="auto"/>
        <w:jc w:val="left"/>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若联合体投标的，项目总负责人须为联合体牵头人单位人员，其后附执业资格证书及社保证明等资料复印件（加盖公章）</w:t>
      </w:r>
      <w:r>
        <w:rPr>
          <w:rFonts w:hint="eastAsia" w:ascii="宋体" w:hAnsi="宋体"/>
          <w:color w:val="000000" w:themeColor="text1"/>
          <w:sz w:val="30"/>
          <w:szCs w:val="30"/>
          <w:highlight w:val="none"/>
          <w14:textFill>
            <w14:solidFill>
              <w14:schemeClr w14:val="tx1"/>
            </w14:solidFill>
          </w14:textFill>
        </w:rPr>
        <w:t>。</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投标人：（盖章）</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法定代表人或其委托代理人（签字或盖章）</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pPr>
        <w:rPr>
          <w:color w:val="000000" w:themeColor="text1"/>
          <w:highlight w:val="none"/>
          <w14:textFill>
            <w14:solidFill>
              <w14:schemeClr w14:val="tx1"/>
            </w14:solidFill>
          </w14:textFill>
        </w:rPr>
        <w:sectPr>
          <w:pgSz w:w="11906" w:h="16838"/>
          <w:pgMar w:top="1418" w:right="1133" w:bottom="1361" w:left="993" w:header="851" w:footer="992" w:gutter="0"/>
          <w:pgNumType w:start="1"/>
          <w:cols w:space="720" w:num="1"/>
          <w:titlePg/>
          <w:docGrid w:type="lines" w:linePitch="312" w:charSpace="0"/>
        </w:sectPr>
      </w:pPr>
    </w:p>
    <w:p>
      <w:pPr>
        <w:tabs>
          <w:tab w:val="left" w:pos="0"/>
          <w:tab w:val="left" w:pos="720"/>
          <w:tab w:val="left" w:pos="900"/>
        </w:tabs>
        <w:spacing w:line="42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拟投入本项目的技术负责人简历表</w:t>
      </w:r>
    </w:p>
    <w:tbl>
      <w:tblPr>
        <w:tblStyle w:val="22"/>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性</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学</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设</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目</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bl>
    <w:p>
      <w:pPr>
        <w:tabs>
          <w:tab w:val="left" w:pos="3600"/>
          <w:tab w:val="left" w:pos="3780"/>
          <w:tab w:val="left" w:pos="3960"/>
          <w:tab w:val="left" w:pos="4140"/>
        </w:tabs>
        <w:spacing w:line="360" w:lineRule="auto"/>
        <w:jc w:val="left"/>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若联合体投标的，技术负责人须为联合体牵头人单位人员，其后附执业资格证书及社保证明等资料复印件（加盖公章）</w:t>
      </w:r>
      <w:r>
        <w:rPr>
          <w:rFonts w:hint="eastAsia" w:ascii="宋体" w:hAnsi="宋体"/>
          <w:color w:val="000000" w:themeColor="text1"/>
          <w:sz w:val="30"/>
          <w:szCs w:val="30"/>
          <w:highlight w:val="none"/>
          <w14:textFill>
            <w14:solidFill>
              <w14:schemeClr w14:val="tx1"/>
            </w14:solidFill>
          </w14:textFill>
        </w:rPr>
        <w:t>。</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投标人：（盖章）</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法定代表人或其委托代理人（签字或盖章）</w:t>
      </w:r>
    </w:p>
    <w:p>
      <w:pPr>
        <w:spacing w:line="400" w:lineRule="exact"/>
        <w:rPr>
          <w:color w:val="000000" w:themeColor="text1"/>
          <w:highlight w:val="none"/>
          <w14:textFill>
            <w14:solidFill>
              <w14:schemeClr w14:val="tx1"/>
            </w14:solidFill>
          </w14:textFill>
        </w:rPr>
        <w:sectPr>
          <w:pgSz w:w="11906" w:h="16838"/>
          <w:pgMar w:top="1418" w:right="1133" w:bottom="1361" w:left="993" w:header="851" w:footer="992" w:gutter="0"/>
          <w:cols w:space="720" w:num="1"/>
          <w:titlePg/>
          <w:docGrid w:type="lines" w:linePitch="312" w:charSpace="0"/>
        </w:sectPr>
      </w:pPr>
      <w:r>
        <w:rPr>
          <w:rFonts w:hint="eastAsia" w:ascii="宋体" w:hAnsi="宋体"/>
          <w:color w:val="000000" w:themeColor="text1"/>
          <w:szCs w:val="21"/>
          <w:highlight w:val="none"/>
          <w14:textFill>
            <w14:solidFill>
              <w14:schemeClr w14:val="tx1"/>
            </w14:solidFill>
          </w14:textFill>
        </w:rPr>
        <w:t>日期：    年    月     日</w:t>
      </w:r>
    </w:p>
    <w:p>
      <w:pPr>
        <w:tabs>
          <w:tab w:val="left" w:pos="0"/>
          <w:tab w:val="left" w:pos="720"/>
          <w:tab w:val="left" w:pos="900"/>
        </w:tabs>
        <w:spacing w:line="42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拟投入本项目的综合性咨询管理负责人简历表</w:t>
      </w:r>
    </w:p>
    <w:tbl>
      <w:tblPr>
        <w:tblStyle w:val="22"/>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性</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学</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设</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目</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bl>
    <w:p>
      <w:pPr>
        <w:tabs>
          <w:tab w:val="left" w:pos="3600"/>
          <w:tab w:val="left" w:pos="3780"/>
          <w:tab w:val="left" w:pos="3960"/>
          <w:tab w:val="left" w:pos="4140"/>
        </w:tabs>
        <w:spacing w:line="360" w:lineRule="auto"/>
        <w:jc w:val="left"/>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若联合体投标的，综合性咨询管理负责人须为联合体牵头人单位人员，其后附执业资格证书及社保证明等资料复印件（加盖公章）</w:t>
      </w:r>
      <w:r>
        <w:rPr>
          <w:rFonts w:hint="eastAsia" w:ascii="宋体" w:hAnsi="宋体"/>
          <w:color w:val="000000" w:themeColor="text1"/>
          <w:sz w:val="30"/>
          <w:szCs w:val="30"/>
          <w:highlight w:val="none"/>
          <w14:textFill>
            <w14:solidFill>
              <w14:schemeClr w14:val="tx1"/>
            </w14:solidFill>
          </w14:textFill>
        </w:rPr>
        <w:t>。</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投标人：（盖章）</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法定代表人或其委托代理人（签字或盖章）</w:t>
      </w:r>
    </w:p>
    <w:p>
      <w:pPr>
        <w:spacing w:line="400" w:lineRule="exact"/>
        <w:rPr>
          <w:rFonts w:ascii="宋体" w:hAnsi="宋体"/>
          <w:b/>
          <w:snapToGrid w:val="0"/>
          <w:color w:val="000000" w:themeColor="text1"/>
          <w:kern w:val="0"/>
          <w:sz w:val="30"/>
          <w:szCs w:val="30"/>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pPr>
        <w:tabs>
          <w:tab w:val="left" w:pos="0"/>
          <w:tab w:val="left" w:pos="720"/>
          <w:tab w:val="left" w:pos="900"/>
        </w:tabs>
        <w:spacing w:line="42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拟投入本项目的造价咨询负责人简历表</w:t>
      </w:r>
    </w:p>
    <w:tbl>
      <w:tblPr>
        <w:tblStyle w:val="22"/>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性</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学</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设</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目</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名</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Cs w:val="21"/>
                <w:highlight w:val="none"/>
                <w14:textFill>
                  <w14:solidFill>
                    <w14:schemeClr w14:val="tx1"/>
                  </w14:solidFill>
                </w14:textFill>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000000" w:themeColor="text1"/>
                <w:szCs w:val="21"/>
                <w:highlight w:val="none"/>
                <w14:textFill>
                  <w14:solidFill>
                    <w14:schemeClr w14:val="tx1"/>
                  </w14:solidFill>
                </w14:textFill>
              </w:rPr>
            </w:pPr>
          </w:p>
        </w:tc>
      </w:tr>
    </w:tbl>
    <w:p>
      <w:pPr>
        <w:tabs>
          <w:tab w:val="left" w:pos="3600"/>
          <w:tab w:val="left" w:pos="3780"/>
          <w:tab w:val="left" w:pos="3960"/>
          <w:tab w:val="left" w:pos="4140"/>
        </w:tabs>
        <w:spacing w:line="360" w:lineRule="auto"/>
        <w:jc w:val="left"/>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其后附执业资格证书及社保证明等资料复印件（加盖公章）</w:t>
      </w:r>
      <w:r>
        <w:rPr>
          <w:rFonts w:hint="eastAsia" w:ascii="宋体" w:hAnsi="宋体"/>
          <w:color w:val="000000" w:themeColor="text1"/>
          <w:sz w:val="30"/>
          <w:szCs w:val="30"/>
          <w:highlight w:val="none"/>
          <w14:textFill>
            <w14:solidFill>
              <w14:schemeClr w14:val="tx1"/>
            </w14:solidFill>
          </w14:textFill>
        </w:rPr>
        <w:t>。</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投标人：（盖章）</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法定代表人或其委托代理人（签字或盖章）</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br w:type="page"/>
      </w:r>
    </w:p>
    <w:p>
      <w:pPr>
        <w:pStyle w:val="21"/>
        <w:ind w:firstLine="210"/>
        <w:rPr>
          <w:rFonts w:ascii="宋体" w:hAnsi="宋体"/>
          <w:color w:val="000000" w:themeColor="text1"/>
          <w:szCs w:val="21"/>
          <w:highlight w:val="none"/>
          <w14:textFill>
            <w14:solidFill>
              <w14:schemeClr w14:val="tx1"/>
            </w14:solidFill>
          </w14:textFill>
        </w:rPr>
      </w:pPr>
    </w:p>
    <w:p>
      <w:pPr>
        <w:spacing w:line="400" w:lineRule="exact"/>
        <w:rPr>
          <w:rFonts w:ascii="宋体" w:hAnsi="宋体"/>
          <w:b/>
          <w:snapToGrid w:val="0"/>
          <w:color w:val="000000" w:themeColor="text1"/>
          <w:kern w:val="0"/>
          <w:sz w:val="30"/>
          <w:szCs w:val="30"/>
          <w:highlight w:val="none"/>
          <w14:textFill>
            <w14:solidFill>
              <w14:schemeClr w14:val="tx1"/>
            </w14:solidFill>
          </w14:textFill>
        </w:rPr>
      </w:pPr>
    </w:p>
    <w:p>
      <w:pPr>
        <w:spacing w:line="400" w:lineRule="exact"/>
        <w:jc w:val="center"/>
        <w:rPr>
          <w:rFonts w:ascii="宋体" w:hAnsi="宋体"/>
          <w:b/>
          <w:snapToGrid w:val="0"/>
          <w:color w:val="000000" w:themeColor="text1"/>
          <w:kern w:val="0"/>
          <w:sz w:val="30"/>
          <w:szCs w:val="30"/>
          <w:highlight w:val="none"/>
          <w14:textFill>
            <w14:solidFill>
              <w14:schemeClr w14:val="tx1"/>
            </w14:solidFill>
          </w14:textFill>
        </w:rPr>
      </w:pPr>
      <w:r>
        <w:rPr>
          <w:rFonts w:hint="eastAsia" w:ascii="宋体" w:hAnsi="宋体"/>
          <w:b/>
          <w:snapToGrid w:val="0"/>
          <w:color w:val="000000" w:themeColor="text1"/>
          <w:kern w:val="0"/>
          <w:sz w:val="30"/>
          <w:szCs w:val="30"/>
          <w:highlight w:val="none"/>
          <w14:textFill>
            <w14:solidFill>
              <w14:schemeClr w14:val="tx1"/>
            </w14:solidFill>
          </w14:textFill>
        </w:rPr>
        <w:t>拟投入本项目人员情况及进场时间一览表</w:t>
      </w:r>
    </w:p>
    <w:p>
      <w:pPr>
        <w:tabs>
          <w:tab w:val="left" w:pos="0"/>
          <w:tab w:val="left" w:pos="720"/>
          <w:tab w:val="left" w:pos="900"/>
        </w:tabs>
        <w:spacing w:line="420" w:lineRule="exact"/>
        <w:ind w:firstLine="422" w:firstLineChars="200"/>
        <w:rPr>
          <w:rFonts w:ascii="宋体" w:hAnsi="宋体"/>
          <w:b/>
          <w:bCs/>
          <w:snapToGrid w:val="0"/>
          <w:color w:val="000000" w:themeColor="text1"/>
          <w:kern w:val="0"/>
          <w:szCs w:val="21"/>
          <w:highlight w:val="none"/>
          <w:u w:val="single"/>
          <w14:textFill>
            <w14:solidFill>
              <w14:schemeClr w14:val="tx1"/>
            </w14:solidFill>
          </w14:textFill>
        </w:rPr>
      </w:pPr>
      <w:r>
        <w:rPr>
          <w:rFonts w:hint="eastAsia" w:ascii="宋体" w:hAnsi="宋体"/>
          <w:b/>
          <w:bCs/>
          <w:snapToGrid w:val="0"/>
          <w:color w:val="000000" w:themeColor="text1"/>
          <w:kern w:val="0"/>
          <w:szCs w:val="21"/>
          <w:highlight w:val="none"/>
          <w14:textFill>
            <w14:solidFill>
              <w14:schemeClr w14:val="tx1"/>
            </w14:solidFill>
          </w14:textFill>
        </w:rPr>
        <w:t>投标人名称：</w:t>
      </w:r>
      <w:r>
        <w:rPr>
          <w:rFonts w:hint="eastAsia" w:ascii="宋体" w:hAnsi="宋体"/>
          <w:b/>
          <w:bCs/>
          <w:snapToGrid w:val="0"/>
          <w:color w:val="000000" w:themeColor="text1"/>
          <w:kern w:val="0"/>
          <w:szCs w:val="21"/>
          <w:highlight w:val="none"/>
          <w:u w:val="single"/>
          <w14:textFill>
            <w14:solidFill>
              <w14:schemeClr w14:val="tx1"/>
            </w14:solidFill>
          </w14:textFill>
        </w:rPr>
        <w:t xml:space="preserve">                     </w:t>
      </w:r>
      <w:r>
        <w:rPr>
          <w:rFonts w:hint="eastAsia" w:ascii="宋体" w:hAnsi="宋体"/>
          <w:b/>
          <w:bCs/>
          <w:snapToGrid w:val="0"/>
          <w:color w:val="000000" w:themeColor="text1"/>
          <w:kern w:val="0"/>
          <w:szCs w:val="21"/>
          <w:highlight w:val="none"/>
          <w14:textFill>
            <w14:solidFill>
              <w14:schemeClr w14:val="tx1"/>
            </w14:solidFill>
          </w14:textFill>
        </w:rPr>
        <w:t xml:space="preserve">       项目名称： </w:t>
      </w:r>
      <w:r>
        <w:rPr>
          <w:rFonts w:hint="eastAsia" w:ascii="宋体" w:hAnsi="宋体"/>
          <w:b/>
          <w:bCs/>
          <w:snapToGrid w:val="0"/>
          <w:color w:val="000000" w:themeColor="text1"/>
          <w:kern w:val="0"/>
          <w:szCs w:val="21"/>
          <w:highlight w:val="none"/>
          <w:u w:val="single"/>
          <w14:textFill>
            <w14:solidFill>
              <w14:schemeClr w14:val="tx1"/>
            </w14:solidFill>
          </w14:textFill>
        </w:rPr>
        <w:t xml:space="preserve">                  </w:t>
      </w:r>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729"/>
        <w:gridCol w:w="709"/>
        <w:gridCol w:w="709"/>
        <w:gridCol w:w="841"/>
        <w:gridCol w:w="851"/>
        <w:gridCol w:w="1559"/>
        <w:gridCol w:w="709"/>
        <w:gridCol w:w="709"/>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部门</w:t>
            </w:r>
          </w:p>
        </w:tc>
        <w:tc>
          <w:tcPr>
            <w:tcW w:w="1134" w:type="dxa"/>
            <w:vAlign w:val="center"/>
          </w:tcPr>
          <w:p>
            <w:pPr>
              <w:snapToGrid w:val="0"/>
              <w:spacing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配置岗位要求</w:t>
            </w:r>
          </w:p>
        </w:tc>
        <w:tc>
          <w:tcPr>
            <w:tcW w:w="729" w:type="dxa"/>
            <w:vAlign w:val="center"/>
          </w:tcPr>
          <w:p>
            <w:pPr>
              <w:spacing w:before="156" w:beforeLines="50" w:after="156" w:afterLines="50"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数量</w:t>
            </w: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姓名</w:t>
            </w: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专业要求</w:t>
            </w: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职称与职业资格</w:t>
            </w:r>
          </w:p>
        </w:tc>
        <w:tc>
          <w:tcPr>
            <w:tcW w:w="851" w:type="dxa"/>
            <w:vAlign w:val="center"/>
          </w:tcPr>
          <w:p>
            <w:pPr>
              <w:spacing w:before="156" w:beforeLines="50" w:after="156" w:afterLines="50"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专职或兼职</w:t>
            </w:r>
          </w:p>
        </w:tc>
        <w:tc>
          <w:tcPr>
            <w:tcW w:w="1559" w:type="dxa"/>
            <w:vAlign w:val="center"/>
          </w:tcPr>
          <w:p>
            <w:pPr>
              <w:spacing w:before="156" w:beforeLines="50" w:after="156" w:afterLines="50"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注册证书号（岗位证书号）</w:t>
            </w:r>
          </w:p>
        </w:tc>
        <w:tc>
          <w:tcPr>
            <w:tcW w:w="709" w:type="dxa"/>
            <w:vAlign w:val="center"/>
          </w:tcPr>
          <w:p>
            <w:pPr>
              <w:spacing w:before="156" w:beforeLines="50" w:after="156" w:afterLines="50"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社会保障号</w:t>
            </w: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服务时间段</w:t>
            </w:r>
          </w:p>
        </w:tc>
        <w:tc>
          <w:tcPr>
            <w:tcW w:w="980" w:type="dxa"/>
            <w:vAlign w:val="center"/>
          </w:tcPr>
          <w:p>
            <w:pPr>
              <w:spacing w:before="156" w:beforeLines="50" w:after="156" w:afterLines="50" w:line="200" w:lineRule="exact"/>
              <w:jc w:val="center"/>
              <w:rPr>
                <w:rFonts w:ascii="宋体" w:hAnsi="宋体"/>
                <w:b/>
                <w:snapToGrid w:val="0"/>
                <w:color w:val="000000" w:themeColor="text1"/>
                <w:kern w:val="0"/>
                <w:sz w:val="18"/>
                <w:szCs w:val="18"/>
                <w:highlight w:val="none"/>
                <w14:textFill>
                  <w14:solidFill>
                    <w14:schemeClr w14:val="tx1"/>
                  </w14:solidFill>
                </w14:textFill>
              </w:rPr>
            </w:pPr>
            <w:r>
              <w:rPr>
                <w:rFonts w:hint="eastAsia" w:ascii="宋体" w:hAnsi="宋体"/>
                <w:b/>
                <w:snapToGrid w:val="0"/>
                <w:color w:val="000000" w:themeColor="text1"/>
                <w:kern w:val="0"/>
                <w:sz w:val="18"/>
                <w:szCs w:val="18"/>
                <w:highlight w:val="none"/>
                <w14:textFill>
                  <w14:solidFill>
                    <w14:schemeClr w14:val="tx1"/>
                  </w14:solidFill>
                </w14:textFill>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851" w:type="dxa"/>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综合管理团队</w:t>
            </w: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项目总负责人</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851" w:type="dxa"/>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技术管理组</w:t>
            </w: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技术负责人</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851" w:type="dxa"/>
            <w:vMerge w:val="restart"/>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综合管理团队</w:t>
            </w: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综合性咨询管理负责人</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1" w:type="dxa"/>
            <w:vMerge w:val="continue"/>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851" w:type="dxa"/>
            <w:vMerge w:val="continue"/>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851" w:type="dxa"/>
            <w:vMerge w:val="continue"/>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vAlign w:val="center"/>
          </w:tcPr>
          <w:p>
            <w:pPr>
              <w:spacing w:before="156" w:beforeLines="50" w:after="156" w:afterLines="50"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造价咨询管理组</w:t>
            </w:r>
          </w:p>
        </w:tc>
        <w:tc>
          <w:tcPr>
            <w:tcW w:w="1134" w:type="dxa"/>
            <w:vAlign w:val="center"/>
          </w:tcPr>
          <w:p>
            <w:pPr>
              <w:widowControl/>
              <w:spacing w:line="20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造价咨询负责人</w:t>
            </w:r>
          </w:p>
        </w:tc>
        <w:tc>
          <w:tcPr>
            <w:tcW w:w="729" w:type="dxa"/>
          </w:tcPr>
          <w:p>
            <w:pPr>
              <w:spacing w:before="156" w:beforeLines="50" w:after="156" w:afterLines="50" w:line="200" w:lineRule="exact"/>
              <w:jc w:val="center"/>
              <w:rPr>
                <w:rFonts w:ascii="宋体" w:hAnsi="宋体" w:cs="宋体"/>
                <w:b/>
                <w:color w:val="000000" w:themeColor="text1"/>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r>
              <w:rPr>
                <w:rFonts w:hint="eastAsia" w:ascii="宋体" w:hAnsi="宋体"/>
                <w:snapToGrid w:val="0"/>
                <w:color w:val="000000" w:themeColor="text1"/>
                <w:kern w:val="0"/>
                <w:sz w:val="18"/>
                <w:szCs w:val="18"/>
                <w:highlight w:val="none"/>
                <w14:textFill>
                  <w14:solidFill>
                    <w14:schemeClr w14:val="tx1"/>
                  </w14:solidFill>
                </w14:textFill>
              </w:rPr>
              <w:t>其他</w:t>
            </w:r>
          </w:p>
        </w:tc>
        <w:tc>
          <w:tcPr>
            <w:tcW w:w="1134"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w:t>
            </w:r>
          </w:p>
        </w:tc>
        <w:tc>
          <w:tcPr>
            <w:tcW w:w="72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841" w:type="dxa"/>
            <w:vAlign w:val="center"/>
          </w:tcPr>
          <w:p>
            <w:pPr>
              <w:widowControl/>
              <w:spacing w:line="200" w:lineRule="exact"/>
              <w:jc w:val="center"/>
              <w:rPr>
                <w:rFonts w:ascii="宋体" w:hAnsi="宋体" w:cs="宋体"/>
                <w:color w:val="000000" w:themeColor="text1"/>
                <w:kern w:val="0"/>
                <w:sz w:val="18"/>
                <w:szCs w:val="18"/>
                <w:highlight w:val="none"/>
                <w14:textFill>
                  <w14:solidFill>
                    <w14:schemeClr w14:val="tx1"/>
                  </w14:solidFill>
                </w14:textFill>
              </w:rPr>
            </w:pPr>
          </w:p>
        </w:tc>
        <w:tc>
          <w:tcPr>
            <w:tcW w:w="851"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155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709"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c>
          <w:tcPr>
            <w:tcW w:w="980" w:type="dxa"/>
            <w:vAlign w:val="center"/>
          </w:tcPr>
          <w:p>
            <w:pPr>
              <w:spacing w:before="156" w:beforeLines="50" w:after="156" w:afterLines="50" w:line="200" w:lineRule="exact"/>
              <w:jc w:val="center"/>
              <w:rPr>
                <w:rFonts w:ascii="宋体" w:hAnsi="宋体"/>
                <w:snapToGrid w:val="0"/>
                <w:color w:val="000000" w:themeColor="text1"/>
                <w:kern w:val="0"/>
                <w:sz w:val="18"/>
                <w:szCs w:val="18"/>
                <w:highlight w:val="none"/>
                <w14:textFill>
                  <w14:solidFill>
                    <w14:schemeClr w14:val="tx1"/>
                  </w14:solidFill>
                </w14:textFill>
              </w:rPr>
            </w:pPr>
          </w:p>
        </w:tc>
      </w:tr>
    </w:tbl>
    <w:p>
      <w:pPr>
        <w:pStyle w:val="54"/>
        <w:spacing w:before="78" w:beforeLines="25" w:after="78" w:afterLines="25"/>
        <w:ind w:firstLine="0" w:firstLineChars="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注：1.投标人可扩展、增加表格内容，具体根据招标文件第四章第二节全过程工程咨询服务人员要求填写；</w:t>
      </w:r>
    </w:p>
    <w:p>
      <w:pPr>
        <w:pStyle w:val="54"/>
        <w:spacing w:before="78" w:beforeLines="25" w:after="78" w:afterLines="25"/>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2.人数为基本数量要求，项目实施阶段实际人员配备应结合工程项目特点、工期、工程量实际完成情况，及时进行调整，并经双方协商后书面确认；</w:t>
      </w:r>
    </w:p>
    <w:p>
      <w:pPr>
        <w:pStyle w:val="54"/>
        <w:spacing w:before="78" w:beforeLines="25" w:after="78" w:afterLines="25"/>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3.本表要求的项目人员（代理人员除外）应具有相应的执业资格注册证书或职称证书，后附相关证书复印件。</w:t>
      </w:r>
    </w:p>
    <w:p>
      <w:pPr>
        <w:spacing w:before="240" w:line="400" w:lineRule="exact"/>
        <w:jc w:val="center"/>
        <w:rPr>
          <w:rFonts w:ascii="宋体" w:hAnsi="宋体"/>
          <w:color w:val="000000" w:themeColor="text1"/>
          <w:sz w:val="30"/>
          <w:szCs w:val="30"/>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r>
      <w:r>
        <w:rPr>
          <w:rFonts w:hint="eastAsia"/>
          <w:b/>
          <w:color w:val="000000" w:themeColor="text1"/>
          <w:sz w:val="30"/>
          <w:szCs w:val="30"/>
          <w:highlight w:val="none"/>
          <w14:textFill>
            <w14:solidFill>
              <w14:schemeClr w14:val="tx1"/>
            </w14:solidFill>
          </w14:textFill>
        </w:rPr>
        <w:t>投标人工程业绩表</w:t>
      </w:r>
    </w:p>
    <w:p>
      <w:pPr>
        <w:spacing w:line="400" w:lineRule="exact"/>
        <w:jc w:val="center"/>
        <w:rPr>
          <w:rFonts w:ascii="宋体" w:hAnsi="宋体"/>
          <w:b/>
          <w:color w:val="000000" w:themeColor="text1"/>
          <w:szCs w:val="21"/>
          <w:highlight w:val="none"/>
          <w14:textFill>
            <w14:solidFill>
              <w14:schemeClr w14:val="tx1"/>
            </w14:solidFill>
          </w14:textFill>
        </w:rPr>
      </w:pP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承担的工作</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项目负责人</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及电话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12"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bl>
    <w:p>
      <w:pPr>
        <w:spacing w:line="400" w:lineRule="exact"/>
        <w:rPr>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附注：</w:t>
      </w:r>
      <w:r>
        <w:rPr>
          <w:rFonts w:hint="eastAsia" w:ascii="宋体" w:hAnsi="宋体"/>
          <w:color w:val="000000" w:themeColor="text1"/>
          <w:szCs w:val="21"/>
          <w:highlight w:val="none"/>
          <w14:textFill>
            <w14:solidFill>
              <w14:schemeClr w14:val="tx1"/>
            </w14:solidFill>
          </w14:textFill>
        </w:rPr>
        <w:t>业绩中需提供的相关证明材料及格式要求：</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1.每张表格只填写一个项目，并标明序号。</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2.本表后须附相关证明材料。</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hAnsi="宋体"/>
          <w:sz w:val="30"/>
          <w:szCs w:val="30"/>
          <w:highlight w:val="none"/>
        </w:rPr>
      </w:pPr>
      <w:r>
        <w:rPr>
          <w:rFonts w:ascii="宋体" w:hAnsi="宋体"/>
          <w:b/>
          <w:color w:val="000000" w:themeColor="text1"/>
          <w:sz w:val="28"/>
          <w:szCs w:val="28"/>
          <w:highlight w:val="none"/>
          <w14:textFill>
            <w14:solidFill>
              <w14:schemeClr w14:val="tx1"/>
            </w14:solidFill>
          </w14:textFill>
        </w:rPr>
        <w:br w:type="page"/>
      </w:r>
      <w:r>
        <w:rPr>
          <w:rFonts w:hint="eastAsia"/>
          <w:b/>
          <w:sz w:val="30"/>
          <w:szCs w:val="30"/>
          <w:highlight w:val="none"/>
        </w:rPr>
        <w:t>项目总负责人/技术负责人工程业绩表</w:t>
      </w:r>
    </w:p>
    <w:p>
      <w:pPr>
        <w:spacing w:line="400" w:lineRule="exact"/>
        <w:jc w:val="center"/>
        <w:rPr>
          <w:rFonts w:ascii="宋体" w:hAnsi="宋体"/>
          <w:b/>
          <w:color w:val="000000" w:themeColor="text1"/>
          <w:szCs w:val="21"/>
          <w:highlight w:val="none"/>
          <w14:textFill>
            <w14:solidFill>
              <w14:schemeClr w14:val="tx1"/>
            </w14:solidFill>
          </w14:textFill>
        </w:rPr>
      </w:pP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承担的工作</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highlight w:val="none"/>
              </w:rPr>
            </w:pPr>
            <w:r>
              <w:rPr>
                <w:rFonts w:hint="eastAsia" w:ascii="宋体" w:hAnsi="宋体"/>
                <w:szCs w:val="21"/>
                <w:highlight w:val="none"/>
              </w:rPr>
              <w:t>项目总负责人/技术负责人</w:t>
            </w:r>
          </w:p>
          <w:p>
            <w:pPr>
              <w:spacing w:line="400" w:lineRule="exact"/>
              <w:jc w:val="center"/>
              <w:rPr>
                <w:rFonts w:ascii="宋体" w:hAnsi="宋体"/>
                <w:color w:val="FF0000"/>
                <w:szCs w:val="21"/>
                <w:highlight w:val="none"/>
              </w:rPr>
            </w:pPr>
            <w:r>
              <w:rPr>
                <w:rFonts w:hint="eastAsia" w:ascii="宋体" w:hAnsi="宋体"/>
                <w:szCs w:val="21"/>
                <w:highlight w:val="none"/>
              </w:rPr>
              <w:t>及电话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bl>
    <w:p>
      <w:pPr>
        <w:spacing w:line="400" w:lineRule="exact"/>
        <w:rPr>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附注：</w:t>
      </w:r>
      <w:r>
        <w:rPr>
          <w:rFonts w:hint="eastAsia" w:ascii="宋体" w:hAnsi="宋体"/>
          <w:color w:val="000000" w:themeColor="text1"/>
          <w:szCs w:val="21"/>
          <w:highlight w:val="none"/>
          <w14:textFill>
            <w14:solidFill>
              <w14:schemeClr w14:val="tx1"/>
            </w14:solidFill>
          </w14:textFill>
        </w:rPr>
        <w:t>业绩中需提供的相关证明材料及格式要求：</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.每张表格只填写一个项目，并标明序号。</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2.本表后须附相关证明材料。</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b/>
          <w:color w:val="000000" w:themeColor="text1"/>
          <w:sz w:val="28"/>
          <w:highlight w:val="non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br w:type="page"/>
      </w:r>
      <w:r>
        <w:rPr>
          <w:rFonts w:hint="eastAsia"/>
          <w:b/>
          <w:color w:val="000000" w:themeColor="text1"/>
          <w:sz w:val="30"/>
          <w:szCs w:val="30"/>
          <w:highlight w:val="none"/>
          <w14:textFill>
            <w14:solidFill>
              <w14:schemeClr w14:val="tx1"/>
            </w14:solidFill>
          </w14:textFill>
        </w:rPr>
        <w:t>投  标  函</w:t>
      </w:r>
    </w:p>
    <w:p>
      <w:pPr>
        <w:spacing w:line="360" w:lineRule="auto"/>
        <w:ind w:firstLine="480"/>
        <w:jc w:val="center"/>
        <w:rPr>
          <w:rFonts w:ascii="宋体"/>
          <w:b/>
          <w:color w:val="000000" w:themeColor="text1"/>
          <w:sz w:val="28"/>
          <w:highlight w:val="none"/>
          <w14:textFill>
            <w14:solidFill>
              <w14:schemeClr w14:val="tx1"/>
            </w14:solidFill>
          </w14:textFill>
        </w:rPr>
      </w:pPr>
    </w:p>
    <w:p>
      <w:pPr>
        <w:spacing w:line="360" w:lineRule="auto"/>
        <w:jc w:val="lef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（招标人全称）：</w:t>
      </w:r>
    </w:p>
    <w:p>
      <w:pPr>
        <w:spacing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1、根据已收到的</w:t>
      </w:r>
      <w:r>
        <w:rPr>
          <w:rStyle w:val="52"/>
          <w:rFonts w:hint="eastAsia" w:ascii="宋体" w:hAnsi="宋体"/>
          <w:b/>
          <w:iCs/>
          <w:color w:val="000000" w:themeColor="text1"/>
          <w:kern w:val="0"/>
          <w:szCs w:val="21"/>
          <w:highlight w:val="none"/>
          <w:u w:val="single" w:color="000000"/>
          <w14:textFill>
            <w14:solidFill>
              <w14:schemeClr w14:val="tx1"/>
            </w14:solidFill>
          </w14:textFill>
        </w:rPr>
        <w:t>绍兴市本级海塘安澜工程（曹娥江大闸段）全过程工程咨询项目</w:t>
      </w:r>
      <w:r>
        <w:rPr>
          <w:rFonts w:hint="eastAsia" w:ascii="宋体" w:hAnsi="宋体"/>
          <w:color w:val="000000" w:themeColor="text1"/>
          <w:szCs w:val="21"/>
          <w:highlight w:val="none"/>
          <w14:textFill>
            <w14:solidFill>
              <w14:schemeClr w14:val="tx1"/>
            </w14:solidFill>
          </w14:textFill>
        </w:rPr>
        <w:t>的招标文件，经考察现场和研究上述招标文件的各个章节和相关</w:t>
      </w:r>
      <w:r>
        <w:rPr>
          <w:rFonts w:hint="eastAsia" w:ascii="宋体"/>
          <w:color w:val="000000" w:themeColor="text1"/>
          <w:szCs w:val="21"/>
          <w:highlight w:val="none"/>
          <w14:textFill>
            <w14:solidFill>
              <w14:schemeClr w14:val="tx1"/>
            </w14:solidFill>
          </w14:textFill>
        </w:rPr>
        <w:t>文件后，我单位愿按本招标文件约定的收费基础下浮</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%的投标报价作为全过程工程咨询费承担并承诺完成上述全过程工程咨询合同所规定的服务工作内容。</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2、一旦我方中标，我方保证工程决算投资额控制在批准的建安工程投资内。</w:t>
      </w:r>
    </w:p>
    <w:p>
      <w:pPr>
        <w:spacing w:line="360" w:lineRule="auto"/>
        <w:ind w:firstLine="420" w:firstLineChars="200"/>
        <w:rPr>
          <w:rFonts w:ascii="宋体" w:hAnsi="宋体"/>
          <w:b/>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3、一旦我方中标，我方保证全过程工程咨询服务期限为</w:t>
      </w:r>
      <w:r>
        <w:rPr>
          <w:rFonts w:hint="eastAsia" w:ascii="宋体" w:hAnsi="宋体"/>
          <w:b/>
          <w:color w:val="000000" w:themeColor="text1"/>
          <w:szCs w:val="21"/>
          <w:highlight w:val="none"/>
          <w:u w:val="single"/>
          <w14:textFill>
            <w14:solidFill>
              <w14:schemeClr w14:val="tx1"/>
            </w14:solidFill>
          </w14:textFill>
        </w:rPr>
        <w:t>自咨询合同签订之日起，至工程竣工验收后缺陷责任期满且决算审计结束。</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4、一旦我方中标，我方保证使本项目的质量达到</w:t>
      </w:r>
      <w:r>
        <w:rPr>
          <w:rFonts w:hint="eastAsia" w:ascii="宋体" w:hAnsi="宋体"/>
          <w:b/>
          <w:color w:val="000000" w:themeColor="text1"/>
          <w:szCs w:val="21"/>
          <w:highlight w:val="none"/>
          <w:u w:val="single"/>
          <w14:textFill>
            <w14:solidFill>
              <w14:schemeClr w14:val="tx1"/>
            </w14:solidFill>
          </w14:textFill>
        </w:rPr>
        <w:t>合格</w:t>
      </w:r>
      <w:r>
        <w:rPr>
          <w:rFonts w:hint="eastAsia" w:ascii="宋体" w:hAnsi="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5、一旦我方中标，我方保证本项目的安全等级满足达到</w:t>
      </w:r>
      <w:r>
        <w:rPr>
          <w:rFonts w:hint="eastAsia" w:ascii="宋体" w:hAnsi="宋体"/>
          <w:b/>
          <w:color w:val="000000" w:themeColor="text1"/>
          <w:szCs w:val="21"/>
          <w:highlight w:val="none"/>
          <w:u w:val="single"/>
          <w14:textFill>
            <w14:solidFill>
              <w14:schemeClr w14:val="tx1"/>
            </w14:solidFill>
          </w14:textFill>
        </w:rPr>
        <w:t>国家及省市级相关规定</w:t>
      </w:r>
      <w:r>
        <w:rPr>
          <w:rFonts w:hint="eastAsia" w:ascii="宋体" w:hAnsi="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6、一旦我方中标，我方保证按规定的要求和标准实施工程咨询。</w:t>
      </w:r>
    </w:p>
    <w:p>
      <w:pPr>
        <w:spacing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7、我方同意所提交投标文件在投标有限期内有效，在此期间如果中标，我方均受此约束。</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8、除非双方另行达成协议并生效，你方的招标书内容要求和本投标书，均构成我们双方的合同。</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9、附件一：服务费报价表</w:t>
      </w:r>
    </w:p>
    <w:p>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10、附件二：第三方检测报价单。</w:t>
      </w:r>
    </w:p>
    <w:p>
      <w:pPr>
        <w:spacing w:line="360" w:lineRule="auto"/>
        <w:ind w:left="315" w:hanging="315" w:hangingChars="150"/>
        <w:rPr>
          <w:rFonts w:ascii="宋体" w:hAnsi="宋体"/>
          <w:color w:val="000000" w:themeColor="text1"/>
          <w:szCs w:val="21"/>
          <w:highlight w:val="none"/>
          <w14:textFill>
            <w14:solidFill>
              <w14:schemeClr w14:val="tx1"/>
            </w14:solidFill>
          </w14:textFill>
        </w:rPr>
      </w:pPr>
    </w:p>
    <w:p>
      <w:pPr>
        <w:spacing w:line="360" w:lineRule="auto"/>
        <w:ind w:left="315" w:hanging="315" w:hanging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投标单位（盖章）：</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法定代表人或其委托代理人（签字或盖章）：</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传真：</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开户银行名称：</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开户银行账号：</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开户银行地址：</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开户银行电话：</w:t>
      </w: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ind w:firstLine="5775" w:firstLineChars="2750"/>
        <w:rPr>
          <w:rFonts w:ascii="宋体" w:hAnsi="宋体"/>
          <w:color w:val="000000" w:themeColor="text1"/>
          <w:szCs w:val="21"/>
          <w:highlight w:val="none"/>
          <w14:textFill>
            <w14:solidFill>
              <w14:schemeClr w14:val="tx1"/>
            </w14:solidFill>
          </w14:textFill>
        </w:rPr>
        <w:sectPr>
          <w:pgSz w:w="11906" w:h="16838"/>
          <w:pgMar w:top="1418" w:right="1133" w:bottom="1361" w:left="993" w:header="851" w:footer="992" w:gutter="0"/>
          <w:cols w:space="720" w:num="1"/>
          <w:titlePg/>
          <w:docGrid w:type="lines" w:linePitch="312" w:charSpace="0"/>
        </w:sectPr>
      </w:pPr>
      <w:r>
        <w:rPr>
          <w:rFonts w:hint="eastAsia" w:ascii="宋体" w:hAnsi="宋体"/>
          <w:color w:val="000000" w:themeColor="text1"/>
          <w:szCs w:val="21"/>
          <w:highlight w:val="none"/>
          <w14:textFill>
            <w14:solidFill>
              <w14:schemeClr w14:val="tx1"/>
            </w14:solidFill>
          </w14:textFill>
        </w:rPr>
        <w:t>年    月    日</w:t>
      </w: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r>
        <w:rPr>
          <w:rFonts w:hint="eastAsia" w:ascii="Times New Roman" w:hAnsi="Times New Roman" w:eastAsia="宋体" w:cs="Times New Roman"/>
          <w:bCs w:val="0"/>
          <w:color w:val="000000" w:themeColor="text1"/>
          <w:sz w:val="30"/>
          <w:szCs w:val="30"/>
          <w:highlight w:val="none"/>
          <w14:textFill>
            <w14:solidFill>
              <w14:schemeClr w14:val="tx1"/>
            </w14:solidFill>
          </w14:textFill>
        </w:rPr>
        <w:t>附件一：服务费报价表</w:t>
      </w: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t>工程名称：</w:t>
      </w:r>
    </w:p>
    <w:tbl>
      <w:tblPr>
        <w:tblStyle w:val="23"/>
        <w:tblpPr w:leftFromText="180" w:rightFromText="180" w:vertAnchor="text" w:horzAnchor="page" w:tblpX="1160" w:tblpY="10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2477"/>
        <w:gridCol w:w="1526"/>
        <w:gridCol w:w="1620"/>
        <w:gridCol w:w="3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922"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序号</w:t>
            </w:r>
          </w:p>
        </w:tc>
        <w:tc>
          <w:tcPr>
            <w:tcW w:w="2477"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费用名称</w:t>
            </w:r>
          </w:p>
        </w:tc>
        <w:tc>
          <w:tcPr>
            <w:tcW w:w="1526"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限价（万元）</w:t>
            </w:r>
          </w:p>
        </w:tc>
        <w:tc>
          <w:tcPr>
            <w:tcW w:w="1620"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报价（万元）</w:t>
            </w:r>
          </w:p>
        </w:tc>
        <w:tc>
          <w:tcPr>
            <w:tcW w:w="3451"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22" w:type="dxa"/>
            <w:vAlign w:val="center"/>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1</w:t>
            </w:r>
          </w:p>
        </w:tc>
        <w:tc>
          <w:tcPr>
            <w:tcW w:w="2477" w:type="dxa"/>
            <w:vAlign w:val="center"/>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总价承包部分</w:t>
            </w:r>
          </w:p>
        </w:tc>
        <w:tc>
          <w:tcPr>
            <w:tcW w:w="1526" w:type="dxa"/>
            <w:vAlign w:val="center"/>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1340</w:t>
            </w:r>
          </w:p>
        </w:tc>
        <w:tc>
          <w:tcPr>
            <w:tcW w:w="1620" w:type="dxa"/>
            <w:vAlign w:val="center"/>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p>
        </w:tc>
        <w:tc>
          <w:tcPr>
            <w:tcW w:w="3451" w:type="dxa"/>
          </w:tcPr>
          <w:p>
            <w:pPr>
              <w:pStyle w:val="2"/>
              <w:jc w:val="left"/>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除第三方检测费以外的其他咨询费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922"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2</w:t>
            </w:r>
          </w:p>
        </w:tc>
        <w:tc>
          <w:tcPr>
            <w:tcW w:w="2477"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单价承包部分</w:t>
            </w:r>
          </w:p>
        </w:tc>
        <w:tc>
          <w:tcPr>
            <w:tcW w:w="1526"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163</w:t>
            </w:r>
          </w:p>
        </w:tc>
        <w:tc>
          <w:tcPr>
            <w:tcW w:w="1620" w:type="dxa"/>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p>
        </w:tc>
        <w:tc>
          <w:tcPr>
            <w:tcW w:w="3451" w:type="dxa"/>
          </w:tcPr>
          <w:p>
            <w:pPr>
              <w:pStyle w:val="2"/>
              <w:jc w:val="both"/>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第三方质量检测费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3399" w:type="dxa"/>
            <w:gridSpan w:val="2"/>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t>总价</w:t>
            </w:r>
          </w:p>
        </w:tc>
        <w:tc>
          <w:tcPr>
            <w:tcW w:w="6597" w:type="dxa"/>
            <w:gridSpan w:val="3"/>
          </w:tcPr>
          <w:p>
            <w:pPr>
              <w:pStyle w:val="2"/>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996" w:type="dxa"/>
            <w:gridSpan w:val="5"/>
          </w:tcPr>
          <w:p>
            <w:pPr>
              <w:pStyle w:val="2"/>
              <w:jc w:val="both"/>
              <w:rPr>
                <w:rFonts w:ascii="Times New Roman" w:hAnsi="Times New Roman" w:eastAsia="宋体" w:cs="Times New Roman"/>
                <w:b w:val="0"/>
                <w:bCs w:val="0"/>
                <w:color w:val="000000" w:themeColor="text1"/>
                <w:kern w:val="0"/>
                <w:sz w:val="24"/>
                <w:szCs w:val="24"/>
                <w:highlight w:val="none"/>
                <w:lang w:bidi="ar"/>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投标人已充分考虑整个服务时间内的全部工作所需费用，并包含在投标总报价中</w:t>
            </w:r>
          </w:p>
        </w:tc>
      </w:tr>
    </w:tbl>
    <w:p>
      <w:pPr>
        <w:pStyle w:val="2"/>
        <w:jc w:val="both"/>
        <w:rPr>
          <w:color w:val="000000" w:themeColor="text1"/>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2"/>
        <w:jc w:val="left"/>
        <w:rPr>
          <w:rFonts w:ascii="Times New Roman" w:hAnsi="Times New Roman" w:eastAsia="宋体" w:cs="Times New Roman"/>
          <w:bCs w:val="0"/>
          <w:color w:val="000000" w:themeColor="text1"/>
          <w:sz w:val="30"/>
          <w:szCs w:val="30"/>
          <w:highlight w:val="none"/>
          <w14:textFill>
            <w14:solidFill>
              <w14:schemeClr w14:val="tx1"/>
            </w14:solidFill>
          </w14:textFill>
        </w:rPr>
      </w:pPr>
    </w:p>
    <w:p>
      <w:pPr>
        <w:pStyle w:val="8"/>
        <w:ind w:firstLine="643"/>
        <w:jc w:val="center"/>
        <w:rPr>
          <w:rStyle w:val="52"/>
          <w:rFonts w:ascii="宋体" w:hAnsi="宋体"/>
          <w:b/>
          <w:color w:val="000000" w:themeColor="text1"/>
          <w:sz w:val="32"/>
          <w:szCs w:val="32"/>
          <w:highlight w:val="none"/>
          <w14:textFill>
            <w14:solidFill>
              <w14:schemeClr w14:val="tx1"/>
            </w14:solidFill>
          </w14:textFill>
        </w:rPr>
      </w:pPr>
    </w:p>
    <w:p>
      <w:pPr>
        <w:pStyle w:val="8"/>
        <w:ind w:firstLine="643"/>
        <w:jc w:val="center"/>
        <w:rPr>
          <w:rStyle w:val="52"/>
          <w:rFonts w:ascii="宋体" w:hAnsi="宋体"/>
          <w:b/>
          <w:color w:val="000000" w:themeColor="text1"/>
          <w:sz w:val="32"/>
          <w:szCs w:val="32"/>
          <w:highlight w:val="none"/>
          <w14:textFill>
            <w14:solidFill>
              <w14:schemeClr w14:val="tx1"/>
            </w14:solidFill>
          </w14:textFill>
        </w:rPr>
      </w:pPr>
      <w:r>
        <w:rPr>
          <w:rStyle w:val="52"/>
          <w:rFonts w:hint="eastAsia" w:ascii="宋体" w:hAnsi="宋体"/>
          <w:b/>
          <w:color w:val="000000" w:themeColor="text1"/>
          <w:sz w:val="32"/>
          <w:szCs w:val="32"/>
          <w:highlight w:val="none"/>
          <w14:textFill>
            <w14:solidFill>
              <w14:schemeClr w14:val="tx1"/>
            </w14:solidFill>
          </w14:textFill>
        </w:rPr>
        <w:t>第三方检测报价明细表</w:t>
      </w:r>
    </w:p>
    <w:tbl>
      <w:tblPr>
        <w:tblStyle w:val="22"/>
        <w:tblW w:w="9363" w:type="dxa"/>
        <w:jc w:val="center"/>
        <w:tblLayout w:type="fixed"/>
        <w:tblCellMar>
          <w:top w:w="0" w:type="dxa"/>
          <w:left w:w="108" w:type="dxa"/>
          <w:bottom w:w="0" w:type="dxa"/>
          <w:right w:w="108" w:type="dxa"/>
        </w:tblCellMar>
      </w:tblPr>
      <w:tblGrid>
        <w:gridCol w:w="545"/>
        <w:gridCol w:w="2175"/>
        <w:gridCol w:w="1590"/>
        <w:gridCol w:w="765"/>
        <w:gridCol w:w="885"/>
        <w:gridCol w:w="1005"/>
        <w:gridCol w:w="1065"/>
        <w:gridCol w:w="1333"/>
      </w:tblGrid>
      <w:tr>
        <w:tblPrEx>
          <w:tblCellMar>
            <w:top w:w="0" w:type="dxa"/>
            <w:left w:w="108" w:type="dxa"/>
            <w:bottom w:w="0" w:type="dxa"/>
            <w:right w:w="108" w:type="dxa"/>
          </w:tblCellMar>
        </w:tblPrEx>
        <w:trPr>
          <w:trHeight w:val="403" w:hRule="atLeast"/>
          <w:tblHeader/>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序号</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检测项目</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检测方法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单位</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数量</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单价（元）</w:t>
            </w: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合价（元）</w:t>
            </w: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备注</w:t>
            </w: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相对密度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17</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抗压强度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87</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抗压强度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回弹法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23</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砌筑质量</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撬挖</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厚度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压实度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灌水法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混合料击实</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低应变</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竖向承载力</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静载试验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594"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10</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水平承载力</w:t>
            </w:r>
          </w:p>
        </w:tc>
        <w:tc>
          <w:tcPr>
            <w:tcW w:w="1590"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水平推力试验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11</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抗冻强度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机口取样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12</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抗渗强度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机口取样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钻芯法</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40</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14</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声波透射法</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面</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594"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完整性、竖向承载力</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高应变</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16</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钢筋笼长度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磁测井法</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17</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梢径、长度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18</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压实度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环刀取样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19</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渗透系数</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环刀取样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20</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土方击实</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21</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钢筋保护层厚度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电磁感应法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22</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注浆试验</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孔</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焊缝</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超声波法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扇</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19</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24</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钢板厚度</w:t>
            </w:r>
          </w:p>
        </w:tc>
        <w:tc>
          <w:tcPr>
            <w:tcW w:w="1590"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超声波法</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个构件</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25</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防腐涂层厚度</w:t>
            </w:r>
          </w:p>
        </w:tc>
        <w:tc>
          <w:tcPr>
            <w:tcW w:w="1590"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电磁感应</w:t>
            </w:r>
          </w:p>
        </w:tc>
        <w:tc>
          <w:tcPr>
            <w:tcW w:w="765"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个构件</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95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26</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安全性能</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27</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电气检测</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面</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78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403"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28</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电气检测</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1471"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变压器绕组连同套管的直流</w:t>
            </w:r>
            <w:r>
              <w:rPr>
                <w:color w:val="000000" w:themeColor="text1"/>
                <w:kern w:val="0"/>
                <w:sz w:val="24"/>
                <w:highlight w:val="none"/>
                <w:lang w:bidi="ar"/>
                <w14:textFill>
                  <w14:solidFill>
                    <w14:schemeClr w14:val="tx1"/>
                  </w14:solidFill>
                </w14:textFill>
              </w:rPr>
              <w:br w:type="textWrapping"/>
            </w:r>
            <w:r>
              <w:rPr>
                <w:color w:val="000000" w:themeColor="text1"/>
                <w:kern w:val="0"/>
                <w:sz w:val="24"/>
                <w:highlight w:val="none"/>
                <w:lang w:bidi="ar"/>
                <w14:textFill>
                  <w14:solidFill>
                    <w14:schemeClr w14:val="tx1"/>
                  </w14:solidFill>
                </w14:textFill>
              </w:rPr>
              <w:t>电阻、电压比、三相变压器接线组别和单相变压器极性、铁心</w:t>
            </w:r>
            <w:r>
              <w:rPr>
                <w:color w:val="000000" w:themeColor="text1"/>
                <w:kern w:val="0"/>
                <w:sz w:val="24"/>
                <w:highlight w:val="none"/>
                <w:lang w:bidi="ar"/>
                <w14:textFill>
                  <w14:solidFill>
                    <w14:schemeClr w14:val="tx1"/>
                  </w14:solidFill>
                </w14:textFill>
              </w:rPr>
              <w:br w:type="textWrapping"/>
            </w:r>
            <w:r>
              <w:rPr>
                <w:color w:val="000000" w:themeColor="text1"/>
                <w:kern w:val="0"/>
                <w:sz w:val="24"/>
                <w:highlight w:val="none"/>
                <w:lang w:bidi="ar"/>
                <w14:textFill>
                  <w14:solidFill>
                    <w14:schemeClr w14:val="tx1"/>
                  </w14:solidFill>
                </w14:textFill>
              </w:rPr>
              <w:t>及紧固件绝缘、绕组连同套管的绝缘电阻</w:t>
            </w:r>
            <w:r>
              <w:rPr>
                <w:color w:val="000000" w:themeColor="text1"/>
                <w:kern w:val="0"/>
                <w:sz w:val="24"/>
                <w:highlight w:val="none"/>
                <w:lang w:bidi="ar"/>
                <w14:textFill>
                  <w14:solidFill>
                    <w14:schemeClr w14:val="tx1"/>
                  </w14:solidFill>
                </w14:textFill>
              </w:rPr>
              <w:br w:type="textWrapping"/>
            </w:r>
            <w:r>
              <w:rPr>
                <w:color w:val="000000" w:themeColor="text1"/>
                <w:kern w:val="0"/>
                <w:sz w:val="24"/>
                <w:highlight w:val="none"/>
                <w:lang w:bidi="ar"/>
                <w14:textFill>
                  <w14:solidFill>
                    <w14:schemeClr w14:val="tx1"/>
                  </w14:solidFill>
                </w14:textFill>
              </w:rPr>
              <w:t>与吸收比、相序、接地</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594"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绝缘电阻、耐压试验</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现场检测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30</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117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结构高程、垂直度、厚度、断面尺寸、平整度及外观尺寸测量等</w:t>
            </w:r>
          </w:p>
        </w:tc>
        <w:tc>
          <w:tcPr>
            <w:tcW w:w="1590"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现场量测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themeColor="text1"/>
                <w:sz w:val="24"/>
                <w:highlight w:val="none"/>
                <w14:textFill>
                  <w14:solidFill>
                    <w14:schemeClr w14:val="tx1"/>
                  </w14:solidFill>
                </w14:textFill>
              </w:rPr>
            </w:pPr>
          </w:p>
        </w:tc>
      </w:tr>
      <w:tr>
        <w:tblPrEx>
          <w:tblCellMar>
            <w:top w:w="0" w:type="dxa"/>
            <w:left w:w="108" w:type="dxa"/>
            <w:bottom w:w="0" w:type="dxa"/>
            <w:right w:w="108" w:type="dxa"/>
          </w:tblCellMar>
        </w:tblPrEx>
        <w:trPr>
          <w:trHeight w:val="117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比表面积（水泥细度）、标准稠度、凝结时间、安定性、强度</w:t>
            </w:r>
          </w:p>
        </w:tc>
        <w:tc>
          <w:tcPr>
            <w:tcW w:w="1590" w:type="dxa"/>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水泥</w:t>
            </w:r>
          </w:p>
        </w:tc>
      </w:tr>
      <w:tr>
        <w:tblPrEx>
          <w:tblCellMar>
            <w:top w:w="0" w:type="dxa"/>
            <w:left w:w="108" w:type="dxa"/>
            <w:bottom w:w="0" w:type="dxa"/>
            <w:right w:w="108" w:type="dxa"/>
          </w:tblCellMar>
        </w:tblPrEx>
        <w:trPr>
          <w:trHeight w:val="1471"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33</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细度模数、含泥量（石粉）、泥块含量、氯离子含量、表观密度、堆积密度</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砂</w:t>
            </w:r>
          </w:p>
        </w:tc>
      </w:tr>
      <w:tr>
        <w:tblPrEx>
          <w:tblCellMar>
            <w:top w:w="0" w:type="dxa"/>
            <w:left w:w="108" w:type="dxa"/>
            <w:bottom w:w="0" w:type="dxa"/>
            <w:right w:w="108" w:type="dxa"/>
          </w:tblCellMar>
        </w:tblPrEx>
        <w:trPr>
          <w:trHeight w:val="1471"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34</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颗分、含泥量、压碎指标值、超逊径、表观密度、堆积密度、泥块含量</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8</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碎石</w:t>
            </w:r>
          </w:p>
        </w:tc>
      </w:tr>
      <w:tr>
        <w:tblPrEx>
          <w:tblCellMar>
            <w:top w:w="0" w:type="dxa"/>
            <w:left w:w="108" w:type="dxa"/>
            <w:bottom w:w="0" w:type="dxa"/>
            <w:right w:w="108" w:type="dxa"/>
          </w:tblCellMar>
        </w:tblPrEx>
        <w:trPr>
          <w:trHeight w:val="90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35</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屈服强度、抗拉强度、伸长率、冷弯、重量偏差</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w:t>
            </w:r>
          </w:p>
        </w:tc>
      </w:tr>
      <w:tr>
        <w:tblPrEx>
          <w:tblCellMar>
            <w:top w:w="0" w:type="dxa"/>
            <w:left w:w="108" w:type="dxa"/>
            <w:bottom w:w="0" w:type="dxa"/>
            <w:right w:w="108" w:type="dxa"/>
          </w:tblCellMar>
        </w:tblPrEx>
        <w:trPr>
          <w:trHeight w:val="647"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36</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钢筋焊接接头抗拉强度、冷弯等</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15</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钢筋接头</w:t>
            </w:r>
          </w:p>
        </w:tc>
      </w:tr>
      <w:tr>
        <w:tblPrEx>
          <w:tblCellMar>
            <w:top w:w="0" w:type="dxa"/>
            <w:left w:w="108" w:type="dxa"/>
            <w:bottom w:w="0" w:type="dxa"/>
            <w:right w:w="108" w:type="dxa"/>
          </w:tblCellMar>
        </w:tblPrEx>
        <w:trPr>
          <w:trHeight w:val="647"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37</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单轴抗压强度、软化系数</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nil"/>
              <w:left w:val="nil"/>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6</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块石</w:t>
            </w:r>
          </w:p>
        </w:tc>
      </w:tr>
      <w:tr>
        <w:tblPrEx>
          <w:tblCellMar>
            <w:top w:w="0" w:type="dxa"/>
            <w:left w:w="108" w:type="dxa"/>
            <w:bottom w:w="0" w:type="dxa"/>
            <w:right w:w="108" w:type="dxa"/>
          </w:tblCellMar>
        </w:tblPrEx>
        <w:trPr>
          <w:trHeight w:val="647"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38</w:t>
            </w:r>
          </w:p>
        </w:tc>
        <w:tc>
          <w:tcPr>
            <w:tcW w:w="2175"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厚度、抗拉强度、断后伸长率</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止水铜片</w:t>
            </w:r>
          </w:p>
        </w:tc>
      </w:tr>
      <w:tr>
        <w:tblPrEx>
          <w:tblCellMar>
            <w:top w:w="0" w:type="dxa"/>
            <w:left w:w="108" w:type="dxa"/>
            <w:bottom w:w="0" w:type="dxa"/>
            <w:right w:w="108" w:type="dxa"/>
          </w:tblCellMar>
        </w:tblPrEx>
        <w:trPr>
          <w:trHeight w:val="1471"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39</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单位面积质量、厚度、拉伸（撕裂）强度、延伸率、顶破强度、渗透系数</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土工布</w:t>
            </w:r>
          </w:p>
        </w:tc>
      </w:tr>
      <w:tr>
        <w:tblPrEx>
          <w:tblCellMar>
            <w:top w:w="0" w:type="dxa"/>
            <w:left w:w="108" w:type="dxa"/>
            <w:bottom w:w="0" w:type="dxa"/>
            <w:right w:w="108" w:type="dxa"/>
          </w:tblCellMar>
        </w:tblPrEx>
        <w:trPr>
          <w:trHeight w:val="871"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40</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尺寸、环刚度、拉伸、冲击性能、纵向回缩率、静液压强度</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塑料管材</w:t>
            </w:r>
          </w:p>
        </w:tc>
      </w:tr>
      <w:tr>
        <w:tblPrEx>
          <w:tblCellMar>
            <w:top w:w="0" w:type="dxa"/>
            <w:left w:w="108" w:type="dxa"/>
            <w:bottom w:w="0" w:type="dxa"/>
            <w:right w:w="108" w:type="dxa"/>
          </w:tblCellMar>
        </w:tblPrEx>
        <w:trPr>
          <w:trHeight w:val="117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41</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硬度、拉伸强度、扯断伸长率、压缩永久变形、撕裂强度</w:t>
            </w:r>
          </w:p>
        </w:tc>
        <w:tc>
          <w:tcPr>
            <w:tcW w:w="1590"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取样，室内试验</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sz w:val="24"/>
                <w:highlight w:val="none"/>
                <w14:textFill>
                  <w14:solidFill>
                    <w14:schemeClr w14:val="tx1"/>
                  </w14:solidFill>
                </w14:textFill>
              </w:rPr>
            </w:pPr>
            <w:r>
              <w:rPr>
                <w:color w:val="000000" w:themeColor="text1"/>
                <w:kern w:val="0"/>
                <w:sz w:val="24"/>
                <w:highlight w:val="none"/>
                <w:lang w:bidi="ar"/>
                <w14:textFill>
                  <w14:solidFill>
                    <w14:schemeClr w14:val="tx1"/>
                  </w14:solidFill>
                </w14:textFill>
              </w:rPr>
              <w:t>止水带</w:t>
            </w:r>
          </w:p>
        </w:tc>
      </w:tr>
      <w:tr>
        <w:tblPrEx>
          <w:tblCellMar>
            <w:top w:w="0" w:type="dxa"/>
            <w:left w:w="108" w:type="dxa"/>
            <w:bottom w:w="0" w:type="dxa"/>
            <w:right w:w="108" w:type="dxa"/>
          </w:tblCellMar>
        </w:tblPrEx>
        <w:trPr>
          <w:trHeight w:val="117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42</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下游抛石防冲槽地貌图像</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声呐侧扫</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满足验</w:t>
            </w:r>
          </w:p>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收要求</w:t>
            </w:r>
          </w:p>
        </w:tc>
      </w:tr>
      <w:tr>
        <w:tblPrEx>
          <w:tblCellMar>
            <w:top w:w="0" w:type="dxa"/>
            <w:left w:w="108" w:type="dxa"/>
            <w:bottom w:w="0" w:type="dxa"/>
            <w:right w:w="108" w:type="dxa"/>
          </w:tblCellMar>
        </w:tblPrEx>
        <w:trPr>
          <w:trHeight w:val="1179"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43</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闸底板脱空注浆后探测</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探地雷达探测</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p>
        </w:tc>
        <w:tc>
          <w:tcPr>
            <w:tcW w:w="1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满足验</w:t>
            </w:r>
          </w:p>
          <w:p>
            <w:pPr>
              <w:widowControl/>
              <w:jc w:val="center"/>
              <w:textAlignment w:val="center"/>
              <w:rPr>
                <w:color w:val="000000" w:themeColor="text1"/>
                <w:kern w:val="0"/>
                <w:sz w:val="24"/>
                <w:highlight w:val="none"/>
                <w:lang w:bidi="ar"/>
                <w14:textFill>
                  <w14:solidFill>
                    <w14:schemeClr w14:val="tx1"/>
                  </w14:solidFill>
                </w14:textFill>
              </w:rPr>
            </w:pPr>
            <w:r>
              <w:rPr>
                <w:rFonts w:hint="eastAsia"/>
                <w:color w:val="000000" w:themeColor="text1"/>
                <w:kern w:val="0"/>
                <w:sz w:val="24"/>
                <w:highlight w:val="none"/>
                <w:lang w:bidi="ar"/>
                <w14:textFill>
                  <w14:solidFill>
                    <w14:schemeClr w14:val="tx1"/>
                  </w14:solidFill>
                </w14:textFill>
              </w:rPr>
              <w:t>收要求</w:t>
            </w:r>
          </w:p>
        </w:tc>
      </w:tr>
    </w:tbl>
    <w:p>
      <w:pPr>
        <w:adjustRightInd w:val="0"/>
        <w:spacing w:line="400" w:lineRule="exact"/>
        <w:contextualSpacing/>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r>
        <w:rPr>
          <w:rStyle w:val="52"/>
          <w:rFonts w:hint="eastAsia" w:ascii="宋体" w:hAnsi="宋体"/>
          <w:b/>
          <w:color w:val="000000" w:themeColor="text1"/>
          <w:szCs w:val="21"/>
          <w:highlight w:val="none"/>
          <w14:textFill>
            <w14:solidFill>
              <w14:schemeClr w14:val="tx1"/>
            </w14:solidFill>
          </w14:textFill>
        </w:rPr>
        <w:t>检测费用单价以浙江省水利工程检测协会发布的《浙江省水利工程质量检测费用调研报告》（以下简称“调研报告”）为参考。</w:t>
      </w:r>
      <w:r>
        <w:rPr>
          <w:rFonts w:hint="eastAsia" w:ascii="宋体" w:hAnsi="宋体" w:cs="宋体"/>
          <w:b/>
          <w:color w:val="000000" w:themeColor="text1"/>
          <w:szCs w:val="21"/>
          <w:highlight w:val="none"/>
          <w14:textFill>
            <w14:solidFill>
              <w14:schemeClr w14:val="tx1"/>
            </w14:solidFill>
          </w14:textFill>
        </w:rPr>
        <w:t>如出现本表以外、调研报告以内的工作内容，检测单价按单价承包部分/单价承包部分限价（1</w:t>
      </w:r>
      <w:r>
        <w:rPr>
          <w:rFonts w:ascii="宋体" w:hAnsi="宋体" w:cs="宋体"/>
          <w:b/>
          <w:color w:val="000000" w:themeColor="text1"/>
          <w:szCs w:val="21"/>
          <w:highlight w:val="none"/>
          <w14:textFill>
            <w14:solidFill>
              <w14:schemeClr w14:val="tx1"/>
            </w14:solidFill>
          </w14:textFill>
        </w:rPr>
        <w:t>63</w:t>
      </w:r>
      <w:r>
        <w:rPr>
          <w:rFonts w:hint="eastAsia" w:ascii="宋体" w:hAnsi="宋体" w:cs="宋体"/>
          <w:b/>
          <w:color w:val="000000" w:themeColor="text1"/>
          <w:szCs w:val="21"/>
          <w:highlight w:val="none"/>
          <w14:textFill>
            <w14:solidFill>
              <w14:schemeClr w14:val="tx1"/>
            </w14:solidFill>
          </w14:textFill>
        </w:rPr>
        <w:t>万元）</w:t>
      </w:r>
      <w:r>
        <w:rPr>
          <w:rFonts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调研报告中单价计算；如出现本表及调研报告以外的工作内容，检测单价由双方另行协商。以上检测内容和数量仅为招投标使用，具体检测内容和数量以满足工程完（竣）工验收为准。</w:t>
      </w:r>
    </w:p>
    <w:p>
      <w:pPr>
        <w:rPr>
          <w:color w:val="000000" w:themeColor="text1"/>
          <w:highlight w:val="none"/>
          <w14:textFill>
            <w14:solidFill>
              <w14:schemeClr w14:val="tx1"/>
            </w14:solidFill>
          </w14:textFill>
        </w:rPr>
      </w:pPr>
    </w:p>
    <w:sectPr>
      <w:pgSz w:w="11906" w:h="16838"/>
      <w:pgMar w:top="1418" w:right="1133" w:bottom="1361" w:left="993"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0</w:t>
    </w:r>
    <w:r>
      <w:fldChar w:fldCharType="end"/>
    </w:r>
  </w:p>
  <w:p>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07676"/>
    <w:multiLevelType w:val="singleLevel"/>
    <w:tmpl w:val="87407676"/>
    <w:lvl w:ilvl="0" w:tentative="0">
      <w:start w:val="2"/>
      <w:numFmt w:val="chineseCounting"/>
      <w:suff w:val="nothing"/>
      <w:lvlText w:val="%1、"/>
      <w:lvlJc w:val="left"/>
      <w:rPr>
        <w:rFonts w:hint="eastAsia"/>
      </w:rPr>
    </w:lvl>
  </w:abstractNum>
  <w:abstractNum w:abstractNumId="1">
    <w:nsid w:val="A5DEC52C"/>
    <w:multiLevelType w:val="singleLevel"/>
    <w:tmpl w:val="A5DEC52C"/>
    <w:lvl w:ilvl="0" w:tentative="0">
      <w:start w:val="2"/>
      <w:numFmt w:val="decimal"/>
      <w:suff w:val="nothing"/>
      <w:lvlText w:val="%1、"/>
      <w:lvlJc w:val="left"/>
      <w:pPr>
        <w:ind w:left="630" w:firstLine="0"/>
      </w:pPr>
    </w:lvl>
  </w:abstractNum>
  <w:abstractNum w:abstractNumId="2">
    <w:nsid w:val="06D4F2C8"/>
    <w:multiLevelType w:val="singleLevel"/>
    <w:tmpl w:val="06D4F2C8"/>
    <w:lvl w:ilvl="0" w:tentative="0">
      <w:start w:val="3"/>
      <w:numFmt w:val="decimal"/>
      <w:suff w:val="nothing"/>
      <w:lvlText w:val="（%1）"/>
      <w:lvlJc w:val="left"/>
    </w:lvl>
  </w:abstractNum>
  <w:abstractNum w:abstractNumId="3">
    <w:nsid w:val="4F0D5A61"/>
    <w:multiLevelType w:val="multilevel"/>
    <w:tmpl w:val="4F0D5A61"/>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5EAD3456"/>
    <w:multiLevelType w:val="singleLevel"/>
    <w:tmpl w:val="5EAD3456"/>
    <w:lvl w:ilvl="0" w:tentative="0">
      <w:start w:val="1"/>
      <w:numFmt w:val="decimal"/>
      <w:suff w:val="nothing"/>
      <w:lvlText w:val="%1、"/>
      <w:lvlJc w:val="left"/>
    </w:lvl>
  </w:abstractNum>
  <w:abstractNum w:abstractNumId="5">
    <w:nsid w:val="6E17F8A2"/>
    <w:multiLevelType w:val="singleLevel"/>
    <w:tmpl w:val="6E17F8A2"/>
    <w:lvl w:ilvl="0" w:tentative="0">
      <w:start w:val="1"/>
      <w:numFmt w:val="decimal"/>
      <w:lvlText w:val="%1."/>
      <w:lvlJc w:val="left"/>
      <w:pPr>
        <w:tabs>
          <w:tab w:val="left" w:pos="312"/>
        </w:tabs>
      </w:pPr>
    </w:lvl>
  </w:abstractNum>
  <w:abstractNum w:abstractNumId="6">
    <w:nsid w:val="7311656B"/>
    <w:multiLevelType w:val="singleLevel"/>
    <w:tmpl w:val="7311656B"/>
    <w:lvl w:ilvl="0" w:tentative="0">
      <w:start w:val="6"/>
      <w:numFmt w:val="chineseCounting"/>
      <w:suff w:val="nothing"/>
      <w:lvlText w:val="%1、"/>
      <w:lvlJc w:val="left"/>
      <w:rPr>
        <w:rFonts w:hint="eastAsia"/>
      </w:rPr>
    </w:lvl>
  </w:abstractNum>
  <w:num w:numId="1">
    <w:abstractNumId w:val="1"/>
  </w:num>
  <w:num w:numId="2">
    <w:abstractNumId w:val="3"/>
  </w:num>
  <w:num w:numId="3">
    <w:abstractNumId w:val="0"/>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gutterAtTop/>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s>
  <w:rsids>
    <w:rsidRoot w:val="00172A27"/>
    <w:rsid w:val="00002817"/>
    <w:rsid w:val="00003F62"/>
    <w:rsid w:val="00007A21"/>
    <w:rsid w:val="0001095E"/>
    <w:rsid w:val="00010D23"/>
    <w:rsid w:val="000138F4"/>
    <w:rsid w:val="00016828"/>
    <w:rsid w:val="000203B1"/>
    <w:rsid w:val="00020496"/>
    <w:rsid w:val="00021312"/>
    <w:rsid w:val="0002488B"/>
    <w:rsid w:val="00030BBC"/>
    <w:rsid w:val="00031DFA"/>
    <w:rsid w:val="00034F5C"/>
    <w:rsid w:val="0004070E"/>
    <w:rsid w:val="00043F63"/>
    <w:rsid w:val="00046A03"/>
    <w:rsid w:val="00051FCB"/>
    <w:rsid w:val="00052532"/>
    <w:rsid w:val="000538AF"/>
    <w:rsid w:val="00053EA9"/>
    <w:rsid w:val="000549DE"/>
    <w:rsid w:val="0005517F"/>
    <w:rsid w:val="00061A57"/>
    <w:rsid w:val="000639B3"/>
    <w:rsid w:val="00064A32"/>
    <w:rsid w:val="000670A1"/>
    <w:rsid w:val="00067419"/>
    <w:rsid w:val="00072B39"/>
    <w:rsid w:val="00073078"/>
    <w:rsid w:val="000767AA"/>
    <w:rsid w:val="0008113C"/>
    <w:rsid w:val="00081404"/>
    <w:rsid w:val="000849E2"/>
    <w:rsid w:val="0008544E"/>
    <w:rsid w:val="000854F2"/>
    <w:rsid w:val="00093A79"/>
    <w:rsid w:val="000946A5"/>
    <w:rsid w:val="00095060"/>
    <w:rsid w:val="000A102A"/>
    <w:rsid w:val="000A1A2A"/>
    <w:rsid w:val="000A4EA3"/>
    <w:rsid w:val="000A5290"/>
    <w:rsid w:val="000A5B90"/>
    <w:rsid w:val="000A5C8E"/>
    <w:rsid w:val="000B169B"/>
    <w:rsid w:val="000B2750"/>
    <w:rsid w:val="000B34FC"/>
    <w:rsid w:val="000B7286"/>
    <w:rsid w:val="000C50BF"/>
    <w:rsid w:val="000C71E1"/>
    <w:rsid w:val="000D0B22"/>
    <w:rsid w:val="000D1111"/>
    <w:rsid w:val="000D5F79"/>
    <w:rsid w:val="000D781B"/>
    <w:rsid w:val="000E060F"/>
    <w:rsid w:val="000E21FF"/>
    <w:rsid w:val="000E220D"/>
    <w:rsid w:val="000E45D5"/>
    <w:rsid w:val="000E5289"/>
    <w:rsid w:val="000E5D9B"/>
    <w:rsid w:val="000F0764"/>
    <w:rsid w:val="000F0CA6"/>
    <w:rsid w:val="000F1DF1"/>
    <w:rsid w:val="000F7F1F"/>
    <w:rsid w:val="001009F9"/>
    <w:rsid w:val="00103887"/>
    <w:rsid w:val="00104323"/>
    <w:rsid w:val="0011151C"/>
    <w:rsid w:val="00111EEE"/>
    <w:rsid w:val="00113C10"/>
    <w:rsid w:val="001141BF"/>
    <w:rsid w:val="0011629C"/>
    <w:rsid w:val="00121056"/>
    <w:rsid w:val="00121E24"/>
    <w:rsid w:val="00127106"/>
    <w:rsid w:val="00132405"/>
    <w:rsid w:val="00134F4E"/>
    <w:rsid w:val="001353D5"/>
    <w:rsid w:val="00141C03"/>
    <w:rsid w:val="0014379C"/>
    <w:rsid w:val="0014481A"/>
    <w:rsid w:val="00144D0B"/>
    <w:rsid w:val="001468EE"/>
    <w:rsid w:val="00147C91"/>
    <w:rsid w:val="00152020"/>
    <w:rsid w:val="001538F1"/>
    <w:rsid w:val="00153C90"/>
    <w:rsid w:val="00156A27"/>
    <w:rsid w:val="00160A46"/>
    <w:rsid w:val="00163C75"/>
    <w:rsid w:val="00165171"/>
    <w:rsid w:val="001725E2"/>
    <w:rsid w:val="00172A27"/>
    <w:rsid w:val="00174087"/>
    <w:rsid w:val="00177468"/>
    <w:rsid w:val="00177D01"/>
    <w:rsid w:val="00181639"/>
    <w:rsid w:val="00183A7C"/>
    <w:rsid w:val="00183A93"/>
    <w:rsid w:val="00183B45"/>
    <w:rsid w:val="00184C0A"/>
    <w:rsid w:val="0018566D"/>
    <w:rsid w:val="001869A1"/>
    <w:rsid w:val="00191EFD"/>
    <w:rsid w:val="00191F9C"/>
    <w:rsid w:val="001947E9"/>
    <w:rsid w:val="00195E40"/>
    <w:rsid w:val="0019626E"/>
    <w:rsid w:val="00196381"/>
    <w:rsid w:val="00197635"/>
    <w:rsid w:val="001A215C"/>
    <w:rsid w:val="001A4C0C"/>
    <w:rsid w:val="001B25E4"/>
    <w:rsid w:val="001B3831"/>
    <w:rsid w:val="001B3A62"/>
    <w:rsid w:val="001B6488"/>
    <w:rsid w:val="001C0DCA"/>
    <w:rsid w:val="001C2DFC"/>
    <w:rsid w:val="001C47F6"/>
    <w:rsid w:val="001C4C20"/>
    <w:rsid w:val="001C7316"/>
    <w:rsid w:val="001C74A8"/>
    <w:rsid w:val="001D5091"/>
    <w:rsid w:val="001D542D"/>
    <w:rsid w:val="001E0E87"/>
    <w:rsid w:val="001E1806"/>
    <w:rsid w:val="001E415C"/>
    <w:rsid w:val="001F0E7D"/>
    <w:rsid w:val="001F19AF"/>
    <w:rsid w:val="001F2A53"/>
    <w:rsid w:val="001F7E78"/>
    <w:rsid w:val="00204087"/>
    <w:rsid w:val="00205D7C"/>
    <w:rsid w:val="00213084"/>
    <w:rsid w:val="00216E02"/>
    <w:rsid w:val="00223EC9"/>
    <w:rsid w:val="00230936"/>
    <w:rsid w:val="00231C13"/>
    <w:rsid w:val="0023617A"/>
    <w:rsid w:val="00236AA0"/>
    <w:rsid w:val="00240387"/>
    <w:rsid w:val="002414A2"/>
    <w:rsid w:val="002421CE"/>
    <w:rsid w:val="00242494"/>
    <w:rsid w:val="0024326F"/>
    <w:rsid w:val="002462FF"/>
    <w:rsid w:val="002510A0"/>
    <w:rsid w:val="002527A8"/>
    <w:rsid w:val="00253DCB"/>
    <w:rsid w:val="002603BC"/>
    <w:rsid w:val="00260F40"/>
    <w:rsid w:val="00262639"/>
    <w:rsid w:val="0026793F"/>
    <w:rsid w:val="002716E0"/>
    <w:rsid w:val="002721FB"/>
    <w:rsid w:val="00276303"/>
    <w:rsid w:val="0027683C"/>
    <w:rsid w:val="00277764"/>
    <w:rsid w:val="002809E6"/>
    <w:rsid w:val="00281F1B"/>
    <w:rsid w:val="002862CF"/>
    <w:rsid w:val="00287537"/>
    <w:rsid w:val="002877EF"/>
    <w:rsid w:val="00295365"/>
    <w:rsid w:val="00295951"/>
    <w:rsid w:val="002A2259"/>
    <w:rsid w:val="002B3B6B"/>
    <w:rsid w:val="002B4C27"/>
    <w:rsid w:val="002C18A9"/>
    <w:rsid w:val="002C1E2A"/>
    <w:rsid w:val="002C33C0"/>
    <w:rsid w:val="002C506D"/>
    <w:rsid w:val="002C6DA1"/>
    <w:rsid w:val="002D3470"/>
    <w:rsid w:val="002D76FC"/>
    <w:rsid w:val="002E11FA"/>
    <w:rsid w:val="002E222F"/>
    <w:rsid w:val="002E362E"/>
    <w:rsid w:val="002E4E24"/>
    <w:rsid w:val="002E67B2"/>
    <w:rsid w:val="002F2829"/>
    <w:rsid w:val="002F3D04"/>
    <w:rsid w:val="002F6C60"/>
    <w:rsid w:val="003044CB"/>
    <w:rsid w:val="00306CD0"/>
    <w:rsid w:val="00311912"/>
    <w:rsid w:val="00313421"/>
    <w:rsid w:val="0031781F"/>
    <w:rsid w:val="00320335"/>
    <w:rsid w:val="00322CDF"/>
    <w:rsid w:val="003267B5"/>
    <w:rsid w:val="0032789B"/>
    <w:rsid w:val="00330B02"/>
    <w:rsid w:val="00332C26"/>
    <w:rsid w:val="00333A92"/>
    <w:rsid w:val="003351B8"/>
    <w:rsid w:val="0033684C"/>
    <w:rsid w:val="0034078C"/>
    <w:rsid w:val="00341BE2"/>
    <w:rsid w:val="00342EAE"/>
    <w:rsid w:val="00343219"/>
    <w:rsid w:val="00346466"/>
    <w:rsid w:val="00347B96"/>
    <w:rsid w:val="00353E6B"/>
    <w:rsid w:val="00362E16"/>
    <w:rsid w:val="00372DE7"/>
    <w:rsid w:val="00374B0F"/>
    <w:rsid w:val="003767F1"/>
    <w:rsid w:val="00376BA7"/>
    <w:rsid w:val="00377E5E"/>
    <w:rsid w:val="00381264"/>
    <w:rsid w:val="0038179A"/>
    <w:rsid w:val="00381DC3"/>
    <w:rsid w:val="00381FB2"/>
    <w:rsid w:val="00382D54"/>
    <w:rsid w:val="00386AAD"/>
    <w:rsid w:val="00391DE8"/>
    <w:rsid w:val="00392584"/>
    <w:rsid w:val="0039298B"/>
    <w:rsid w:val="00393FB8"/>
    <w:rsid w:val="00394B73"/>
    <w:rsid w:val="0039732C"/>
    <w:rsid w:val="003A14F7"/>
    <w:rsid w:val="003A2078"/>
    <w:rsid w:val="003A2696"/>
    <w:rsid w:val="003B20E9"/>
    <w:rsid w:val="003B4776"/>
    <w:rsid w:val="003B6AB4"/>
    <w:rsid w:val="003B7A32"/>
    <w:rsid w:val="003C6902"/>
    <w:rsid w:val="003D2B86"/>
    <w:rsid w:val="003D4ECB"/>
    <w:rsid w:val="003E1F05"/>
    <w:rsid w:val="003E6767"/>
    <w:rsid w:val="003E7069"/>
    <w:rsid w:val="003F37E8"/>
    <w:rsid w:val="003F399E"/>
    <w:rsid w:val="003F6FB8"/>
    <w:rsid w:val="00400FBF"/>
    <w:rsid w:val="0040421F"/>
    <w:rsid w:val="004058EE"/>
    <w:rsid w:val="004135DC"/>
    <w:rsid w:val="00422CB0"/>
    <w:rsid w:val="00423DC5"/>
    <w:rsid w:val="004243DB"/>
    <w:rsid w:val="00432222"/>
    <w:rsid w:val="00434281"/>
    <w:rsid w:val="00436487"/>
    <w:rsid w:val="004405D3"/>
    <w:rsid w:val="004420C8"/>
    <w:rsid w:val="00443FA8"/>
    <w:rsid w:val="00445072"/>
    <w:rsid w:val="0045361C"/>
    <w:rsid w:val="004569CC"/>
    <w:rsid w:val="00463480"/>
    <w:rsid w:val="0046732E"/>
    <w:rsid w:val="0047167F"/>
    <w:rsid w:val="00484350"/>
    <w:rsid w:val="00486A78"/>
    <w:rsid w:val="004879C6"/>
    <w:rsid w:val="00490E27"/>
    <w:rsid w:val="0049144A"/>
    <w:rsid w:val="00491F8C"/>
    <w:rsid w:val="00492AAE"/>
    <w:rsid w:val="00495173"/>
    <w:rsid w:val="004957BE"/>
    <w:rsid w:val="004966C9"/>
    <w:rsid w:val="004A1201"/>
    <w:rsid w:val="004A146C"/>
    <w:rsid w:val="004A3EFF"/>
    <w:rsid w:val="004A517A"/>
    <w:rsid w:val="004A6045"/>
    <w:rsid w:val="004B1058"/>
    <w:rsid w:val="004B2E06"/>
    <w:rsid w:val="004C2167"/>
    <w:rsid w:val="004C2410"/>
    <w:rsid w:val="004C4CBD"/>
    <w:rsid w:val="004C5109"/>
    <w:rsid w:val="004D3620"/>
    <w:rsid w:val="004D36DC"/>
    <w:rsid w:val="004D3935"/>
    <w:rsid w:val="004D7022"/>
    <w:rsid w:val="004D7A8E"/>
    <w:rsid w:val="004E15CD"/>
    <w:rsid w:val="004E4044"/>
    <w:rsid w:val="004F0149"/>
    <w:rsid w:val="004F1374"/>
    <w:rsid w:val="004F32AE"/>
    <w:rsid w:val="004F758C"/>
    <w:rsid w:val="00500CB5"/>
    <w:rsid w:val="005029F6"/>
    <w:rsid w:val="00505178"/>
    <w:rsid w:val="00511ED7"/>
    <w:rsid w:val="00515568"/>
    <w:rsid w:val="00524BDA"/>
    <w:rsid w:val="0052624E"/>
    <w:rsid w:val="00531214"/>
    <w:rsid w:val="00531B9F"/>
    <w:rsid w:val="00531CBC"/>
    <w:rsid w:val="00531D48"/>
    <w:rsid w:val="00532EB8"/>
    <w:rsid w:val="005410E7"/>
    <w:rsid w:val="00544194"/>
    <w:rsid w:val="00544609"/>
    <w:rsid w:val="00544E6C"/>
    <w:rsid w:val="00546838"/>
    <w:rsid w:val="0055271A"/>
    <w:rsid w:val="00552BA5"/>
    <w:rsid w:val="00553B73"/>
    <w:rsid w:val="005649CC"/>
    <w:rsid w:val="00566C5E"/>
    <w:rsid w:val="0057063A"/>
    <w:rsid w:val="00571667"/>
    <w:rsid w:val="00574AEA"/>
    <w:rsid w:val="005757D7"/>
    <w:rsid w:val="005769E0"/>
    <w:rsid w:val="0057781A"/>
    <w:rsid w:val="00577B42"/>
    <w:rsid w:val="0058166F"/>
    <w:rsid w:val="005821E6"/>
    <w:rsid w:val="00584E95"/>
    <w:rsid w:val="00592B01"/>
    <w:rsid w:val="00592E89"/>
    <w:rsid w:val="005A12CB"/>
    <w:rsid w:val="005A24A5"/>
    <w:rsid w:val="005A3ECF"/>
    <w:rsid w:val="005A76DF"/>
    <w:rsid w:val="005B1B1F"/>
    <w:rsid w:val="005B4235"/>
    <w:rsid w:val="005B76E6"/>
    <w:rsid w:val="005C549C"/>
    <w:rsid w:val="005D142C"/>
    <w:rsid w:val="005D14CF"/>
    <w:rsid w:val="005D3F1C"/>
    <w:rsid w:val="005D43C1"/>
    <w:rsid w:val="005D7FF3"/>
    <w:rsid w:val="005E20A4"/>
    <w:rsid w:val="005E47EF"/>
    <w:rsid w:val="005E5F76"/>
    <w:rsid w:val="005F1CC8"/>
    <w:rsid w:val="005F1E2D"/>
    <w:rsid w:val="005F3471"/>
    <w:rsid w:val="005F7EDF"/>
    <w:rsid w:val="006025AD"/>
    <w:rsid w:val="00612772"/>
    <w:rsid w:val="00613F69"/>
    <w:rsid w:val="00615083"/>
    <w:rsid w:val="006153D9"/>
    <w:rsid w:val="00616610"/>
    <w:rsid w:val="006200A9"/>
    <w:rsid w:val="006227E0"/>
    <w:rsid w:val="00622E67"/>
    <w:rsid w:val="00623764"/>
    <w:rsid w:val="0062555A"/>
    <w:rsid w:val="00626988"/>
    <w:rsid w:val="00631C4C"/>
    <w:rsid w:val="00633BB7"/>
    <w:rsid w:val="00634110"/>
    <w:rsid w:val="006356F3"/>
    <w:rsid w:val="0063599A"/>
    <w:rsid w:val="0063696B"/>
    <w:rsid w:val="006376CE"/>
    <w:rsid w:val="00641E7C"/>
    <w:rsid w:val="00642737"/>
    <w:rsid w:val="006433AD"/>
    <w:rsid w:val="00644B70"/>
    <w:rsid w:val="006474F1"/>
    <w:rsid w:val="0065438D"/>
    <w:rsid w:val="00657DAF"/>
    <w:rsid w:val="006610BD"/>
    <w:rsid w:val="00663EAE"/>
    <w:rsid w:val="00667F8F"/>
    <w:rsid w:val="00670618"/>
    <w:rsid w:val="006711E3"/>
    <w:rsid w:val="00672486"/>
    <w:rsid w:val="0067267E"/>
    <w:rsid w:val="00672849"/>
    <w:rsid w:val="00675AC0"/>
    <w:rsid w:val="00675E10"/>
    <w:rsid w:val="00680558"/>
    <w:rsid w:val="00684DD0"/>
    <w:rsid w:val="00691609"/>
    <w:rsid w:val="006939DE"/>
    <w:rsid w:val="00696E03"/>
    <w:rsid w:val="006975C2"/>
    <w:rsid w:val="00697636"/>
    <w:rsid w:val="006A15FC"/>
    <w:rsid w:val="006A4388"/>
    <w:rsid w:val="006A5154"/>
    <w:rsid w:val="006A56C8"/>
    <w:rsid w:val="006A6023"/>
    <w:rsid w:val="006A6E4B"/>
    <w:rsid w:val="006B57FC"/>
    <w:rsid w:val="006B594A"/>
    <w:rsid w:val="006B6660"/>
    <w:rsid w:val="006B6A33"/>
    <w:rsid w:val="006C0FA9"/>
    <w:rsid w:val="006C6FF6"/>
    <w:rsid w:val="006D1297"/>
    <w:rsid w:val="006D1869"/>
    <w:rsid w:val="006D1DF6"/>
    <w:rsid w:val="006D28DD"/>
    <w:rsid w:val="006D588C"/>
    <w:rsid w:val="006D5A96"/>
    <w:rsid w:val="006D72B9"/>
    <w:rsid w:val="006E0150"/>
    <w:rsid w:val="006E14B5"/>
    <w:rsid w:val="006E448B"/>
    <w:rsid w:val="006E4DE9"/>
    <w:rsid w:val="006E502B"/>
    <w:rsid w:val="006F03D5"/>
    <w:rsid w:val="006F2183"/>
    <w:rsid w:val="006F4AB5"/>
    <w:rsid w:val="006F662B"/>
    <w:rsid w:val="006F6B0E"/>
    <w:rsid w:val="00700674"/>
    <w:rsid w:val="00702189"/>
    <w:rsid w:val="00702A46"/>
    <w:rsid w:val="0070372C"/>
    <w:rsid w:val="00704465"/>
    <w:rsid w:val="00704D46"/>
    <w:rsid w:val="00705217"/>
    <w:rsid w:val="00705805"/>
    <w:rsid w:val="0070612C"/>
    <w:rsid w:val="00710828"/>
    <w:rsid w:val="00711D9D"/>
    <w:rsid w:val="00713337"/>
    <w:rsid w:val="00717599"/>
    <w:rsid w:val="00720FC0"/>
    <w:rsid w:val="00725690"/>
    <w:rsid w:val="00730109"/>
    <w:rsid w:val="00730C8B"/>
    <w:rsid w:val="007350DA"/>
    <w:rsid w:val="00735218"/>
    <w:rsid w:val="00735BE1"/>
    <w:rsid w:val="00736079"/>
    <w:rsid w:val="00736667"/>
    <w:rsid w:val="00743D96"/>
    <w:rsid w:val="007442EB"/>
    <w:rsid w:val="00744979"/>
    <w:rsid w:val="0074538C"/>
    <w:rsid w:val="00750065"/>
    <w:rsid w:val="007507A9"/>
    <w:rsid w:val="00750876"/>
    <w:rsid w:val="007529A6"/>
    <w:rsid w:val="0075330D"/>
    <w:rsid w:val="00753B01"/>
    <w:rsid w:val="00753ECF"/>
    <w:rsid w:val="00757850"/>
    <w:rsid w:val="00761764"/>
    <w:rsid w:val="00763147"/>
    <w:rsid w:val="0076422D"/>
    <w:rsid w:val="00765095"/>
    <w:rsid w:val="00765D58"/>
    <w:rsid w:val="0077085A"/>
    <w:rsid w:val="00775047"/>
    <w:rsid w:val="007751F7"/>
    <w:rsid w:val="00776BEA"/>
    <w:rsid w:val="00777CDA"/>
    <w:rsid w:val="007807EE"/>
    <w:rsid w:val="00780B4F"/>
    <w:rsid w:val="007829FA"/>
    <w:rsid w:val="00783061"/>
    <w:rsid w:val="00784B88"/>
    <w:rsid w:val="00786594"/>
    <w:rsid w:val="00787F77"/>
    <w:rsid w:val="007916CC"/>
    <w:rsid w:val="007967BF"/>
    <w:rsid w:val="0079688A"/>
    <w:rsid w:val="007A4B2C"/>
    <w:rsid w:val="007B425E"/>
    <w:rsid w:val="007B53E6"/>
    <w:rsid w:val="007B5876"/>
    <w:rsid w:val="007B614B"/>
    <w:rsid w:val="007C0CF1"/>
    <w:rsid w:val="007C44D7"/>
    <w:rsid w:val="007C58C6"/>
    <w:rsid w:val="007D3A06"/>
    <w:rsid w:val="007D4139"/>
    <w:rsid w:val="007D776C"/>
    <w:rsid w:val="007E09B1"/>
    <w:rsid w:val="007E35C3"/>
    <w:rsid w:val="007E7118"/>
    <w:rsid w:val="007E7F04"/>
    <w:rsid w:val="007F2FC2"/>
    <w:rsid w:val="007F35F4"/>
    <w:rsid w:val="007F5294"/>
    <w:rsid w:val="00801905"/>
    <w:rsid w:val="0080209F"/>
    <w:rsid w:val="00803A99"/>
    <w:rsid w:val="008044AF"/>
    <w:rsid w:val="00805F4C"/>
    <w:rsid w:val="00811644"/>
    <w:rsid w:val="0081497A"/>
    <w:rsid w:val="00814F54"/>
    <w:rsid w:val="00816F51"/>
    <w:rsid w:val="008177A0"/>
    <w:rsid w:val="00817904"/>
    <w:rsid w:val="00820042"/>
    <w:rsid w:val="0082054F"/>
    <w:rsid w:val="00820BC1"/>
    <w:rsid w:val="00823768"/>
    <w:rsid w:val="00824F44"/>
    <w:rsid w:val="00827A29"/>
    <w:rsid w:val="00830FB3"/>
    <w:rsid w:val="0083220F"/>
    <w:rsid w:val="008337B8"/>
    <w:rsid w:val="008423C1"/>
    <w:rsid w:val="008445E8"/>
    <w:rsid w:val="00846DB3"/>
    <w:rsid w:val="00846EE7"/>
    <w:rsid w:val="00852C2A"/>
    <w:rsid w:val="008535E4"/>
    <w:rsid w:val="00857727"/>
    <w:rsid w:val="00857969"/>
    <w:rsid w:val="00861EF4"/>
    <w:rsid w:val="00872110"/>
    <w:rsid w:val="008763FB"/>
    <w:rsid w:val="0087648D"/>
    <w:rsid w:val="00881B52"/>
    <w:rsid w:val="0088346F"/>
    <w:rsid w:val="00885AF3"/>
    <w:rsid w:val="00887043"/>
    <w:rsid w:val="008874D7"/>
    <w:rsid w:val="00890C9D"/>
    <w:rsid w:val="00894EEC"/>
    <w:rsid w:val="008A03B1"/>
    <w:rsid w:val="008A20C2"/>
    <w:rsid w:val="008A30D1"/>
    <w:rsid w:val="008A5DBE"/>
    <w:rsid w:val="008B20A7"/>
    <w:rsid w:val="008B3227"/>
    <w:rsid w:val="008B4784"/>
    <w:rsid w:val="008B51D6"/>
    <w:rsid w:val="008B5B56"/>
    <w:rsid w:val="008B70AE"/>
    <w:rsid w:val="008C2028"/>
    <w:rsid w:val="008D1A74"/>
    <w:rsid w:val="008D1F28"/>
    <w:rsid w:val="008E04F2"/>
    <w:rsid w:val="008E0B29"/>
    <w:rsid w:val="008E100F"/>
    <w:rsid w:val="008E14EB"/>
    <w:rsid w:val="008E1C64"/>
    <w:rsid w:val="008E22C6"/>
    <w:rsid w:val="008E2CE5"/>
    <w:rsid w:val="008E3212"/>
    <w:rsid w:val="008E51CC"/>
    <w:rsid w:val="008E6891"/>
    <w:rsid w:val="008E6DE6"/>
    <w:rsid w:val="008E6F23"/>
    <w:rsid w:val="008F4E8C"/>
    <w:rsid w:val="008F4E9E"/>
    <w:rsid w:val="00901FB8"/>
    <w:rsid w:val="00902CCC"/>
    <w:rsid w:val="009052FF"/>
    <w:rsid w:val="0091079E"/>
    <w:rsid w:val="00912ED8"/>
    <w:rsid w:val="00920660"/>
    <w:rsid w:val="00921135"/>
    <w:rsid w:val="00922865"/>
    <w:rsid w:val="00923879"/>
    <w:rsid w:val="00925795"/>
    <w:rsid w:val="0093362C"/>
    <w:rsid w:val="009352D4"/>
    <w:rsid w:val="009373DC"/>
    <w:rsid w:val="00937B3F"/>
    <w:rsid w:val="00940110"/>
    <w:rsid w:val="00940B8F"/>
    <w:rsid w:val="00943A30"/>
    <w:rsid w:val="00943BDC"/>
    <w:rsid w:val="00944350"/>
    <w:rsid w:val="00944A73"/>
    <w:rsid w:val="00947F7A"/>
    <w:rsid w:val="00950A72"/>
    <w:rsid w:val="009519B3"/>
    <w:rsid w:val="00951D0C"/>
    <w:rsid w:val="00951EAE"/>
    <w:rsid w:val="00955326"/>
    <w:rsid w:val="00957E52"/>
    <w:rsid w:val="009600E8"/>
    <w:rsid w:val="009624EE"/>
    <w:rsid w:val="0097272B"/>
    <w:rsid w:val="0098171A"/>
    <w:rsid w:val="00982EA4"/>
    <w:rsid w:val="00985C97"/>
    <w:rsid w:val="00990EAE"/>
    <w:rsid w:val="00991DA2"/>
    <w:rsid w:val="00994401"/>
    <w:rsid w:val="00995315"/>
    <w:rsid w:val="00995CC0"/>
    <w:rsid w:val="009A03C2"/>
    <w:rsid w:val="009A3F92"/>
    <w:rsid w:val="009A4113"/>
    <w:rsid w:val="009A46A2"/>
    <w:rsid w:val="009A634B"/>
    <w:rsid w:val="009B2960"/>
    <w:rsid w:val="009B7883"/>
    <w:rsid w:val="009C64DA"/>
    <w:rsid w:val="009C7879"/>
    <w:rsid w:val="009D333D"/>
    <w:rsid w:val="009D6664"/>
    <w:rsid w:val="009E0824"/>
    <w:rsid w:val="009E184F"/>
    <w:rsid w:val="009E28FC"/>
    <w:rsid w:val="009E3A08"/>
    <w:rsid w:val="009F11B5"/>
    <w:rsid w:val="009F2360"/>
    <w:rsid w:val="009F2598"/>
    <w:rsid w:val="009F306F"/>
    <w:rsid w:val="009F3142"/>
    <w:rsid w:val="009F4021"/>
    <w:rsid w:val="009F63AF"/>
    <w:rsid w:val="009F7B31"/>
    <w:rsid w:val="00A04B7F"/>
    <w:rsid w:val="00A07E2B"/>
    <w:rsid w:val="00A17236"/>
    <w:rsid w:val="00A202B1"/>
    <w:rsid w:val="00A20E7E"/>
    <w:rsid w:val="00A2195B"/>
    <w:rsid w:val="00A220A3"/>
    <w:rsid w:val="00A3717C"/>
    <w:rsid w:val="00A376C8"/>
    <w:rsid w:val="00A454D7"/>
    <w:rsid w:val="00A4595E"/>
    <w:rsid w:val="00A466AB"/>
    <w:rsid w:val="00A5086F"/>
    <w:rsid w:val="00A62A31"/>
    <w:rsid w:val="00A62FA8"/>
    <w:rsid w:val="00A661EB"/>
    <w:rsid w:val="00A672AA"/>
    <w:rsid w:val="00A71465"/>
    <w:rsid w:val="00A71FA4"/>
    <w:rsid w:val="00A72CBA"/>
    <w:rsid w:val="00A73D92"/>
    <w:rsid w:val="00A769F1"/>
    <w:rsid w:val="00A810B1"/>
    <w:rsid w:val="00A81D51"/>
    <w:rsid w:val="00A85877"/>
    <w:rsid w:val="00A92C90"/>
    <w:rsid w:val="00A936C6"/>
    <w:rsid w:val="00A94101"/>
    <w:rsid w:val="00A94DB6"/>
    <w:rsid w:val="00A95251"/>
    <w:rsid w:val="00A9551D"/>
    <w:rsid w:val="00A9605C"/>
    <w:rsid w:val="00A96C34"/>
    <w:rsid w:val="00AA0F86"/>
    <w:rsid w:val="00AA18A9"/>
    <w:rsid w:val="00AA4F3F"/>
    <w:rsid w:val="00AA66C2"/>
    <w:rsid w:val="00AA692A"/>
    <w:rsid w:val="00AB1DAC"/>
    <w:rsid w:val="00AB6AF9"/>
    <w:rsid w:val="00AB7276"/>
    <w:rsid w:val="00AC187A"/>
    <w:rsid w:val="00AC50EF"/>
    <w:rsid w:val="00AD3A41"/>
    <w:rsid w:val="00AD552E"/>
    <w:rsid w:val="00AE361E"/>
    <w:rsid w:val="00AF0640"/>
    <w:rsid w:val="00AF3DB8"/>
    <w:rsid w:val="00AF72E2"/>
    <w:rsid w:val="00B00BDC"/>
    <w:rsid w:val="00B00DCC"/>
    <w:rsid w:val="00B01668"/>
    <w:rsid w:val="00B11830"/>
    <w:rsid w:val="00B13203"/>
    <w:rsid w:val="00B1391C"/>
    <w:rsid w:val="00B14044"/>
    <w:rsid w:val="00B14EA4"/>
    <w:rsid w:val="00B16211"/>
    <w:rsid w:val="00B1706F"/>
    <w:rsid w:val="00B17453"/>
    <w:rsid w:val="00B2262E"/>
    <w:rsid w:val="00B266CF"/>
    <w:rsid w:val="00B324C1"/>
    <w:rsid w:val="00B33F0F"/>
    <w:rsid w:val="00B33F98"/>
    <w:rsid w:val="00B428B5"/>
    <w:rsid w:val="00B42C07"/>
    <w:rsid w:val="00B47ADD"/>
    <w:rsid w:val="00B500D7"/>
    <w:rsid w:val="00B52D30"/>
    <w:rsid w:val="00B52D72"/>
    <w:rsid w:val="00B53F06"/>
    <w:rsid w:val="00B55101"/>
    <w:rsid w:val="00B57B7A"/>
    <w:rsid w:val="00B604A8"/>
    <w:rsid w:val="00B614D5"/>
    <w:rsid w:val="00B62863"/>
    <w:rsid w:val="00B66DB6"/>
    <w:rsid w:val="00B74580"/>
    <w:rsid w:val="00B76B37"/>
    <w:rsid w:val="00B80444"/>
    <w:rsid w:val="00B80558"/>
    <w:rsid w:val="00B8609C"/>
    <w:rsid w:val="00B936E4"/>
    <w:rsid w:val="00BA2C3F"/>
    <w:rsid w:val="00BA5938"/>
    <w:rsid w:val="00BA68C5"/>
    <w:rsid w:val="00BA796B"/>
    <w:rsid w:val="00BB0893"/>
    <w:rsid w:val="00BB6257"/>
    <w:rsid w:val="00BC0088"/>
    <w:rsid w:val="00BC0E11"/>
    <w:rsid w:val="00BC1E20"/>
    <w:rsid w:val="00BC2BDD"/>
    <w:rsid w:val="00BC7306"/>
    <w:rsid w:val="00BD6EA9"/>
    <w:rsid w:val="00BE48C3"/>
    <w:rsid w:val="00BE6CB2"/>
    <w:rsid w:val="00BF0629"/>
    <w:rsid w:val="00BF06A9"/>
    <w:rsid w:val="00BF1B60"/>
    <w:rsid w:val="00BF2155"/>
    <w:rsid w:val="00BF3377"/>
    <w:rsid w:val="00BF5D90"/>
    <w:rsid w:val="00C025AA"/>
    <w:rsid w:val="00C02901"/>
    <w:rsid w:val="00C02BF2"/>
    <w:rsid w:val="00C056B4"/>
    <w:rsid w:val="00C119E6"/>
    <w:rsid w:val="00C16104"/>
    <w:rsid w:val="00C16AF2"/>
    <w:rsid w:val="00C17AEC"/>
    <w:rsid w:val="00C17DEA"/>
    <w:rsid w:val="00C20EEA"/>
    <w:rsid w:val="00C220D8"/>
    <w:rsid w:val="00C3153A"/>
    <w:rsid w:val="00C32B74"/>
    <w:rsid w:val="00C337E1"/>
    <w:rsid w:val="00C40ED8"/>
    <w:rsid w:val="00C41626"/>
    <w:rsid w:val="00C4480C"/>
    <w:rsid w:val="00C511DB"/>
    <w:rsid w:val="00C55A98"/>
    <w:rsid w:val="00C560AE"/>
    <w:rsid w:val="00C6074E"/>
    <w:rsid w:val="00C6090A"/>
    <w:rsid w:val="00C63110"/>
    <w:rsid w:val="00C63394"/>
    <w:rsid w:val="00C74985"/>
    <w:rsid w:val="00C74ADD"/>
    <w:rsid w:val="00C76503"/>
    <w:rsid w:val="00C7712E"/>
    <w:rsid w:val="00C77E5E"/>
    <w:rsid w:val="00C9133D"/>
    <w:rsid w:val="00C93832"/>
    <w:rsid w:val="00C941F7"/>
    <w:rsid w:val="00C94E40"/>
    <w:rsid w:val="00C963FF"/>
    <w:rsid w:val="00C96789"/>
    <w:rsid w:val="00C9745E"/>
    <w:rsid w:val="00CA1EEE"/>
    <w:rsid w:val="00CA2434"/>
    <w:rsid w:val="00CA3054"/>
    <w:rsid w:val="00CB5BB9"/>
    <w:rsid w:val="00CB7C33"/>
    <w:rsid w:val="00CC304C"/>
    <w:rsid w:val="00CC54CA"/>
    <w:rsid w:val="00CD120E"/>
    <w:rsid w:val="00CD4F0A"/>
    <w:rsid w:val="00CD7E52"/>
    <w:rsid w:val="00CE3814"/>
    <w:rsid w:val="00CF4777"/>
    <w:rsid w:val="00CF4BD4"/>
    <w:rsid w:val="00CF72F6"/>
    <w:rsid w:val="00CF7572"/>
    <w:rsid w:val="00D01E99"/>
    <w:rsid w:val="00D0668E"/>
    <w:rsid w:val="00D11340"/>
    <w:rsid w:val="00D12C44"/>
    <w:rsid w:val="00D14A2F"/>
    <w:rsid w:val="00D210CF"/>
    <w:rsid w:val="00D21ED2"/>
    <w:rsid w:val="00D2275D"/>
    <w:rsid w:val="00D245B4"/>
    <w:rsid w:val="00D24DEF"/>
    <w:rsid w:val="00D26A2F"/>
    <w:rsid w:val="00D3097E"/>
    <w:rsid w:val="00D31AD6"/>
    <w:rsid w:val="00D33073"/>
    <w:rsid w:val="00D33F73"/>
    <w:rsid w:val="00D375AD"/>
    <w:rsid w:val="00D41F6C"/>
    <w:rsid w:val="00D4243A"/>
    <w:rsid w:val="00D42673"/>
    <w:rsid w:val="00D453CC"/>
    <w:rsid w:val="00D4722C"/>
    <w:rsid w:val="00D527EC"/>
    <w:rsid w:val="00D54028"/>
    <w:rsid w:val="00D60648"/>
    <w:rsid w:val="00D65BEE"/>
    <w:rsid w:val="00D65CF0"/>
    <w:rsid w:val="00D65FB9"/>
    <w:rsid w:val="00D66AE6"/>
    <w:rsid w:val="00D67109"/>
    <w:rsid w:val="00D70B0E"/>
    <w:rsid w:val="00D71221"/>
    <w:rsid w:val="00D73319"/>
    <w:rsid w:val="00D76E65"/>
    <w:rsid w:val="00D77F69"/>
    <w:rsid w:val="00D81D27"/>
    <w:rsid w:val="00D92DD3"/>
    <w:rsid w:val="00D95EE8"/>
    <w:rsid w:val="00DA166F"/>
    <w:rsid w:val="00DA3DEF"/>
    <w:rsid w:val="00DA6B56"/>
    <w:rsid w:val="00DB08FB"/>
    <w:rsid w:val="00DB21E8"/>
    <w:rsid w:val="00DB46DA"/>
    <w:rsid w:val="00DB569C"/>
    <w:rsid w:val="00DB7502"/>
    <w:rsid w:val="00DC2B77"/>
    <w:rsid w:val="00DC36A5"/>
    <w:rsid w:val="00DC76FE"/>
    <w:rsid w:val="00DD0C1A"/>
    <w:rsid w:val="00DD0CF4"/>
    <w:rsid w:val="00DD2E5E"/>
    <w:rsid w:val="00DD5D1A"/>
    <w:rsid w:val="00DD77E8"/>
    <w:rsid w:val="00DE01C4"/>
    <w:rsid w:val="00DE4842"/>
    <w:rsid w:val="00DE523E"/>
    <w:rsid w:val="00DE5C65"/>
    <w:rsid w:val="00DE6075"/>
    <w:rsid w:val="00DE615C"/>
    <w:rsid w:val="00DF1C33"/>
    <w:rsid w:val="00DF1FAD"/>
    <w:rsid w:val="00DF5118"/>
    <w:rsid w:val="00DF639A"/>
    <w:rsid w:val="00DF6530"/>
    <w:rsid w:val="00DF6AFB"/>
    <w:rsid w:val="00DF75F1"/>
    <w:rsid w:val="00E01A5A"/>
    <w:rsid w:val="00E01B1F"/>
    <w:rsid w:val="00E14995"/>
    <w:rsid w:val="00E1502B"/>
    <w:rsid w:val="00E21BA6"/>
    <w:rsid w:val="00E26E38"/>
    <w:rsid w:val="00E31134"/>
    <w:rsid w:val="00E31256"/>
    <w:rsid w:val="00E365A0"/>
    <w:rsid w:val="00E4060E"/>
    <w:rsid w:val="00E452B8"/>
    <w:rsid w:val="00E465EA"/>
    <w:rsid w:val="00E46A8F"/>
    <w:rsid w:val="00E5239A"/>
    <w:rsid w:val="00E55E99"/>
    <w:rsid w:val="00E61C45"/>
    <w:rsid w:val="00E62F5D"/>
    <w:rsid w:val="00E7008D"/>
    <w:rsid w:val="00E702C6"/>
    <w:rsid w:val="00E724AF"/>
    <w:rsid w:val="00E7378B"/>
    <w:rsid w:val="00E73F8A"/>
    <w:rsid w:val="00E77028"/>
    <w:rsid w:val="00E804E4"/>
    <w:rsid w:val="00E82053"/>
    <w:rsid w:val="00E83B2E"/>
    <w:rsid w:val="00E8455D"/>
    <w:rsid w:val="00E87187"/>
    <w:rsid w:val="00E90BD5"/>
    <w:rsid w:val="00E92B81"/>
    <w:rsid w:val="00EA0D5C"/>
    <w:rsid w:val="00EA2015"/>
    <w:rsid w:val="00EA59B0"/>
    <w:rsid w:val="00EA6977"/>
    <w:rsid w:val="00EA7C8A"/>
    <w:rsid w:val="00EB4267"/>
    <w:rsid w:val="00EC1FFA"/>
    <w:rsid w:val="00EC2797"/>
    <w:rsid w:val="00ED0425"/>
    <w:rsid w:val="00ED09AA"/>
    <w:rsid w:val="00ED340C"/>
    <w:rsid w:val="00ED3A10"/>
    <w:rsid w:val="00ED40A0"/>
    <w:rsid w:val="00ED5E58"/>
    <w:rsid w:val="00EE3911"/>
    <w:rsid w:val="00EE454B"/>
    <w:rsid w:val="00EE5784"/>
    <w:rsid w:val="00EE6E15"/>
    <w:rsid w:val="00EF0F0F"/>
    <w:rsid w:val="00EF133A"/>
    <w:rsid w:val="00EF1959"/>
    <w:rsid w:val="00EF2B87"/>
    <w:rsid w:val="00F00054"/>
    <w:rsid w:val="00F070F5"/>
    <w:rsid w:val="00F160D2"/>
    <w:rsid w:val="00F17BFA"/>
    <w:rsid w:val="00F20729"/>
    <w:rsid w:val="00F224FC"/>
    <w:rsid w:val="00F249C5"/>
    <w:rsid w:val="00F24FFC"/>
    <w:rsid w:val="00F27AD3"/>
    <w:rsid w:val="00F31067"/>
    <w:rsid w:val="00F32B29"/>
    <w:rsid w:val="00F43B9F"/>
    <w:rsid w:val="00F44F6C"/>
    <w:rsid w:val="00F46D59"/>
    <w:rsid w:val="00F46E12"/>
    <w:rsid w:val="00F4775E"/>
    <w:rsid w:val="00F50389"/>
    <w:rsid w:val="00F53B96"/>
    <w:rsid w:val="00F56014"/>
    <w:rsid w:val="00F5768C"/>
    <w:rsid w:val="00F605B2"/>
    <w:rsid w:val="00F70865"/>
    <w:rsid w:val="00F71857"/>
    <w:rsid w:val="00F72730"/>
    <w:rsid w:val="00F74886"/>
    <w:rsid w:val="00F74C28"/>
    <w:rsid w:val="00F750F6"/>
    <w:rsid w:val="00F7511C"/>
    <w:rsid w:val="00F8581F"/>
    <w:rsid w:val="00F86135"/>
    <w:rsid w:val="00F87AC2"/>
    <w:rsid w:val="00F952EA"/>
    <w:rsid w:val="00F958B0"/>
    <w:rsid w:val="00FA3804"/>
    <w:rsid w:val="00FB19E7"/>
    <w:rsid w:val="00FB3969"/>
    <w:rsid w:val="00FB7F65"/>
    <w:rsid w:val="00FC3237"/>
    <w:rsid w:val="00FC3434"/>
    <w:rsid w:val="00FD1C0C"/>
    <w:rsid w:val="00FD4186"/>
    <w:rsid w:val="00FD532B"/>
    <w:rsid w:val="00FD7C60"/>
    <w:rsid w:val="00FD7CFE"/>
    <w:rsid w:val="00FE1A0A"/>
    <w:rsid w:val="00FE319D"/>
    <w:rsid w:val="00FE623B"/>
    <w:rsid w:val="00FE637B"/>
    <w:rsid w:val="00FE68F9"/>
    <w:rsid w:val="00FF24E9"/>
    <w:rsid w:val="00FF2A11"/>
    <w:rsid w:val="00FF2EC4"/>
    <w:rsid w:val="00FF31B9"/>
    <w:rsid w:val="00FF333A"/>
    <w:rsid w:val="00FF650C"/>
    <w:rsid w:val="00FF7AAF"/>
    <w:rsid w:val="00FF7F2A"/>
    <w:rsid w:val="0115360D"/>
    <w:rsid w:val="011A5AD1"/>
    <w:rsid w:val="012D085C"/>
    <w:rsid w:val="01741E06"/>
    <w:rsid w:val="023018E7"/>
    <w:rsid w:val="02415306"/>
    <w:rsid w:val="02842328"/>
    <w:rsid w:val="028B2A66"/>
    <w:rsid w:val="02931935"/>
    <w:rsid w:val="02A26A6D"/>
    <w:rsid w:val="02AB476E"/>
    <w:rsid w:val="02B85DDE"/>
    <w:rsid w:val="02DA5F52"/>
    <w:rsid w:val="02FF029E"/>
    <w:rsid w:val="030E3B58"/>
    <w:rsid w:val="033C0E47"/>
    <w:rsid w:val="034461A1"/>
    <w:rsid w:val="03794D68"/>
    <w:rsid w:val="03857F6F"/>
    <w:rsid w:val="03980DE6"/>
    <w:rsid w:val="03B3166D"/>
    <w:rsid w:val="03CE7369"/>
    <w:rsid w:val="03CF3D02"/>
    <w:rsid w:val="03FE7C0B"/>
    <w:rsid w:val="043F09B4"/>
    <w:rsid w:val="04E77372"/>
    <w:rsid w:val="04ED6611"/>
    <w:rsid w:val="04FF062F"/>
    <w:rsid w:val="050D6C70"/>
    <w:rsid w:val="051566FA"/>
    <w:rsid w:val="052870FD"/>
    <w:rsid w:val="05595DC7"/>
    <w:rsid w:val="05741A50"/>
    <w:rsid w:val="05951C48"/>
    <w:rsid w:val="05977F59"/>
    <w:rsid w:val="05A24F84"/>
    <w:rsid w:val="05DB1A4A"/>
    <w:rsid w:val="05DE0324"/>
    <w:rsid w:val="05FE3389"/>
    <w:rsid w:val="0604040B"/>
    <w:rsid w:val="064D5917"/>
    <w:rsid w:val="06936CDC"/>
    <w:rsid w:val="06D1633E"/>
    <w:rsid w:val="06E54979"/>
    <w:rsid w:val="070D477C"/>
    <w:rsid w:val="07101ACA"/>
    <w:rsid w:val="07186ED7"/>
    <w:rsid w:val="073362CC"/>
    <w:rsid w:val="07B5546C"/>
    <w:rsid w:val="07FC3D47"/>
    <w:rsid w:val="080D6BD5"/>
    <w:rsid w:val="084348DD"/>
    <w:rsid w:val="086D1566"/>
    <w:rsid w:val="086F7223"/>
    <w:rsid w:val="087E77C7"/>
    <w:rsid w:val="08A570D4"/>
    <w:rsid w:val="08D37B0C"/>
    <w:rsid w:val="08FB3D99"/>
    <w:rsid w:val="08FD5571"/>
    <w:rsid w:val="090504E6"/>
    <w:rsid w:val="097F12DC"/>
    <w:rsid w:val="09C744EA"/>
    <w:rsid w:val="09F30463"/>
    <w:rsid w:val="0A0400A7"/>
    <w:rsid w:val="0A1F507A"/>
    <w:rsid w:val="0AA222D8"/>
    <w:rsid w:val="0ADE4913"/>
    <w:rsid w:val="0B006270"/>
    <w:rsid w:val="0B015375"/>
    <w:rsid w:val="0B0860A9"/>
    <w:rsid w:val="0B3C3565"/>
    <w:rsid w:val="0B3E2538"/>
    <w:rsid w:val="0B64718D"/>
    <w:rsid w:val="0B654FCD"/>
    <w:rsid w:val="0B702CF4"/>
    <w:rsid w:val="0B875BC4"/>
    <w:rsid w:val="0BB928DD"/>
    <w:rsid w:val="0BFD4AF2"/>
    <w:rsid w:val="0C083C5E"/>
    <w:rsid w:val="0C0B2C9D"/>
    <w:rsid w:val="0C172382"/>
    <w:rsid w:val="0C2B06AD"/>
    <w:rsid w:val="0C383A1B"/>
    <w:rsid w:val="0C6A6D1B"/>
    <w:rsid w:val="0CB61370"/>
    <w:rsid w:val="0CD4475C"/>
    <w:rsid w:val="0CDE0F83"/>
    <w:rsid w:val="0D4C70D8"/>
    <w:rsid w:val="0D707C48"/>
    <w:rsid w:val="0DBB2D9D"/>
    <w:rsid w:val="0DC46E50"/>
    <w:rsid w:val="0E690464"/>
    <w:rsid w:val="0E737AA7"/>
    <w:rsid w:val="0EAD0BCC"/>
    <w:rsid w:val="0EBB3568"/>
    <w:rsid w:val="0EC25B2E"/>
    <w:rsid w:val="0ECE5A49"/>
    <w:rsid w:val="0EDF1094"/>
    <w:rsid w:val="0EE45F14"/>
    <w:rsid w:val="0F1918F4"/>
    <w:rsid w:val="0FA52927"/>
    <w:rsid w:val="0FCF3FBD"/>
    <w:rsid w:val="0FCF7624"/>
    <w:rsid w:val="100F414B"/>
    <w:rsid w:val="10610C86"/>
    <w:rsid w:val="107D17E7"/>
    <w:rsid w:val="107E2FB0"/>
    <w:rsid w:val="10833112"/>
    <w:rsid w:val="10D31C70"/>
    <w:rsid w:val="10D8154D"/>
    <w:rsid w:val="10E37E6E"/>
    <w:rsid w:val="1114369B"/>
    <w:rsid w:val="111511AD"/>
    <w:rsid w:val="11172CDE"/>
    <w:rsid w:val="116577BB"/>
    <w:rsid w:val="117B06BF"/>
    <w:rsid w:val="118841C9"/>
    <w:rsid w:val="1192341A"/>
    <w:rsid w:val="119243BB"/>
    <w:rsid w:val="11932D26"/>
    <w:rsid w:val="12017793"/>
    <w:rsid w:val="122303A5"/>
    <w:rsid w:val="129174F4"/>
    <w:rsid w:val="12A71269"/>
    <w:rsid w:val="12AE435E"/>
    <w:rsid w:val="12D22583"/>
    <w:rsid w:val="12DD7547"/>
    <w:rsid w:val="12E61509"/>
    <w:rsid w:val="12F30BAD"/>
    <w:rsid w:val="12F56656"/>
    <w:rsid w:val="13305EBE"/>
    <w:rsid w:val="13396B2D"/>
    <w:rsid w:val="13DA0AAC"/>
    <w:rsid w:val="14534DB7"/>
    <w:rsid w:val="14647A29"/>
    <w:rsid w:val="14680D58"/>
    <w:rsid w:val="14690E46"/>
    <w:rsid w:val="149C63B4"/>
    <w:rsid w:val="14A01F57"/>
    <w:rsid w:val="14A05B91"/>
    <w:rsid w:val="1529383A"/>
    <w:rsid w:val="1554101F"/>
    <w:rsid w:val="15622FB1"/>
    <w:rsid w:val="156B39C1"/>
    <w:rsid w:val="157645FA"/>
    <w:rsid w:val="159535A7"/>
    <w:rsid w:val="15A851D2"/>
    <w:rsid w:val="15C159C9"/>
    <w:rsid w:val="15CF1AD0"/>
    <w:rsid w:val="15FE4651"/>
    <w:rsid w:val="16042FAD"/>
    <w:rsid w:val="166C40D5"/>
    <w:rsid w:val="16FE00C6"/>
    <w:rsid w:val="170961A3"/>
    <w:rsid w:val="17D519E1"/>
    <w:rsid w:val="180D0283"/>
    <w:rsid w:val="18123473"/>
    <w:rsid w:val="18175518"/>
    <w:rsid w:val="18461E1C"/>
    <w:rsid w:val="18E54E45"/>
    <w:rsid w:val="19420BD7"/>
    <w:rsid w:val="19464787"/>
    <w:rsid w:val="19567BFE"/>
    <w:rsid w:val="196749B3"/>
    <w:rsid w:val="19802779"/>
    <w:rsid w:val="19A84B64"/>
    <w:rsid w:val="19DE2342"/>
    <w:rsid w:val="1A2A3236"/>
    <w:rsid w:val="1A54502F"/>
    <w:rsid w:val="1A5810DC"/>
    <w:rsid w:val="1A8102A7"/>
    <w:rsid w:val="1A950B59"/>
    <w:rsid w:val="1A972656"/>
    <w:rsid w:val="1A9F4E08"/>
    <w:rsid w:val="1AA07DB3"/>
    <w:rsid w:val="1AAA5F53"/>
    <w:rsid w:val="1AD45B3E"/>
    <w:rsid w:val="1B0B4F2F"/>
    <w:rsid w:val="1B1879B2"/>
    <w:rsid w:val="1B8A4589"/>
    <w:rsid w:val="1BBB0FFA"/>
    <w:rsid w:val="1BCB573E"/>
    <w:rsid w:val="1C0E23A1"/>
    <w:rsid w:val="1C2533AF"/>
    <w:rsid w:val="1C26713F"/>
    <w:rsid w:val="1C2C6E8C"/>
    <w:rsid w:val="1C531B5E"/>
    <w:rsid w:val="1C5A6A6A"/>
    <w:rsid w:val="1C774B42"/>
    <w:rsid w:val="1C94435E"/>
    <w:rsid w:val="1CA66864"/>
    <w:rsid w:val="1CE871BF"/>
    <w:rsid w:val="1D352737"/>
    <w:rsid w:val="1D36393E"/>
    <w:rsid w:val="1D382ABE"/>
    <w:rsid w:val="1D416363"/>
    <w:rsid w:val="1D4C2184"/>
    <w:rsid w:val="1DBC12BA"/>
    <w:rsid w:val="1DC45BFC"/>
    <w:rsid w:val="1E1D2E2F"/>
    <w:rsid w:val="1E467AD6"/>
    <w:rsid w:val="1E543E63"/>
    <w:rsid w:val="1E5F36D0"/>
    <w:rsid w:val="1EA87603"/>
    <w:rsid w:val="1EAC4C7B"/>
    <w:rsid w:val="1ECC72ED"/>
    <w:rsid w:val="1EFB1E5C"/>
    <w:rsid w:val="1F23680A"/>
    <w:rsid w:val="1F8B3072"/>
    <w:rsid w:val="1FA34305"/>
    <w:rsid w:val="1FF10CE7"/>
    <w:rsid w:val="202F7778"/>
    <w:rsid w:val="205E56C0"/>
    <w:rsid w:val="206D7F38"/>
    <w:rsid w:val="20867FC0"/>
    <w:rsid w:val="20950D16"/>
    <w:rsid w:val="20B076AB"/>
    <w:rsid w:val="211508B6"/>
    <w:rsid w:val="212303CD"/>
    <w:rsid w:val="216C7ECE"/>
    <w:rsid w:val="216F4481"/>
    <w:rsid w:val="21BA68F2"/>
    <w:rsid w:val="220F4364"/>
    <w:rsid w:val="224303E5"/>
    <w:rsid w:val="22B33CAA"/>
    <w:rsid w:val="22F351E3"/>
    <w:rsid w:val="22F84815"/>
    <w:rsid w:val="23137B9C"/>
    <w:rsid w:val="232812EA"/>
    <w:rsid w:val="235D7342"/>
    <w:rsid w:val="23961053"/>
    <w:rsid w:val="244062A1"/>
    <w:rsid w:val="246E11E3"/>
    <w:rsid w:val="24B14359"/>
    <w:rsid w:val="24C268E6"/>
    <w:rsid w:val="25002A14"/>
    <w:rsid w:val="252A2096"/>
    <w:rsid w:val="255D6CCF"/>
    <w:rsid w:val="257E21C7"/>
    <w:rsid w:val="25B14925"/>
    <w:rsid w:val="25D47B1C"/>
    <w:rsid w:val="25E767B2"/>
    <w:rsid w:val="26204811"/>
    <w:rsid w:val="263272AA"/>
    <w:rsid w:val="2652334F"/>
    <w:rsid w:val="26830E6A"/>
    <w:rsid w:val="26974DBD"/>
    <w:rsid w:val="269A3095"/>
    <w:rsid w:val="26A16CC9"/>
    <w:rsid w:val="26A42076"/>
    <w:rsid w:val="26E275B9"/>
    <w:rsid w:val="27842848"/>
    <w:rsid w:val="27AF3510"/>
    <w:rsid w:val="28134F69"/>
    <w:rsid w:val="28E874F0"/>
    <w:rsid w:val="294F31E7"/>
    <w:rsid w:val="297608C7"/>
    <w:rsid w:val="29875513"/>
    <w:rsid w:val="29AF0FC9"/>
    <w:rsid w:val="29BF26B8"/>
    <w:rsid w:val="29F70197"/>
    <w:rsid w:val="2A241854"/>
    <w:rsid w:val="2A39507A"/>
    <w:rsid w:val="2A6217FE"/>
    <w:rsid w:val="2A636FF5"/>
    <w:rsid w:val="2A9C2048"/>
    <w:rsid w:val="2AA1705C"/>
    <w:rsid w:val="2AA4671F"/>
    <w:rsid w:val="2AB54EB7"/>
    <w:rsid w:val="2ADF437F"/>
    <w:rsid w:val="2AEC2A43"/>
    <w:rsid w:val="2B011EAB"/>
    <w:rsid w:val="2B1D3EAD"/>
    <w:rsid w:val="2B25690F"/>
    <w:rsid w:val="2B554069"/>
    <w:rsid w:val="2B616137"/>
    <w:rsid w:val="2B674974"/>
    <w:rsid w:val="2B6D1583"/>
    <w:rsid w:val="2B6F2F78"/>
    <w:rsid w:val="2BFA5313"/>
    <w:rsid w:val="2C0C7C96"/>
    <w:rsid w:val="2C264AC2"/>
    <w:rsid w:val="2C2D505C"/>
    <w:rsid w:val="2CA31CAE"/>
    <w:rsid w:val="2CAF3B92"/>
    <w:rsid w:val="2CB145A5"/>
    <w:rsid w:val="2CBC42DB"/>
    <w:rsid w:val="2CD2572B"/>
    <w:rsid w:val="2CE24CC6"/>
    <w:rsid w:val="2CE51A84"/>
    <w:rsid w:val="2CF02DCD"/>
    <w:rsid w:val="2D0E1E8F"/>
    <w:rsid w:val="2D7231E4"/>
    <w:rsid w:val="2D7A156F"/>
    <w:rsid w:val="2DA3789A"/>
    <w:rsid w:val="2DCD641C"/>
    <w:rsid w:val="2E0A3E67"/>
    <w:rsid w:val="2E2B3D81"/>
    <w:rsid w:val="2E302622"/>
    <w:rsid w:val="2E3C1DAA"/>
    <w:rsid w:val="2E624E7A"/>
    <w:rsid w:val="2EA34F09"/>
    <w:rsid w:val="2EE61222"/>
    <w:rsid w:val="2EFE0BAB"/>
    <w:rsid w:val="2F103FF5"/>
    <w:rsid w:val="2F230CC3"/>
    <w:rsid w:val="2F4B7B98"/>
    <w:rsid w:val="2F631C4A"/>
    <w:rsid w:val="2F6C0578"/>
    <w:rsid w:val="2FD56C3C"/>
    <w:rsid w:val="2FD6099B"/>
    <w:rsid w:val="2FD76770"/>
    <w:rsid w:val="2FE73B70"/>
    <w:rsid w:val="2FFF4E70"/>
    <w:rsid w:val="3010517C"/>
    <w:rsid w:val="30790233"/>
    <w:rsid w:val="30793F08"/>
    <w:rsid w:val="314F12F7"/>
    <w:rsid w:val="317B36A0"/>
    <w:rsid w:val="31C157E4"/>
    <w:rsid w:val="31F8723F"/>
    <w:rsid w:val="3202317B"/>
    <w:rsid w:val="326D2427"/>
    <w:rsid w:val="32793789"/>
    <w:rsid w:val="32946C6D"/>
    <w:rsid w:val="32C82E3A"/>
    <w:rsid w:val="330E4BD1"/>
    <w:rsid w:val="33234D20"/>
    <w:rsid w:val="332E185E"/>
    <w:rsid w:val="336362A6"/>
    <w:rsid w:val="336A082B"/>
    <w:rsid w:val="3399284C"/>
    <w:rsid w:val="33CB3BEB"/>
    <w:rsid w:val="33DD3C4F"/>
    <w:rsid w:val="33E06F18"/>
    <w:rsid w:val="33E8009A"/>
    <w:rsid w:val="33F6270F"/>
    <w:rsid w:val="33F641E6"/>
    <w:rsid w:val="341757BD"/>
    <w:rsid w:val="34311A53"/>
    <w:rsid w:val="3464444B"/>
    <w:rsid w:val="349E495F"/>
    <w:rsid w:val="34EA71A9"/>
    <w:rsid w:val="34F30703"/>
    <w:rsid w:val="35240DFD"/>
    <w:rsid w:val="355F7EFA"/>
    <w:rsid w:val="356731FE"/>
    <w:rsid w:val="35A152F3"/>
    <w:rsid w:val="35AD6838"/>
    <w:rsid w:val="35B56157"/>
    <w:rsid w:val="35E34D1A"/>
    <w:rsid w:val="35F85613"/>
    <w:rsid w:val="36015443"/>
    <w:rsid w:val="36051FE9"/>
    <w:rsid w:val="360772D6"/>
    <w:rsid w:val="36287393"/>
    <w:rsid w:val="36552F0A"/>
    <w:rsid w:val="36AB2DC5"/>
    <w:rsid w:val="36C16607"/>
    <w:rsid w:val="36C96EC0"/>
    <w:rsid w:val="36E96DFB"/>
    <w:rsid w:val="36F8292E"/>
    <w:rsid w:val="371C7E18"/>
    <w:rsid w:val="372D0DD5"/>
    <w:rsid w:val="373636C3"/>
    <w:rsid w:val="37593620"/>
    <w:rsid w:val="376A44BA"/>
    <w:rsid w:val="37782522"/>
    <w:rsid w:val="37825FEE"/>
    <w:rsid w:val="37983B97"/>
    <w:rsid w:val="380F57A4"/>
    <w:rsid w:val="381D3219"/>
    <w:rsid w:val="38871E84"/>
    <w:rsid w:val="39161A57"/>
    <w:rsid w:val="39167469"/>
    <w:rsid w:val="394F3547"/>
    <w:rsid w:val="39BA3D87"/>
    <w:rsid w:val="39C935C5"/>
    <w:rsid w:val="39F307B9"/>
    <w:rsid w:val="3A1848B9"/>
    <w:rsid w:val="3A3030A0"/>
    <w:rsid w:val="3A3A0F35"/>
    <w:rsid w:val="3A53182E"/>
    <w:rsid w:val="3A740862"/>
    <w:rsid w:val="3AC947E5"/>
    <w:rsid w:val="3AE3200F"/>
    <w:rsid w:val="3B0F1785"/>
    <w:rsid w:val="3B426DC8"/>
    <w:rsid w:val="3B593820"/>
    <w:rsid w:val="3B784225"/>
    <w:rsid w:val="3B7F0FF3"/>
    <w:rsid w:val="3B8452CF"/>
    <w:rsid w:val="3B954675"/>
    <w:rsid w:val="3B970224"/>
    <w:rsid w:val="3BAD2D15"/>
    <w:rsid w:val="3BCA2264"/>
    <w:rsid w:val="3BD51575"/>
    <w:rsid w:val="3BDE35DF"/>
    <w:rsid w:val="3C0B6183"/>
    <w:rsid w:val="3C171E90"/>
    <w:rsid w:val="3C442FAE"/>
    <w:rsid w:val="3C6B59BE"/>
    <w:rsid w:val="3C8D4BE6"/>
    <w:rsid w:val="3CA92CBF"/>
    <w:rsid w:val="3CAD1389"/>
    <w:rsid w:val="3CC441BA"/>
    <w:rsid w:val="3CE12F28"/>
    <w:rsid w:val="3D284DB3"/>
    <w:rsid w:val="3D7B1320"/>
    <w:rsid w:val="3DCC08A0"/>
    <w:rsid w:val="3E0D3D07"/>
    <w:rsid w:val="3E3A46C4"/>
    <w:rsid w:val="3E8F22F2"/>
    <w:rsid w:val="3E9B4245"/>
    <w:rsid w:val="3EAC646E"/>
    <w:rsid w:val="3F1578A6"/>
    <w:rsid w:val="3F5D56AE"/>
    <w:rsid w:val="3F654DEE"/>
    <w:rsid w:val="3F7A098E"/>
    <w:rsid w:val="3F7F752D"/>
    <w:rsid w:val="3F91482B"/>
    <w:rsid w:val="3F9F5A84"/>
    <w:rsid w:val="3FA91EF2"/>
    <w:rsid w:val="3FA960DB"/>
    <w:rsid w:val="3FC9093F"/>
    <w:rsid w:val="3FCE3EEF"/>
    <w:rsid w:val="3FFB01E2"/>
    <w:rsid w:val="3FFE2C6A"/>
    <w:rsid w:val="40060615"/>
    <w:rsid w:val="40104B1E"/>
    <w:rsid w:val="406D4D07"/>
    <w:rsid w:val="40726205"/>
    <w:rsid w:val="409C30C4"/>
    <w:rsid w:val="40C86738"/>
    <w:rsid w:val="40D50B51"/>
    <w:rsid w:val="413A3AF8"/>
    <w:rsid w:val="41715F67"/>
    <w:rsid w:val="41A97829"/>
    <w:rsid w:val="41D81E63"/>
    <w:rsid w:val="42082066"/>
    <w:rsid w:val="424E0EF8"/>
    <w:rsid w:val="431A6E6F"/>
    <w:rsid w:val="438315AA"/>
    <w:rsid w:val="44067C16"/>
    <w:rsid w:val="441B487D"/>
    <w:rsid w:val="44260CBC"/>
    <w:rsid w:val="445A2900"/>
    <w:rsid w:val="4475106C"/>
    <w:rsid w:val="447A0969"/>
    <w:rsid w:val="447F58A8"/>
    <w:rsid w:val="44957DE6"/>
    <w:rsid w:val="44D37FBC"/>
    <w:rsid w:val="44E71AB3"/>
    <w:rsid w:val="450738A0"/>
    <w:rsid w:val="4585361F"/>
    <w:rsid w:val="4594091D"/>
    <w:rsid w:val="45B90E00"/>
    <w:rsid w:val="45EE4389"/>
    <w:rsid w:val="462C7F6E"/>
    <w:rsid w:val="463349CD"/>
    <w:rsid w:val="46340C50"/>
    <w:rsid w:val="46496C45"/>
    <w:rsid w:val="469B0FE5"/>
    <w:rsid w:val="46CC42B2"/>
    <w:rsid w:val="46F270AB"/>
    <w:rsid w:val="46F30DEA"/>
    <w:rsid w:val="47100DD7"/>
    <w:rsid w:val="474A0EC8"/>
    <w:rsid w:val="476059A6"/>
    <w:rsid w:val="47A93299"/>
    <w:rsid w:val="47C93B57"/>
    <w:rsid w:val="47DC3A17"/>
    <w:rsid w:val="47E44A12"/>
    <w:rsid w:val="4825105F"/>
    <w:rsid w:val="48342B19"/>
    <w:rsid w:val="48767830"/>
    <w:rsid w:val="48880AE8"/>
    <w:rsid w:val="489B0133"/>
    <w:rsid w:val="489D40B6"/>
    <w:rsid w:val="48D203FF"/>
    <w:rsid w:val="4900336C"/>
    <w:rsid w:val="4909778A"/>
    <w:rsid w:val="49186BB2"/>
    <w:rsid w:val="496B1356"/>
    <w:rsid w:val="49B719D3"/>
    <w:rsid w:val="49CC7DFC"/>
    <w:rsid w:val="49DC3DB7"/>
    <w:rsid w:val="4A8152B5"/>
    <w:rsid w:val="4AC02859"/>
    <w:rsid w:val="4B012D64"/>
    <w:rsid w:val="4B205ACF"/>
    <w:rsid w:val="4B414CA0"/>
    <w:rsid w:val="4B7C16C4"/>
    <w:rsid w:val="4B9E1F94"/>
    <w:rsid w:val="4BA366E3"/>
    <w:rsid w:val="4BC07CF7"/>
    <w:rsid w:val="4BEE2DD8"/>
    <w:rsid w:val="4C086AC0"/>
    <w:rsid w:val="4C1A7CF3"/>
    <w:rsid w:val="4CC07A73"/>
    <w:rsid w:val="4CC842D7"/>
    <w:rsid w:val="4D4C1458"/>
    <w:rsid w:val="4D5E1A3E"/>
    <w:rsid w:val="4DC01ACA"/>
    <w:rsid w:val="4DC82E32"/>
    <w:rsid w:val="4DEB691C"/>
    <w:rsid w:val="4E075960"/>
    <w:rsid w:val="4E105C8B"/>
    <w:rsid w:val="4E4B7280"/>
    <w:rsid w:val="4E52202D"/>
    <w:rsid w:val="4E6804AD"/>
    <w:rsid w:val="4E696DD3"/>
    <w:rsid w:val="4E6C7952"/>
    <w:rsid w:val="4EA97A83"/>
    <w:rsid w:val="4EFC70A4"/>
    <w:rsid w:val="4F2B4F90"/>
    <w:rsid w:val="4F4B717C"/>
    <w:rsid w:val="4F4F3FD5"/>
    <w:rsid w:val="4F817899"/>
    <w:rsid w:val="4F96690D"/>
    <w:rsid w:val="4F9E5583"/>
    <w:rsid w:val="502D5D89"/>
    <w:rsid w:val="50612397"/>
    <w:rsid w:val="50A26432"/>
    <w:rsid w:val="50A317FD"/>
    <w:rsid w:val="50B8346B"/>
    <w:rsid w:val="511D718F"/>
    <w:rsid w:val="512258A7"/>
    <w:rsid w:val="512513E9"/>
    <w:rsid w:val="51356120"/>
    <w:rsid w:val="51593292"/>
    <w:rsid w:val="519513BC"/>
    <w:rsid w:val="51A22EDB"/>
    <w:rsid w:val="51E25A52"/>
    <w:rsid w:val="51EF1895"/>
    <w:rsid w:val="52027A92"/>
    <w:rsid w:val="521146DD"/>
    <w:rsid w:val="528905E5"/>
    <w:rsid w:val="5294397E"/>
    <w:rsid w:val="52D907A9"/>
    <w:rsid w:val="52DA1351"/>
    <w:rsid w:val="52E71A4F"/>
    <w:rsid w:val="52F66E8F"/>
    <w:rsid w:val="52F85839"/>
    <w:rsid w:val="530F6FAB"/>
    <w:rsid w:val="53197A7F"/>
    <w:rsid w:val="53DE0D13"/>
    <w:rsid w:val="53DF2C17"/>
    <w:rsid w:val="53E60170"/>
    <w:rsid w:val="53FE4D3A"/>
    <w:rsid w:val="5421677F"/>
    <w:rsid w:val="54442C85"/>
    <w:rsid w:val="547E6E57"/>
    <w:rsid w:val="54911784"/>
    <w:rsid w:val="54A366D8"/>
    <w:rsid w:val="54AF4B86"/>
    <w:rsid w:val="54B4274B"/>
    <w:rsid w:val="54D71F53"/>
    <w:rsid w:val="550B1B26"/>
    <w:rsid w:val="55151905"/>
    <w:rsid w:val="55172C9D"/>
    <w:rsid w:val="55284BF1"/>
    <w:rsid w:val="55384597"/>
    <w:rsid w:val="55585E90"/>
    <w:rsid w:val="559F145E"/>
    <w:rsid w:val="55E35352"/>
    <w:rsid w:val="55EB4416"/>
    <w:rsid w:val="56222DFD"/>
    <w:rsid w:val="562C54DB"/>
    <w:rsid w:val="567E45FE"/>
    <w:rsid w:val="56E57E2D"/>
    <w:rsid w:val="56EB74CB"/>
    <w:rsid w:val="57312ED0"/>
    <w:rsid w:val="5744185E"/>
    <w:rsid w:val="574B0E81"/>
    <w:rsid w:val="5799792C"/>
    <w:rsid w:val="57EC4CB4"/>
    <w:rsid w:val="57F4252F"/>
    <w:rsid w:val="585652F9"/>
    <w:rsid w:val="5864647D"/>
    <w:rsid w:val="588B0E82"/>
    <w:rsid w:val="58C546AF"/>
    <w:rsid w:val="58D662F9"/>
    <w:rsid w:val="591A1125"/>
    <w:rsid w:val="593C4513"/>
    <w:rsid w:val="59423005"/>
    <w:rsid w:val="59511118"/>
    <w:rsid w:val="59822267"/>
    <w:rsid w:val="59903D08"/>
    <w:rsid w:val="59C60F45"/>
    <w:rsid w:val="59EA205B"/>
    <w:rsid w:val="5A0D366D"/>
    <w:rsid w:val="5A374311"/>
    <w:rsid w:val="5A6A6E81"/>
    <w:rsid w:val="5AFA583E"/>
    <w:rsid w:val="5B1335EA"/>
    <w:rsid w:val="5B1B25E3"/>
    <w:rsid w:val="5B3835DC"/>
    <w:rsid w:val="5B6A70A9"/>
    <w:rsid w:val="5B6C40FF"/>
    <w:rsid w:val="5BAF567E"/>
    <w:rsid w:val="5BB6611F"/>
    <w:rsid w:val="5BBA5400"/>
    <w:rsid w:val="5BC64892"/>
    <w:rsid w:val="5BD25368"/>
    <w:rsid w:val="5BD33D7C"/>
    <w:rsid w:val="5BDA5B74"/>
    <w:rsid w:val="5BFF35E2"/>
    <w:rsid w:val="5C0477FC"/>
    <w:rsid w:val="5C9B3CE0"/>
    <w:rsid w:val="5CC952DD"/>
    <w:rsid w:val="5CF95D61"/>
    <w:rsid w:val="5CF96F98"/>
    <w:rsid w:val="5D3D64DE"/>
    <w:rsid w:val="5D3E2CE6"/>
    <w:rsid w:val="5D703B37"/>
    <w:rsid w:val="5D7708F8"/>
    <w:rsid w:val="5DE451BF"/>
    <w:rsid w:val="5DF94AE0"/>
    <w:rsid w:val="5E5E2EDB"/>
    <w:rsid w:val="5EA1315E"/>
    <w:rsid w:val="5F090A8A"/>
    <w:rsid w:val="5F130109"/>
    <w:rsid w:val="5F2E0DC6"/>
    <w:rsid w:val="5F563C31"/>
    <w:rsid w:val="5F5A2333"/>
    <w:rsid w:val="5F5F1AC4"/>
    <w:rsid w:val="5F7D18D8"/>
    <w:rsid w:val="5FAB268A"/>
    <w:rsid w:val="5FCA3AE8"/>
    <w:rsid w:val="602D6FB7"/>
    <w:rsid w:val="6039598C"/>
    <w:rsid w:val="60BE37CA"/>
    <w:rsid w:val="60C85F96"/>
    <w:rsid w:val="60F63393"/>
    <w:rsid w:val="60F93275"/>
    <w:rsid w:val="610F3B4C"/>
    <w:rsid w:val="61590F51"/>
    <w:rsid w:val="61642E9E"/>
    <w:rsid w:val="618A5F53"/>
    <w:rsid w:val="61AF2962"/>
    <w:rsid w:val="61B0661B"/>
    <w:rsid w:val="61C3459B"/>
    <w:rsid w:val="61DB7E59"/>
    <w:rsid w:val="61E909B1"/>
    <w:rsid w:val="61F364F7"/>
    <w:rsid w:val="62052610"/>
    <w:rsid w:val="620D17B8"/>
    <w:rsid w:val="62651BCB"/>
    <w:rsid w:val="62715B4D"/>
    <w:rsid w:val="62897C20"/>
    <w:rsid w:val="628B4F4C"/>
    <w:rsid w:val="62AF10E7"/>
    <w:rsid w:val="62D826A0"/>
    <w:rsid w:val="62F94FD9"/>
    <w:rsid w:val="635B2EA6"/>
    <w:rsid w:val="63AE011A"/>
    <w:rsid w:val="63C44A70"/>
    <w:rsid w:val="63DA4A6C"/>
    <w:rsid w:val="642228DB"/>
    <w:rsid w:val="64300842"/>
    <w:rsid w:val="643C7A04"/>
    <w:rsid w:val="644131AA"/>
    <w:rsid w:val="64425CEC"/>
    <w:rsid w:val="647C3612"/>
    <w:rsid w:val="648F66AB"/>
    <w:rsid w:val="649D3FAD"/>
    <w:rsid w:val="65033347"/>
    <w:rsid w:val="650855FC"/>
    <w:rsid w:val="65875E85"/>
    <w:rsid w:val="659B3074"/>
    <w:rsid w:val="65EF5F2C"/>
    <w:rsid w:val="65F820DF"/>
    <w:rsid w:val="663C10FB"/>
    <w:rsid w:val="66705A2B"/>
    <w:rsid w:val="667340F9"/>
    <w:rsid w:val="66930612"/>
    <w:rsid w:val="66BB3C90"/>
    <w:rsid w:val="66D454B2"/>
    <w:rsid w:val="66E65499"/>
    <w:rsid w:val="670E4AC8"/>
    <w:rsid w:val="67363856"/>
    <w:rsid w:val="6767087B"/>
    <w:rsid w:val="67B914B7"/>
    <w:rsid w:val="67F07093"/>
    <w:rsid w:val="67F64877"/>
    <w:rsid w:val="681C69A1"/>
    <w:rsid w:val="68341555"/>
    <w:rsid w:val="68372968"/>
    <w:rsid w:val="68550600"/>
    <w:rsid w:val="686438DF"/>
    <w:rsid w:val="687E580A"/>
    <w:rsid w:val="68846E82"/>
    <w:rsid w:val="690D0BB5"/>
    <w:rsid w:val="691A199E"/>
    <w:rsid w:val="691D2BEF"/>
    <w:rsid w:val="69353F81"/>
    <w:rsid w:val="694F3C0C"/>
    <w:rsid w:val="69AD5B04"/>
    <w:rsid w:val="69C853FC"/>
    <w:rsid w:val="69DB1659"/>
    <w:rsid w:val="6A0B6727"/>
    <w:rsid w:val="6A31681A"/>
    <w:rsid w:val="6A5A7BAD"/>
    <w:rsid w:val="6A5E1210"/>
    <w:rsid w:val="6ADF3AB2"/>
    <w:rsid w:val="6B144D07"/>
    <w:rsid w:val="6B534C1E"/>
    <w:rsid w:val="6B573E7A"/>
    <w:rsid w:val="6B8625F4"/>
    <w:rsid w:val="6B8919FC"/>
    <w:rsid w:val="6BF13BFB"/>
    <w:rsid w:val="6C0A2BC7"/>
    <w:rsid w:val="6C397E34"/>
    <w:rsid w:val="6C63110E"/>
    <w:rsid w:val="6C7B75BB"/>
    <w:rsid w:val="6C9A59C5"/>
    <w:rsid w:val="6CA83A64"/>
    <w:rsid w:val="6CCA5610"/>
    <w:rsid w:val="6CD6786E"/>
    <w:rsid w:val="6D4D38AD"/>
    <w:rsid w:val="6D5223D4"/>
    <w:rsid w:val="6D892BFA"/>
    <w:rsid w:val="6DAD793A"/>
    <w:rsid w:val="6DF52356"/>
    <w:rsid w:val="6E033C9F"/>
    <w:rsid w:val="6E446320"/>
    <w:rsid w:val="6E625D3C"/>
    <w:rsid w:val="6E7C41E5"/>
    <w:rsid w:val="6EB9434A"/>
    <w:rsid w:val="6EC56956"/>
    <w:rsid w:val="6EF122DA"/>
    <w:rsid w:val="6EFB3EA2"/>
    <w:rsid w:val="6F0F579C"/>
    <w:rsid w:val="6F1E3E6B"/>
    <w:rsid w:val="6F232708"/>
    <w:rsid w:val="6F2B0729"/>
    <w:rsid w:val="6F3406FD"/>
    <w:rsid w:val="6F8774AA"/>
    <w:rsid w:val="6FA01D55"/>
    <w:rsid w:val="6FB340DB"/>
    <w:rsid w:val="6FDC31DE"/>
    <w:rsid w:val="7013273D"/>
    <w:rsid w:val="7099390B"/>
    <w:rsid w:val="71201CBE"/>
    <w:rsid w:val="71236158"/>
    <w:rsid w:val="712C4866"/>
    <w:rsid w:val="71566079"/>
    <w:rsid w:val="71661E55"/>
    <w:rsid w:val="71772AED"/>
    <w:rsid w:val="71997303"/>
    <w:rsid w:val="71B87879"/>
    <w:rsid w:val="71B91FA5"/>
    <w:rsid w:val="71B959A1"/>
    <w:rsid w:val="71CC191D"/>
    <w:rsid w:val="71D776EF"/>
    <w:rsid w:val="71DE764D"/>
    <w:rsid w:val="71E076F1"/>
    <w:rsid w:val="71FD3B22"/>
    <w:rsid w:val="72107EB4"/>
    <w:rsid w:val="723878AD"/>
    <w:rsid w:val="7251317B"/>
    <w:rsid w:val="72844D38"/>
    <w:rsid w:val="72856040"/>
    <w:rsid w:val="72876A58"/>
    <w:rsid w:val="72A370AD"/>
    <w:rsid w:val="72B648F6"/>
    <w:rsid w:val="731D559B"/>
    <w:rsid w:val="733322AE"/>
    <w:rsid w:val="733C4210"/>
    <w:rsid w:val="738D4985"/>
    <w:rsid w:val="73F27D87"/>
    <w:rsid w:val="73FE075C"/>
    <w:rsid w:val="740651B8"/>
    <w:rsid w:val="7427609D"/>
    <w:rsid w:val="743C605A"/>
    <w:rsid w:val="744F076D"/>
    <w:rsid w:val="7475614C"/>
    <w:rsid w:val="749C3064"/>
    <w:rsid w:val="74CE1D2E"/>
    <w:rsid w:val="74DF5394"/>
    <w:rsid w:val="751C3EA8"/>
    <w:rsid w:val="752D4E04"/>
    <w:rsid w:val="75634733"/>
    <w:rsid w:val="757104B0"/>
    <w:rsid w:val="757B583A"/>
    <w:rsid w:val="758777E2"/>
    <w:rsid w:val="758A5110"/>
    <w:rsid w:val="75D80C95"/>
    <w:rsid w:val="75EB2B08"/>
    <w:rsid w:val="76016DE2"/>
    <w:rsid w:val="765E61E0"/>
    <w:rsid w:val="766A72E6"/>
    <w:rsid w:val="767750AB"/>
    <w:rsid w:val="768C586C"/>
    <w:rsid w:val="76DC5C57"/>
    <w:rsid w:val="77270D5C"/>
    <w:rsid w:val="77332401"/>
    <w:rsid w:val="77504C5D"/>
    <w:rsid w:val="77510DE6"/>
    <w:rsid w:val="775F3140"/>
    <w:rsid w:val="77CD049D"/>
    <w:rsid w:val="77D20264"/>
    <w:rsid w:val="77DF1910"/>
    <w:rsid w:val="780712FE"/>
    <w:rsid w:val="781A76D5"/>
    <w:rsid w:val="781B6A30"/>
    <w:rsid w:val="784B17B3"/>
    <w:rsid w:val="78716CED"/>
    <w:rsid w:val="78954EE2"/>
    <w:rsid w:val="78A60A74"/>
    <w:rsid w:val="78AB16F4"/>
    <w:rsid w:val="78F42F8B"/>
    <w:rsid w:val="794927AC"/>
    <w:rsid w:val="795059F1"/>
    <w:rsid w:val="7992510F"/>
    <w:rsid w:val="79D90ACD"/>
    <w:rsid w:val="79E15C0B"/>
    <w:rsid w:val="79E73661"/>
    <w:rsid w:val="79EC0615"/>
    <w:rsid w:val="7A0C6F8A"/>
    <w:rsid w:val="7A1C1AD6"/>
    <w:rsid w:val="7A23036C"/>
    <w:rsid w:val="7A5769C5"/>
    <w:rsid w:val="7A5C6C6A"/>
    <w:rsid w:val="7A712411"/>
    <w:rsid w:val="7AB67036"/>
    <w:rsid w:val="7AB83540"/>
    <w:rsid w:val="7ACC5AEA"/>
    <w:rsid w:val="7B013B9B"/>
    <w:rsid w:val="7B3D6601"/>
    <w:rsid w:val="7B576C9D"/>
    <w:rsid w:val="7B8827F7"/>
    <w:rsid w:val="7B9D7A12"/>
    <w:rsid w:val="7BC1025A"/>
    <w:rsid w:val="7BC12C40"/>
    <w:rsid w:val="7C24075F"/>
    <w:rsid w:val="7C314AD4"/>
    <w:rsid w:val="7C5C4462"/>
    <w:rsid w:val="7C5C5C93"/>
    <w:rsid w:val="7C776105"/>
    <w:rsid w:val="7C946AAE"/>
    <w:rsid w:val="7CA81753"/>
    <w:rsid w:val="7CB26B08"/>
    <w:rsid w:val="7CD363A2"/>
    <w:rsid w:val="7CDF4A35"/>
    <w:rsid w:val="7CF67DF8"/>
    <w:rsid w:val="7D091F14"/>
    <w:rsid w:val="7D7A40FA"/>
    <w:rsid w:val="7D7C5351"/>
    <w:rsid w:val="7DDB015B"/>
    <w:rsid w:val="7E3B77F1"/>
    <w:rsid w:val="7E672F54"/>
    <w:rsid w:val="7E870A10"/>
    <w:rsid w:val="7EC14C57"/>
    <w:rsid w:val="7EC82EA6"/>
    <w:rsid w:val="7ECF18AA"/>
    <w:rsid w:val="7EF743D8"/>
    <w:rsid w:val="7F0B13C6"/>
    <w:rsid w:val="7F2B53A1"/>
    <w:rsid w:val="7F8A54A9"/>
    <w:rsid w:val="7FD7640D"/>
    <w:rsid w:val="7FEA39B3"/>
    <w:rsid w:val="7FEC5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3"/>
    <w:basedOn w:val="1"/>
    <w:next w:val="1"/>
    <w:unhideWhenUsed/>
    <w:qFormat/>
    <w:uiPriority w:val="9"/>
    <w:pPr>
      <w:spacing w:before="31"/>
      <w:ind w:left="116"/>
      <w:outlineLvl w:val="2"/>
    </w:pPr>
    <w:rPr>
      <w:rFonts w:ascii="宋体" w:hAnsi="宋体"/>
      <w:b/>
      <w:bCs/>
      <w:sz w:val="28"/>
      <w:szCs w:val="28"/>
    </w:rPr>
  </w:style>
  <w:style w:type="paragraph" w:styleId="5">
    <w:name w:val="heading 4"/>
    <w:basedOn w:val="1"/>
    <w:next w:val="1"/>
    <w:link w:val="40"/>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41"/>
    <w:qFormat/>
    <w:uiPriority w:val="0"/>
    <w:pPr>
      <w:keepNext/>
      <w:keepLines/>
      <w:spacing w:before="280" w:after="290" w:line="376" w:lineRule="auto"/>
      <w:outlineLvl w:val="4"/>
    </w:pPr>
    <w:rPr>
      <w:rFonts w:ascii="Calibri" w:hAnsi="Calibri"/>
      <w:b/>
      <w:bCs/>
      <w:sz w:val="28"/>
      <w:szCs w:val="28"/>
    </w:rPr>
  </w:style>
  <w:style w:type="paragraph" w:styleId="7">
    <w:name w:val="heading 6"/>
    <w:basedOn w:val="1"/>
    <w:next w:val="1"/>
    <w:qFormat/>
    <w:uiPriority w:val="9"/>
    <w:pPr>
      <w:keepNext/>
      <w:keepLines/>
      <w:spacing w:before="240" w:after="64" w:line="320" w:lineRule="auto"/>
      <w:outlineLvl w:val="5"/>
    </w:pPr>
    <w:rPr>
      <w:rFonts w:ascii="Cambria" w:hAnsi="Cambria"/>
      <w:b/>
      <w:bCs/>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8">
    <w:name w:val="Normal Indent"/>
    <w:basedOn w:val="1"/>
    <w:qFormat/>
    <w:uiPriority w:val="0"/>
    <w:pPr>
      <w:ind w:firstLine="420" w:firstLineChars="200"/>
    </w:pPr>
  </w:style>
  <w:style w:type="paragraph" w:styleId="9">
    <w:name w:val="annotation text"/>
    <w:basedOn w:val="1"/>
    <w:link w:val="42"/>
    <w:qFormat/>
    <w:uiPriority w:val="0"/>
    <w:pPr>
      <w:jc w:val="left"/>
    </w:pPr>
  </w:style>
  <w:style w:type="paragraph" w:styleId="10">
    <w:name w:val="Body Text"/>
    <w:basedOn w:val="1"/>
    <w:link w:val="43"/>
    <w:qFormat/>
    <w:uiPriority w:val="99"/>
    <w:pPr>
      <w:spacing w:after="120"/>
    </w:pPr>
  </w:style>
  <w:style w:type="paragraph" w:styleId="11">
    <w:name w:val="Plain Text"/>
    <w:basedOn w:val="1"/>
    <w:link w:val="44"/>
    <w:qFormat/>
    <w:uiPriority w:val="0"/>
    <w:pPr>
      <w:spacing w:line="580" w:lineRule="exact"/>
      <w:ind w:right="-197" w:firstLine="560" w:firstLineChars="200"/>
    </w:pPr>
    <w:rPr>
      <w:rFonts w:ascii="黑体" w:hAnsi="Courier New" w:eastAsia="黑体"/>
      <w:sz w:val="28"/>
      <w:szCs w:val="20"/>
    </w:rPr>
  </w:style>
  <w:style w:type="paragraph" w:styleId="12">
    <w:name w:val="Date"/>
    <w:basedOn w:val="1"/>
    <w:next w:val="1"/>
    <w:link w:val="45"/>
    <w:qFormat/>
    <w:uiPriority w:val="0"/>
    <w:rPr>
      <w:rFonts w:hint="eastAsia" w:ascii="宋体" w:hAnsi="Calibri"/>
      <w:szCs w:val="20"/>
    </w:rPr>
  </w:style>
  <w:style w:type="paragraph" w:styleId="13">
    <w:name w:val="Body Text Indent 2"/>
    <w:basedOn w:val="1"/>
    <w:qFormat/>
    <w:uiPriority w:val="0"/>
    <w:pPr>
      <w:spacing w:line="500" w:lineRule="exact"/>
      <w:ind w:firstLine="600"/>
    </w:pPr>
    <w:rPr>
      <w:sz w:val="24"/>
    </w:rPr>
  </w:style>
  <w:style w:type="paragraph" w:styleId="14">
    <w:name w:val="Balloon Text"/>
    <w:basedOn w:val="1"/>
    <w:link w:val="46"/>
    <w:qFormat/>
    <w:uiPriority w:val="0"/>
    <w:rPr>
      <w:sz w:val="18"/>
      <w:szCs w:val="18"/>
    </w:rPr>
  </w:style>
  <w:style w:type="paragraph" w:styleId="15">
    <w:name w:val="footer"/>
    <w:basedOn w:val="1"/>
    <w:link w:val="47"/>
    <w:qFormat/>
    <w:uiPriority w:val="99"/>
    <w:pPr>
      <w:tabs>
        <w:tab w:val="center" w:pos="4153"/>
        <w:tab w:val="right" w:pos="8306"/>
      </w:tabs>
      <w:snapToGrid w:val="0"/>
      <w:jc w:val="left"/>
    </w:pPr>
    <w:rPr>
      <w:sz w:val="18"/>
      <w:szCs w:val="18"/>
    </w:rPr>
  </w:style>
  <w:style w:type="paragraph" w:styleId="16">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17">
    <w:name w:val="footnote text"/>
    <w:basedOn w:val="1"/>
    <w:qFormat/>
    <w:uiPriority w:val="99"/>
    <w:pPr>
      <w:snapToGrid w:val="0"/>
    </w:pPr>
    <w:rPr>
      <w:sz w:val="18"/>
      <w:szCs w:val="18"/>
    </w:rPr>
  </w:style>
  <w:style w:type="paragraph" w:styleId="18">
    <w:name w:val="Body Text Indent 3"/>
    <w:basedOn w:val="1"/>
    <w:qFormat/>
    <w:uiPriority w:val="0"/>
    <w:pPr>
      <w:tabs>
        <w:tab w:val="left" w:pos="900"/>
        <w:tab w:val="left" w:pos="1800"/>
      </w:tabs>
      <w:ind w:left="2" w:hanging="2"/>
    </w:pPr>
    <w:rPr>
      <w:kern w:val="16"/>
      <w:sz w:val="24"/>
    </w:rPr>
  </w:style>
  <w:style w:type="paragraph" w:styleId="1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0">
    <w:name w:val="annotation subject"/>
    <w:basedOn w:val="9"/>
    <w:next w:val="9"/>
    <w:link w:val="49"/>
    <w:qFormat/>
    <w:uiPriority w:val="0"/>
    <w:rPr>
      <w:b/>
      <w:bCs/>
    </w:rPr>
  </w:style>
  <w:style w:type="paragraph" w:styleId="21">
    <w:name w:val="Body Text First Indent"/>
    <w:basedOn w:val="1"/>
    <w:next w:val="1"/>
    <w:link w:val="50"/>
    <w:qFormat/>
    <w:uiPriority w:val="99"/>
    <w:pPr>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page number"/>
    <w:qFormat/>
    <w:uiPriority w:val="0"/>
  </w:style>
  <w:style w:type="character" w:styleId="27">
    <w:name w:val="FollowedHyperlink"/>
    <w:qFormat/>
    <w:uiPriority w:val="0"/>
    <w:rPr>
      <w:color w:val="800080"/>
      <w:u w:val="none"/>
    </w:rPr>
  </w:style>
  <w:style w:type="character" w:styleId="28">
    <w:name w:val="Emphasis"/>
    <w:qFormat/>
    <w:uiPriority w:val="0"/>
    <w:rPr>
      <w:b/>
    </w:rPr>
  </w:style>
  <w:style w:type="character" w:styleId="29">
    <w:name w:val="HTML Definition"/>
    <w:qFormat/>
    <w:uiPriority w:val="0"/>
  </w:style>
  <w:style w:type="character" w:styleId="30">
    <w:name w:val="HTML Typewriter"/>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qFormat/>
    <w:uiPriority w:val="0"/>
  </w:style>
  <w:style w:type="character" w:styleId="33">
    <w:name w:val="Hyperlink"/>
    <w:qFormat/>
    <w:uiPriority w:val="0"/>
    <w:rPr>
      <w:color w:val="0000FF"/>
      <w:u w:val="none"/>
      <w:shd w:val="clear" w:color="auto" w:fill="FFFFFF"/>
    </w:rPr>
  </w:style>
  <w:style w:type="character" w:styleId="34">
    <w:name w:val="HTML Code"/>
    <w:qFormat/>
    <w:uiPriority w:val="0"/>
    <w:rPr>
      <w:rFonts w:hint="default" w:ascii="monospace" w:hAnsi="monospace" w:eastAsia="monospace" w:cs="monospace"/>
      <w:sz w:val="20"/>
    </w:rPr>
  </w:style>
  <w:style w:type="character" w:styleId="35">
    <w:name w:val="annotation reference"/>
    <w:qFormat/>
    <w:uiPriority w:val="0"/>
    <w:rPr>
      <w:sz w:val="21"/>
      <w:szCs w:val="21"/>
    </w:rPr>
  </w:style>
  <w:style w:type="character" w:styleId="36">
    <w:name w:val="HTML Cite"/>
    <w:qFormat/>
    <w:uiPriority w:val="0"/>
  </w:style>
  <w:style w:type="character" w:styleId="37">
    <w:name w:val="HTML Keyboard"/>
    <w:qFormat/>
    <w:uiPriority w:val="0"/>
    <w:rPr>
      <w:rFonts w:ascii="monospace" w:hAnsi="monospace" w:eastAsia="monospace" w:cs="monospace"/>
      <w:sz w:val="20"/>
    </w:rPr>
  </w:style>
  <w:style w:type="character" w:styleId="38">
    <w:name w:val="HTML Sample"/>
    <w:qFormat/>
    <w:uiPriority w:val="0"/>
    <w:rPr>
      <w:rFonts w:hint="default" w:ascii="monospace" w:hAnsi="monospace" w:eastAsia="monospace" w:cs="monospace"/>
    </w:rPr>
  </w:style>
  <w:style w:type="paragraph" w:customStyle="1" w:styleId="39">
    <w:name w:val="BodyText1I"/>
    <w:basedOn w:val="1"/>
    <w:qFormat/>
    <w:uiPriority w:val="0"/>
    <w:pPr>
      <w:ind w:firstLine="420" w:firstLineChars="100"/>
    </w:pPr>
  </w:style>
  <w:style w:type="character" w:customStyle="1" w:styleId="40">
    <w:name w:val="标题 4 字符"/>
    <w:link w:val="5"/>
    <w:qFormat/>
    <w:uiPriority w:val="0"/>
    <w:rPr>
      <w:rFonts w:ascii="Cambria" w:hAnsi="Cambria"/>
      <w:b/>
      <w:bCs/>
      <w:kern w:val="2"/>
      <w:sz w:val="28"/>
      <w:szCs w:val="28"/>
    </w:rPr>
  </w:style>
  <w:style w:type="character" w:customStyle="1" w:styleId="41">
    <w:name w:val="标题 5 字符"/>
    <w:link w:val="6"/>
    <w:qFormat/>
    <w:uiPriority w:val="0"/>
    <w:rPr>
      <w:rFonts w:ascii="Calibri" w:hAnsi="Calibri"/>
      <w:b/>
      <w:bCs/>
      <w:kern w:val="2"/>
      <w:sz w:val="28"/>
      <w:szCs w:val="28"/>
    </w:rPr>
  </w:style>
  <w:style w:type="character" w:customStyle="1" w:styleId="42">
    <w:name w:val="批注文字 字符"/>
    <w:link w:val="9"/>
    <w:qFormat/>
    <w:uiPriority w:val="0"/>
    <w:rPr>
      <w:kern w:val="2"/>
      <w:sz w:val="21"/>
      <w:szCs w:val="24"/>
    </w:rPr>
  </w:style>
  <w:style w:type="character" w:customStyle="1" w:styleId="43">
    <w:name w:val="正文文本 字符"/>
    <w:link w:val="10"/>
    <w:qFormat/>
    <w:uiPriority w:val="99"/>
    <w:rPr>
      <w:kern w:val="2"/>
      <w:sz w:val="21"/>
      <w:szCs w:val="24"/>
    </w:rPr>
  </w:style>
  <w:style w:type="character" w:customStyle="1" w:styleId="44">
    <w:name w:val="纯文本 字符"/>
    <w:link w:val="11"/>
    <w:qFormat/>
    <w:uiPriority w:val="0"/>
    <w:rPr>
      <w:rFonts w:ascii="黑体" w:hAnsi="Courier New" w:eastAsia="黑体"/>
      <w:kern w:val="2"/>
      <w:sz w:val="28"/>
    </w:rPr>
  </w:style>
  <w:style w:type="character" w:customStyle="1" w:styleId="45">
    <w:name w:val="日期 字符"/>
    <w:link w:val="12"/>
    <w:qFormat/>
    <w:uiPriority w:val="0"/>
    <w:rPr>
      <w:rFonts w:ascii="宋体" w:hAnsi="Calibri"/>
      <w:kern w:val="2"/>
      <w:sz w:val="21"/>
    </w:rPr>
  </w:style>
  <w:style w:type="character" w:customStyle="1" w:styleId="46">
    <w:name w:val="批注框文本 字符"/>
    <w:link w:val="14"/>
    <w:qFormat/>
    <w:uiPriority w:val="0"/>
    <w:rPr>
      <w:kern w:val="2"/>
      <w:sz w:val="18"/>
      <w:szCs w:val="18"/>
    </w:rPr>
  </w:style>
  <w:style w:type="character" w:customStyle="1" w:styleId="47">
    <w:name w:val="页脚 字符"/>
    <w:link w:val="15"/>
    <w:qFormat/>
    <w:uiPriority w:val="99"/>
    <w:rPr>
      <w:kern w:val="2"/>
      <w:sz w:val="18"/>
      <w:szCs w:val="18"/>
    </w:rPr>
  </w:style>
  <w:style w:type="character" w:customStyle="1" w:styleId="48">
    <w:name w:val="页眉 字符"/>
    <w:link w:val="16"/>
    <w:qFormat/>
    <w:uiPriority w:val="0"/>
    <w:rPr>
      <w:kern w:val="2"/>
      <w:sz w:val="18"/>
      <w:szCs w:val="18"/>
    </w:rPr>
  </w:style>
  <w:style w:type="character" w:customStyle="1" w:styleId="49">
    <w:name w:val="批注主题 字符"/>
    <w:link w:val="20"/>
    <w:qFormat/>
    <w:uiPriority w:val="0"/>
    <w:rPr>
      <w:b/>
      <w:bCs/>
    </w:rPr>
  </w:style>
  <w:style w:type="character" w:customStyle="1" w:styleId="50">
    <w:name w:val="正文文本首行缩进 字符"/>
    <w:link w:val="21"/>
    <w:qFormat/>
    <w:uiPriority w:val="99"/>
  </w:style>
  <w:style w:type="character" w:customStyle="1" w:styleId="51">
    <w:name w:val="纯文本 Char1"/>
    <w:qFormat/>
    <w:uiPriority w:val="0"/>
    <w:rPr>
      <w:rFonts w:ascii="宋体" w:hAnsi="Courier New" w:cs="Courier New"/>
      <w:kern w:val="2"/>
      <w:sz w:val="21"/>
      <w:szCs w:val="21"/>
    </w:rPr>
  </w:style>
  <w:style w:type="character" w:customStyle="1" w:styleId="52">
    <w:name w:val="NormalCharacter"/>
    <w:qFormat/>
    <w:uiPriority w:val="0"/>
  </w:style>
  <w:style w:type="character" w:customStyle="1" w:styleId="53">
    <w:name w:val="副标题 Char1"/>
    <w:qFormat/>
    <w:uiPriority w:val="11"/>
    <w:rPr>
      <w:rFonts w:ascii="Cambria" w:hAnsi="Cambria" w:cs="Times New Roman"/>
      <w:b/>
      <w:bCs/>
      <w:kern w:val="28"/>
      <w:sz w:val="32"/>
      <w:szCs w:val="32"/>
    </w:rPr>
  </w:style>
  <w:style w:type="paragraph" w:styleId="54">
    <w:name w:val="List Paragraph"/>
    <w:basedOn w:val="1"/>
    <w:qFormat/>
    <w:uiPriority w:val="34"/>
    <w:pPr>
      <w:ind w:firstLine="420" w:firstLineChars="200"/>
    </w:pPr>
    <w:rPr>
      <w:rFonts w:ascii="Calibri" w:hAnsi="Calibri"/>
      <w:szCs w:val="22"/>
    </w:rPr>
  </w:style>
  <w:style w:type="paragraph" w:customStyle="1" w:styleId="55">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56">
    <w:name w:val="Table Paragraph"/>
    <w:basedOn w:val="1"/>
    <w:qFormat/>
    <w:uiPriority w:val="0"/>
    <w:pPr>
      <w:autoSpaceDE w:val="0"/>
      <w:autoSpaceDN w:val="0"/>
      <w:jc w:val="left"/>
    </w:pPr>
    <w:rPr>
      <w:rFonts w:ascii="宋体" w:hAnsi="宋体" w:cs="宋体"/>
      <w:kern w:val="0"/>
      <w:sz w:val="22"/>
      <w:szCs w:val="22"/>
      <w:lang w:val="zh-CN" w:bidi="zh-CN"/>
    </w:rPr>
  </w:style>
  <w:style w:type="paragraph" w:customStyle="1" w:styleId="57">
    <w:name w:val="Char"/>
    <w:basedOn w:val="1"/>
    <w:qFormat/>
    <w:uiPriority w:val="0"/>
    <w:rPr>
      <w:rFonts w:ascii="Calibri" w:hAnsi="Calibri"/>
    </w:rPr>
  </w:style>
  <w:style w:type="paragraph" w:customStyle="1" w:styleId="58">
    <w:name w:val="p0"/>
    <w:basedOn w:val="1"/>
    <w:qFormat/>
    <w:uiPriority w:val="0"/>
    <w:pPr>
      <w:widowControl/>
    </w:pPr>
    <w:rPr>
      <w:kern w:val="0"/>
      <w:szCs w:val="21"/>
    </w:rPr>
  </w:style>
  <w:style w:type="paragraph" w:customStyle="1" w:styleId="59">
    <w:name w:val="默认段落字体 Para Char Char Char Char Char Char Char Char Char1 Char Char Char Char"/>
    <w:basedOn w:val="1"/>
    <w:qFormat/>
    <w:uiPriority w:val="0"/>
    <w:rPr>
      <w:szCs w:val="20"/>
    </w:rPr>
  </w:style>
  <w:style w:type="paragraph" w:customStyle="1" w:styleId="6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1">
    <w:name w:val="xl31"/>
    <w:basedOn w:val="1"/>
    <w:qFormat/>
    <w:uiPriority w:val="0"/>
    <w:pPr>
      <w:widowControl/>
      <w:pBdr>
        <w:bottom w:val="single" w:color="auto" w:sz="4" w:space="0"/>
      </w:pBdr>
      <w:spacing w:before="100" w:beforeAutospacing="1" w:after="100" w:afterAutospacing="1"/>
      <w:jc w:val="center"/>
    </w:pPr>
    <w:rPr>
      <w:rFonts w:hint="eastAsia" w:ascii="黑体" w:hAnsi="宋体" w:eastAsia="黑体"/>
      <w:kern w:val="0"/>
      <w:sz w:val="24"/>
    </w:rPr>
  </w:style>
  <w:style w:type="paragraph" w:customStyle="1" w:styleId="62">
    <w:name w:val="须知二级小标题"/>
    <w:basedOn w:val="1"/>
    <w:qFormat/>
    <w:uiPriority w:val="0"/>
    <w:pPr>
      <w:spacing w:line="500" w:lineRule="exact"/>
    </w:pPr>
    <w:rPr>
      <w:rFonts w:ascii="宋体" w:hAnsi="Calibri"/>
      <w:b/>
      <w:sz w:val="24"/>
      <w:szCs w:val="20"/>
    </w:rPr>
  </w:style>
  <w:style w:type="character" w:customStyle="1" w:styleId="63">
    <w:name w:val="UserStyle_29"/>
    <w:qFormat/>
    <w:uiPriority w:val="0"/>
    <w:rPr>
      <w:rFonts w:ascii="Arial" w:hAnsi="Arial"/>
      <w:color w:val="000000"/>
      <w:sz w:val="22"/>
      <w:szCs w:val="22"/>
    </w:rPr>
  </w:style>
  <w:style w:type="paragraph" w:customStyle="1" w:styleId="64">
    <w:name w:val="p"/>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Normal]"/>
    <w:qFormat/>
    <w:uiPriority w:val="0"/>
    <w:rPr>
      <w:rFonts w:ascii="宋体" w:hAnsi="宋体" w:eastAsia="宋体" w:cs="Times New Roman"/>
      <w:sz w:val="24"/>
      <w:szCs w:val="22"/>
      <w:lang w:val="zh-CN" w:eastAsia="zh-CN" w:bidi="ar-SA"/>
    </w:rPr>
  </w:style>
  <w:style w:type="paragraph" w:customStyle="1" w:styleId="66">
    <w:name w:val="UserStyle_34"/>
    <w:qFormat/>
    <w:uiPriority w:val="0"/>
    <w:pPr>
      <w:jc w:val="both"/>
      <w:textAlignment w:val="baseline"/>
    </w:pPr>
    <w:rPr>
      <w:rFonts w:ascii="Calibri" w:hAnsi="Calibri" w:eastAsia="宋体" w:cs="Times New Roman"/>
      <w:kern w:val="2"/>
      <w:sz w:val="21"/>
      <w:szCs w:val="22"/>
      <w:lang w:val="en-US" w:eastAsia="zh-CN" w:bidi="ar-SA"/>
    </w:rPr>
  </w:style>
  <w:style w:type="paragraph" w:customStyle="1" w:styleId="67">
    <w:name w:val="UserStyle_35"/>
    <w:qFormat/>
    <w:uiPriority w:val="0"/>
    <w:pPr>
      <w:jc w:val="both"/>
      <w:textAlignment w:val="baseline"/>
    </w:pPr>
    <w:rPr>
      <w:rFonts w:ascii="Calibri" w:hAnsi="Calibri" w:eastAsia="宋体" w:cs="Times New Roman"/>
      <w:kern w:val="2"/>
      <w:sz w:val="21"/>
      <w:szCs w:val="22"/>
      <w:lang w:val="en-US" w:eastAsia="zh-CN" w:bidi="ar-SA"/>
    </w:rPr>
  </w:style>
  <w:style w:type="paragraph" w:customStyle="1" w:styleId="68">
    <w:name w:val="UserStyle_33"/>
    <w:qFormat/>
    <w:uiPriority w:val="0"/>
    <w:pPr>
      <w:jc w:val="both"/>
      <w:textAlignment w:val="baseline"/>
    </w:pPr>
    <w:rPr>
      <w:rFonts w:ascii="Calibri" w:hAnsi="Calibri" w:eastAsia="宋体" w:cs="Times New Roman"/>
      <w:kern w:val="2"/>
      <w:sz w:val="21"/>
      <w:szCs w:val="22"/>
      <w:lang w:val="en-US" w:eastAsia="zh-CN" w:bidi="ar-SA"/>
    </w:rPr>
  </w:style>
  <w:style w:type="paragraph" w:customStyle="1" w:styleId="69">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正文首行缩进1"/>
    <w:basedOn w:val="1"/>
    <w:qFormat/>
    <w:uiPriority w:val="0"/>
    <w:pPr>
      <w:ind w:firstLine="420" w:firstLineChars="100"/>
    </w:pPr>
  </w:style>
  <w:style w:type="paragraph" w:customStyle="1" w:styleId="71">
    <w:name w:val="普通(网站)1"/>
    <w:basedOn w:val="1"/>
    <w:qFormat/>
    <w:uiPriority w:val="0"/>
    <w:pPr>
      <w:widowControl/>
      <w:jc w:val="left"/>
    </w:pPr>
    <w:rPr>
      <w:rFonts w:ascii="宋体" w:hAnsi="宋体" w:cs="宋体"/>
      <w:kern w:val="0"/>
      <w:sz w:val="24"/>
    </w:rPr>
  </w:style>
  <w:style w:type="character" w:customStyle="1" w:styleId="72">
    <w:name w:val="font11"/>
    <w:basedOn w:val="24"/>
    <w:qFormat/>
    <w:uiPriority w:val="0"/>
    <w:rPr>
      <w:rFonts w:hint="eastAsia" w:ascii="宋体" w:hAnsi="宋体" w:eastAsia="宋体" w:cs="宋体"/>
      <w:color w:val="000000"/>
      <w:sz w:val="24"/>
      <w:szCs w:val="24"/>
      <w:u w:val="none"/>
    </w:rPr>
  </w:style>
  <w:style w:type="character" w:customStyle="1" w:styleId="73">
    <w:name w:val="font21"/>
    <w:basedOn w:val="24"/>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41038</Words>
  <Characters>43408</Characters>
  <Lines>351</Lines>
  <Paragraphs>98</Paragraphs>
  <TotalTime>6</TotalTime>
  <ScaleCrop>false</ScaleCrop>
  <LinksUpToDate>false</LinksUpToDate>
  <CharactersWithSpaces>46176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2022-03-01T08:28:00Z</dcterms:created>
  <dc:creator>shenwei</dc:creator>
  <cp:lastModifiedBy>WPS_1493372637</cp:lastModifiedBy>
  <cp:lastPrinted>2023-03-29T08:50:00Z</cp:lastPrinted>
  <dcterms:modified xsi:type="dcterms:W3CDTF">2023-04-06T08:31:44Z</dcterms:modified>
  <cp:revision>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C97D7485AA724765A5816408A530352B</vt:lpwstr>
  </property>
  <property fmtid="{D5CDD505-2E9C-101B-9397-08002B2CF9AE}" pid="4" name="commondata">
    <vt:lpwstr>eyJoZGlkIjoiMWI5NTMwZGFjNDczMjJiMDRlZTE4MWZlNzMwNGYxMjcifQ==</vt:lpwstr>
  </property>
</Properties>
</file>