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heme="minorEastAsia" w:hAnsiTheme="minorEastAsia" w:eastAsiaTheme="minorEastAsia" w:cstheme="minorEastAsia"/>
          <w:color w:val="auto"/>
          <w:highlight w:val="none"/>
          <w:lang w:val="en-US" w:eastAsia="zh-CN"/>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lang w:eastAsia="zh-CN"/>
        </w:rPr>
        <w:t>绍兴市妇幼保健院（绍兴市儿童医院）建设项目厨房设备</w:t>
      </w:r>
      <w:r>
        <w:rPr>
          <w:rFonts w:hint="eastAsia" w:asciiTheme="minorEastAsia" w:hAnsiTheme="minorEastAsia" w:eastAsiaTheme="minorEastAsia" w:cstheme="minorEastAsia"/>
          <w:b/>
          <w:color w:val="auto"/>
          <w:sz w:val="36"/>
          <w:szCs w:val="36"/>
          <w:highlight w:val="none"/>
        </w:rPr>
        <w:t>项目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2022年0</w:t>
      </w:r>
      <w:r>
        <w:rPr>
          <w:rFonts w:hint="eastAsia" w:asciiTheme="minorEastAsia" w:hAnsiTheme="minorEastAsia" w:eastAsiaTheme="minorEastAsia" w:cstheme="minorEastAsia"/>
          <w:b/>
          <w:bCs/>
          <w:color w:val="auto"/>
          <w:sz w:val="28"/>
          <w:szCs w:val="28"/>
          <w:highlight w:val="none"/>
          <w:lang w:val="en-US" w:eastAsia="zh-CN"/>
        </w:rPr>
        <w:t>5</w:t>
      </w:r>
      <w:r>
        <w:rPr>
          <w:rFonts w:hint="eastAsia" w:asciiTheme="minorEastAsia" w:hAnsiTheme="minorEastAsia" w:eastAsiaTheme="minorEastAsia" w:cstheme="minorEastAsia"/>
          <w:b/>
          <w:bCs/>
          <w:color w:val="auto"/>
          <w:sz w:val="28"/>
          <w:szCs w:val="28"/>
          <w:highlight w:val="none"/>
        </w:rPr>
        <w:t>月</w:t>
      </w:r>
    </w:p>
    <w:p>
      <w:pPr>
        <w:ind w:left="2243" w:right="2279"/>
        <w:jc w:val="center"/>
        <w:rPr>
          <w:b/>
          <w:color w:val="auto"/>
          <w:sz w:val="44"/>
          <w:highlight w:val="none"/>
        </w:rPr>
      </w:pPr>
    </w:p>
    <w:p>
      <w:pPr>
        <w:ind w:right="2279"/>
        <w:rPr>
          <w:b/>
          <w:color w:val="auto"/>
          <w:sz w:val="44"/>
          <w:highlight w:val="none"/>
        </w:rPr>
      </w:pPr>
    </w:p>
    <w:p>
      <w:pPr>
        <w:pStyle w:val="26"/>
        <w:ind w:firstLine="340"/>
        <w:rPr>
          <w:color w:val="auto"/>
          <w:highlight w:val="none"/>
        </w:rPr>
      </w:pPr>
    </w:p>
    <w:p>
      <w:pPr>
        <w:spacing w:line="300" w:lineRule="auto"/>
        <w:jc w:val="center"/>
        <w:rPr>
          <w:rFonts w:hint="eastAsia"/>
          <w:b/>
          <w:color w:val="auto"/>
          <w:sz w:val="32"/>
          <w:szCs w:val="32"/>
          <w:highlight w:val="none"/>
        </w:rPr>
      </w:pPr>
      <w:r>
        <w:rPr>
          <w:rFonts w:hint="eastAsia"/>
          <w:b/>
          <w:color w:val="auto"/>
          <w:sz w:val="32"/>
          <w:szCs w:val="32"/>
          <w:highlight w:val="none"/>
          <w:lang w:eastAsia="zh-CN"/>
        </w:rPr>
        <w:t>绍兴市妇幼保健院（绍兴市儿童医院）建设项目厨房设备</w:t>
      </w:r>
      <w:r>
        <w:rPr>
          <w:rFonts w:hint="eastAsia"/>
          <w:b/>
          <w:color w:val="auto"/>
          <w:sz w:val="32"/>
          <w:szCs w:val="32"/>
          <w:highlight w:val="none"/>
        </w:rPr>
        <w:t>项目</w:t>
      </w:r>
    </w:p>
    <w:p>
      <w:pPr>
        <w:spacing w:line="300" w:lineRule="auto"/>
        <w:jc w:val="center"/>
        <w:rPr>
          <w:b/>
          <w:color w:val="auto"/>
          <w:sz w:val="32"/>
          <w:szCs w:val="32"/>
          <w:highlight w:val="none"/>
        </w:rPr>
      </w:pPr>
      <w:r>
        <w:rPr>
          <w:rFonts w:hint="eastAsia"/>
          <w:b/>
          <w:color w:val="auto"/>
          <w:sz w:val="32"/>
          <w:szCs w:val="32"/>
          <w:highlight w:val="none"/>
        </w:rPr>
        <w:t xml:space="preserve">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rFonts w:hint="eastAsia"/>
          <w:i w:val="0"/>
          <w:iCs/>
          <w:color w:val="auto"/>
          <w:sz w:val="28"/>
          <w:highlight w:val="none"/>
          <w:u w:val="single"/>
          <w:lang w:val="en-US" w:eastAsia="zh-CN"/>
        </w:rPr>
        <w:t>2022</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05" w:h="16838"/>
          <w:pgMar w:top="1417" w:right="1134" w:bottom="1417" w:left="1134" w:header="680" w:footer="680" w:gutter="0"/>
          <w:pgBorders>
            <w:top w:val="none" w:sz="0" w:space="0"/>
            <w:left w:val="none" w:sz="0" w:space="0"/>
            <w:bottom w:val="none" w:sz="0" w:space="0"/>
            <w:right w:val="none" w:sz="0" w:space="0"/>
          </w:pgBorders>
          <w:cols w:space="0" w:num="1"/>
        </w:sectPr>
      </w:pPr>
      <w:r>
        <w:rPr>
          <w:rFonts w:hint="eastAsia"/>
          <w:color w:val="auto"/>
          <w:sz w:val="28"/>
          <w:highlight w:val="none"/>
        </w:rPr>
        <w:t>备案日期：</w:t>
      </w:r>
      <w:r>
        <w:rPr>
          <w:rFonts w:hint="eastAsia"/>
          <w:i w:val="0"/>
          <w:iCs/>
          <w:color w:val="auto"/>
          <w:sz w:val="28"/>
          <w:highlight w:val="none"/>
          <w:u w:val="single"/>
          <w:lang w:val="en-US" w:eastAsia="zh-CN"/>
        </w:rPr>
        <w:t>2022</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4"/>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b/>
          <w:color w:val="auto"/>
          <w:sz w:val="32"/>
          <w:szCs w:val="32"/>
          <w:highlight w:val="none"/>
        </w:rPr>
      </w:pPr>
      <w:r>
        <w:rPr>
          <w:rFonts w:hint="eastAsia" w:ascii="宋体" w:hAnsi="宋体"/>
          <w:color w:val="auto"/>
          <w:sz w:val="30"/>
          <w:szCs w:val="30"/>
          <w:highlight w:val="none"/>
          <w:u w:val="single"/>
          <w:lang w:eastAsia="zh-CN"/>
        </w:rPr>
        <w:t>绍兴市妇幼保健院（绍兴市儿童医院）建设项目厨房设备</w:t>
      </w:r>
      <w:r>
        <w:rPr>
          <w:rFonts w:hint="eastAsia" w:ascii="宋体" w:hAnsi="宋体"/>
          <w:color w:val="auto"/>
          <w:sz w:val="30"/>
          <w:szCs w:val="30"/>
          <w:highlight w:val="none"/>
          <w:u w:val="single"/>
        </w:rPr>
        <w:t>项目</w:t>
      </w:r>
      <w:r>
        <w:rPr>
          <w:rFonts w:hint="eastAsia" w:ascii="宋体" w:hAnsi="宋体"/>
          <w:color w:val="auto"/>
          <w:sz w:val="30"/>
          <w:szCs w:val="30"/>
          <w:highlight w:val="none"/>
        </w:rPr>
        <w:t xml:space="preserve">  </w:t>
      </w:r>
      <w:r>
        <w:rPr>
          <w:rFonts w:hint="eastAsia" w:ascii="宋体" w:hAnsi="宋体"/>
          <w:b/>
          <w:color w:val="auto"/>
          <w:sz w:val="32"/>
          <w:szCs w:val="32"/>
          <w:highlight w:val="none"/>
        </w:rPr>
        <w:t>招标公告</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non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ascii="宋体" w:hAnsi="宋体"/>
          <w:b/>
          <w:bCs/>
          <w:color w:val="auto"/>
          <w:kern w:val="58"/>
          <w:szCs w:val="21"/>
          <w:highlight w:val="none"/>
          <w:u w:val="single"/>
          <w:lang w:val="en-US" w:eastAsia="zh-CN"/>
        </w:rPr>
        <w:t>厨房设备</w:t>
      </w:r>
      <w:r>
        <w:rPr>
          <w:rFonts w:hint="eastAsia" w:ascii="宋体" w:hAnsi="宋体"/>
          <w:b/>
          <w:bCs/>
          <w:color w:val="auto"/>
          <w:kern w:val="58"/>
          <w:szCs w:val="21"/>
          <w:highlight w:val="none"/>
          <w:u w:val="single"/>
        </w:rPr>
        <w:t>项目</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6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color w:val="auto"/>
          <w:highlight w:val="none"/>
        </w:rPr>
        <w:t>招标控制价</w:t>
      </w:r>
      <w:r>
        <w:rPr>
          <w:rFonts w:ascii="宋体" w:hAnsi="宋体" w:cs="Arial"/>
          <w:color w:val="auto"/>
          <w:szCs w:val="21"/>
          <w:highlight w:val="none"/>
        </w:rPr>
        <w:t>：</w:t>
      </w:r>
      <w:r>
        <w:rPr>
          <w:rFonts w:hint="eastAsia" w:ascii="宋体" w:hAnsi="宋体" w:cs="Arial"/>
          <w:b/>
          <w:color w:val="auto"/>
          <w:szCs w:val="21"/>
          <w:highlight w:val="none"/>
          <w:u w:val="single"/>
          <w:lang w:val="en-US" w:eastAsia="zh-CN"/>
        </w:rPr>
        <w:t>500</w:t>
      </w:r>
      <w:r>
        <w:rPr>
          <w:rFonts w:ascii="宋体" w:hAnsi="宋体" w:cs="Arial"/>
          <w:color w:val="auto"/>
          <w:szCs w:val="21"/>
          <w:highlight w:val="none"/>
        </w:rPr>
        <w:t>万元。</w:t>
      </w:r>
    </w:p>
    <w:p>
      <w:pPr>
        <w:ind w:firstLine="420" w:firstLineChars="200"/>
        <w:jc w:val="left"/>
        <w:rPr>
          <w:rFonts w:ascii="宋体" w:hAnsi="宋体" w:cs="宋体"/>
          <w:b/>
          <w:bCs/>
          <w:color w:val="auto"/>
          <w:szCs w:val="21"/>
          <w:highlight w:val="none"/>
        </w:rPr>
      </w:pPr>
      <w:r>
        <w:rPr>
          <w:rFonts w:ascii="宋体" w:hAnsi="宋体" w:cs="Arial"/>
          <w:color w:val="auto"/>
          <w:szCs w:val="21"/>
          <w:highlight w:val="none"/>
        </w:rPr>
        <w:t>2.3 招标范围：</w:t>
      </w:r>
      <w:r>
        <w:rPr>
          <w:rFonts w:hint="eastAsia" w:ascii="宋体" w:hAnsi="宋体" w:cs="宋体"/>
          <w:b/>
          <w:bCs/>
          <w:color w:val="auto"/>
          <w:szCs w:val="21"/>
          <w:highlight w:val="none"/>
          <w:lang w:val="en-US" w:eastAsia="zh-CN"/>
        </w:rPr>
        <w:t>绍兴市妇幼保健院地下室厨房、</w:t>
      </w:r>
      <w:r>
        <w:rPr>
          <w:rFonts w:hint="eastAsia" w:ascii="宋体" w:hAnsi="宋体" w:cs="宋体"/>
          <w:b/>
          <w:bCs/>
          <w:color w:val="auto"/>
          <w:szCs w:val="21"/>
          <w:highlight w:val="none"/>
        </w:rPr>
        <w:t>职工食堂</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病人食堂</w:t>
      </w:r>
      <w:r>
        <w:rPr>
          <w:rFonts w:hint="eastAsia" w:ascii="宋体" w:hAnsi="宋体" w:cs="宋体"/>
          <w:b/>
          <w:bCs/>
          <w:color w:val="auto"/>
          <w:szCs w:val="21"/>
          <w:highlight w:val="none"/>
        </w:rPr>
        <w:t>内的厨房设备的设计、制造、运输、装卸、产品保护、安装、调试、配合验收、培训及售后服务等工作。</w:t>
      </w:r>
    </w:p>
    <w:p>
      <w:pPr>
        <w:pStyle w:val="2"/>
        <w:ind w:firstLine="422" w:firstLineChars="200"/>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总承包单位负责：按图纸施工，总包施工至结构层，</w:t>
      </w:r>
      <w:r>
        <w:rPr>
          <w:rFonts w:hint="eastAsia" w:ascii="宋体" w:hAnsi="宋体" w:cs="宋体"/>
          <w:b/>
          <w:bCs/>
          <w:color w:val="auto"/>
          <w:sz w:val="21"/>
          <w:szCs w:val="21"/>
          <w:highlight w:val="none"/>
          <w:lang w:val="en-US" w:eastAsia="zh-CN"/>
        </w:rPr>
        <w:t>精装修、安装工程图纸部分内容。</w:t>
      </w:r>
    </w:p>
    <w:p>
      <w:pPr>
        <w:ind w:firstLine="422" w:firstLineChars="200"/>
        <w:jc w:val="lef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厨房设备中标人</w:t>
      </w:r>
      <w:r>
        <w:rPr>
          <w:rFonts w:hint="eastAsia" w:ascii="宋体" w:hAnsi="宋体" w:cs="宋体"/>
          <w:b/>
          <w:bCs/>
          <w:color w:val="auto"/>
          <w:szCs w:val="21"/>
          <w:highlight w:val="none"/>
        </w:rPr>
        <w:t>负责：①</w:t>
      </w:r>
      <w:r>
        <w:rPr>
          <w:rFonts w:hint="eastAsia" w:ascii="宋体" w:hAnsi="宋体" w:cs="宋体"/>
          <w:b/>
          <w:bCs/>
          <w:color w:val="auto"/>
          <w:szCs w:val="21"/>
          <w:highlight w:val="none"/>
          <w:lang w:val="en-US" w:eastAsia="zh-CN"/>
        </w:rPr>
        <w:t>根据厨房设备采购清单进行平面布局图纸深化、协助使用单位进行图纸深化</w:t>
      </w:r>
      <w:r>
        <w:rPr>
          <w:rFonts w:hint="eastAsia" w:ascii="宋体" w:hAnsi="宋体" w:cs="宋体"/>
          <w:b/>
          <w:bCs/>
          <w:color w:val="auto"/>
          <w:szCs w:val="21"/>
          <w:highlight w:val="none"/>
        </w:rPr>
        <w:t>；②</w:t>
      </w:r>
      <w:r>
        <w:rPr>
          <w:rFonts w:hint="eastAsia" w:ascii="宋体" w:hAnsi="宋体" w:cs="宋体"/>
          <w:b/>
          <w:bCs/>
          <w:color w:val="auto"/>
          <w:szCs w:val="21"/>
          <w:highlight w:val="none"/>
          <w:lang w:val="en-US" w:eastAsia="zh-CN"/>
        </w:rPr>
        <w:t>设备供货、线路铺设、设备的检验测试费用；③招标内容及需求内的要求。</w:t>
      </w:r>
    </w:p>
    <w:p>
      <w:pPr>
        <w:spacing w:line="240" w:lineRule="auto"/>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中标人需对图纸进行二次深化工作（中标单位在中标之前，所发生的设计变更,设计院未修改到位的，需由中标单位负责深化）</w:t>
      </w:r>
      <w:r>
        <w:rPr>
          <w:rFonts w:hint="eastAsia" w:ascii="宋体" w:hAnsi="宋体" w:cs="宋体"/>
          <w:b/>
          <w:bCs/>
          <w:strike w:val="0"/>
          <w:color w:val="auto"/>
          <w:szCs w:val="21"/>
          <w:highlight w:val="none"/>
          <w:lang w:eastAsia="zh-CN"/>
        </w:rPr>
        <w:t>，</w:t>
      </w:r>
      <w:r>
        <w:rPr>
          <w:rFonts w:hint="eastAsia" w:ascii="宋体" w:hAnsi="宋体" w:cs="宋体"/>
          <w:b/>
          <w:bCs/>
          <w:color w:val="auto"/>
          <w:szCs w:val="21"/>
          <w:highlight w:val="none"/>
        </w:rPr>
        <w:t>经深圳市建筑设计研究总院（及其医疗专项分包单位）审核认可并盖章。中标单位二次深化后总费用不能超过中标价，且优化方案必须经过业主认可方能最终实施（如有图纸、清单不明确或缺项的内容须无条件按业主要求进行设计和施工，并最终通过验收）。</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ascii="宋体" w:hAnsi="宋体"/>
          <w:color w:val="auto"/>
          <w:highlight w:val="none"/>
        </w:rPr>
        <w:t>以招标人发出的开工指令后210日历天，具体应与工程施工总进度计划同步（</w:t>
      </w:r>
      <w:r>
        <w:rPr>
          <w:rFonts w:hint="eastAsia"/>
          <w:color w:val="auto"/>
          <w:highlight w:val="none"/>
        </w:rPr>
        <w:t>根据医院设备安装进度，完成该工程并在30个工作日内出具相关检测报告</w:t>
      </w:r>
      <w:r>
        <w:rPr>
          <w:rFonts w:hint="eastAsia" w:ascii="宋体" w:hAnsi="宋体"/>
          <w:color w:val="auto"/>
          <w:highlight w:val="none"/>
        </w:rPr>
        <w:t>）</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合格。配合总承包单位争创钱江杯、鲁班奖。</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60" w:lineRule="exact"/>
        <w:rPr>
          <w:rFonts w:ascii="宋体" w:hAnsi="宋体"/>
          <w:color w:val="auto"/>
          <w:szCs w:val="21"/>
          <w:highlight w:val="none"/>
        </w:rPr>
      </w:pPr>
      <w:r>
        <w:rPr>
          <w:rFonts w:ascii="宋体" w:hAnsi="宋体" w:cs="Arial"/>
          <w:color w:val="auto"/>
          <w:szCs w:val="21"/>
          <w:highlight w:val="none"/>
        </w:rPr>
        <w:t>3.1 本次招标要求投标人</w:t>
      </w:r>
      <w:r>
        <w:rPr>
          <w:rFonts w:hint="eastAsia" w:ascii="宋体" w:hAnsi="宋体" w:cs="Arial"/>
          <w:b/>
          <w:color w:val="auto"/>
          <w:szCs w:val="21"/>
          <w:highlight w:val="none"/>
          <w:u w:val="single"/>
        </w:rPr>
        <w:t>为独立法人资格的厨房设备制造商或供货商</w:t>
      </w:r>
      <w:r>
        <w:rPr>
          <w:rFonts w:hint="eastAsia" w:ascii="宋体" w:hAnsi="宋体" w:cs="宋体"/>
          <w:b/>
          <w:color w:val="auto"/>
          <w:szCs w:val="21"/>
          <w:highlight w:val="none"/>
          <w:u w:val="single" w:color="000000"/>
        </w:rPr>
        <w:t>。</w:t>
      </w:r>
      <w:r>
        <w:rPr>
          <w:rFonts w:hint="eastAsia" w:ascii="宋体" w:hAnsi="宋体" w:cs="宋体"/>
          <w:b/>
          <w:bCs w:val="0"/>
          <w:iCs/>
          <w:color w:val="auto"/>
          <w:sz w:val="20"/>
          <w:highlight w:val="none"/>
          <w:u w:val="single"/>
          <w:lang w:bidi="ar"/>
        </w:rPr>
        <w:t>具有自201</w:t>
      </w:r>
      <w:r>
        <w:rPr>
          <w:rFonts w:hint="eastAsia" w:ascii="宋体" w:hAnsi="宋体" w:cs="宋体"/>
          <w:b/>
          <w:bCs w:val="0"/>
          <w:iCs/>
          <w:color w:val="auto"/>
          <w:sz w:val="20"/>
          <w:highlight w:val="none"/>
          <w:u w:val="single"/>
          <w:lang w:val="en-US" w:eastAsia="zh-CN" w:bidi="ar"/>
        </w:rPr>
        <w:t>7</w:t>
      </w:r>
      <w:r>
        <w:rPr>
          <w:rFonts w:hint="eastAsia" w:ascii="宋体" w:hAnsi="宋体" w:cs="宋体"/>
          <w:b/>
          <w:bCs w:val="0"/>
          <w:iCs/>
          <w:color w:val="auto"/>
          <w:sz w:val="20"/>
          <w:highlight w:val="none"/>
          <w:u w:val="single"/>
          <w:lang w:bidi="ar"/>
        </w:rPr>
        <w:t>年1月1日至投标截止日止【以验收</w:t>
      </w:r>
      <w:r>
        <w:rPr>
          <w:rFonts w:hint="eastAsia" w:ascii="宋体" w:hAnsi="宋体" w:cs="宋体"/>
          <w:b/>
          <w:bCs w:val="0"/>
          <w:iCs/>
          <w:color w:val="auto"/>
          <w:sz w:val="20"/>
          <w:highlight w:val="none"/>
          <w:u w:val="single"/>
          <w:lang w:val="en-US" w:eastAsia="zh-CN" w:bidi="ar"/>
        </w:rPr>
        <w:t>证明</w:t>
      </w:r>
      <w:r>
        <w:rPr>
          <w:rFonts w:hint="eastAsia" w:ascii="宋体" w:hAnsi="宋体" w:cs="宋体"/>
          <w:b/>
          <w:bCs w:val="0"/>
          <w:iCs/>
          <w:color w:val="auto"/>
          <w:sz w:val="20"/>
          <w:highlight w:val="none"/>
          <w:u w:val="single"/>
          <w:lang w:bidi="ar"/>
        </w:rPr>
        <w:t>上的时间为准】，完成过</w:t>
      </w:r>
      <w:r>
        <w:rPr>
          <w:rFonts w:hint="eastAsia" w:ascii="宋体" w:hAnsi="宋体" w:cs="Arial"/>
          <w:b/>
          <w:bCs w:val="0"/>
          <w:color w:val="auto"/>
          <w:szCs w:val="21"/>
          <w:highlight w:val="none"/>
          <w:u w:val="single"/>
        </w:rPr>
        <w:t>单项金额</w:t>
      </w:r>
      <w:r>
        <w:rPr>
          <w:rFonts w:hint="eastAsia" w:ascii="宋体" w:hAnsi="宋体" w:cs="Arial"/>
          <w:b/>
          <w:bCs w:val="0"/>
          <w:color w:val="auto"/>
          <w:szCs w:val="21"/>
          <w:highlight w:val="none"/>
          <w:u w:val="single"/>
          <w:lang w:val="en-US" w:eastAsia="zh-CN"/>
        </w:rPr>
        <w:t>250</w:t>
      </w:r>
      <w:r>
        <w:rPr>
          <w:rFonts w:hint="eastAsia" w:ascii="宋体" w:hAnsi="宋体" w:cs="Arial"/>
          <w:b/>
          <w:bCs w:val="0"/>
          <w:color w:val="auto"/>
          <w:szCs w:val="21"/>
          <w:highlight w:val="none"/>
          <w:u w:val="single"/>
        </w:rPr>
        <w:t>万元及以上的类似</w:t>
      </w:r>
      <w:r>
        <w:rPr>
          <w:rFonts w:hint="eastAsia" w:ascii="宋体" w:hAnsi="宋体" w:cs="Arial"/>
          <w:b/>
          <w:bCs w:val="0"/>
          <w:color w:val="auto"/>
          <w:szCs w:val="21"/>
          <w:highlight w:val="none"/>
          <w:u w:val="single"/>
          <w:lang w:val="en-US" w:eastAsia="zh-CN"/>
        </w:rPr>
        <w:t>厨房设备供货</w:t>
      </w:r>
      <w:r>
        <w:rPr>
          <w:rFonts w:hint="eastAsia" w:ascii="宋体" w:hAnsi="宋体" w:cs="Arial"/>
          <w:b/>
          <w:bCs w:val="0"/>
          <w:color w:val="auto"/>
          <w:szCs w:val="21"/>
          <w:highlight w:val="none"/>
          <w:u w:val="single"/>
        </w:rPr>
        <w:t>业绩</w:t>
      </w:r>
      <w:r>
        <w:rPr>
          <w:rFonts w:hint="eastAsia" w:ascii="宋体" w:hAnsi="宋体"/>
          <w:color w:val="auto"/>
          <w:szCs w:val="21"/>
          <w:highlight w:val="none"/>
          <w:u w:val="single"/>
        </w:rPr>
        <w:t>。</w:t>
      </w:r>
      <w:r>
        <w:rPr>
          <w:rFonts w:hint="eastAsia" w:ascii="宋体" w:hAnsi="宋体" w:cs="Arial"/>
          <w:b/>
          <w:iCs w:val="0"/>
          <w:color w:val="auto"/>
          <w:sz w:val="21"/>
          <w:szCs w:val="21"/>
          <w:highlight w:val="none"/>
          <w:u w:val="single"/>
          <w:lang w:bidi="ar"/>
        </w:rPr>
        <w:t>业绩证明材料为合同、</w:t>
      </w:r>
      <w:r>
        <w:rPr>
          <w:rFonts w:hint="eastAsia" w:ascii="宋体" w:hAnsi="宋体" w:cs="Arial"/>
          <w:b/>
          <w:iCs w:val="0"/>
          <w:color w:val="auto"/>
          <w:szCs w:val="21"/>
          <w:highlight w:val="none"/>
          <w:u w:val="single"/>
          <w:lang w:bidi="ar"/>
        </w:rPr>
        <w:t>单项或整体验收证明</w:t>
      </w:r>
      <w:r>
        <w:rPr>
          <w:rFonts w:hint="eastAsia" w:ascii="宋体" w:hAnsi="宋体" w:cs="Arial"/>
          <w:b/>
          <w:iCs w:val="0"/>
          <w:color w:val="auto"/>
          <w:sz w:val="21"/>
          <w:szCs w:val="21"/>
          <w:highlight w:val="none"/>
          <w:u w:val="single"/>
          <w:lang w:bidi="ar"/>
        </w:rPr>
        <w:t>的复印件</w:t>
      </w:r>
      <w:r>
        <w:rPr>
          <w:rFonts w:hint="eastAsia" w:ascii="宋体" w:hAnsi="宋体" w:cs="宋体"/>
          <w:b/>
          <w:color w:val="auto"/>
          <w:szCs w:val="21"/>
          <w:highlight w:val="none"/>
          <w:u w:val="single" w:color="000000"/>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60" w:lineRule="exact"/>
        <w:rPr>
          <w:rFonts w:ascii="宋体" w:hAnsi="宋体" w:cs="Arial"/>
          <w:strike/>
          <w:color w:val="auto"/>
          <w:szCs w:val="21"/>
          <w:highlight w:val="none"/>
        </w:rPr>
      </w:pPr>
      <w:r>
        <w:rPr>
          <w:rFonts w:hint="eastAsia" w:ascii="宋体" w:hAnsi="宋体" w:cs="Arial"/>
          <w:strike/>
          <w:color w:val="auto"/>
          <w:szCs w:val="21"/>
          <w:highlight w:val="none"/>
        </w:rPr>
        <w:t>3.3.2浙江省外企业须经浙江省住建厅备案或提供在“浙江省建筑市场监管公共服务系统”企业信息备案通过的网页截图（浙江省内企业不作要求）。</w:t>
      </w:r>
    </w:p>
    <w:p>
      <w:pPr>
        <w:widowControl/>
        <w:spacing w:line="360" w:lineRule="exact"/>
        <w:rPr>
          <w:rFonts w:ascii="宋体" w:hAnsi="宋体" w:cs="Arial"/>
          <w:strike/>
          <w:color w:val="auto"/>
          <w:szCs w:val="21"/>
          <w:highlight w:val="none"/>
        </w:rPr>
      </w:pPr>
      <w:r>
        <w:rPr>
          <w:rFonts w:ascii="宋体" w:hAnsi="宋体" w:cs="Arial"/>
          <w:strike/>
          <w:color w:val="auto"/>
          <w:szCs w:val="21"/>
          <w:highlight w:val="none"/>
        </w:rPr>
        <w:t>3.3.</w:t>
      </w:r>
      <w:r>
        <w:rPr>
          <w:rFonts w:hint="eastAsia" w:ascii="宋体" w:hAnsi="宋体" w:cs="Arial"/>
          <w:strike/>
          <w:color w:val="auto"/>
          <w:szCs w:val="21"/>
          <w:highlight w:val="none"/>
        </w:rPr>
        <w:t>3</w:t>
      </w:r>
      <w:r>
        <w:rPr>
          <w:rFonts w:ascii="宋体" w:hAnsi="宋体" w:cs="Arial"/>
          <w:strike/>
          <w:color w:val="auto"/>
          <w:szCs w:val="21"/>
          <w:highlight w:val="none"/>
        </w:rPr>
        <w:t>企业在</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ascii="宋体" w:hAnsi="宋体" w:cs="Arial"/>
          <w:strike/>
          <w:color w:val="auto"/>
          <w:szCs w:val="21"/>
          <w:highlight w:val="none"/>
          <w:u w:val="single"/>
        </w:rPr>
        <w:t xml:space="preserve">  </w:t>
      </w:r>
      <w:r>
        <w:rPr>
          <w:rFonts w:ascii="宋体" w:hAnsi="宋体" w:cs="Arial"/>
          <w:strike/>
          <w:color w:val="auto"/>
          <w:szCs w:val="21"/>
          <w:highlight w:val="none"/>
        </w:rPr>
        <w:t>年</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hint="eastAsia" w:ascii="宋体" w:hAnsi="宋体" w:cs="Arial"/>
          <w:strike/>
          <w:color w:val="auto"/>
          <w:szCs w:val="21"/>
          <w:highlight w:val="none"/>
          <w:u w:val="single"/>
        </w:rPr>
        <w:t xml:space="preserve"> </w:t>
      </w:r>
      <w:r>
        <w:rPr>
          <w:rFonts w:ascii="宋体" w:hAnsi="宋体" w:cs="Arial"/>
          <w:strike/>
          <w:color w:val="auto"/>
          <w:szCs w:val="21"/>
          <w:highlight w:val="none"/>
        </w:rPr>
        <w:t>月</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ascii="宋体" w:hAnsi="宋体" w:cs="Arial"/>
          <w:strike/>
          <w:color w:val="auto"/>
          <w:szCs w:val="21"/>
          <w:highlight w:val="none"/>
          <w:u w:val="single"/>
        </w:rPr>
        <w:t xml:space="preserve"> </w:t>
      </w:r>
      <w:r>
        <w:rPr>
          <w:rFonts w:ascii="宋体" w:hAnsi="宋体" w:cs="Arial"/>
          <w:strike/>
          <w:color w:val="auto"/>
          <w:szCs w:val="21"/>
          <w:highlight w:val="none"/>
        </w:rPr>
        <w:t>日前与</w:t>
      </w:r>
      <w:r>
        <w:rPr>
          <w:rFonts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ascii="宋体" w:hAnsi="宋体" w:cs="Arial"/>
          <w:strike/>
          <w:color w:val="auto"/>
          <w:szCs w:val="21"/>
          <w:highlight w:val="none"/>
        </w:rPr>
        <w:t>签订劳动者工资保障金管理协议。</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企业和项目负责人</w:t>
      </w:r>
      <w:r>
        <w:rPr>
          <w:rFonts w:hint="eastAsia" w:ascii="宋体" w:hAnsi="宋体" w:cs="Arial"/>
          <w:color w:val="auto"/>
          <w:szCs w:val="21"/>
          <w:highlight w:val="none"/>
        </w:rPr>
        <w:t>近</w:t>
      </w:r>
      <w:r>
        <w:rPr>
          <w:rFonts w:hint="eastAsia" w:ascii="宋体" w:hAnsi="宋体" w:cs="Arial"/>
          <w:color w:val="auto"/>
          <w:szCs w:val="21"/>
          <w:highlight w:val="none"/>
          <w:u w:val="single"/>
        </w:rPr>
        <w:t xml:space="preserve"> </w:t>
      </w:r>
      <w:r>
        <w:rPr>
          <w:rFonts w:hint="eastAsia" w:ascii="宋体" w:hAnsi="宋体" w:cs="Arial"/>
          <w:b/>
          <w:bCs/>
          <w:color w:val="auto"/>
          <w:szCs w:val="21"/>
          <w:highlight w:val="none"/>
          <w:u w:val="single"/>
        </w:rPr>
        <w:t xml:space="preserve"> 五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6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6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2022</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2022</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17:00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捌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2022</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17:00</w:t>
      </w:r>
      <w:r>
        <w:rPr>
          <w:rFonts w:hint="eastAsia" w:ascii="宋体" w:hAnsi="宋体" w:cs="仿宋"/>
          <w:color w:val="auto"/>
          <w:szCs w:val="21"/>
          <w:highlight w:val="none"/>
        </w:rPr>
        <w:t>时前缴纳。缴纳方式为：</w:t>
      </w:r>
    </w:p>
    <w:p>
      <w:pPr>
        <w:widowControl/>
        <w:spacing w:line="360" w:lineRule="exact"/>
        <w:rPr>
          <w:rFonts w:ascii="宋体" w:hAnsi="宋体" w:cs="仿宋"/>
          <w:color w:val="auto"/>
          <w:szCs w:val="21"/>
          <w:highlight w:val="none"/>
        </w:rPr>
      </w:pPr>
      <w:r>
        <w:rPr>
          <w:rFonts w:hint="eastAsia" w:ascii="宋体" w:hAnsi="宋体" w:cs="仿宋"/>
          <w:color w:val="auto"/>
          <w:szCs w:val="21"/>
          <w:highlight w:val="none"/>
        </w:rPr>
        <w:t>5.1投标人基本账户开具的银行票据，即汇票、电汇、转账支票等(不包括现金）。保证金缴入账户：账户一：开户单位名称：绍兴市公共资源交易中心保证金专户，开户行:绍兴银行营业部；账号：</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仿宋"/>
          <w:color w:val="auto"/>
          <w:szCs w:val="21"/>
          <w:highlight w:val="none"/>
        </w:rPr>
        <w:t>；账户二：开户单位名称：绍兴市公共资源交易中心保证金专户，开户行:中信银行绍兴城东支行；账号：</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仿宋"/>
          <w:color w:val="auto"/>
          <w:szCs w:val="21"/>
          <w:highlight w:val="none"/>
        </w:rPr>
        <w:t>；投标人可自主选择以上账户之一缴纳投标保证金。</w:t>
      </w:r>
    </w:p>
    <w:p>
      <w:pPr>
        <w:widowControl/>
        <w:spacing w:line="360" w:lineRule="exact"/>
        <w:rPr>
          <w:rFonts w:ascii="宋体" w:hAnsi="宋体" w:cs="仿宋"/>
          <w:color w:val="auto"/>
          <w:szCs w:val="21"/>
          <w:highlight w:val="none"/>
        </w:rPr>
      </w:pPr>
      <w:r>
        <w:rPr>
          <w:rFonts w:hint="eastAsia" w:ascii="宋体" w:hAnsi="宋体" w:cs="仿宋"/>
          <w:color w:val="auto"/>
          <w:szCs w:val="21"/>
          <w:highlight w:val="none"/>
        </w:rPr>
        <w:t>5.2</w:t>
      </w:r>
      <w:r>
        <w:rPr>
          <w:rFonts w:hint="eastAsia" w:ascii="宋体" w:hAnsi="宋体" w:eastAsia="宋体" w:cs="仿宋"/>
          <w:color w:val="auto"/>
          <w:sz w:val="21"/>
          <w:szCs w:val="21"/>
          <w:highlight w:val="none"/>
          <w:lang w:val="en-US" w:eastAsia="zh-CN"/>
        </w:rPr>
        <w:t>招标人接受绍兴市公共资源交易中心出具的“年度投标保证金证明”作为投标保证金缴纳凭证，投标人不用另行提供其他证明材料</w:t>
      </w:r>
      <w:r>
        <w:rPr>
          <w:rFonts w:hint="eastAsia" w:ascii="宋体" w:hAnsi="宋体" w:cs="仿宋"/>
          <w:color w:val="auto"/>
          <w:szCs w:val="21"/>
          <w:highlight w:val="none"/>
        </w:rPr>
        <w:t>。</w:t>
      </w:r>
    </w:p>
    <w:p>
      <w:pPr>
        <w:widowControl/>
        <w:spacing w:line="360" w:lineRule="exact"/>
        <w:rPr>
          <w:rFonts w:ascii="宋体" w:hAnsi="宋体"/>
          <w:bCs/>
          <w:color w:val="auto"/>
          <w:spacing w:val="-2"/>
          <w:szCs w:val="21"/>
          <w:highlight w:val="none"/>
        </w:rPr>
      </w:pPr>
      <w:r>
        <w:rPr>
          <w:rFonts w:hint="eastAsia" w:ascii="宋体" w:hAnsi="宋体" w:cs="仿宋"/>
          <w:color w:val="auto"/>
          <w:szCs w:val="21"/>
          <w:highlight w:val="none"/>
        </w:rPr>
        <w:t>5.3招标人接受投标保证金电子保险保函。投标人自行在电子招投标交易平台（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38"/>
          <w:rFonts w:hint="eastAsia" w:ascii="宋体" w:hAnsi="宋体"/>
          <w:color w:val="auto"/>
          <w:szCs w:val="21"/>
          <w:highlight w:val="none"/>
        </w:rPr>
        <w:t>http://p.ggb.sx.gov.cn:6081/TPBidder/</w:t>
      </w:r>
      <w:r>
        <w:rPr>
          <w:rStyle w:val="38"/>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6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6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2022</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24"/>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4"/>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7.发布公告的媒介    </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6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6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36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2022</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4"/>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28"/>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名称：浙江精工钢结构集团有限公司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地址：绍兴市柯桥区柯桥经济开发区鉴湖路</w:t>
            </w:r>
          </w:p>
          <w:p>
            <w:pPr>
              <w:rPr>
                <w:rFonts w:ascii="宋体" w:hAnsi="宋体" w:cs="宋体"/>
                <w:color w:val="auto"/>
                <w:sz w:val="20"/>
                <w:szCs w:val="20"/>
                <w:highlight w:val="none"/>
              </w:rPr>
            </w:pPr>
            <w:r>
              <w:rPr>
                <w:rFonts w:hint="eastAsia" w:ascii="宋体" w:hAnsi="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名称：浙江明业项目管理有限公司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地址：绍兴市解放大道111号中石化大楼7楼</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联系人：张雅美  电话：0575-85209901、</w:t>
            </w:r>
            <w:r>
              <w:rPr>
                <w:rFonts w:hint="eastAsia" w:hAnsi="宋体" w:cs="宋体"/>
                <w:color w:val="auto"/>
                <w:szCs w:val="20"/>
                <w:highlight w:val="none"/>
                <w:u w:val="single"/>
              </w:rPr>
              <w:t>13957571013</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lang w:eastAsia="zh-CN"/>
              </w:rPr>
              <w:t>绍兴市妇幼保健院（绍兴市儿童医院）建设项目厨房设备</w:t>
            </w:r>
            <w:r>
              <w:rPr>
                <w:rFonts w:hint="eastAsia" w:ascii="宋体" w:hAnsi="宋体" w:cs="宋体"/>
                <w:color w:val="auto"/>
                <w:sz w:val="20"/>
                <w:szCs w:val="20"/>
                <w:highlight w:val="none"/>
              </w:rPr>
              <w:t>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出资比例</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ind w:firstLine="400" w:firstLineChars="200"/>
              <w:jc w:val="left"/>
              <w:rPr>
                <w:rFonts w:ascii="宋体" w:hAnsi="宋体" w:cs="宋体"/>
                <w:b/>
                <w:bCs/>
                <w:color w:val="auto"/>
                <w:szCs w:val="21"/>
                <w:highlight w:val="none"/>
              </w:rPr>
            </w:pPr>
            <w:r>
              <w:rPr>
                <w:rFonts w:hint="eastAsia" w:ascii="宋体" w:hAnsi="宋体" w:eastAsia="宋体" w:cs="宋体"/>
                <w:color w:val="auto"/>
                <w:sz w:val="20"/>
                <w:szCs w:val="20"/>
                <w:highlight w:val="none"/>
              </w:rPr>
              <w:t xml:space="preserve">本次招标项目的招标范围: </w:t>
            </w:r>
            <w:r>
              <w:rPr>
                <w:rFonts w:hint="eastAsia" w:ascii="宋体" w:hAnsi="宋体" w:cs="宋体"/>
                <w:b/>
                <w:bCs/>
                <w:color w:val="auto"/>
                <w:szCs w:val="21"/>
                <w:highlight w:val="none"/>
                <w:lang w:val="en-US" w:eastAsia="zh-CN"/>
              </w:rPr>
              <w:t>绍兴市妇幼保健院地下室厨房、</w:t>
            </w:r>
            <w:r>
              <w:rPr>
                <w:rFonts w:hint="eastAsia" w:ascii="宋体" w:hAnsi="宋体" w:cs="宋体"/>
                <w:b/>
                <w:bCs/>
                <w:color w:val="auto"/>
                <w:szCs w:val="21"/>
                <w:highlight w:val="none"/>
              </w:rPr>
              <w:t>职工食堂</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病人食堂</w:t>
            </w:r>
            <w:r>
              <w:rPr>
                <w:rFonts w:hint="eastAsia" w:ascii="宋体" w:hAnsi="宋体" w:cs="宋体"/>
                <w:b/>
                <w:bCs/>
                <w:color w:val="auto"/>
                <w:szCs w:val="21"/>
                <w:highlight w:val="none"/>
              </w:rPr>
              <w:t>内的厨房设备的设计、制造、运输、装卸、产品保护、安装、调试、配合验收、培训及售后服务等工作。</w:t>
            </w:r>
          </w:p>
          <w:p>
            <w:pPr>
              <w:ind w:firstLine="422" w:firstLineChars="200"/>
              <w:jc w:val="lef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总承包单位负责：按图纸施工，总包施工至结构层，</w:t>
            </w:r>
            <w:r>
              <w:rPr>
                <w:rFonts w:hint="eastAsia" w:ascii="宋体" w:hAnsi="宋体" w:cs="宋体"/>
                <w:b/>
                <w:bCs/>
                <w:color w:val="auto"/>
                <w:sz w:val="21"/>
                <w:szCs w:val="21"/>
                <w:highlight w:val="none"/>
                <w:lang w:val="en-US" w:eastAsia="zh-CN"/>
              </w:rPr>
              <w:t>精装修、安装工程图纸部分内容。</w:t>
            </w:r>
          </w:p>
          <w:p>
            <w:pPr>
              <w:ind w:firstLine="422" w:firstLineChars="200"/>
              <w:jc w:val="lef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厨房设备中标人</w:t>
            </w:r>
            <w:r>
              <w:rPr>
                <w:rFonts w:hint="eastAsia" w:ascii="宋体" w:hAnsi="宋体" w:cs="宋体"/>
                <w:b/>
                <w:bCs/>
                <w:color w:val="auto"/>
                <w:szCs w:val="21"/>
                <w:highlight w:val="none"/>
              </w:rPr>
              <w:t>负责：①</w:t>
            </w:r>
            <w:r>
              <w:rPr>
                <w:rFonts w:hint="eastAsia" w:ascii="宋体" w:hAnsi="宋体" w:cs="宋体"/>
                <w:b/>
                <w:bCs/>
                <w:color w:val="auto"/>
                <w:szCs w:val="21"/>
                <w:highlight w:val="none"/>
                <w:lang w:val="en-US" w:eastAsia="zh-CN"/>
              </w:rPr>
              <w:t>根据厨房设备采购清单进行平面布局图纸深化、协助使用单位进行图纸深化</w:t>
            </w:r>
            <w:r>
              <w:rPr>
                <w:rFonts w:hint="eastAsia" w:ascii="宋体" w:hAnsi="宋体" w:cs="宋体"/>
                <w:b/>
                <w:bCs/>
                <w:color w:val="auto"/>
                <w:szCs w:val="21"/>
                <w:highlight w:val="none"/>
              </w:rPr>
              <w:t>；②</w:t>
            </w:r>
            <w:r>
              <w:rPr>
                <w:rFonts w:hint="eastAsia" w:ascii="宋体" w:hAnsi="宋体" w:cs="宋体"/>
                <w:b/>
                <w:bCs/>
                <w:color w:val="auto"/>
                <w:szCs w:val="21"/>
                <w:highlight w:val="none"/>
                <w:lang w:val="en-US" w:eastAsia="zh-CN"/>
              </w:rPr>
              <w:t>设备供货、线路铺设、设备的检验测试费用；③招标内容及需求内的要求。</w:t>
            </w:r>
          </w:p>
          <w:p>
            <w:pPr>
              <w:adjustRightInd/>
              <w:snapToGrid/>
              <w:spacing w:line="240" w:lineRule="auto"/>
              <w:ind w:firstLine="422" w:firstLineChars="200"/>
              <w:jc w:val="left"/>
              <w:rPr>
                <w:rFonts w:hint="eastAsia" w:ascii="宋体" w:hAnsi="宋体" w:eastAsia="宋体" w:cs="宋体"/>
                <w:color w:val="auto"/>
                <w:sz w:val="20"/>
                <w:szCs w:val="20"/>
                <w:highlight w:val="none"/>
              </w:rPr>
            </w:pPr>
            <w:r>
              <w:rPr>
                <w:rFonts w:hint="eastAsia" w:ascii="宋体" w:hAnsi="宋体" w:cs="宋体"/>
                <w:b/>
                <w:bCs/>
                <w:color w:val="auto"/>
                <w:szCs w:val="21"/>
                <w:highlight w:val="none"/>
              </w:rPr>
              <w:t>中标人需对图纸进行二次深化工作（中标单位在中标之前，所发生的设计变更,设计院未修改到位的，需由中标单位负责深化）</w:t>
            </w:r>
            <w:r>
              <w:rPr>
                <w:rFonts w:hint="eastAsia" w:ascii="宋体" w:hAnsi="宋体" w:cs="宋体"/>
                <w:b/>
                <w:bCs/>
                <w:strike w:val="0"/>
                <w:color w:val="auto"/>
                <w:szCs w:val="21"/>
                <w:highlight w:val="none"/>
                <w:lang w:eastAsia="zh-CN"/>
              </w:rPr>
              <w:t>，</w:t>
            </w:r>
            <w:r>
              <w:rPr>
                <w:rFonts w:hint="eastAsia" w:ascii="宋体" w:hAnsi="宋体" w:cs="宋体"/>
                <w:b/>
                <w:bCs/>
                <w:color w:val="auto"/>
                <w:szCs w:val="21"/>
                <w:highlight w:val="none"/>
              </w:rPr>
              <w:t>经深圳市建筑设计研究总院（及其医疗专项分包单位）审核认可并盖章。中标单位二次深化后总费用不能超过中标价，且优化方案必须经过业主认可方能最终实施（如有图纸、清单不明确或缺项的内容须无条件按业主要求进行设计和施工，并最终通过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工期要求</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以招标人发出的开工指令后210日历天，具体应与工程施工总进度计划同步（根据医院设备安装进度，完成该工程并在30个工作日内出具相关检测报告）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质量要求</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2022年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时前（北京时间），请将要求澄清内容加盖单位公章后将扫描件、WORD电子版发到229330322@qq.com。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澄清、补充、修改的内容不影响投标文件编制的，将在投标文件递交截止时间7天前，以上款相同的形式发布。</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投标人确认收到澄清、补充、修改文件的时间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投标人确认收到招标文件修改的时间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最高投标限价或其计算方法</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w:t>
            </w:r>
            <w:r>
              <w:rPr>
                <w:rFonts w:hint="eastAsia" w:ascii="宋体" w:hAnsi="宋体" w:cs="宋体"/>
                <w:color w:val="auto"/>
                <w:szCs w:val="21"/>
                <w:highlight w:val="none"/>
                <w:lang w:val="en-US" w:eastAsia="zh-CN"/>
              </w:rPr>
              <w:t>500</w:t>
            </w:r>
            <w:r>
              <w:rPr>
                <w:rFonts w:hint="eastAsia" w:ascii="宋体" w:hAnsi="宋体" w:cs="宋体"/>
                <w:color w:val="auto"/>
                <w:sz w:val="20"/>
                <w:szCs w:val="2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充分了解现场位置、情况、道路、储存空间、装卸限制及任何其它足以影响报价的情况（是否到项目现场踏勘由投标人自行决定，招标人不另行组织），任何因忽视或误解工地情况而导致的索赔或工期延长申请将不获批准；</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 招标人不接受低于成本的投标报价，也不接受招标项目范围内的捐赠。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①供应商进场后须与总包签订总包管理协议，服从总包管理要求。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②供应商的安装进场时间不应晚于监理、业主审批的施工总进度计划进场时间。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③供应商进场前，图纸须齐全，以免影响后续施工进度（供应商须对图纸进行深化设计）。</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④进入施工现场后，设备及材料堆放场地须按照总包要求进行布设，满足标准化工地要求。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6"/>
              <w:numPr>
                <w:ilvl w:val="0"/>
                <w:numId w:val="1"/>
              </w:numPr>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6"/>
              <w:ind w:firstLine="0" w:firstLineChars="0"/>
              <w:rPr>
                <w:rFonts w:ascii="宋体" w:hAnsi="宋体" w:cs="宋体"/>
                <w:color w:val="auto"/>
                <w:sz w:val="20"/>
                <w:highlight w:val="none"/>
              </w:rPr>
            </w:pPr>
            <w:r>
              <w:rPr>
                <w:rFonts w:hint="eastAsia" w:ascii="宋体" w:hAnsi="宋体" w:cs="宋体"/>
                <w:b/>
                <w:bCs/>
                <w:color w:val="auto"/>
                <w:sz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1．投标人在投标有效期内撤销或修改其投标文件。</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2．中标人无正当理由不与招标人订立合同，或在签订合同时向招标人提出附加条件，或未按招标文件要求提交履约保证金的。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3．经查实，投标人在投标过程中串通投标或弄虚作假的。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w:t>
            </w:r>
            <w:bookmarkStart w:id="2" w:name="_Hlk82006863"/>
            <w:r>
              <w:rPr>
                <w:rFonts w:hint="eastAsia" w:hAnsi="宋体" w:cs="宋体"/>
                <w:color w:val="auto"/>
                <w:szCs w:val="20"/>
                <w:highlight w:val="none"/>
              </w:rPr>
              <w:t>．存在违反《招标投标法》第三十二条、第三十三条规定的违法情形的。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5．招标文件等材料约定的不予退还的其他情形。</w:t>
            </w:r>
            <w:bookmarkEnd w:id="2"/>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6．拟派项目负责人在投标截止日有在其他在建合同工程上担任项目负责人的情形。</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出现上述不予退还情形的，招标人告知交易中心登记后，平台将自动划转其投标保证金</w:t>
            </w:r>
            <w:r>
              <w:rPr>
                <w:rFonts w:hint="eastAsia" w:ascii="宋体" w:hAnsi="宋体" w:cs="宋体"/>
                <w:strike/>
                <w:color w:val="auto"/>
                <w:sz w:val="20"/>
                <w:szCs w:val="20"/>
                <w:highlight w:val="none"/>
              </w:rPr>
              <w:t>及银行同期存款利息至</w:t>
            </w:r>
            <w:r>
              <w:rPr>
                <w:rFonts w:hint="eastAsia" w:ascii="宋体" w:hAnsi="宋体" w:cs="宋体"/>
                <w:color w:val="auto"/>
                <w:sz w:val="20"/>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trPr>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pStyle w:val="56"/>
              <w:adjustRightInd w:val="0"/>
              <w:snapToGrid w:val="0"/>
              <w:spacing w:line="0" w:lineRule="atLeast"/>
              <w:ind w:firstLine="400"/>
              <w:rPr>
                <w:rFonts w:hint="eastAsia"/>
                <w:color w:val="auto"/>
                <w:highlight w:val="none"/>
              </w:rPr>
            </w:pPr>
            <w:r>
              <w:rPr>
                <w:rFonts w:hint="eastAsia"/>
                <w:color w:val="auto"/>
                <w:highlight w:val="none"/>
              </w:rPr>
              <w:t>1、企业法人营业执照复印件。</w:t>
            </w:r>
          </w:p>
          <w:p>
            <w:pPr>
              <w:pStyle w:val="56"/>
              <w:adjustRightInd w:val="0"/>
              <w:snapToGrid w:val="0"/>
              <w:spacing w:line="0" w:lineRule="atLeast"/>
              <w:ind w:firstLine="400" w:firstLineChars="200"/>
              <w:rPr>
                <w:rFonts w:hint="eastAsia" w:ascii="宋体" w:hAnsi="???|CS?o｡ﾀ?" w:eastAsia="宋体" w:cs="Times New Roman"/>
                <w:color w:val="auto"/>
                <w:sz w:val="20"/>
                <w:szCs w:val="28"/>
                <w:highlight w:val="none"/>
                <w:lang w:eastAsia="zh-CN"/>
              </w:rPr>
            </w:pPr>
            <w:r>
              <w:rPr>
                <w:rFonts w:hint="eastAsia" w:ascii="宋体" w:hAnsi="???|CS?o｡ﾀ?" w:eastAsia="宋体" w:cs="Times New Roman"/>
                <w:color w:val="auto"/>
                <w:sz w:val="20"/>
                <w:szCs w:val="28"/>
                <w:highlight w:val="none"/>
                <w:lang w:val="en-US" w:eastAsia="zh-CN"/>
              </w:rPr>
              <w:t>2、</w:t>
            </w:r>
            <w:r>
              <w:rPr>
                <w:rFonts w:hint="eastAsia" w:ascii="宋体" w:hAnsi="???|CS?o｡ﾀ?" w:eastAsia="宋体" w:cs="Times New Roman"/>
                <w:color w:val="auto"/>
                <w:sz w:val="20"/>
                <w:szCs w:val="28"/>
                <w:highlight w:val="none"/>
              </w:rPr>
              <w:t>法定代表人授权</w:t>
            </w:r>
            <w:r>
              <w:rPr>
                <w:rFonts w:hint="eastAsia"/>
                <w:color w:val="auto"/>
                <w:highlight w:val="none"/>
              </w:rPr>
              <w:t>委托</w:t>
            </w:r>
            <w:r>
              <w:rPr>
                <w:rFonts w:hint="eastAsia" w:ascii="宋体" w:hAnsi="???|CS?o｡ﾀ?" w:eastAsia="宋体" w:cs="Times New Roman"/>
                <w:color w:val="auto"/>
                <w:sz w:val="20"/>
                <w:szCs w:val="28"/>
                <w:highlight w:val="none"/>
              </w:rPr>
              <w:t>书及法定代表人身份证明(格式</w:t>
            </w:r>
            <w:r>
              <w:rPr>
                <w:rFonts w:hint="eastAsia" w:ascii="宋体" w:hAnsi="???|CS?o｡ﾀ?" w:eastAsia="宋体" w:cs="Times New Roman"/>
                <w:color w:val="auto"/>
                <w:sz w:val="20"/>
                <w:szCs w:val="28"/>
                <w:highlight w:val="none"/>
                <w:lang w:val="en-US" w:eastAsia="zh-CN"/>
              </w:rPr>
              <w:t>一</w:t>
            </w:r>
            <w:r>
              <w:rPr>
                <w:rFonts w:hint="eastAsia" w:ascii="宋体" w:hAnsi="???|CS?o｡ﾀ?" w:eastAsia="宋体" w:cs="Times New Roman"/>
                <w:color w:val="auto"/>
                <w:sz w:val="20"/>
                <w:szCs w:val="28"/>
                <w:highlight w:val="none"/>
              </w:rPr>
              <w:t>、格式</w:t>
            </w:r>
            <w:r>
              <w:rPr>
                <w:rFonts w:hint="eastAsia" w:ascii="宋体" w:hAnsi="???|CS?o｡ﾀ?" w:eastAsia="宋体" w:cs="Times New Roman"/>
                <w:color w:val="auto"/>
                <w:sz w:val="20"/>
                <w:szCs w:val="28"/>
                <w:highlight w:val="none"/>
                <w:lang w:val="en-US" w:eastAsia="zh-CN"/>
              </w:rPr>
              <w:t>二</w:t>
            </w:r>
            <w:r>
              <w:rPr>
                <w:rFonts w:hint="eastAsia" w:ascii="宋体" w:hAnsi="???|CS?o｡ﾀ?" w:eastAsia="宋体" w:cs="Times New Roman"/>
                <w:color w:val="auto"/>
                <w:sz w:val="20"/>
                <w:szCs w:val="28"/>
                <w:highlight w:val="none"/>
              </w:rPr>
              <w:t>)</w:t>
            </w:r>
            <w:r>
              <w:rPr>
                <w:rFonts w:hint="eastAsia" w:ascii="宋体" w:hAnsi="???|CS?o｡ﾀ?" w:eastAsia="宋体" w:cs="Times New Roman"/>
                <w:color w:val="auto"/>
                <w:sz w:val="20"/>
                <w:szCs w:val="28"/>
                <w:highlight w:val="none"/>
                <w:lang w:eastAsia="zh-CN"/>
              </w:rPr>
              <w:t>。</w:t>
            </w:r>
          </w:p>
          <w:p>
            <w:pPr>
              <w:pStyle w:val="56"/>
              <w:adjustRightInd w:val="0"/>
              <w:snapToGrid w:val="0"/>
              <w:spacing w:line="0" w:lineRule="atLeast"/>
              <w:ind w:firstLine="400"/>
              <w:rPr>
                <w:strike/>
                <w:color w:val="auto"/>
                <w:highlight w:val="none"/>
              </w:rPr>
            </w:pPr>
            <w:r>
              <w:rPr>
                <w:rFonts w:hint="eastAsia"/>
                <w:color w:val="auto"/>
                <w:highlight w:val="none"/>
                <w:lang w:val="en-US" w:eastAsia="zh-CN"/>
              </w:rPr>
              <w:t>3</w:t>
            </w:r>
            <w:r>
              <w:rPr>
                <w:rFonts w:hint="eastAsia"/>
                <w:color w:val="auto"/>
                <w:highlight w:val="none"/>
              </w:rPr>
              <w:t>、</w:t>
            </w:r>
            <w:r>
              <w:rPr>
                <w:rFonts w:hint="eastAsia" w:ascii="宋体" w:hAnsi="宋体" w:cs="宋体"/>
                <w:b/>
                <w:iCs/>
                <w:color w:val="auto"/>
                <w:sz w:val="20"/>
                <w:highlight w:val="none"/>
                <w:u w:val="single"/>
                <w:lang w:bidi="ar"/>
              </w:rPr>
              <w:t>投标人具有自201</w:t>
            </w:r>
            <w:r>
              <w:rPr>
                <w:rFonts w:hint="eastAsia" w:ascii="宋体" w:hAnsi="宋体" w:cs="宋体"/>
                <w:b/>
                <w:iCs/>
                <w:color w:val="auto"/>
                <w:sz w:val="20"/>
                <w:highlight w:val="none"/>
                <w:u w:val="single"/>
                <w:lang w:val="en-US" w:eastAsia="zh-CN" w:bidi="ar"/>
              </w:rPr>
              <w:t>7</w:t>
            </w:r>
            <w:r>
              <w:rPr>
                <w:rFonts w:hint="eastAsia" w:ascii="宋体" w:hAnsi="宋体" w:cs="宋体"/>
                <w:b/>
                <w:iCs/>
                <w:color w:val="auto"/>
                <w:sz w:val="20"/>
                <w:highlight w:val="none"/>
                <w:u w:val="single"/>
                <w:lang w:bidi="ar"/>
              </w:rPr>
              <w:t>年1月1日至投标截止日止【以验收</w:t>
            </w:r>
            <w:r>
              <w:rPr>
                <w:rFonts w:hint="eastAsia" w:hAnsi="宋体" w:cs="宋体"/>
                <w:b/>
                <w:iCs/>
                <w:color w:val="auto"/>
                <w:sz w:val="20"/>
                <w:highlight w:val="none"/>
                <w:u w:val="single"/>
                <w:lang w:val="en-US" w:eastAsia="zh-CN" w:bidi="ar"/>
              </w:rPr>
              <w:t>证明</w:t>
            </w:r>
            <w:r>
              <w:rPr>
                <w:rFonts w:hint="eastAsia" w:ascii="宋体" w:hAnsi="宋体" w:cs="宋体"/>
                <w:b/>
                <w:iCs/>
                <w:color w:val="auto"/>
                <w:sz w:val="20"/>
                <w:highlight w:val="none"/>
                <w:u w:val="single"/>
                <w:lang w:bidi="ar"/>
              </w:rPr>
              <w:t>上的时间为准】，完成过</w:t>
            </w:r>
            <w:r>
              <w:rPr>
                <w:rFonts w:hint="eastAsia" w:ascii="宋体" w:hAnsi="宋体" w:cs="Arial"/>
                <w:color w:val="auto"/>
                <w:szCs w:val="21"/>
                <w:highlight w:val="none"/>
                <w:u w:val="single"/>
              </w:rPr>
              <w:t>单项金额</w:t>
            </w:r>
            <w:r>
              <w:rPr>
                <w:rFonts w:hint="eastAsia" w:hAnsi="宋体" w:cs="Arial"/>
                <w:color w:val="auto"/>
                <w:szCs w:val="21"/>
                <w:highlight w:val="none"/>
                <w:u w:val="single"/>
                <w:lang w:val="en-US" w:eastAsia="zh-CN"/>
              </w:rPr>
              <w:t>25</w:t>
            </w:r>
            <w:r>
              <w:rPr>
                <w:rFonts w:hint="eastAsia" w:ascii="宋体" w:hAnsi="宋体" w:cs="Arial"/>
                <w:color w:val="auto"/>
                <w:szCs w:val="21"/>
                <w:highlight w:val="none"/>
                <w:u w:val="single"/>
                <w:lang w:val="en-US" w:eastAsia="zh-CN"/>
              </w:rPr>
              <w:t>0</w:t>
            </w:r>
            <w:r>
              <w:rPr>
                <w:rFonts w:hint="eastAsia" w:ascii="宋体" w:hAnsi="宋体" w:cs="Arial"/>
                <w:color w:val="auto"/>
                <w:szCs w:val="21"/>
                <w:highlight w:val="none"/>
                <w:u w:val="single"/>
              </w:rPr>
              <w:t>万元及以上的类似</w:t>
            </w:r>
            <w:r>
              <w:rPr>
                <w:rFonts w:hint="eastAsia" w:ascii="宋体" w:hAnsi="宋体" w:cs="Arial"/>
                <w:color w:val="auto"/>
                <w:szCs w:val="21"/>
                <w:highlight w:val="none"/>
                <w:u w:val="single"/>
                <w:lang w:val="en-US" w:eastAsia="zh-CN"/>
              </w:rPr>
              <w:t>厨房设备</w:t>
            </w:r>
            <w:r>
              <w:rPr>
                <w:rFonts w:hint="eastAsia" w:hAnsi="宋体" w:cs="Arial"/>
                <w:color w:val="auto"/>
                <w:szCs w:val="21"/>
                <w:highlight w:val="none"/>
                <w:u w:val="single"/>
                <w:lang w:val="en-US" w:eastAsia="zh-CN"/>
              </w:rPr>
              <w:t>供货</w:t>
            </w:r>
            <w:r>
              <w:rPr>
                <w:rFonts w:hint="eastAsia" w:ascii="宋体" w:hAnsi="宋体" w:cs="Arial"/>
                <w:color w:val="auto"/>
                <w:szCs w:val="21"/>
                <w:highlight w:val="none"/>
                <w:u w:val="single"/>
              </w:rPr>
              <w:t>业绩</w:t>
            </w:r>
            <w:r>
              <w:rPr>
                <w:rFonts w:hint="eastAsia" w:ascii="宋体" w:hAnsi="宋体" w:cs="宋体"/>
                <w:b/>
                <w:iCs/>
                <w:color w:val="auto"/>
                <w:sz w:val="20"/>
                <w:highlight w:val="none"/>
                <w:u w:val="single"/>
                <w:lang w:bidi="ar"/>
              </w:rPr>
              <w:t>。业绩证明材料为合同、</w:t>
            </w:r>
            <w:r>
              <w:rPr>
                <w:rFonts w:hint="eastAsia" w:hAnsi="宋体" w:cs="宋体"/>
                <w:b/>
                <w:iCs/>
                <w:color w:val="auto"/>
                <w:highlight w:val="none"/>
                <w:u w:val="single"/>
                <w:lang w:bidi="ar"/>
              </w:rPr>
              <w:t>单项或整体验收证明</w:t>
            </w:r>
            <w:r>
              <w:rPr>
                <w:rFonts w:hint="eastAsia" w:ascii="宋体" w:hAnsi="宋体" w:cs="宋体"/>
                <w:b/>
                <w:iCs/>
                <w:color w:val="auto"/>
                <w:sz w:val="20"/>
                <w:highlight w:val="none"/>
                <w:u w:val="single"/>
                <w:lang w:bidi="ar"/>
              </w:rPr>
              <w:t>的复印件</w:t>
            </w:r>
            <w:r>
              <w:rPr>
                <w:rFonts w:hint="eastAsia"/>
                <w:color w:val="auto"/>
                <w:highlight w:val="none"/>
              </w:rPr>
              <w:t>。</w:t>
            </w:r>
          </w:p>
          <w:p>
            <w:pPr>
              <w:pStyle w:val="56"/>
              <w:adjustRightInd w:val="0"/>
              <w:snapToGrid w:val="0"/>
              <w:spacing w:line="0" w:lineRule="atLeast"/>
              <w:ind w:firstLine="400"/>
              <w:rPr>
                <w:color w:val="auto"/>
                <w:highlight w:val="none"/>
              </w:rPr>
            </w:pPr>
            <w:r>
              <w:rPr>
                <w:rFonts w:hint="eastAsia"/>
                <w:color w:val="auto"/>
                <w:highlight w:val="none"/>
                <w:lang w:val="en-US" w:eastAsia="zh-CN"/>
              </w:rPr>
              <w:t>4</w:t>
            </w:r>
            <w:r>
              <w:rPr>
                <w:rFonts w:hint="eastAsia"/>
                <w:color w:val="auto"/>
                <w:highlight w:val="none"/>
              </w:rPr>
              <w:t>、承诺书（①承诺对资格审查资料所有提交的证明材料真实有效性负责，若发现其有伪造证书、业绩等行为的，同意招标人不接受其投标，其缴纳的投标保证金不予退还；②承诺企业和项目负责人近5年内无行贿犯罪记录。）格式自拟，加盖投标人公章。</w:t>
            </w:r>
          </w:p>
          <w:p>
            <w:pPr>
              <w:pStyle w:val="56"/>
              <w:adjustRightInd w:val="0"/>
              <w:snapToGrid w:val="0"/>
              <w:spacing w:line="0" w:lineRule="atLeast"/>
              <w:ind w:firstLine="420"/>
              <w:rPr>
                <w:color w:val="auto"/>
                <w:highlight w:val="none"/>
              </w:rPr>
            </w:pPr>
            <w:r>
              <w:rPr>
                <w:rFonts w:hint="eastAsia"/>
                <w:color w:val="auto"/>
                <w:sz w:val="21"/>
                <w:highlight w:val="none"/>
              </w:rPr>
              <w:t>注：</w:t>
            </w:r>
            <w:r>
              <w:rPr>
                <w:rFonts w:hint="eastAsia" w:ascii="宋体" w:hAnsi="???|CS?o｡ﾀ?" w:cs="Times New Roman"/>
                <w:b w:val="0"/>
                <w:bCs w:val="0"/>
                <w:color w:val="auto"/>
                <w:sz w:val="20"/>
                <w:szCs w:val="28"/>
                <w:highlight w:val="none"/>
                <w:lang w:bidi="ar"/>
              </w:rPr>
              <w:t>不能提供上述</w:t>
            </w:r>
            <w:r>
              <w:rPr>
                <w:rFonts w:hint="eastAsia" w:ascii="宋体" w:hAnsi="???|CS?o｡ﾀ?" w:cs="Times New Roman"/>
                <w:color w:val="auto"/>
                <w:sz w:val="20"/>
                <w:szCs w:val="28"/>
                <w:highlight w:val="none"/>
                <w:lang w:bidi="ar"/>
              </w:rPr>
              <w:t>（1）～（</w:t>
            </w:r>
            <w:r>
              <w:rPr>
                <w:rFonts w:hint="eastAsia" w:ascii="宋体" w:hAnsi="???|CS?o｡ﾀ?" w:cs="Times New Roman"/>
                <w:color w:val="auto"/>
                <w:sz w:val="20"/>
                <w:szCs w:val="28"/>
                <w:highlight w:val="none"/>
                <w:lang w:val="en-US" w:eastAsia="zh-CN" w:bidi="ar"/>
              </w:rPr>
              <w:t>4</w:t>
            </w:r>
            <w:r>
              <w:rPr>
                <w:rFonts w:hint="eastAsia" w:ascii="宋体" w:hAnsi="???|CS?o｡ﾀ?" w:cs="Times New Roman"/>
                <w:color w:val="auto"/>
                <w:sz w:val="20"/>
                <w:szCs w:val="28"/>
                <w:highlight w:val="none"/>
                <w:lang w:bidi="ar"/>
              </w:rPr>
              <w:t>）</w:t>
            </w:r>
            <w:r>
              <w:rPr>
                <w:rFonts w:hint="eastAsia" w:ascii="宋体" w:hAnsi="???|CS?o｡ﾀ?" w:cs="Times New Roman"/>
                <w:b w:val="0"/>
                <w:bCs w:val="0"/>
                <w:color w:val="auto"/>
                <w:sz w:val="20"/>
                <w:szCs w:val="28"/>
                <w:highlight w:val="none"/>
                <w:lang w:bidi="ar"/>
              </w:rPr>
              <w:t>材料任何一项或不符合审查要求的投标人为资格审查不合格</w:t>
            </w:r>
            <w:r>
              <w:rPr>
                <w:rFonts w:hint="eastAsia"/>
                <w:color w:val="auto"/>
                <w:sz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w:t>
            </w:r>
            <w:r>
              <w:rPr>
                <w:rFonts w:hint="eastAsia" w:ascii="宋体" w:hAnsi="宋体" w:cs="宋体"/>
                <w:b/>
                <w:iCs/>
                <w:color w:val="auto"/>
                <w:kern w:val="2"/>
                <w:sz w:val="20"/>
                <w:szCs w:val="20"/>
                <w:highlight w:val="none"/>
                <w:lang w:val="en-US" w:eastAsia="zh-CN"/>
              </w:rPr>
              <w:t>公</w:t>
            </w:r>
            <w:r>
              <w:rPr>
                <w:rFonts w:hint="eastAsia" w:ascii="宋体" w:hAnsi="宋体" w:cs="宋体"/>
                <w:b/>
                <w:iCs/>
                <w:color w:val="auto"/>
                <w:kern w:val="2"/>
                <w:sz w:val="20"/>
                <w:szCs w:val="20"/>
                <w:highlight w:val="none"/>
              </w:rPr>
              <w:t>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绍兴市柯桥区柯桥经济开发区鉴湖路</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浙江精工钢结构集团有限公司</w:t>
            </w:r>
          </w:p>
          <w:p>
            <w:pPr>
              <w:jc w:val="left"/>
              <w:rPr>
                <w:rFonts w:ascii="宋体" w:hAnsi="宋体" w:cs="宋体"/>
                <w:color w:val="auto"/>
                <w:sz w:val="20"/>
                <w:szCs w:val="20"/>
                <w:highlight w:val="none"/>
              </w:rPr>
            </w:pPr>
            <w:r>
              <w:rPr>
                <w:rFonts w:hint="eastAsia" w:ascii="宋体" w:hAnsi="宋体" w:cs="宋体"/>
                <w:b/>
                <w:bCs/>
                <w:color w:val="auto"/>
                <w:sz w:val="20"/>
                <w:szCs w:val="20"/>
                <w:highlight w:val="none"/>
                <w:u w:val="single"/>
                <w:lang w:eastAsia="zh-CN"/>
              </w:rPr>
              <w:t>绍兴市妇幼保健院（绍兴市儿童医院）建设项目厨房设备</w:t>
            </w:r>
            <w:r>
              <w:rPr>
                <w:rFonts w:hint="eastAsia" w:ascii="宋体" w:hAnsi="宋体" w:cs="宋体"/>
                <w:b/>
                <w:bCs/>
                <w:color w:val="auto"/>
                <w:sz w:val="20"/>
                <w:szCs w:val="20"/>
                <w:highlight w:val="none"/>
                <w:u w:val="single"/>
              </w:rPr>
              <w:t>项目</w:t>
            </w:r>
            <w:r>
              <w:rPr>
                <w:rFonts w:hint="eastAsia" w:ascii="宋体" w:hAnsi="宋体" w:cs="宋体"/>
                <w:color w:val="auto"/>
                <w:sz w:val="20"/>
                <w:szCs w:val="20"/>
                <w:highlight w:val="none"/>
              </w:rPr>
              <w:t>投标文件，在2022年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本项目采用“不见面”开标方式，不强制要求投标人参加现场开标会。</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本项目采用投标人现场递交或邮寄投标文件递交。采用现场递交的，将密封的投标文件在开标当日</w:t>
            </w:r>
            <w:r>
              <w:rPr>
                <w:rFonts w:hint="eastAsia" w:ascii="宋体" w:hAnsi="宋体" w:cs="宋体"/>
                <w:color w:val="auto"/>
                <w:sz w:val="20"/>
                <w:szCs w:val="20"/>
                <w:highlight w:val="none"/>
                <w:lang w:val="en-US" w:eastAsia="zh-CN"/>
              </w:rPr>
              <w:t>9</w:t>
            </w:r>
            <w:r>
              <w:rPr>
                <w:rFonts w:hint="eastAsia" w:ascii="宋体" w:hAnsi="宋体" w:cs="宋体"/>
                <w:color w:val="auto"/>
                <w:sz w:val="20"/>
                <w:szCs w:val="20"/>
                <w:highlight w:val="none"/>
              </w:rPr>
              <w:t>:00时至</w:t>
            </w:r>
            <w:r>
              <w:rPr>
                <w:rFonts w:hint="eastAsia" w:ascii="宋体" w:hAnsi="宋体" w:cs="宋体"/>
                <w:color w:val="auto"/>
                <w:sz w:val="20"/>
                <w:szCs w:val="20"/>
                <w:highlight w:val="none"/>
                <w:lang w:val="en-US" w:eastAsia="zh-CN"/>
              </w:rPr>
              <w:t>9</w:t>
            </w:r>
            <w:r>
              <w:rPr>
                <w:rFonts w:hint="eastAsia" w:ascii="宋体" w:hAnsi="宋体" w:cs="宋体"/>
                <w:color w:val="auto"/>
                <w:sz w:val="20"/>
                <w:szCs w:val="20"/>
                <w:highlight w:val="none"/>
              </w:rPr>
              <w:t>:30时递交至绍兴市公共资源交易中心四楼指定开标室，投标文件递交后即交即走。采用邮寄投标文件递交的，将密封的投标文件在开标当日</w:t>
            </w:r>
            <w:r>
              <w:rPr>
                <w:rFonts w:hint="eastAsia" w:ascii="宋体" w:hAnsi="宋体" w:cs="宋体"/>
                <w:color w:val="auto"/>
                <w:sz w:val="20"/>
                <w:szCs w:val="20"/>
                <w:highlight w:val="none"/>
                <w:lang w:val="en-US" w:eastAsia="zh-CN"/>
              </w:rPr>
              <w:t>9</w:t>
            </w:r>
            <w:r>
              <w:rPr>
                <w:rFonts w:hint="eastAsia" w:ascii="宋体" w:hAnsi="宋体" w:cs="宋体"/>
                <w:color w:val="auto"/>
                <w:sz w:val="20"/>
                <w:szCs w:val="20"/>
                <w:highlight w:val="none"/>
              </w:rPr>
              <w:t>: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rPr>
                <w:rFonts w:ascii="宋体" w:hAnsi="宋体" w:cs="宋体"/>
                <w:color w:val="auto"/>
                <w:sz w:val="20"/>
                <w:szCs w:val="20"/>
                <w:highlight w:val="none"/>
              </w:rPr>
            </w:pPr>
            <w:r>
              <w:rPr>
                <w:rFonts w:hint="eastAsia" w:ascii="宋体" w:hAnsi="宋体" w:cs="宋体"/>
                <w:color w:val="auto"/>
                <w:sz w:val="20"/>
                <w:szCs w:val="20"/>
                <w:highlight w:val="none"/>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投标人的法定代表人或授权委托人、项目总监等均可不参加开标会议。若投标人法定代表人或授权委托人不在现场参加开标会议的，投标人需向招标代理机构人员告知联系方式，以备询标等事宜。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三、投标保证金未缴纳的。</w:t>
            </w:r>
          </w:p>
          <w:p>
            <w:pPr>
              <w:pStyle w:val="56"/>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adjustRightInd w:val="0"/>
              <w:snapToGrid w:val="0"/>
              <w:spacing w:line="360" w:lineRule="exact"/>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jc w:val="left"/>
              <w:rPr>
                <w:rFonts w:ascii="宋体" w:hAnsi="宋体" w:cs="宋体"/>
                <w:color w:val="auto"/>
                <w:sz w:val="20"/>
                <w:szCs w:val="20"/>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56"/>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2.未按招标文件的要求加盖单位印章，或投标人的法定代表人（或其委托代理人）未按招标文件要求签字或盖章的，或委托代理人签字盖章但无有效的授权委托书的；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3.投标人存在招标文件投标人须知1.4.3规定的不得存在的情形之一的；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5.投标人不以自己的名义或未按招标文件要求提供投标保证金，或提供的投标保证金有缺陷而不能接受的；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6.投标报价高于招标文件设定的最高投标限价的；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7.改变招标人提供的货物清单内容的（货物名称、单位、数量）；</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8.投标人及其法定代表人控股的其他公司，不得同时参加同一标段投标。否则，均按否决投标处理；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9.投标人在开标会议前系统中确定的项目负责人与投标文件中项目负责人不一致的；</w:t>
            </w:r>
          </w:p>
          <w:p>
            <w:pPr>
              <w:spacing w:line="280" w:lineRule="exact"/>
              <w:jc w:val="left"/>
              <w:rPr>
                <w:rFonts w:ascii="宋体" w:hAnsi="宋体" w:cs="宋体"/>
                <w:color w:val="auto"/>
                <w:sz w:val="20"/>
                <w:szCs w:val="20"/>
                <w:highlight w:val="none"/>
              </w:rPr>
            </w:pPr>
            <w:r>
              <w:rPr>
                <w:rFonts w:hint="eastAsia" w:ascii="宋体" w:hAnsi="宋体" w:cs="宋体"/>
                <w:color w:val="auto"/>
                <w:sz w:val="20"/>
                <w:szCs w:val="20"/>
                <w:highlight w:val="none"/>
              </w:rPr>
              <w:t>10.存在法律、法规、规章规定的其它无效投标情况的。</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rPr>
              <w:t>2.报价评审时，投标人拒绝按以下条款修正的：</w:t>
            </w:r>
            <w:bookmarkStart w:id="3" w:name="_Toc152042383"/>
            <w:r>
              <w:rPr>
                <w:rFonts w:hint="eastAsia" w:ascii="宋体" w:hAnsi="宋体" w:cs="宋体"/>
                <w:color w:val="auto"/>
                <w:sz w:val="20"/>
                <w:szCs w:val="20"/>
                <w:highlight w:val="none"/>
                <w:u w:val="none"/>
              </w:rPr>
              <w:t>（1）投标文件中的大写金额与小写金额不一致的，以大写金额为准；</w:t>
            </w:r>
            <w:bookmarkEnd w:id="3"/>
            <w:r>
              <w:rPr>
                <w:rFonts w:hint="eastAsia" w:ascii="宋体" w:hAnsi="宋体" w:cs="宋体"/>
                <w:color w:val="auto"/>
                <w:sz w:val="20"/>
                <w:szCs w:val="20"/>
                <w:highlight w:val="none"/>
                <w:u w:val="none"/>
              </w:rPr>
              <w:t>（2）总价金额与依据单价计算出的结果不一致的，以单价金额为准修正总价，但单价金额小数点有明显错误的除外</w:t>
            </w:r>
            <w:r>
              <w:rPr>
                <w:rFonts w:hint="eastAsia" w:ascii="宋体" w:hAnsi="宋体" w:cs="宋体"/>
                <w:color w:val="auto"/>
                <w:sz w:val="20"/>
                <w:szCs w:val="20"/>
                <w:highlight w:val="none"/>
                <w:u w:val="none"/>
                <w:lang w:eastAsia="zh-CN"/>
              </w:rPr>
              <w:t>；</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绍兴市越城区公管办</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4"/>
        <w:rPr>
          <w:color w:val="auto"/>
          <w:highlight w:val="none"/>
        </w:rPr>
      </w:pPr>
      <w:bookmarkStart w:id="4"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4"/>
    </w:p>
    <w:p>
      <w:pPr>
        <w:pStyle w:val="44"/>
        <w:spacing w:line="440" w:lineRule="exact"/>
        <w:rPr>
          <w:rFonts w:hint="eastAsia" w:ascii="宋体" w:hAnsi="宋体" w:eastAsia="宋体" w:cs="宋体"/>
          <w:color w:val="auto"/>
          <w:sz w:val="24"/>
          <w:szCs w:val="24"/>
          <w:highlight w:val="none"/>
        </w:rPr>
      </w:pPr>
      <w:bookmarkStart w:id="5" w:name="_Toc392345909"/>
      <w:bookmarkStart w:id="6" w:name="_Toc11269"/>
      <w:r>
        <w:rPr>
          <w:rFonts w:hint="eastAsia" w:ascii="宋体" w:hAnsi="宋体" w:eastAsia="宋体" w:cs="宋体"/>
          <w:color w:val="auto"/>
          <w:sz w:val="24"/>
          <w:szCs w:val="24"/>
          <w:highlight w:val="none"/>
        </w:rPr>
        <w:t>1. 总则</w:t>
      </w:r>
      <w:bookmarkEnd w:id="5"/>
      <w:bookmarkEnd w:id="6"/>
    </w:p>
    <w:p>
      <w:pPr>
        <w:pStyle w:val="45"/>
        <w:spacing w:line="440" w:lineRule="exact"/>
        <w:rPr>
          <w:rFonts w:hint="eastAsia" w:ascii="宋体" w:hAnsi="宋体" w:eastAsia="宋体" w:cs="宋体"/>
          <w:b/>
          <w:color w:val="auto"/>
          <w:szCs w:val="24"/>
          <w:highlight w:val="none"/>
        </w:rPr>
      </w:pPr>
      <w:bookmarkStart w:id="7" w:name="_Toc9106"/>
      <w:bookmarkStart w:id="8" w:name="_Toc152042306"/>
      <w:bookmarkStart w:id="9" w:name="_Toc392345910"/>
      <w:bookmarkStart w:id="10" w:name="_Toc152045530"/>
      <w:bookmarkStart w:id="11" w:name="_Toc229646712"/>
      <w:bookmarkStart w:id="12" w:name="_Toc144974498"/>
      <w:r>
        <w:rPr>
          <w:rFonts w:hint="eastAsia" w:ascii="宋体" w:hAnsi="宋体" w:eastAsia="宋体" w:cs="宋体"/>
          <w:b/>
          <w:color w:val="auto"/>
          <w:szCs w:val="24"/>
          <w:highlight w:val="none"/>
        </w:rPr>
        <w:t>1.1 项目概况</w:t>
      </w:r>
      <w:bookmarkEnd w:id="7"/>
      <w:bookmarkEnd w:id="8"/>
      <w:bookmarkEnd w:id="9"/>
      <w:bookmarkEnd w:id="10"/>
      <w:bookmarkEnd w:id="11"/>
      <w:bookmarkEnd w:id="12"/>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本招标项目招标人：见投标人须知前附表。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本招标项目招标代理机构：见投标人须知前附表。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本招标项目名称：见投标人须知前附表。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本招标项目建设地点：见投标人须知前附表。</w:t>
      </w:r>
    </w:p>
    <w:p>
      <w:pPr>
        <w:pStyle w:val="45"/>
        <w:spacing w:line="440" w:lineRule="exact"/>
        <w:rPr>
          <w:rFonts w:hint="eastAsia" w:ascii="宋体" w:hAnsi="宋体" w:eastAsia="宋体" w:cs="宋体"/>
          <w:b/>
          <w:color w:val="auto"/>
          <w:szCs w:val="24"/>
          <w:highlight w:val="none"/>
        </w:rPr>
      </w:pPr>
      <w:bookmarkStart w:id="13" w:name="_Toc3629"/>
      <w:bookmarkStart w:id="14" w:name="_Toc152045531"/>
      <w:bookmarkStart w:id="15" w:name="_Toc152042307"/>
      <w:bookmarkStart w:id="16" w:name="_Toc392345911"/>
      <w:bookmarkStart w:id="17" w:name="_Toc144974499"/>
      <w:bookmarkStart w:id="18" w:name="_Toc229646713"/>
      <w:r>
        <w:rPr>
          <w:rFonts w:hint="eastAsia" w:ascii="宋体" w:hAnsi="宋体" w:eastAsia="宋体" w:cs="宋体"/>
          <w:b/>
          <w:color w:val="auto"/>
          <w:szCs w:val="24"/>
          <w:highlight w:val="none"/>
        </w:rPr>
        <w:t>1.2 资金来源和落实情况</w:t>
      </w:r>
      <w:bookmarkEnd w:id="13"/>
      <w:bookmarkEnd w:id="14"/>
      <w:bookmarkEnd w:id="15"/>
      <w:bookmarkEnd w:id="16"/>
      <w:bookmarkEnd w:id="17"/>
      <w:bookmarkEnd w:id="18"/>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本招标项目的资金来源及出资比例：见投标人须知前附表。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1.2.2本招标项目的资金落实情况：见投标人须知前附表。</w:t>
      </w:r>
    </w:p>
    <w:p>
      <w:pPr>
        <w:pStyle w:val="45"/>
        <w:spacing w:line="440" w:lineRule="exact"/>
        <w:rPr>
          <w:rFonts w:hint="eastAsia" w:ascii="宋体" w:hAnsi="宋体" w:eastAsia="宋体" w:cs="宋体"/>
          <w:b/>
          <w:color w:val="auto"/>
          <w:szCs w:val="24"/>
          <w:highlight w:val="none"/>
        </w:rPr>
      </w:pPr>
      <w:bookmarkStart w:id="19" w:name="_Toc152042308"/>
      <w:bookmarkStart w:id="20" w:name="_Toc229646714"/>
      <w:bookmarkStart w:id="21" w:name="_Toc392345912"/>
      <w:bookmarkStart w:id="22" w:name="_Toc144974500"/>
      <w:bookmarkStart w:id="23" w:name="_Toc152045532"/>
      <w:bookmarkStart w:id="24" w:name="_Toc460"/>
      <w:r>
        <w:rPr>
          <w:rFonts w:hint="eastAsia" w:ascii="宋体" w:hAnsi="宋体" w:eastAsia="宋体" w:cs="宋体"/>
          <w:b/>
          <w:color w:val="auto"/>
          <w:szCs w:val="24"/>
          <w:highlight w:val="none"/>
        </w:rPr>
        <w:t>1.3 招标范围及计划服务期</w:t>
      </w:r>
      <w:bookmarkEnd w:id="19"/>
      <w:bookmarkEnd w:id="20"/>
      <w:bookmarkEnd w:id="21"/>
      <w:bookmarkEnd w:id="22"/>
      <w:bookmarkEnd w:id="23"/>
      <w:bookmarkEnd w:id="24"/>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本次招标范围：见投标人须知前附表。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本招标项目的计划服务期：见投标人须知前附表。</w:t>
      </w:r>
    </w:p>
    <w:p>
      <w:pPr>
        <w:pStyle w:val="45"/>
        <w:spacing w:line="440" w:lineRule="exact"/>
        <w:rPr>
          <w:rFonts w:hint="eastAsia" w:ascii="宋体" w:hAnsi="宋体" w:eastAsia="宋体" w:cs="宋体"/>
          <w:b/>
          <w:color w:val="auto"/>
          <w:szCs w:val="24"/>
          <w:highlight w:val="none"/>
        </w:rPr>
      </w:pPr>
      <w:bookmarkStart w:id="25" w:name="_Toc22287"/>
      <w:bookmarkStart w:id="26" w:name="_Toc152045534"/>
      <w:bookmarkStart w:id="27" w:name="_Toc229646715"/>
      <w:bookmarkStart w:id="28" w:name="_Toc152042310"/>
      <w:bookmarkStart w:id="29" w:name="_Toc144974502"/>
      <w:bookmarkStart w:id="30" w:name="_Toc392345913"/>
      <w:r>
        <w:rPr>
          <w:rFonts w:hint="eastAsia" w:ascii="宋体" w:hAnsi="宋体" w:eastAsia="宋体" w:cs="宋体"/>
          <w:b/>
          <w:color w:val="auto"/>
          <w:szCs w:val="24"/>
          <w:highlight w:val="none"/>
        </w:rPr>
        <w:t>1.4 投标人资格要求</w:t>
      </w:r>
      <w:bookmarkEnd w:id="25"/>
      <w:bookmarkEnd w:id="26"/>
      <w:bookmarkEnd w:id="27"/>
      <w:bookmarkEnd w:id="28"/>
      <w:bookmarkEnd w:id="29"/>
      <w:bookmarkEnd w:id="30"/>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1.4.1投标人应具备承担本标段服务的资格条件、要求。</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（1）资质条件：见投标人须知前附表；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（2）业绩要求：见投标人须知前附表；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（3）信誉要求：见投标人须知前附表；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（4）其他要求：见投标人须知前附表。</w:t>
      </w:r>
    </w:p>
    <w:p>
      <w:pPr>
        <w:ind w:firstLine="480" w:firstLineChars="200"/>
        <w:rPr>
          <w:rFonts w:hint="eastAsia" w:ascii="宋体" w:hAnsi="宋体" w:eastAsia="宋体" w:cs="宋体"/>
          <w:strike/>
          <w:color w:val="auto"/>
          <w:sz w:val="24"/>
          <w:szCs w:val="24"/>
          <w:highlight w:val="none"/>
        </w:rPr>
      </w:pPr>
      <w:bookmarkStart w:id="31" w:name="_Toc229646716"/>
      <w:bookmarkStart w:id="32" w:name="_Toc152042311"/>
      <w:bookmarkStart w:id="33" w:name="_Toc152045535"/>
      <w:bookmarkStart w:id="34" w:name="_Toc144974503"/>
      <w:r>
        <w:rPr>
          <w:rFonts w:hint="eastAsia" w:ascii="宋体" w:hAnsi="宋体" w:eastAsia="宋体" w:cs="宋体"/>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（1）联合体各方应按招标文件提供的格式签订联合体协议书，明确联合体牵头人和各方权利义务；</w:t>
      </w:r>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（2）由同一专业的单位组成的联合体，按照资质等级较低的单位确定资质等级；</w:t>
      </w:r>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（3）联合体各方不得再以自己名次单独或参加其他联合体在同一标段中投标。</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1.4.3投标人不得存在下列情形之一：</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（1）为招标人不具有独立法人资格的附属机构（单位）； </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（2）为本标段的代建人；</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（3）为本标段提供招标代理服务的；</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（4）单位负责人为同一人或者存在控股、管理关系的不同单位，同时参加本标段投标的；</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（5）投标人及其法定代表人控股的其他公司，同时参加本标段投标的；</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（6）与招标人存在利害关系可能影响招标公正性的法人、其他组织或者个人参加投标的；</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（7）被责令停业的；</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（8）被暂停或取消投标资格的；</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（9）财产被接管或冻结的。</w:t>
      </w:r>
    </w:p>
    <w:p>
      <w:pPr>
        <w:pStyle w:val="45"/>
        <w:spacing w:line="440" w:lineRule="exact"/>
        <w:rPr>
          <w:rFonts w:hint="eastAsia" w:ascii="宋体" w:hAnsi="宋体" w:eastAsia="宋体" w:cs="宋体"/>
          <w:b/>
          <w:color w:val="auto"/>
          <w:szCs w:val="24"/>
          <w:highlight w:val="none"/>
        </w:rPr>
      </w:pPr>
      <w:bookmarkStart w:id="35" w:name="_Toc10130"/>
      <w:bookmarkStart w:id="36" w:name="_Toc392345914"/>
      <w:r>
        <w:rPr>
          <w:rFonts w:hint="eastAsia" w:ascii="宋体" w:hAnsi="宋体" w:eastAsia="宋体" w:cs="宋体"/>
          <w:b/>
          <w:color w:val="auto"/>
          <w:szCs w:val="24"/>
          <w:highlight w:val="none"/>
        </w:rPr>
        <w:t>1.5 费用承担</w:t>
      </w:r>
      <w:bookmarkEnd w:id="31"/>
      <w:bookmarkEnd w:id="32"/>
      <w:bookmarkEnd w:id="33"/>
      <w:bookmarkEnd w:id="34"/>
      <w:bookmarkEnd w:id="35"/>
      <w:bookmarkEnd w:id="36"/>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投标人准备和参加投标活动发生的费用自理。</w:t>
      </w:r>
    </w:p>
    <w:p>
      <w:pPr>
        <w:pStyle w:val="45"/>
        <w:spacing w:line="440" w:lineRule="exact"/>
        <w:rPr>
          <w:rFonts w:hint="eastAsia" w:ascii="宋体" w:hAnsi="宋体" w:eastAsia="宋体" w:cs="宋体"/>
          <w:b/>
          <w:color w:val="auto"/>
          <w:szCs w:val="24"/>
          <w:highlight w:val="none"/>
        </w:rPr>
      </w:pPr>
      <w:bookmarkStart w:id="37" w:name="_Toc25357"/>
      <w:bookmarkStart w:id="38" w:name="_Toc322615398"/>
      <w:bookmarkStart w:id="39" w:name="_Toc152042312"/>
      <w:bookmarkStart w:id="40" w:name="_Toc392345915"/>
      <w:bookmarkStart w:id="41" w:name="_Toc323711750"/>
      <w:bookmarkStart w:id="42" w:name="_Toc245036603"/>
      <w:bookmarkStart w:id="43" w:name="_Toc319407837"/>
      <w:bookmarkStart w:id="44" w:name="_Toc319408072"/>
      <w:bookmarkStart w:id="45" w:name="_Toc152045536"/>
      <w:bookmarkStart w:id="46" w:name="_Toc144974504"/>
      <w:bookmarkStart w:id="47" w:name="_Toc144974510"/>
      <w:bookmarkStart w:id="48" w:name="_Toc152042318"/>
      <w:bookmarkStart w:id="49" w:name="_Toc229646724"/>
      <w:bookmarkStart w:id="50" w:name="_Toc152045542"/>
      <w:r>
        <w:rPr>
          <w:rFonts w:hint="eastAsia" w:ascii="宋体" w:hAnsi="宋体" w:eastAsia="宋体" w:cs="宋体"/>
          <w:b/>
          <w:color w:val="auto"/>
          <w:szCs w:val="24"/>
          <w:highlight w:val="none"/>
        </w:rPr>
        <w:t>1.6 保密</w:t>
      </w:r>
      <w:bookmarkEnd w:id="37"/>
      <w:bookmarkEnd w:id="38"/>
      <w:bookmarkEnd w:id="39"/>
      <w:bookmarkEnd w:id="40"/>
      <w:bookmarkEnd w:id="41"/>
      <w:bookmarkEnd w:id="42"/>
      <w:bookmarkEnd w:id="43"/>
      <w:bookmarkEnd w:id="44"/>
      <w:bookmarkEnd w:id="45"/>
      <w:bookmarkEnd w:id="46"/>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参与招标投标活动的各方应对招标文件和投标文件中的商业和技术等秘密保密，违者应对由此造成的后果承担法律责任。 </w:t>
      </w:r>
    </w:p>
    <w:p>
      <w:pPr>
        <w:pStyle w:val="45"/>
        <w:spacing w:line="440" w:lineRule="exact"/>
        <w:rPr>
          <w:rFonts w:hint="eastAsia" w:ascii="宋体" w:hAnsi="宋体" w:eastAsia="宋体" w:cs="宋体"/>
          <w:b/>
          <w:color w:val="auto"/>
          <w:szCs w:val="24"/>
          <w:highlight w:val="none"/>
        </w:rPr>
      </w:pPr>
      <w:bookmarkStart w:id="51" w:name="_Toc144974505"/>
      <w:bookmarkStart w:id="52" w:name="_Toc319407838"/>
      <w:bookmarkStart w:id="53" w:name="_Toc152042313"/>
      <w:bookmarkStart w:id="54" w:name="_Toc322615399"/>
      <w:bookmarkStart w:id="55" w:name="_Toc245036604"/>
      <w:bookmarkStart w:id="56" w:name="_Toc152045537"/>
      <w:bookmarkStart w:id="57" w:name="_Toc319408073"/>
      <w:bookmarkStart w:id="58" w:name="_Toc392345916"/>
      <w:bookmarkStart w:id="59" w:name="_Toc323711751"/>
      <w:bookmarkStart w:id="60" w:name="_Toc4033"/>
      <w:r>
        <w:rPr>
          <w:rFonts w:hint="eastAsia" w:ascii="宋体" w:hAnsi="宋体" w:eastAsia="宋体" w:cs="宋体"/>
          <w:b/>
          <w:color w:val="auto"/>
          <w:szCs w:val="24"/>
          <w:highlight w:val="none"/>
        </w:rPr>
        <w:t>1.7 语言</w:t>
      </w:r>
      <w:bookmarkEnd w:id="51"/>
      <w:r>
        <w:rPr>
          <w:rFonts w:hint="eastAsia" w:ascii="宋体" w:hAnsi="宋体" w:eastAsia="宋体" w:cs="宋体"/>
          <w:b/>
          <w:color w:val="auto"/>
          <w:szCs w:val="24"/>
          <w:highlight w:val="none"/>
        </w:rPr>
        <w:t>文字</w:t>
      </w:r>
      <w:bookmarkEnd w:id="52"/>
      <w:bookmarkEnd w:id="53"/>
      <w:bookmarkEnd w:id="54"/>
      <w:bookmarkEnd w:id="55"/>
      <w:bookmarkEnd w:id="56"/>
      <w:bookmarkEnd w:id="57"/>
      <w:bookmarkEnd w:id="58"/>
      <w:bookmarkEnd w:id="59"/>
      <w:bookmarkEnd w:id="60"/>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除专用术语外，与招标投标有关的语言均使用中文。必要时专用术语应附有中文注释。</w:t>
      </w:r>
    </w:p>
    <w:p>
      <w:pPr>
        <w:pStyle w:val="45"/>
        <w:spacing w:line="440" w:lineRule="exact"/>
        <w:rPr>
          <w:rFonts w:hint="eastAsia" w:ascii="宋体" w:hAnsi="宋体" w:eastAsia="宋体" w:cs="宋体"/>
          <w:b/>
          <w:color w:val="auto"/>
          <w:szCs w:val="24"/>
          <w:highlight w:val="none"/>
        </w:rPr>
      </w:pPr>
      <w:bookmarkStart w:id="61" w:name="_Toc319407839"/>
      <w:bookmarkStart w:id="62" w:name="_Toc322615400"/>
      <w:bookmarkStart w:id="63" w:name="_Toc392345917"/>
      <w:bookmarkStart w:id="64" w:name="_Toc245036605"/>
      <w:bookmarkStart w:id="65" w:name="_Toc31144"/>
      <w:bookmarkStart w:id="66" w:name="_Toc152042314"/>
      <w:bookmarkStart w:id="67" w:name="_Toc319408074"/>
      <w:bookmarkStart w:id="68" w:name="_Toc144974506"/>
      <w:bookmarkStart w:id="69" w:name="_Toc323711752"/>
      <w:bookmarkStart w:id="70" w:name="_Toc152045538"/>
      <w:r>
        <w:rPr>
          <w:rFonts w:hint="eastAsia" w:ascii="宋体" w:hAnsi="宋体" w:eastAsia="宋体" w:cs="宋体"/>
          <w:b/>
          <w:color w:val="auto"/>
          <w:szCs w:val="24"/>
          <w:highlight w:val="none"/>
        </w:rPr>
        <w:t>1.8 计量单位</w:t>
      </w:r>
      <w:bookmarkEnd w:id="61"/>
      <w:bookmarkEnd w:id="62"/>
      <w:bookmarkEnd w:id="63"/>
      <w:bookmarkEnd w:id="64"/>
      <w:bookmarkEnd w:id="65"/>
      <w:bookmarkEnd w:id="66"/>
      <w:bookmarkEnd w:id="67"/>
      <w:bookmarkEnd w:id="68"/>
      <w:bookmarkEnd w:id="69"/>
      <w:bookmarkEnd w:id="70"/>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pPr>
        <w:pStyle w:val="45"/>
        <w:spacing w:line="440" w:lineRule="exact"/>
        <w:rPr>
          <w:rFonts w:hint="eastAsia" w:ascii="宋体" w:hAnsi="宋体" w:eastAsia="宋体" w:cs="宋体"/>
          <w:b/>
          <w:color w:val="auto"/>
          <w:szCs w:val="24"/>
          <w:highlight w:val="none"/>
        </w:rPr>
      </w:pPr>
      <w:bookmarkStart w:id="71" w:name="_Toc323711753"/>
      <w:bookmarkStart w:id="72" w:name="_Toc319407840"/>
      <w:bookmarkStart w:id="73" w:name="_Toc926"/>
      <w:bookmarkStart w:id="74" w:name="_Toc392345918"/>
      <w:bookmarkStart w:id="75" w:name="_Toc152045539"/>
      <w:bookmarkStart w:id="76" w:name="_Toc144974507"/>
      <w:bookmarkStart w:id="77" w:name="_Toc319408075"/>
      <w:bookmarkStart w:id="78" w:name="_Toc322615401"/>
      <w:bookmarkStart w:id="79" w:name="_Toc245036606"/>
      <w:bookmarkStart w:id="80" w:name="_Toc152042315"/>
      <w:r>
        <w:rPr>
          <w:rFonts w:hint="eastAsia" w:ascii="宋体" w:hAnsi="宋体" w:eastAsia="宋体" w:cs="宋体"/>
          <w:b/>
          <w:color w:val="auto"/>
          <w:szCs w:val="24"/>
          <w:highlight w:val="none"/>
        </w:rPr>
        <w:t>1.9 踏勘现场</w:t>
      </w:r>
      <w:bookmarkEnd w:id="71"/>
      <w:bookmarkEnd w:id="72"/>
      <w:bookmarkEnd w:id="73"/>
      <w:bookmarkEnd w:id="74"/>
      <w:bookmarkEnd w:id="75"/>
      <w:bookmarkEnd w:id="76"/>
      <w:bookmarkEnd w:id="77"/>
      <w:bookmarkEnd w:id="78"/>
      <w:bookmarkEnd w:id="79"/>
      <w:bookmarkEnd w:id="80"/>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投标人踏勘现场发生的费用自理。</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除招标人的原因外，投标人自行负责在踏勘现场中所发生的人员伤亡和财产损失。</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5"/>
        <w:spacing w:line="440" w:lineRule="exact"/>
        <w:rPr>
          <w:rFonts w:hint="eastAsia" w:ascii="宋体" w:hAnsi="宋体" w:eastAsia="宋体" w:cs="宋体"/>
          <w:b/>
          <w:color w:val="auto"/>
          <w:szCs w:val="24"/>
          <w:highlight w:val="none"/>
        </w:rPr>
      </w:pPr>
      <w:bookmarkStart w:id="81" w:name="_Toc319407841"/>
      <w:bookmarkStart w:id="82" w:name="_Toc152042316"/>
      <w:bookmarkStart w:id="83" w:name="_Toc322615402"/>
      <w:bookmarkStart w:id="84" w:name="_Toc245036607"/>
      <w:bookmarkStart w:id="85" w:name="_Toc392345919"/>
      <w:bookmarkStart w:id="86" w:name="_Toc144974508"/>
      <w:bookmarkStart w:id="87" w:name="_Toc319408076"/>
      <w:bookmarkStart w:id="88" w:name="_Toc323711754"/>
      <w:bookmarkStart w:id="89" w:name="_Toc152045540"/>
      <w:bookmarkStart w:id="90" w:name="_Toc1967"/>
      <w:r>
        <w:rPr>
          <w:rFonts w:hint="eastAsia" w:ascii="宋体" w:hAnsi="宋体" w:eastAsia="宋体" w:cs="宋体"/>
          <w:b/>
          <w:color w:val="auto"/>
          <w:szCs w:val="24"/>
          <w:highlight w:val="none"/>
        </w:rPr>
        <w:t xml:space="preserve">1.10 </w:t>
      </w:r>
      <w:bookmarkEnd w:id="81"/>
      <w:bookmarkEnd w:id="82"/>
      <w:bookmarkEnd w:id="83"/>
      <w:bookmarkEnd w:id="84"/>
      <w:bookmarkEnd w:id="85"/>
      <w:bookmarkEnd w:id="86"/>
      <w:bookmarkEnd w:id="87"/>
      <w:bookmarkEnd w:id="88"/>
      <w:bookmarkEnd w:id="89"/>
      <w:r>
        <w:rPr>
          <w:rFonts w:hint="eastAsia" w:ascii="宋体" w:hAnsi="宋体" w:eastAsia="宋体" w:cs="宋体"/>
          <w:b/>
          <w:color w:val="auto"/>
          <w:szCs w:val="24"/>
          <w:highlight w:val="none"/>
        </w:rPr>
        <w:t>投标预备会</w:t>
      </w:r>
      <w:bookmarkEnd w:id="90"/>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1.10.2投标人应在投标人须知前附表规定的时间前，以电子邮件的形式（可匿名）将提出的问题发至招标人的电子邮箱。</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1.10.4上传疑问邮箱，下载澄清、修改、补充文件网址见投标人须知前附表。</w:t>
      </w:r>
    </w:p>
    <w:p>
      <w:pPr>
        <w:pStyle w:val="45"/>
        <w:spacing w:line="440" w:lineRule="exact"/>
        <w:rPr>
          <w:rFonts w:hint="eastAsia" w:ascii="宋体" w:hAnsi="宋体" w:eastAsia="宋体" w:cs="宋体"/>
          <w:b/>
          <w:color w:val="auto"/>
          <w:szCs w:val="24"/>
          <w:highlight w:val="none"/>
        </w:rPr>
      </w:pPr>
      <w:bookmarkStart w:id="91" w:name="_Toc27344"/>
      <w:r>
        <w:rPr>
          <w:rFonts w:hint="eastAsia" w:ascii="宋体" w:hAnsi="宋体" w:eastAsia="宋体" w:cs="宋体"/>
          <w:b/>
          <w:color w:val="auto"/>
          <w:szCs w:val="24"/>
          <w:highlight w:val="none"/>
        </w:rPr>
        <w:t>1.11分包</w:t>
      </w:r>
      <w:bookmarkEnd w:id="91"/>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5"/>
        <w:spacing w:line="440" w:lineRule="exact"/>
        <w:rPr>
          <w:rFonts w:hint="eastAsia" w:ascii="宋体" w:hAnsi="宋体" w:eastAsia="宋体" w:cs="宋体"/>
          <w:b/>
          <w:color w:val="auto"/>
          <w:szCs w:val="24"/>
          <w:highlight w:val="none"/>
        </w:rPr>
      </w:pPr>
      <w:bookmarkStart w:id="92" w:name="_Toc13279"/>
      <w:r>
        <w:rPr>
          <w:rFonts w:hint="eastAsia" w:ascii="宋体" w:hAnsi="宋体" w:eastAsia="宋体" w:cs="宋体"/>
          <w:b/>
          <w:color w:val="auto"/>
          <w:szCs w:val="24"/>
          <w:highlight w:val="none"/>
        </w:rPr>
        <w:t>1.12偏离</w:t>
      </w:r>
      <w:bookmarkEnd w:id="92"/>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投标人须知前附表允许投标文件偏离招标文件某些要求的，偏离应当符合招标文件的规定。</w:t>
      </w:r>
    </w:p>
    <w:bookmarkEnd w:id="47"/>
    <w:bookmarkEnd w:id="48"/>
    <w:bookmarkEnd w:id="49"/>
    <w:bookmarkEnd w:id="50"/>
    <w:p>
      <w:pPr>
        <w:pStyle w:val="44"/>
        <w:spacing w:line="440" w:lineRule="exact"/>
        <w:rPr>
          <w:rFonts w:hint="eastAsia" w:ascii="宋体" w:hAnsi="宋体" w:eastAsia="宋体" w:cs="宋体"/>
          <w:color w:val="auto"/>
          <w:sz w:val="24"/>
          <w:szCs w:val="24"/>
          <w:highlight w:val="none"/>
        </w:rPr>
      </w:pPr>
      <w:bookmarkStart w:id="93" w:name="_Toc245036610"/>
      <w:bookmarkStart w:id="94" w:name="_Toc392345920"/>
      <w:bookmarkStart w:id="95" w:name="_Toc17"/>
      <w:bookmarkStart w:id="96" w:name="_Toc323711757"/>
      <w:bookmarkStart w:id="97" w:name="_Toc144974514"/>
      <w:bookmarkStart w:id="98" w:name="_Toc152045546"/>
      <w:bookmarkStart w:id="99" w:name="_Toc152042322"/>
      <w:bookmarkStart w:id="100" w:name="_Toc229646728"/>
      <w:bookmarkStart w:id="101" w:name="_Toc229646730"/>
      <w:bookmarkStart w:id="102" w:name="_Toc152045548"/>
      <w:bookmarkStart w:id="103" w:name="_Toc152042324"/>
      <w:bookmarkStart w:id="104" w:name="_Toc144974516"/>
      <w:r>
        <w:rPr>
          <w:rFonts w:hint="eastAsia" w:ascii="宋体" w:hAnsi="宋体" w:eastAsia="宋体" w:cs="宋体"/>
          <w:color w:val="auto"/>
          <w:sz w:val="24"/>
          <w:szCs w:val="24"/>
          <w:highlight w:val="none"/>
        </w:rPr>
        <w:t>2. 招标文件</w:t>
      </w:r>
      <w:bookmarkEnd w:id="93"/>
      <w:bookmarkEnd w:id="94"/>
      <w:bookmarkEnd w:id="95"/>
      <w:bookmarkEnd w:id="96"/>
    </w:p>
    <w:p>
      <w:pPr>
        <w:pStyle w:val="45"/>
        <w:spacing w:line="440" w:lineRule="exact"/>
        <w:rPr>
          <w:rFonts w:hint="eastAsia" w:ascii="宋体" w:hAnsi="宋体" w:eastAsia="宋体" w:cs="宋体"/>
          <w:b/>
          <w:color w:val="auto"/>
          <w:szCs w:val="24"/>
          <w:highlight w:val="none"/>
        </w:rPr>
      </w:pPr>
      <w:bookmarkStart w:id="105" w:name="_Toc323711758"/>
      <w:bookmarkStart w:id="106" w:name="_Toc245036611"/>
      <w:bookmarkStart w:id="107" w:name="_Toc319408080"/>
      <w:bookmarkStart w:id="108" w:name="_Toc26955"/>
      <w:bookmarkStart w:id="109" w:name="_Toc144974511"/>
      <w:bookmarkStart w:id="110" w:name="_Toc152045543"/>
      <w:bookmarkStart w:id="111" w:name="_Toc319407845"/>
      <w:bookmarkStart w:id="112" w:name="_Toc392345921"/>
      <w:bookmarkStart w:id="113" w:name="_Toc322615406"/>
      <w:bookmarkStart w:id="114" w:name="_Toc152042319"/>
      <w:r>
        <w:rPr>
          <w:rFonts w:hint="eastAsia" w:ascii="宋体" w:hAnsi="宋体" w:eastAsia="宋体" w:cs="宋体"/>
          <w:b/>
          <w:color w:val="auto"/>
          <w:szCs w:val="24"/>
          <w:highlight w:val="none"/>
        </w:rPr>
        <w:t>2.1 招标文件的组成</w:t>
      </w:r>
      <w:bookmarkEnd w:id="105"/>
      <w:bookmarkEnd w:id="106"/>
      <w:bookmarkEnd w:id="107"/>
      <w:bookmarkEnd w:id="108"/>
      <w:bookmarkEnd w:id="109"/>
      <w:bookmarkEnd w:id="110"/>
      <w:bookmarkEnd w:id="111"/>
      <w:bookmarkEnd w:id="112"/>
      <w:bookmarkEnd w:id="113"/>
      <w:bookmarkEnd w:id="114"/>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本招标文件包括：</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（3）评标办法；</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（4）合同条款及格式；</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（5）招标内容和技术要求； </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（7）投标人须知前附表规定的其他材料。</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根据本章第1.10款、第2.2款对招标文件所作的澄清、修改，构成招标文件的组成部分。</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招标文件、招标文件的澄清或修改等在同一内容的表述上不一致时，以最后发出的书面文件为准。</w:t>
      </w:r>
    </w:p>
    <w:p>
      <w:pPr>
        <w:pStyle w:val="45"/>
        <w:spacing w:line="440" w:lineRule="exact"/>
        <w:rPr>
          <w:rFonts w:hint="eastAsia" w:ascii="宋体" w:hAnsi="宋体" w:eastAsia="宋体" w:cs="宋体"/>
          <w:b/>
          <w:color w:val="auto"/>
          <w:szCs w:val="24"/>
          <w:highlight w:val="none"/>
        </w:rPr>
      </w:pPr>
      <w:bookmarkStart w:id="115" w:name="_Toc322615407"/>
      <w:bookmarkStart w:id="116" w:name="_Toc323711759"/>
      <w:bookmarkStart w:id="117" w:name="_Toc144974512"/>
      <w:bookmarkStart w:id="118" w:name="_Toc319407846"/>
      <w:bookmarkStart w:id="119" w:name="_Toc319408081"/>
      <w:bookmarkStart w:id="120" w:name="_Toc152045544"/>
      <w:bookmarkStart w:id="121" w:name="_Toc152042320"/>
      <w:bookmarkStart w:id="122" w:name="_Toc245036612"/>
      <w:bookmarkStart w:id="123" w:name="_Toc392345922"/>
      <w:bookmarkStart w:id="124" w:name="_Toc14430"/>
      <w:r>
        <w:rPr>
          <w:rFonts w:hint="eastAsia" w:ascii="宋体" w:hAnsi="宋体" w:eastAsia="宋体" w:cs="宋体"/>
          <w:b/>
          <w:color w:val="auto"/>
          <w:szCs w:val="24"/>
          <w:highlight w:val="none"/>
        </w:rPr>
        <w:t>2.2 招标文件的澄清</w:t>
      </w:r>
      <w:bookmarkEnd w:id="115"/>
      <w:bookmarkEnd w:id="116"/>
      <w:bookmarkEnd w:id="117"/>
      <w:bookmarkEnd w:id="118"/>
      <w:bookmarkEnd w:id="119"/>
      <w:bookmarkEnd w:id="120"/>
      <w:bookmarkEnd w:id="121"/>
      <w:bookmarkEnd w:id="122"/>
      <w:bookmarkEnd w:id="123"/>
      <w:bookmarkEnd w:id="124"/>
      <w:r>
        <w:rPr>
          <w:rFonts w:hint="eastAsia" w:ascii="宋体" w:hAnsi="宋体" w:eastAsia="宋体" w:cs="宋体"/>
          <w:b/>
          <w:color w:val="auto"/>
          <w:szCs w:val="24"/>
          <w:highlight w:val="none"/>
        </w:rPr>
        <w:t>和修改</w:t>
      </w:r>
    </w:p>
    <w:p>
      <w:pPr>
        <w:spacing w:line="360" w:lineRule="exact"/>
        <w:ind w:firstLine="480" w:firstLineChars="200"/>
        <w:rPr>
          <w:rFonts w:hint="eastAsia" w:ascii="宋体" w:hAnsi="宋体" w:eastAsia="宋体" w:cs="宋体"/>
          <w:color w:val="auto"/>
          <w:sz w:val="24"/>
          <w:szCs w:val="24"/>
          <w:highlight w:val="none"/>
        </w:rPr>
      </w:pPr>
      <w:bookmarkStart w:id="125" w:name="_Toc3662"/>
      <w:bookmarkStart w:id="126" w:name="_Toc392345924"/>
      <w:r>
        <w:rPr>
          <w:rFonts w:hint="eastAsia" w:ascii="宋体" w:hAnsi="宋体" w:eastAsia="宋体" w:cs="宋体"/>
          <w:color w:val="auto"/>
          <w:sz w:val="24"/>
          <w:szCs w:val="24"/>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投标人确认收到招标文件澄清和修改内容的时间：见投标人须知前附表。</w:t>
      </w:r>
    </w:p>
    <w:p>
      <w:pPr>
        <w:pStyle w:val="44"/>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投标文件</w:t>
      </w:r>
      <w:bookmarkEnd w:id="97"/>
      <w:bookmarkEnd w:id="98"/>
      <w:bookmarkEnd w:id="99"/>
      <w:bookmarkEnd w:id="100"/>
      <w:bookmarkEnd w:id="125"/>
      <w:bookmarkEnd w:id="126"/>
    </w:p>
    <w:p>
      <w:pPr>
        <w:pStyle w:val="45"/>
        <w:spacing w:line="440" w:lineRule="exact"/>
        <w:rPr>
          <w:rFonts w:hint="eastAsia" w:ascii="宋体" w:hAnsi="宋体" w:eastAsia="宋体" w:cs="宋体"/>
          <w:b/>
          <w:color w:val="auto"/>
          <w:szCs w:val="24"/>
          <w:highlight w:val="none"/>
        </w:rPr>
      </w:pPr>
      <w:bookmarkStart w:id="127" w:name="_Toc152045547"/>
      <w:bookmarkStart w:id="128" w:name="_Toc229646729"/>
      <w:bookmarkStart w:id="129" w:name="_Toc144974515"/>
      <w:bookmarkStart w:id="130" w:name="_Toc392345925"/>
      <w:bookmarkStart w:id="131" w:name="_Toc22707"/>
      <w:bookmarkStart w:id="132" w:name="_Toc152042323"/>
      <w:r>
        <w:rPr>
          <w:rFonts w:hint="eastAsia" w:ascii="宋体" w:hAnsi="宋体" w:eastAsia="宋体" w:cs="宋体"/>
          <w:b/>
          <w:color w:val="auto"/>
          <w:szCs w:val="24"/>
          <w:highlight w:val="none"/>
        </w:rPr>
        <w:t>3.1 投标文件的组成</w:t>
      </w:r>
      <w:bookmarkEnd w:id="127"/>
      <w:bookmarkEnd w:id="128"/>
      <w:bookmarkEnd w:id="129"/>
      <w:bookmarkEnd w:id="130"/>
      <w:bookmarkEnd w:id="131"/>
      <w:bookmarkEnd w:id="132"/>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3.1.1商务标部分</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（1）投标函(格式一)</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（2）法定代表人授权书及法定代表人身份证明(格式二、格式三)</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（3）投标报价表（格式四）</w:t>
      </w:r>
    </w:p>
    <w:p>
      <w:pPr>
        <w:pStyle w:val="10"/>
        <w:ind w:firstLine="410" w:firstLineChars="171"/>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（4）商务条款偏离表（格式自拟）</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☑（5）随机备品备件一览表（格式自拟）</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☑（6）供招标人选购的备品备件一览表（格式自拟）</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Style w:val="46"/>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rPr>
        <w:t>专用检测设备及专用维修工具一览表（格式自拟）</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i/>
          <w:color w:val="auto"/>
          <w:sz w:val="24"/>
          <w:szCs w:val="24"/>
          <w:highlight w:val="none"/>
          <w:u w:val="single"/>
        </w:rPr>
        <w:t>（</w:t>
      </w:r>
      <w:r>
        <w:rPr>
          <w:rFonts w:hint="eastAsia" w:ascii="宋体" w:hAnsi="宋体" w:eastAsia="宋体" w:cs="宋体"/>
          <w:i/>
          <w:color w:val="auto"/>
          <w:sz w:val="24"/>
          <w:szCs w:val="24"/>
          <w:highlight w:val="none"/>
        </w:rPr>
        <w:t>招标人需要增加的其他商务内容）</w:t>
      </w:r>
      <w:r>
        <w:rPr>
          <w:rFonts w:hint="eastAsia" w:ascii="宋体" w:hAnsi="宋体" w:eastAsia="宋体" w:cs="宋体"/>
          <w:color w:val="auto"/>
          <w:sz w:val="24"/>
          <w:szCs w:val="24"/>
          <w:highlight w:val="none"/>
        </w:rPr>
        <w:t>。</w:t>
      </w:r>
    </w:p>
    <w:p>
      <w:pPr>
        <w:pStyle w:val="10"/>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3.1.2技术标部分</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☑（1）货物说明一览表（格式自拟）</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☑（2）技术响应表（格式自拟）</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☑（3）主要配置说明一览表（格式自拟）</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☑（4）技术规格偏离表（格式自拟）</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☑（5）投标方案图纸、产品详细技术规格书</w:t>
      </w:r>
      <w:r>
        <w:rPr>
          <w:rFonts w:hint="eastAsia" w:ascii="宋体" w:hAnsi="宋体" w:eastAsia="宋体" w:cs="宋体"/>
          <w:strike/>
          <w:color w:val="auto"/>
          <w:sz w:val="24"/>
          <w:szCs w:val="24"/>
          <w:highlight w:val="none"/>
        </w:rPr>
        <w:t>及所投产品的样本</w:t>
      </w:r>
      <w:r>
        <w:rPr>
          <w:rFonts w:hint="eastAsia" w:ascii="宋体" w:hAnsi="宋体" w:eastAsia="宋体" w:cs="宋体"/>
          <w:color w:val="auto"/>
          <w:sz w:val="24"/>
          <w:szCs w:val="24"/>
          <w:highlight w:val="none"/>
        </w:rPr>
        <w:t>及本招标文件中规定的其它必须提供的文件及资料。</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☑（6）产品的主要技术、结构、性能、特点和质量水平的详细描述</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☑（7）产品制造、安装、验收标准</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☑（8）主要工艺装备和主要检测设施的拥有情况和现状</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☑（9）质量手册或关于质量管理、质量体系、质量控制、质量保证的详细介绍</w:t>
      </w:r>
    </w:p>
    <w:p>
      <w:pPr>
        <w:pStyle w:val="10"/>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产品的技术服务和售后服务的内容和措施</w:t>
      </w:r>
    </w:p>
    <w:p>
      <w:pPr>
        <w:pStyle w:val="1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i/>
          <w:color w:val="auto"/>
          <w:sz w:val="24"/>
          <w:szCs w:val="24"/>
          <w:highlight w:val="none"/>
        </w:rPr>
        <w:t>（招标人需要增加的其他技术内容）</w:t>
      </w:r>
      <w:r>
        <w:rPr>
          <w:rFonts w:hint="eastAsia" w:ascii="宋体" w:hAnsi="宋体" w:eastAsia="宋体" w:cs="宋体"/>
          <w:color w:val="auto"/>
          <w:sz w:val="24"/>
          <w:szCs w:val="24"/>
          <w:highlight w:val="none"/>
        </w:rPr>
        <w:t>。</w:t>
      </w:r>
    </w:p>
    <w:p>
      <w:pPr>
        <w:widowControl/>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注：未尽事宜请各投标单位按技术部分评分标准制作(重要)！</w:t>
      </w:r>
    </w:p>
    <w:p>
      <w:pPr>
        <w:pStyle w:val="1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3.1.3资格审查资料</w:t>
      </w:r>
    </w:p>
    <w:p>
      <w:pPr>
        <w:widowControl/>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详见投标人须知前附表第 3.5 条款。</w:t>
      </w:r>
    </w:p>
    <w:p>
      <w:pPr>
        <w:pStyle w:val="45"/>
        <w:spacing w:line="440" w:lineRule="exact"/>
        <w:rPr>
          <w:rFonts w:hint="eastAsia" w:ascii="宋体" w:hAnsi="宋体" w:eastAsia="宋体" w:cs="宋体"/>
          <w:b/>
          <w:color w:val="auto"/>
          <w:szCs w:val="24"/>
          <w:highlight w:val="none"/>
        </w:rPr>
      </w:pPr>
      <w:bookmarkStart w:id="133" w:name="_Toc5081"/>
      <w:bookmarkStart w:id="134" w:name="_Toc392345926"/>
      <w:r>
        <w:rPr>
          <w:rFonts w:hint="eastAsia" w:ascii="宋体" w:hAnsi="宋体" w:eastAsia="宋体" w:cs="宋体"/>
          <w:b/>
          <w:color w:val="auto"/>
          <w:szCs w:val="24"/>
          <w:highlight w:val="none"/>
        </w:rPr>
        <w:t>3.2 投标报价</w:t>
      </w:r>
      <w:bookmarkEnd w:id="101"/>
      <w:bookmarkEnd w:id="102"/>
      <w:bookmarkEnd w:id="103"/>
      <w:bookmarkEnd w:id="104"/>
      <w:bookmarkEnd w:id="133"/>
      <w:bookmarkEnd w:id="134"/>
    </w:p>
    <w:p>
      <w:pPr>
        <w:ind w:firstLine="480" w:firstLineChars="200"/>
        <w:rPr>
          <w:rFonts w:hint="eastAsia" w:ascii="宋体" w:hAnsi="宋体" w:eastAsia="宋体" w:cs="宋体"/>
          <w:color w:val="auto"/>
          <w:sz w:val="24"/>
          <w:szCs w:val="24"/>
          <w:highlight w:val="none"/>
        </w:rPr>
      </w:pPr>
      <w:bookmarkStart w:id="135" w:name="_Toc152042325"/>
      <w:bookmarkStart w:id="136" w:name="_Toc144974517"/>
      <w:bookmarkStart w:id="137" w:name="_Toc152045549"/>
      <w:bookmarkStart w:id="138" w:name="_Toc229646731"/>
      <w:r>
        <w:rPr>
          <w:rFonts w:hint="eastAsia" w:ascii="宋体" w:hAnsi="宋体" w:eastAsia="宋体" w:cs="宋体"/>
          <w:color w:val="auto"/>
          <w:sz w:val="24"/>
          <w:szCs w:val="24"/>
          <w:highlight w:val="none"/>
        </w:rPr>
        <w:t>3.2.1 投标人应按本招标文件中“投标文件格式”的要求填写相应表格。</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3.2.3招标人设有最高投标限价的，投标人的投标报价不得超过最高投标限价，最高投标限价详见投标人须知前附表。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3.2.4投标报价的其他要求详见投标人须知前附表。</w:t>
      </w:r>
    </w:p>
    <w:p>
      <w:pPr>
        <w:pStyle w:val="45"/>
        <w:spacing w:line="440" w:lineRule="exact"/>
        <w:rPr>
          <w:rFonts w:hint="eastAsia" w:ascii="宋体" w:hAnsi="宋体" w:eastAsia="宋体" w:cs="宋体"/>
          <w:b/>
          <w:color w:val="auto"/>
          <w:szCs w:val="24"/>
          <w:highlight w:val="none"/>
        </w:rPr>
      </w:pPr>
      <w:bookmarkStart w:id="139" w:name="_Toc22162"/>
      <w:bookmarkStart w:id="140" w:name="_Toc392345927"/>
      <w:r>
        <w:rPr>
          <w:rFonts w:hint="eastAsia" w:ascii="宋体" w:hAnsi="宋体" w:eastAsia="宋体" w:cs="宋体"/>
          <w:b/>
          <w:color w:val="auto"/>
          <w:szCs w:val="24"/>
          <w:highlight w:val="none"/>
        </w:rPr>
        <w:t>3.3 投标有效期</w:t>
      </w:r>
      <w:bookmarkEnd w:id="135"/>
      <w:bookmarkEnd w:id="136"/>
      <w:bookmarkEnd w:id="137"/>
      <w:bookmarkEnd w:id="138"/>
      <w:bookmarkEnd w:id="139"/>
      <w:bookmarkEnd w:id="140"/>
    </w:p>
    <w:p>
      <w:pPr>
        <w:ind w:firstLine="480" w:firstLineChars="200"/>
        <w:rPr>
          <w:rFonts w:hint="eastAsia" w:ascii="宋体" w:hAnsi="宋体" w:eastAsia="宋体" w:cs="宋体"/>
          <w:color w:val="auto"/>
          <w:sz w:val="24"/>
          <w:szCs w:val="24"/>
          <w:highlight w:val="none"/>
        </w:rPr>
      </w:pPr>
      <w:bookmarkStart w:id="141" w:name="_Toc229646732"/>
      <w:bookmarkStart w:id="142" w:name="_Toc144974518"/>
      <w:bookmarkStart w:id="143" w:name="_Toc152042326"/>
      <w:bookmarkStart w:id="144" w:name="_Toc152045550"/>
      <w:r>
        <w:rPr>
          <w:rFonts w:hint="eastAsia" w:ascii="宋体" w:hAnsi="宋体" w:eastAsia="宋体" w:cs="宋体"/>
          <w:color w:val="auto"/>
          <w:sz w:val="24"/>
          <w:szCs w:val="24"/>
          <w:highlight w:val="none"/>
        </w:rPr>
        <w:t>3.3.1 在投标人须知前附表规定的投标有效期内，投标人不得撤销其投标文件。</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5"/>
        <w:spacing w:line="440" w:lineRule="exact"/>
        <w:rPr>
          <w:rFonts w:hint="eastAsia" w:ascii="宋体" w:hAnsi="宋体" w:eastAsia="宋体" w:cs="宋体"/>
          <w:b/>
          <w:color w:val="auto"/>
          <w:szCs w:val="24"/>
          <w:highlight w:val="none"/>
        </w:rPr>
      </w:pPr>
      <w:bookmarkStart w:id="145" w:name="_Toc392345928"/>
      <w:bookmarkStart w:id="146" w:name="_Toc10327"/>
      <w:r>
        <w:rPr>
          <w:rFonts w:hint="eastAsia" w:ascii="宋体" w:hAnsi="宋体" w:eastAsia="宋体" w:cs="宋体"/>
          <w:b/>
          <w:color w:val="auto"/>
          <w:szCs w:val="24"/>
          <w:highlight w:val="none"/>
        </w:rPr>
        <w:t>3.4 投标保证金</w:t>
      </w:r>
      <w:bookmarkEnd w:id="141"/>
      <w:bookmarkEnd w:id="142"/>
      <w:bookmarkEnd w:id="143"/>
      <w:bookmarkEnd w:id="144"/>
      <w:bookmarkEnd w:id="145"/>
      <w:bookmarkEnd w:id="146"/>
    </w:p>
    <w:p>
      <w:pPr>
        <w:ind w:firstLine="480" w:firstLineChars="200"/>
        <w:rPr>
          <w:rFonts w:hint="eastAsia" w:ascii="宋体" w:hAnsi="宋体" w:eastAsia="宋体" w:cs="宋体"/>
          <w:color w:val="auto"/>
          <w:sz w:val="24"/>
          <w:szCs w:val="24"/>
          <w:highlight w:val="none"/>
        </w:rPr>
      </w:pPr>
      <w:bookmarkStart w:id="147" w:name="_Toc229646733"/>
      <w:bookmarkStart w:id="148" w:name="_Toc152042328"/>
      <w:bookmarkStart w:id="149" w:name="_Toc152045552"/>
      <w:bookmarkStart w:id="150" w:name="_Toc144974520"/>
      <w:r>
        <w:rPr>
          <w:rFonts w:hint="eastAsia" w:ascii="宋体" w:hAnsi="宋体" w:eastAsia="宋体" w:cs="宋体"/>
          <w:color w:val="auto"/>
          <w:sz w:val="24"/>
          <w:szCs w:val="24"/>
          <w:highlight w:val="none"/>
        </w:rPr>
        <w:t>3.4.1 投标人应按投标人须知前附表规定的金额、时间及形式递交投标保证金，并作为其投标文件的组成部分。</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3.4.2投标人应按本章第3.4.1 项要求提交投标保证金。</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w:t>
      </w:r>
      <w:r>
        <w:rPr>
          <w:rFonts w:hint="eastAsia" w:ascii="宋体" w:hAnsi="宋体" w:eastAsia="宋体" w:cs="宋体"/>
          <w:color w:val="auto"/>
          <w:sz w:val="24"/>
          <w:szCs w:val="24"/>
          <w:highlight w:val="none"/>
          <w:lang w:bidi="ar"/>
        </w:rPr>
        <w:t>投标保证金的退还：按现行规定退还</w:t>
      </w:r>
      <w:r>
        <w:rPr>
          <w:rFonts w:hint="eastAsia" w:ascii="宋体" w:hAnsi="宋体" w:eastAsia="宋体" w:cs="宋体"/>
          <w:color w:val="auto"/>
          <w:sz w:val="24"/>
          <w:szCs w:val="24"/>
          <w:highlight w:val="none"/>
        </w:rPr>
        <w:t>（中标人的投标保证金在中标人缴纳履约保证金且签订中标合同后按规定程序无息退还）。</w:t>
      </w:r>
    </w:p>
    <w:p>
      <w:pPr>
        <w:widowControl/>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w:t>
      </w:r>
      <w:r>
        <w:rPr>
          <w:rFonts w:hint="eastAsia" w:ascii="宋体" w:hAnsi="宋体" w:eastAsia="宋体" w:cs="宋体"/>
          <w:color w:val="auto"/>
          <w:sz w:val="24"/>
          <w:szCs w:val="24"/>
          <w:highlight w:val="none"/>
          <w:lang w:bidi="ar"/>
        </w:rPr>
        <w:t xml:space="preserve">有下列情形之一的，投标保证金将不予退还： </w:t>
      </w:r>
    </w:p>
    <w:p>
      <w:pPr>
        <w:widowControl/>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（1）投标人在规定的投标有效期内撤销或修改其投标文件； </w:t>
      </w:r>
    </w:p>
    <w:p>
      <w:pPr>
        <w:widowControl/>
        <w:ind w:left="210" w:leftChars="100" w:firstLine="240" w:firstLineChars="1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（2）中标人在收到中标通知书后，无正当理由拒签合同协议书或未按招标文件规定提交履约担保；</w:t>
      </w:r>
    </w:p>
    <w:p>
      <w:pPr>
        <w:widowControl/>
        <w:ind w:left="210" w:leftChars="100" w:firstLine="240" w:firstLineChars="1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(3)存在违反《招标投标法》第三十二条、第三十三条规定的违法情形的；</w:t>
      </w:r>
    </w:p>
    <w:p>
      <w:pPr>
        <w:widowControl/>
        <w:ind w:left="210" w:leftChars="100" w:firstLine="240" w:firstLineChars="1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(4)招标文件等材料约定的不予退还的其他情形；</w:t>
      </w:r>
    </w:p>
    <w:p>
      <w:pPr>
        <w:widowControl/>
        <w:ind w:left="210" w:leftChars="100" w:firstLine="240" w:firstLineChars="1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（5）其他法律法规规定情形。 </w:t>
      </w:r>
    </w:p>
    <w:bookmarkEnd w:id="147"/>
    <w:bookmarkEnd w:id="148"/>
    <w:bookmarkEnd w:id="149"/>
    <w:bookmarkEnd w:id="150"/>
    <w:p>
      <w:pPr>
        <w:pStyle w:val="45"/>
        <w:spacing w:line="440" w:lineRule="exact"/>
        <w:rPr>
          <w:rFonts w:hint="eastAsia" w:ascii="宋体" w:hAnsi="宋体" w:eastAsia="宋体" w:cs="宋体"/>
          <w:b/>
          <w:color w:val="auto"/>
          <w:szCs w:val="24"/>
          <w:highlight w:val="none"/>
        </w:rPr>
      </w:pPr>
      <w:bookmarkStart w:id="151" w:name="_Toc319407854"/>
      <w:bookmarkStart w:id="152" w:name="_Toc322615415"/>
      <w:bookmarkStart w:id="153" w:name="_Toc319408089"/>
      <w:bookmarkStart w:id="154" w:name="_Toc144974521"/>
      <w:bookmarkStart w:id="155" w:name="_Toc152042329"/>
      <w:bookmarkStart w:id="156" w:name="_Toc245036620"/>
      <w:bookmarkStart w:id="157" w:name="_Toc323711767"/>
      <w:bookmarkStart w:id="158" w:name="_Toc152045553"/>
      <w:bookmarkStart w:id="159" w:name="_Toc16875"/>
      <w:bookmarkStart w:id="160" w:name="_Toc392345930"/>
      <w:bookmarkStart w:id="161" w:name="_Toc229646740"/>
      <w:bookmarkStart w:id="162" w:name="_Toc152042335"/>
      <w:bookmarkStart w:id="163" w:name="_Toc152045559"/>
      <w:bookmarkStart w:id="164" w:name="_Toc144974527"/>
      <w:r>
        <w:rPr>
          <w:rFonts w:hint="eastAsia" w:ascii="宋体" w:hAnsi="宋体" w:eastAsia="宋体" w:cs="宋体"/>
          <w:b/>
          <w:color w:val="auto"/>
          <w:szCs w:val="24"/>
          <w:highlight w:val="none"/>
        </w:rPr>
        <w:t>3.</w:t>
      </w:r>
      <w:bookmarkEnd w:id="151"/>
      <w:bookmarkEnd w:id="152"/>
      <w:bookmarkEnd w:id="153"/>
      <w:bookmarkEnd w:id="154"/>
      <w:bookmarkEnd w:id="155"/>
      <w:bookmarkEnd w:id="156"/>
      <w:bookmarkEnd w:id="157"/>
      <w:bookmarkEnd w:id="158"/>
      <w:bookmarkStart w:id="165" w:name="_Toc245036621"/>
      <w:bookmarkStart w:id="166" w:name="_Toc319407855"/>
      <w:bookmarkStart w:id="167" w:name="_Toc319408090"/>
      <w:bookmarkStart w:id="168" w:name="_Toc322615416"/>
      <w:bookmarkStart w:id="169" w:name="_Toc323711768"/>
      <w:r>
        <w:rPr>
          <w:rFonts w:hint="eastAsia" w:ascii="宋体" w:hAnsi="宋体" w:eastAsia="宋体" w:cs="宋体"/>
          <w:b/>
          <w:color w:val="auto"/>
          <w:szCs w:val="24"/>
          <w:highlight w:val="none"/>
        </w:rPr>
        <w:t>5资格审查资料</w:t>
      </w:r>
      <w:bookmarkEnd w:id="159"/>
    </w:p>
    <w:p>
      <w:pPr>
        <w:ind w:firstLine="480" w:firstLineChars="200"/>
        <w:rPr>
          <w:rFonts w:hint="eastAsia" w:ascii="宋体" w:hAnsi="宋体" w:eastAsia="宋体" w:cs="宋体"/>
          <w:strike/>
          <w:color w:val="auto"/>
          <w:sz w:val="24"/>
          <w:szCs w:val="24"/>
          <w:highlight w:val="none"/>
        </w:rPr>
      </w:pPr>
      <w:bookmarkStart w:id="170" w:name="_Toc152045554"/>
      <w:bookmarkStart w:id="171" w:name="_Toc144974522"/>
      <w:bookmarkStart w:id="172" w:name="_Toc229646735"/>
      <w:bookmarkStart w:id="173" w:name="_Toc300834974"/>
      <w:bookmarkStart w:id="174" w:name="_Toc247527578"/>
      <w:bookmarkStart w:id="175" w:name="_Toc247513977"/>
      <w:bookmarkStart w:id="176" w:name="_Toc152042330"/>
      <w:r>
        <w:rPr>
          <w:rFonts w:hint="eastAsia" w:ascii="宋体" w:hAnsi="宋体" w:eastAsia="宋体" w:cs="宋体"/>
          <w:strike/>
          <w:color w:val="auto"/>
          <w:sz w:val="24"/>
          <w:szCs w:val="24"/>
          <w:highlight w:val="none"/>
        </w:rPr>
        <w:t>3.5.1 “投标人基本情况表”应附投标人营业执照副本、资质证书副本等材料的复印件。</w:t>
      </w:r>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3.5.2 “近年完成的类似项目情况表”应附中标通知书、合同复印件及医院验收证明，具体年份要求见投标人须知前附表。每张表格只填写一个项目，并标明序号。</w:t>
      </w:r>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3.5.5 “近年发生的诉讼及仲裁情况”应说明相关情况，并附法院或仲裁机构作出的判决、裁决等有关法律文书复印件，具体年份要求见投标人须知前附表。</w:t>
      </w:r>
    </w:p>
    <w:p>
      <w:pPr>
        <w:ind w:firstLine="480" w:firstLineChars="200"/>
        <w:rPr>
          <w:rFonts w:hint="eastAsia" w:ascii="宋体" w:hAnsi="宋体" w:eastAsia="宋体" w:cs="宋体"/>
          <w:bCs/>
          <w:strike/>
          <w:color w:val="auto"/>
          <w:sz w:val="24"/>
          <w:szCs w:val="24"/>
          <w:highlight w:val="none"/>
        </w:rPr>
      </w:pPr>
      <w:r>
        <w:rPr>
          <w:rFonts w:hint="eastAsia" w:ascii="宋体" w:hAnsi="宋体" w:eastAsia="宋体" w:cs="宋体"/>
          <w:strike/>
          <w:color w:val="auto"/>
          <w:sz w:val="24"/>
          <w:szCs w:val="24"/>
          <w:highlight w:val="none"/>
        </w:rPr>
        <w:t>3.5.6 投标单位应本着诚实信用的原则，提供真实可信的资格审查资料。若投标单位提供虚假资料，一经查实，</w:t>
      </w:r>
      <w:r>
        <w:rPr>
          <w:rFonts w:hint="eastAsia" w:ascii="宋体" w:hAnsi="宋体" w:eastAsia="宋体" w:cs="宋体"/>
          <w:bCs/>
          <w:strike/>
          <w:color w:val="auto"/>
          <w:sz w:val="24"/>
          <w:szCs w:val="24"/>
          <w:highlight w:val="none"/>
        </w:rPr>
        <w:t>除</w:t>
      </w:r>
      <w:r>
        <w:rPr>
          <w:rFonts w:hint="eastAsia" w:ascii="宋体" w:hAnsi="宋体" w:eastAsia="宋体" w:cs="宋体"/>
          <w:strike/>
          <w:color w:val="auto"/>
          <w:sz w:val="24"/>
          <w:szCs w:val="24"/>
          <w:highlight w:val="none"/>
        </w:rPr>
        <w:t>按否决投标处理</w:t>
      </w:r>
      <w:r>
        <w:rPr>
          <w:rFonts w:hint="eastAsia" w:ascii="宋体" w:hAnsi="宋体" w:eastAsia="宋体" w:cs="宋体"/>
          <w:bCs/>
          <w:strike/>
          <w:color w:val="auto"/>
          <w:sz w:val="24"/>
          <w:szCs w:val="24"/>
          <w:highlight w:val="none"/>
        </w:rPr>
        <w:t>外，其投标保证金不予退还。</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3.5.7资格审查资料详见投标人须知前附表。</w:t>
      </w:r>
    </w:p>
    <w:bookmarkEnd w:id="170"/>
    <w:bookmarkEnd w:id="171"/>
    <w:bookmarkEnd w:id="172"/>
    <w:bookmarkEnd w:id="173"/>
    <w:bookmarkEnd w:id="174"/>
    <w:bookmarkEnd w:id="175"/>
    <w:bookmarkEnd w:id="176"/>
    <w:p>
      <w:pPr>
        <w:pStyle w:val="45"/>
        <w:spacing w:line="440" w:lineRule="exact"/>
        <w:rPr>
          <w:rFonts w:hint="eastAsia" w:ascii="宋体" w:hAnsi="宋体" w:eastAsia="宋体" w:cs="宋体"/>
          <w:b/>
          <w:strike/>
          <w:color w:val="auto"/>
          <w:szCs w:val="24"/>
          <w:highlight w:val="none"/>
        </w:rPr>
      </w:pPr>
      <w:bookmarkStart w:id="177" w:name="_Toc29305"/>
      <w:r>
        <w:rPr>
          <w:rFonts w:hint="eastAsia" w:ascii="宋体" w:hAnsi="宋体" w:eastAsia="宋体" w:cs="宋体"/>
          <w:b/>
          <w:strike/>
          <w:color w:val="auto"/>
          <w:szCs w:val="24"/>
          <w:highlight w:val="none"/>
        </w:rPr>
        <w:t>3.6备选投标方案</w:t>
      </w:r>
      <w:bookmarkEnd w:id="177"/>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5"/>
        <w:spacing w:line="440" w:lineRule="exact"/>
        <w:rPr>
          <w:rFonts w:hint="eastAsia" w:ascii="宋体" w:hAnsi="宋体" w:eastAsia="宋体" w:cs="宋体"/>
          <w:b/>
          <w:color w:val="auto"/>
          <w:szCs w:val="24"/>
          <w:highlight w:val="none"/>
        </w:rPr>
      </w:pPr>
      <w:bookmarkStart w:id="178" w:name="_Toc11039"/>
      <w:r>
        <w:rPr>
          <w:rFonts w:hint="eastAsia" w:ascii="宋体" w:hAnsi="宋体" w:eastAsia="宋体" w:cs="宋体"/>
          <w:b/>
          <w:color w:val="auto"/>
          <w:szCs w:val="24"/>
          <w:highlight w:val="none"/>
        </w:rPr>
        <w:t>3.7投标文件的编制</w:t>
      </w:r>
      <w:bookmarkEnd w:id="160"/>
      <w:bookmarkEnd w:id="165"/>
      <w:bookmarkEnd w:id="166"/>
      <w:bookmarkEnd w:id="167"/>
      <w:bookmarkEnd w:id="168"/>
      <w:bookmarkEnd w:id="169"/>
      <w:bookmarkEnd w:id="178"/>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3.7.4投标文件的正本与副本应分别装订成册，并编制目录。</w:t>
      </w:r>
      <w:bookmarkStart w:id="179" w:name="_Toc245036622"/>
      <w:bookmarkStart w:id="180" w:name="_Toc144974523"/>
      <w:bookmarkStart w:id="181" w:name="_Toc152045555"/>
      <w:bookmarkStart w:id="182" w:name="_Toc152042331"/>
      <w:bookmarkStart w:id="183" w:name="_Toc323711769"/>
      <w:bookmarkStart w:id="184" w:name="_Toc392345931"/>
      <w:r>
        <w:rPr>
          <w:rFonts w:hint="eastAsia" w:ascii="宋体" w:hAnsi="宋体" w:eastAsia="宋体" w:cs="宋体"/>
          <w:color w:val="auto"/>
          <w:sz w:val="24"/>
          <w:szCs w:val="24"/>
          <w:highlight w:val="none"/>
        </w:rPr>
        <w:t>具体装订要求见投标人须知前附表规定。</w:t>
      </w:r>
    </w:p>
    <w:p>
      <w:pPr>
        <w:pStyle w:val="44"/>
        <w:spacing w:line="440" w:lineRule="exact"/>
        <w:rPr>
          <w:rFonts w:hint="eastAsia" w:ascii="宋体" w:hAnsi="宋体" w:eastAsia="宋体" w:cs="宋体"/>
          <w:color w:val="auto"/>
          <w:sz w:val="24"/>
          <w:szCs w:val="24"/>
          <w:highlight w:val="none"/>
        </w:rPr>
      </w:pPr>
      <w:bookmarkStart w:id="185" w:name="_Toc7085"/>
      <w:r>
        <w:rPr>
          <w:rFonts w:hint="eastAsia" w:ascii="宋体" w:hAnsi="宋体" w:eastAsia="宋体" w:cs="宋体"/>
          <w:color w:val="auto"/>
          <w:sz w:val="24"/>
          <w:szCs w:val="24"/>
          <w:highlight w:val="none"/>
        </w:rPr>
        <w:t>4. 投标</w:t>
      </w:r>
      <w:bookmarkEnd w:id="179"/>
      <w:bookmarkEnd w:id="180"/>
      <w:bookmarkEnd w:id="181"/>
      <w:bookmarkEnd w:id="182"/>
      <w:bookmarkEnd w:id="183"/>
      <w:bookmarkEnd w:id="184"/>
      <w:bookmarkEnd w:id="185"/>
    </w:p>
    <w:p>
      <w:pPr>
        <w:pStyle w:val="45"/>
        <w:spacing w:line="440" w:lineRule="exact"/>
        <w:rPr>
          <w:rFonts w:hint="eastAsia" w:ascii="宋体" w:hAnsi="宋体" w:eastAsia="宋体" w:cs="宋体"/>
          <w:b/>
          <w:color w:val="auto"/>
          <w:szCs w:val="24"/>
          <w:highlight w:val="none"/>
        </w:rPr>
      </w:pPr>
      <w:bookmarkStart w:id="186" w:name="_Toc144974524"/>
      <w:bookmarkStart w:id="187" w:name="_Toc152042332"/>
      <w:bookmarkStart w:id="188" w:name="_Toc392345932"/>
      <w:bookmarkStart w:id="189" w:name="_Toc152045556"/>
      <w:bookmarkStart w:id="190" w:name="_Toc319408092"/>
      <w:bookmarkStart w:id="191" w:name="_Toc20016"/>
      <w:bookmarkStart w:id="192" w:name="_Toc245036623"/>
      <w:bookmarkStart w:id="193" w:name="_Toc322615418"/>
      <w:bookmarkStart w:id="194" w:name="_Toc323711770"/>
      <w:bookmarkStart w:id="195" w:name="_Toc319407857"/>
      <w:r>
        <w:rPr>
          <w:rFonts w:hint="eastAsia" w:ascii="宋体" w:hAnsi="宋体" w:eastAsia="宋体" w:cs="宋体"/>
          <w:b/>
          <w:color w:val="auto"/>
          <w:szCs w:val="24"/>
          <w:highlight w:val="none"/>
        </w:rPr>
        <w:t>4.1 投标文件的密封和标记</w:t>
      </w:r>
      <w:bookmarkEnd w:id="186"/>
      <w:bookmarkEnd w:id="187"/>
      <w:bookmarkEnd w:id="188"/>
      <w:bookmarkEnd w:id="189"/>
      <w:bookmarkEnd w:id="190"/>
      <w:bookmarkEnd w:id="191"/>
      <w:bookmarkEnd w:id="192"/>
      <w:bookmarkEnd w:id="193"/>
      <w:bookmarkEnd w:id="194"/>
      <w:bookmarkEnd w:id="195"/>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w:t>
      </w:r>
      <w:r>
        <w:rPr>
          <w:rFonts w:hint="eastAsia" w:ascii="宋体" w:hAnsi="宋体" w:eastAsia="宋体" w:cs="宋体"/>
          <w:b/>
          <w:bCs/>
          <w:color w:val="auto"/>
          <w:sz w:val="24"/>
          <w:szCs w:val="24"/>
          <w:highlight w:val="none"/>
        </w:rPr>
        <w:t>投标文件的正本副本统一包装在一个密封袋内</w:t>
      </w:r>
      <w:r>
        <w:rPr>
          <w:rFonts w:hint="eastAsia" w:ascii="宋体" w:hAnsi="宋体" w:eastAsia="宋体" w:cs="宋体"/>
          <w:color w:val="auto"/>
          <w:sz w:val="24"/>
          <w:szCs w:val="24"/>
          <w:highlight w:val="none"/>
        </w:rPr>
        <w:t>（包装要求见投标人须知前附表）。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 投标文件封套上应写明的内容见投标人须知前附表。</w:t>
      </w:r>
    </w:p>
    <w:p>
      <w:pPr>
        <w:pStyle w:val="45"/>
        <w:spacing w:line="440" w:lineRule="exact"/>
        <w:rPr>
          <w:rFonts w:hint="eastAsia" w:ascii="宋体" w:hAnsi="宋体" w:eastAsia="宋体" w:cs="宋体"/>
          <w:b/>
          <w:color w:val="auto"/>
          <w:szCs w:val="24"/>
          <w:highlight w:val="none"/>
        </w:rPr>
      </w:pPr>
      <w:bookmarkStart w:id="196" w:name="_Toc144974525"/>
      <w:bookmarkStart w:id="197" w:name="_Toc319407858"/>
      <w:bookmarkStart w:id="198" w:name="_Toc245036624"/>
      <w:bookmarkStart w:id="199" w:name="_Toc323711771"/>
      <w:bookmarkStart w:id="200" w:name="_Toc28433"/>
      <w:bookmarkStart w:id="201" w:name="_Toc152042333"/>
      <w:bookmarkStart w:id="202" w:name="_Toc322615419"/>
      <w:bookmarkStart w:id="203" w:name="_Toc152045557"/>
      <w:bookmarkStart w:id="204" w:name="_Toc392345933"/>
      <w:bookmarkStart w:id="205" w:name="_Toc319408093"/>
      <w:r>
        <w:rPr>
          <w:rFonts w:hint="eastAsia" w:ascii="宋体" w:hAnsi="宋体" w:eastAsia="宋体" w:cs="宋体"/>
          <w:b/>
          <w:color w:val="auto"/>
          <w:szCs w:val="24"/>
          <w:highlight w:val="none"/>
        </w:rPr>
        <w:t>4.2 投标文件的递交</w:t>
      </w:r>
      <w:bookmarkEnd w:id="196"/>
      <w:bookmarkEnd w:id="197"/>
      <w:bookmarkEnd w:id="198"/>
      <w:bookmarkEnd w:id="199"/>
      <w:bookmarkEnd w:id="200"/>
      <w:bookmarkEnd w:id="201"/>
      <w:bookmarkEnd w:id="202"/>
      <w:bookmarkEnd w:id="203"/>
      <w:bookmarkEnd w:id="204"/>
      <w:bookmarkEnd w:id="205"/>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 投标人应在前附表第2.2.2项规定的投标截止时间前递交投标文件。</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投标人递交投标文件的地点：见投标人须知前附表。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 除投标人须知前附表另有规定外，投标人所递交的投标文件不予退还。</w:t>
      </w:r>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4.2.4 招标人收到投标文件后，向投标人出具签收凭证。</w:t>
      </w:r>
    </w:p>
    <w:p>
      <w:pPr>
        <w:pStyle w:val="45"/>
        <w:spacing w:line="440" w:lineRule="exact"/>
        <w:rPr>
          <w:rFonts w:hint="eastAsia" w:ascii="宋体" w:hAnsi="宋体" w:eastAsia="宋体" w:cs="宋体"/>
          <w:b/>
          <w:color w:val="auto"/>
          <w:szCs w:val="24"/>
          <w:highlight w:val="none"/>
        </w:rPr>
      </w:pPr>
      <w:bookmarkStart w:id="206" w:name="_Toc319407859"/>
      <w:bookmarkStart w:id="207" w:name="_Toc245036625"/>
      <w:bookmarkStart w:id="208" w:name="_Toc152045558"/>
      <w:bookmarkStart w:id="209" w:name="_Toc152042334"/>
      <w:bookmarkStart w:id="210" w:name="_Toc144974526"/>
      <w:bookmarkStart w:id="211" w:name="_Toc392345934"/>
      <w:bookmarkStart w:id="212" w:name="_Toc322615420"/>
      <w:bookmarkStart w:id="213" w:name="_Toc323711772"/>
      <w:bookmarkStart w:id="214" w:name="_Toc21598"/>
      <w:bookmarkStart w:id="215" w:name="_Toc319408094"/>
      <w:r>
        <w:rPr>
          <w:rFonts w:hint="eastAsia" w:ascii="宋体" w:hAnsi="宋体" w:eastAsia="宋体" w:cs="宋体"/>
          <w:b/>
          <w:color w:val="auto"/>
          <w:szCs w:val="24"/>
          <w:highlight w:val="none"/>
        </w:rPr>
        <w:t>4.3 投标文件的修改与撤回</w:t>
      </w:r>
      <w:bookmarkEnd w:id="206"/>
      <w:bookmarkEnd w:id="207"/>
      <w:bookmarkEnd w:id="208"/>
      <w:bookmarkEnd w:id="209"/>
      <w:bookmarkEnd w:id="210"/>
      <w:bookmarkEnd w:id="211"/>
      <w:bookmarkEnd w:id="212"/>
      <w:bookmarkEnd w:id="213"/>
      <w:bookmarkEnd w:id="214"/>
      <w:bookmarkEnd w:id="215"/>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4.3.2 投标人修改或撤回已递交投标文件的书面通知应按照本章第3.7.2项的要求签字或盖章。</w:t>
      </w:r>
      <w:r>
        <w:rPr>
          <w:rFonts w:hint="eastAsia" w:ascii="宋体" w:hAnsi="宋体" w:eastAsia="宋体" w:cs="宋体"/>
          <w:strike/>
          <w:color w:val="auto"/>
          <w:sz w:val="24"/>
          <w:szCs w:val="24"/>
          <w:highlight w:val="none"/>
        </w:rPr>
        <w:t>招标人收到书面通知后，向投标人出具签收凭证。</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 修改的内容为投标文件的组成部分。修改的投标文件应按照本章第3条、第4条规定进行编制、密封、标记和递交，并标明“修改”字样。</w:t>
      </w:r>
    </w:p>
    <w:p>
      <w:pPr>
        <w:pStyle w:val="45"/>
        <w:spacing w:line="440" w:lineRule="exact"/>
        <w:rPr>
          <w:rFonts w:hint="eastAsia" w:ascii="宋体" w:hAnsi="宋体" w:eastAsia="宋体" w:cs="宋体"/>
          <w:b/>
          <w:color w:val="auto"/>
          <w:szCs w:val="24"/>
          <w:highlight w:val="none"/>
        </w:rPr>
      </w:pPr>
      <w:bookmarkStart w:id="216" w:name="_Toc392345935"/>
      <w:bookmarkStart w:id="217" w:name="_Toc14614"/>
      <w:r>
        <w:rPr>
          <w:rFonts w:hint="eastAsia" w:ascii="宋体" w:hAnsi="宋体" w:eastAsia="宋体" w:cs="宋体"/>
          <w:b/>
          <w:color w:val="auto"/>
          <w:szCs w:val="24"/>
          <w:highlight w:val="none"/>
        </w:rPr>
        <w:t>4.4投标文件的拒收情形</w:t>
      </w:r>
      <w:bookmarkEnd w:id="216"/>
      <w:bookmarkEnd w:id="217"/>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详见投标人须知前附表。</w:t>
      </w:r>
    </w:p>
    <w:p>
      <w:pPr>
        <w:pStyle w:val="44"/>
        <w:spacing w:line="440" w:lineRule="exact"/>
        <w:rPr>
          <w:rFonts w:hint="eastAsia" w:ascii="宋体" w:hAnsi="宋体" w:eastAsia="宋体" w:cs="宋体"/>
          <w:color w:val="auto"/>
          <w:sz w:val="24"/>
          <w:szCs w:val="24"/>
          <w:highlight w:val="none"/>
        </w:rPr>
      </w:pPr>
      <w:bookmarkStart w:id="218" w:name="_Toc18369"/>
      <w:bookmarkStart w:id="219" w:name="_Toc392345936"/>
      <w:r>
        <w:rPr>
          <w:rFonts w:hint="eastAsia" w:ascii="宋体" w:hAnsi="宋体" w:eastAsia="宋体" w:cs="宋体"/>
          <w:color w:val="auto"/>
          <w:sz w:val="24"/>
          <w:szCs w:val="24"/>
          <w:highlight w:val="none"/>
        </w:rPr>
        <w:t>5. 开标</w:t>
      </w:r>
      <w:bookmarkEnd w:id="161"/>
      <w:bookmarkEnd w:id="162"/>
      <w:bookmarkEnd w:id="163"/>
      <w:bookmarkEnd w:id="164"/>
      <w:r>
        <w:rPr>
          <w:rFonts w:hint="eastAsia" w:ascii="宋体" w:hAnsi="宋体" w:eastAsia="宋体" w:cs="宋体"/>
          <w:color w:val="auto"/>
          <w:sz w:val="24"/>
          <w:szCs w:val="24"/>
          <w:highlight w:val="none"/>
        </w:rPr>
        <w:t>程序</w:t>
      </w:r>
      <w:bookmarkEnd w:id="218"/>
      <w:bookmarkEnd w:id="219"/>
      <w:r>
        <w:rPr>
          <w:rFonts w:hint="eastAsia" w:ascii="宋体" w:hAnsi="宋体" w:eastAsia="宋体" w:cs="宋体"/>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5"/>
        <w:spacing w:line="440" w:lineRule="exact"/>
        <w:rPr>
          <w:rFonts w:hint="eastAsia" w:ascii="宋体" w:hAnsi="宋体" w:eastAsia="宋体" w:cs="宋体"/>
          <w:b/>
          <w:color w:val="auto"/>
          <w:szCs w:val="24"/>
          <w:highlight w:val="none"/>
        </w:rPr>
      </w:pPr>
      <w:bookmarkStart w:id="220" w:name="_Toc152045560"/>
      <w:bookmarkStart w:id="221" w:name="_Toc229646741"/>
      <w:bookmarkStart w:id="222" w:name="_Toc392345937"/>
      <w:bookmarkStart w:id="223" w:name="_Toc144974528"/>
      <w:bookmarkStart w:id="224" w:name="_Toc152042336"/>
      <w:bookmarkStart w:id="225" w:name="_Toc13624"/>
      <w:r>
        <w:rPr>
          <w:rFonts w:hint="eastAsia" w:ascii="宋体" w:hAnsi="宋体" w:eastAsia="宋体" w:cs="宋体"/>
          <w:b/>
          <w:color w:val="auto"/>
          <w:szCs w:val="24"/>
          <w:highlight w:val="none"/>
        </w:rPr>
        <w:t>5.1 开标时间和地点</w:t>
      </w:r>
      <w:bookmarkEnd w:id="220"/>
      <w:bookmarkEnd w:id="221"/>
      <w:bookmarkEnd w:id="222"/>
      <w:bookmarkEnd w:id="223"/>
      <w:bookmarkEnd w:id="224"/>
      <w:r>
        <w:rPr>
          <w:rFonts w:hint="eastAsia" w:ascii="宋体" w:hAnsi="宋体" w:eastAsia="宋体" w:cs="宋体"/>
          <w:b/>
          <w:color w:val="auto"/>
          <w:szCs w:val="24"/>
          <w:highlight w:val="none"/>
        </w:rPr>
        <w:t>、参加开标会议的要求</w:t>
      </w:r>
      <w:bookmarkEnd w:id="225"/>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5"/>
        <w:spacing w:line="440" w:lineRule="exact"/>
        <w:rPr>
          <w:rFonts w:hint="eastAsia" w:ascii="宋体" w:hAnsi="宋体" w:eastAsia="宋体" w:cs="宋体"/>
          <w:b/>
          <w:color w:val="auto"/>
          <w:szCs w:val="24"/>
          <w:highlight w:val="none"/>
        </w:rPr>
      </w:pPr>
      <w:bookmarkStart w:id="226" w:name="_Toc229646742"/>
      <w:bookmarkStart w:id="227" w:name="_Toc28832"/>
      <w:bookmarkStart w:id="228" w:name="_Toc152042337"/>
      <w:bookmarkStart w:id="229" w:name="_Toc144974529"/>
      <w:bookmarkStart w:id="230" w:name="_Toc392345938"/>
      <w:bookmarkStart w:id="231" w:name="_Toc152045561"/>
      <w:r>
        <w:rPr>
          <w:rFonts w:hint="eastAsia" w:ascii="宋体" w:hAnsi="宋体" w:eastAsia="宋体" w:cs="宋体"/>
          <w:b/>
          <w:color w:val="auto"/>
          <w:szCs w:val="24"/>
          <w:highlight w:val="none"/>
        </w:rPr>
        <w:t>5.2开标</w:t>
      </w:r>
      <w:bookmarkEnd w:id="226"/>
      <w:bookmarkEnd w:id="227"/>
      <w:bookmarkEnd w:id="228"/>
      <w:bookmarkEnd w:id="229"/>
      <w:bookmarkEnd w:id="230"/>
      <w:bookmarkEnd w:id="231"/>
    </w:p>
    <w:p>
      <w:pPr>
        <w:ind w:firstLine="480" w:firstLineChars="200"/>
        <w:rPr>
          <w:rFonts w:hint="eastAsia" w:ascii="宋体" w:hAnsi="宋体" w:eastAsia="宋体" w:cs="宋体"/>
          <w:color w:val="auto"/>
          <w:sz w:val="24"/>
          <w:szCs w:val="24"/>
          <w:highlight w:val="none"/>
        </w:rPr>
      </w:pPr>
      <w:bookmarkStart w:id="232" w:name="_Toc152042338"/>
      <w:bookmarkStart w:id="233" w:name="_Toc152045562"/>
      <w:bookmarkStart w:id="234" w:name="_Toc144974530"/>
      <w:r>
        <w:rPr>
          <w:rFonts w:hint="eastAsia" w:ascii="宋体" w:hAnsi="宋体" w:eastAsia="宋体" w:cs="宋体"/>
          <w:color w:val="auto"/>
          <w:sz w:val="24"/>
          <w:szCs w:val="24"/>
          <w:highlight w:val="none"/>
        </w:rPr>
        <w:t>主持人按下列程序进行开标：</w:t>
      </w:r>
    </w:p>
    <w:p>
      <w:pPr>
        <w:ind w:firstLine="480" w:firstLineChars="200"/>
        <w:rPr>
          <w:rFonts w:hint="eastAsia" w:ascii="宋体" w:hAnsi="宋体" w:eastAsia="宋体" w:cs="宋体"/>
          <w:color w:val="auto"/>
          <w:sz w:val="24"/>
          <w:szCs w:val="24"/>
          <w:highlight w:val="none"/>
        </w:rPr>
      </w:pPr>
      <w:bookmarkStart w:id="235" w:name="_Toc296602450"/>
      <w:r>
        <w:rPr>
          <w:rFonts w:hint="eastAsia" w:ascii="宋体" w:hAnsi="宋体" w:eastAsia="宋体" w:cs="宋体"/>
          <w:color w:val="auto"/>
          <w:sz w:val="24"/>
          <w:szCs w:val="24"/>
          <w:highlight w:val="none"/>
        </w:rPr>
        <w:t>（1）宣布开标纪律；</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（2）公布在投标截止时间前递交投标文件的投标人名称，</w:t>
      </w:r>
      <w:r>
        <w:rPr>
          <w:rFonts w:hint="eastAsia" w:ascii="宋体" w:hAnsi="宋体" w:eastAsia="宋体" w:cs="宋体"/>
          <w:b/>
          <w:bCs/>
          <w:color w:val="auto"/>
          <w:sz w:val="24"/>
          <w:szCs w:val="24"/>
          <w:highlight w:val="none"/>
        </w:rPr>
        <w:t>投标人不需到场</w:t>
      </w:r>
      <w:r>
        <w:rPr>
          <w:rFonts w:hint="eastAsia" w:ascii="宋体" w:hAnsi="宋体" w:eastAsia="宋体" w:cs="宋体"/>
          <w:color w:val="auto"/>
          <w:sz w:val="24"/>
          <w:szCs w:val="24"/>
          <w:highlight w:val="none"/>
        </w:rPr>
        <w:t>。</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（3）宣布开标人、唱标人、记录人、监标人等有关人员姓名；</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（4）按照投标人须知前附表规定检查投标文件的密封情况；</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（5）按照投标人须知前附表的规定确定并宣布投标文件开标顺序；</w:t>
      </w:r>
    </w:p>
    <w:p>
      <w:pPr>
        <w:ind w:firstLine="480" w:firstLineChars="20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 xml:space="preserve">（6）设有标底的，公布标底； </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（7）按照宣布的开标顺序当众开标，公布投标人名称、标段名称、投标保证金的递交情况</w:t>
      </w:r>
      <w:r>
        <w:rPr>
          <w:rFonts w:hint="eastAsia" w:ascii="宋体" w:hAnsi="宋体" w:eastAsia="宋体" w:cs="宋体"/>
          <w:color w:val="auto"/>
          <w:sz w:val="24"/>
          <w:szCs w:val="24"/>
          <w:highlight w:val="none"/>
          <w:lang w:bidi="ar"/>
        </w:rPr>
        <w:t>，评标委 员会先对投标人进行资格审查</w:t>
      </w:r>
      <w:r>
        <w:rPr>
          <w:rFonts w:hint="eastAsia" w:ascii="宋体" w:hAnsi="宋体" w:eastAsia="宋体" w:cs="宋体"/>
          <w:color w:val="auto"/>
          <w:sz w:val="24"/>
          <w:szCs w:val="24"/>
          <w:highlight w:val="none"/>
        </w:rPr>
        <w:t>；</w:t>
      </w:r>
    </w:p>
    <w:p>
      <w:pPr>
        <w:widowControl/>
        <w:ind w:firstLine="480" w:firstLineChars="2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（8）启封技术标，由评标委员会对投标人的技术标进行综合评议并打分，宣布各投标人技术标得分；</w:t>
      </w:r>
    </w:p>
    <w:p>
      <w:pPr>
        <w:widowControl/>
        <w:ind w:firstLine="480" w:firstLineChars="2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（9）启封商务标，评标委员会对商务标进行评议并计算得分，宣布商务标得分；</w:t>
      </w:r>
    </w:p>
    <w:p>
      <w:pPr>
        <w:widowControl/>
        <w:ind w:firstLine="480" w:firstLineChars="2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（10）宣布各投标人总得分，宣布中标候选人；</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strike/>
          <w:color w:val="auto"/>
          <w:sz w:val="24"/>
          <w:szCs w:val="24"/>
          <w:highlight w:val="none"/>
        </w:rPr>
        <w:t>投标人代表</w:t>
      </w:r>
      <w:r>
        <w:rPr>
          <w:rFonts w:hint="eastAsia" w:ascii="宋体" w:hAnsi="宋体" w:eastAsia="宋体" w:cs="宋体"/>
          <w:b/>
          <w:bCs/>
          <w:color w:val="auto"/>
          <w:sz w:val="24"/>
          <w:szCs w:val="24"/>
          <w:highlight w:val="none"/>
        </w:rPr>
        <w:t>（投标人不需签字确认）</w:t>
      </w:r>
      <w:r>
        <w:rPr>
          <w:rFonts w:hint="eastAsia" w:ascii="宋体" w:hAnsi="宋体" w:eastAsia="宋体" w:cs="宋体"/>
          <w:color w:val="auto"/>
          <w:sz w:val="24"/>
          <w:szCs w:val="24"/>
          <w:highlight w:val="none"/>
        </w:rPr>
        <w:t>、招标人代表、监标人、记录人等有关人员在开标记录上签字确认；</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bidi="ar"/>
        </w:rPr>
        <w:t>根据招标人要求，公证员对开标评标全过程进行公证</w:t>
      </w:r>
      <w:r>
        <w:rPr>
          <w:rFonts w:hint="eastAsia" w:ascii="宋体" w:hAnsi="宋体" w:eastAsia="宋体" w:cs="宋体"/>
          <w:color w:val="auto"/>
          <w:sz w:val="24"/>
          <w:szCs w:val="24"/>
          <w:highlight w:val="none"/>
        </w:rPr>
        <w:t>。</w:t>
      </w:r>
    </w:p>
    <w:p>
      <w:pPr>
        <w:pStyle w:val="45"/>
        <w:spacing w:line="440" w:lineRule="exact"/>
        <w:rPr>
          <w:rFonts w:hint="eastAsia" w:ascii="宋体" w:hAnsi="宋体" w:eastAsia="宋体" w:cs="宋体"/>
          <w:b/>
          <w:color w:val="auto"/>
          <w:szCs w:val="24"/>
          <w:highlight w:val="none"/>
        </w:rPr>
      </w:pPr>
      <w:bookmarkStart w:id="236" w:name="_Toc624"/>
      <w:bookmarkStart w:id="237" w:name="_Toc392345939"/>
      <w:r>
        <w:rPr>
          <w:rFonts w:hint="eastAsia" w:ascii="宋体" w:hAnsi="宋体" w:eastAsia="宋体" w:cs="宋体"/>
          <w:b/>
          <w:color w:val="auto"/>
          <w:szCs w:val="24"/>
          <w:highlight w:val="none"/>
        </w:rPr>
        <w:t>5.3 开标异议</w:t>
      </w:r>
      <w:bookmarkEnd w:id="235"/>
      <w:bookmarkEnd w:id="236"/>
      <w:bookmarkEnd w:id="237"/>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投标人对开标有异议的，应当在开标现场提出，招标人当场作出答复，并制作记录。</w:t>
      </w:r>
    </w:p>
    <w:p>
      <w:pPr>
        <w:pStyle w:val="44"/>
        <w:spacing w:line="440" w:lineRule="exact"/>
        <w:rPr>
          <w:rFonts w:hint="eastAsia" w:ascii="宋体" w:hAnsi="宋体" w:eastAsia="宋体" w:cs="宋体"/>
          <w:color w:val="auto"/>
          <w:sz w:val="24"/>
          <w:szCs w:val="24"/>
          <w:highlight w:val="none"/>
        </w:rPr>
      </w:pPr>
      <w:bookmarkStart w:id="238" w:name="_Toc229646744"/>
      <w:bookmarkStart w:id="239" w:name="_Toc392345940"/>
      <w:bookmarkStart w:id="240" w:name="_Toc21142"/>
      <w:r>
        <w:rPr>
          <w:rFonts w:hint="eastAsia" w:ascii="宋体" w:hAnsi="宋体" w:eastAsia="宋体" w:cs="宋体"/>
          <w:color w:val="auto"/>
          <w:sz w:val="24"/>
          <w:szCs w:val="24"/>
          <w:highlight w:val="none"/>
        </w:rPr>
        <w:t>6. 评标</w:t>
      </w:r>
      <w:bookmarkEnd w:id="232"/>
      <w:bookmarkEnd w:id="233"/>
      <w:bookmarkEnd w:id="234"/>
      <w:bookmarkEnd w:id="238"/>
      <w:bookmarkEnd w:id="239"/>
      <w:bookmarkEnd w:id="240"/>
    </w:p>
    <w:p>
      <w:pPr>
        <w:pStyle w:val="45"/>
        <w:spacing w:line="440" w:lineRule="exact"/>
        <w:rPr>
          <w:rFonts w:hint="eastAsia" w:ascii="宋体" w:hAnsi="宋体" w:eastAsia="宋体" w:cs="宋体"/>
          <w:b/>
          <w:color w:val="auto"/>
          <w:szCs w:val="24"/>
          <w:highlight w:val="none"/>
        </w:rPr>
      </w:pPr>
      <w:bookmarkStart w:id="241" w:name="_Toc229646745"/>
      <w:bookmarkStart w:id="242" w:name="_Toc7251"/>
      <w:bookmarkStart w:id="243" w:name="_Toc152042339"/>
      <w:bookmarkStart w:id="244" w:name="_Toc144974531"/>
      <w:bookmarkStart w:id="245" w:name="_Toc392345941"/>
      <w:bookmarkStart w:id="246" w:name="_Toc152045563"/>
      <w:r>
        <w:rPr>
          <w:rFonts w:hint="eastAsia" w:ascii="宋体" w:hAnsi="宋体" w:eastAsia="宋体" w:cs="宋体"/>
          <w:b/>
          <w:color w:val="auto"/>
          <w:szCs w:val="24"/>
          <w:highlight w:val="none"/>
        </w:rPr>
        <w:t>6.1 评标委员会</w:t>
      </w:r>
      <w:bookmarkEnd w:id="241"/>
      <w:bookmarkEnd w:id="242"/>
      <w:bookmarkEnd w:id="243"/>
      <w:bookmarkEnd w:id="244"/>
      <w:bookmarkEnd w:id="245"/>
      <w:bookmarkEnd w:id="246"/>
    </w:p>
    <w:p>
      <w:pPr>
        <w:ind w:firstLine="480" w:firstLineChars="200"/>
        <w:rPr>
          <w:rFonts w:hint="eastAsia" w:ascii="宋体" w:hAnsi="宋体" w:eastAsia="宋体" w:cs="宋体"/>
          <w:color w:val="auto"/>
          <w:sz w:val="24"/>
          <w:szCs w:val="24"/>
          <w:highlight w:val="none"/>
        </w:rPr>
      </w:pPr>
      <w:bookmarkStart w:id="247" w:name="_Toc144974532"/>
      <w:bookmarkStart w:id="248" w:name="_Toc152045564"/>
      <w:bookmarkStart w:id="249" w:name="_Toc229646746"/>
      <w:bookmarkStart w:id="250" w:name="_Toc152042340"/>
      <w:r>
        <w:rPr>
          <w:rFonts w:hint="eastAsia" w:ascii="宋体" w:hAnsi="宋体" w:eastAsia="宋体" w:cs="宋体"/>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评标委员会成员有下列情形之一的，应当回避：</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（1）招标人或投标人的主要负责人的近亲属；</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（2）项目主管部门或者行政监督部门的人员；</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（3）与投标人有经济利益关系，可能影响对投标公正评审的；</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（4）曾因在招标、评标以及其他与招标投标有关活动中从事违法行为而受过行政处罚或刑事处罚的。</w:t>
      </w:r>
    </w:p>
    <w:p>
      <w:pPr>
        <w:pStyle w:val="45"/>
        <w:tabs>
          <w:tab w:val="left" w:pos="2620"/>
        </w:tabs>
        <w:spacing w:line="440" w:lineRule="exact"/>
        <w:rPr>
          <w:rFonts w:hint="eastAsia" w:ascii="宋体" w:hAnsi="宋体" w:eastAsia="宋体" w:cs="宋体"/>
          <w:b/>
          <w:color w:val="auto"/>
          <w:szCs w:val="24"/>
          <w:highlight w:val="none"/>
        </w:rPr>
      </w:pPr>
      <w:bookmarkStart w:id="251" w:name="_Toc392345942"/>
      <w:bookmarkStart w:id="252" w:name="_Toc28610"/>
      <w:r>
        <w:rPr>
          <w:rFonts w:hint="eastAsia" w:ascii="宋体" w:hAnsi="宋体" w:eastAsia="宋体" w:cs="宋体"/>
          <w:b/>
          <w:color w:val="auto"/>
          <w:szCs w:val="24"/>
          <w:highlight w:val="none"/>
        </w:rPr>
        <w:t>6.2 评标原则</w:t>
      </w:r>
      <w:bookmarkEnd w:id="247"/>
      <w:bookmarkEnd w:id="248"/>
      <w:bookmarkEnd w:id="249"/>
      <w:bookmarkEnd w:id="250"/>
      <w:bookmarkEnd w:id="251"/>
      <w:bookmarkEnd w:id="252"/>
      <w:r>
        <w:rPr>
          <w:rFonts w:hint="eastAsia" w:ascii="宋体" w:hAnsi="宋体" w:eastAsia="宋体" w:cs="宋体"/>
          <w:b/>
          <w:color w:val="auto"/>
          <w:szCs w:val="24"/>
          <w:highlight w:val="none"/>
        </w:rPr>
        <w:tab/>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评标活动遵循公平、公正、科学和择优的原则。</w:t>
      </w:r>
    </w:p>
    <w:p>
      <w:pPr>
        <w:pStyle w:val="45"/>
        <w:spacing w:line="440" w:lineRule="exact"/>
        <w:rPr>
          <w:rFonts w:hint="eastAsia" w:ascii="宋体" w:hAnsi="宋体" w:eastAsia="宋体" w:cs="宋体"/>
          <w:b/>
          <w:color w:val="auto"/>
          <w:szCs w:val="24"/>
          <w:highlight w:val="none"/>
          <w:u w:val="single"/>
        </w:rPr>
      </w:pPr>
      <w:bookmarkStart w:id="253" w:name="_Toc152042341"/>
      <w:bookmarkStart w:id="254" w:name="_Toc229646747"/>
      <w:bookmarkStart w:id="255" w:name="_Toc144974533"/>
      <w:bookmarkStart w:id="256" w:name="_Toc392345943"/>
      <w:bookmarkStart w:id="257" w:name="_Toc152045565"/>
      <w:bookmarkStart w:id="258" w:name="_Toc1522"/>
      <w:r>
        <w:rPr>
          <w:rFonts w:hint="eastAsia" w:ascii="宋体" w:hAnsi="宋体" w:eastAsia="宋体" w:cs="宋体"/>
          <w:b/>
          <w:color w:val="auto"/>
          <w:szCs w:val="24"/>
          <w:highlight w:val="none"/>
        </w:rPr>
        <w:t>6.3 评标</w:t>
      </w:r>
      <w:bookmarkEnd w:id="253"/>
      <w:bookmarkEnd w:id="254"/>
      <w:bookmarkEnd w:id="255"/>
      <w:bookmarkEnd w:id="256"/>
      <w:bookmarkEnd w:id="257"/>
      <w:bookmarkEnd w:id="258"/>
    </w:p>
    <w:p>
      <w:pPr>
        <w:ind w:firstLine="480" w:firstLineChars="200"/>
        <w:rPr>
          <w:rFonts w:hint="eastAsia" w:ascii="宋体" w:hAnsi="宋体" w:eastAsia="宋体" w:cs="宋体"/>
          <w:color w:val="auto"/>
          <w:sz w:val="24"/>
          <w:szCs w:val="24"/>
          <w:highlight w:val="none"/>
        </w:rPr>
      </w:pPr>
      <w:bookmarkStart w:id="259" w:name="_Toc152042342"/>
      <w:bookmarkStart w:id="260" w:name="_Toc229646748"/>
      <w:bookmarkStart w:id="261" w:name="_Toc152045566"/>
      <w:bookmarkStart w:id="262" w:name="_Toc144974534"/>
      <w:r>
        <w:rPr>
          <w:rFonts w:hint="eastAsia" w:ascii="宋体" w:hAnsi="宋体" w:eastAsia="宋体" w:cs="宋体"/>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5"/>
        <w:spacing w:line="440" w:lineRule="exact"/>
        <w:rPr>
          <w:rFonts w:hint="eastAsia" w:ascii="宋体" w:hAnsi="宋体" w:eastAsia="宋体" w:cs="宋体"/>
          <w:b/>
          <w:color w:val="auto"/>
          <w:szCs w:val="24"/>
          <w:highlight w:val="none"/>
        </w:rPr>
      </w:pPr>
      <w:bookmarkStart w:id="263" w:name="_Toc413488678"/>
      <w:bookmarkStart w:id="264" w:name="_Toc27286"/>
      <w:r>
        <w:rPr>
          <w:rFonts w:hint="eastAsia" w:ascii="宋体" w:hAnsi="宋体" w:eastAsia="宋体" w:cs="宋体"/>
          <w:b/>
          <w:color w:val="auto"/>
          <w:szCs w:val="24"/>
          <w:highlight w:val="none"/>
        </w:rPr>
        <w:t>6.4中标候选人公示媒介</w:t>
      </w:r>
      <w:bookmarkEnd w:id="263"/>
      <w:bookmarkEnd w:id="264"/>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见投标人须知前附表。</w:t>
      </w:r>
    </w:p>
    <w:p>
      <w:pPr>
        <w:pStyle w:val="44"/>
        <w:spacing w:line="440" w:lineRule="exact"/>
        <w:rPr>
          <w:rFonts w:hint="eastAsia" w:ascii="宋体" w:hAnsi="宋体" w:eastAsia="宋体" w:cs="宋体"/>
          <w:color w:val="auto"/>
          <w:sz w:val="24"/>
          <w:szCs w:val="24"/>
          <w:highlight w:val="none"/>
        </w:rPr>
      </w:pPr>
      <w:bookmarkStart w:id="265" w:name="_Toc392345944"/>
      <w:bookmarkStart w:id="266" w:name="_Toc31997"/>
      <w:r>
        <w:rPr>
          <w:rFonts w:hint="eastAsia" w:ascii="宋体" w:hAnsi="宋体" w:eastAsia="宋体" w:cs="宋体"/>
          <w:color w:val="auto"/>
          <w:sz w:val="24"/>
          <w:szCs w:val="24"/>
          <w:highlight w:val="none"/>
        </w:rPr>
        <w:t>7. 合同授予</w:t>
      </w:r>
      <w:bookmarkEnd w:id="259"/>
      <w:bookmarkEnd w:id="260"/>
      <w:bookmarkEnd w:id="261"/>
      <w:bookmarkEnd w:id="262"/>
      <w:bookmarkEnd w:id="265"/>
      <w:bookmarkEnd w:id="266"/>
    </w:p>
    <w:p>
      <w:pPr>
        <w:pStyle w:val="45"/>
        <w:spacing w:line="440" w:lineRule="exact"/>
        <w:rPr>
          <w:rFonts w:hint="eastAsia" w:ascii="宋体" w:hAnsi="宋体" w:eastAsia="宋体" w:cs="宋体"/>
          <w:b/>
          <w:color w:val="auto"/>
          <w:szCs w:val="24"/>
          <w:highlight w:val="none"/>
        </w:rPr>
      </w:pPr>
      <w:bookmarkStart w:id="267" w:name="_Toc152045567"/>
      <w:bookmarkStart w:id="268" w:name="_Toc8962"/>
      <w:bookmarkStart w:id="269" w:name="_Toc229646749"/>
      <w:bookmarkStart w:id="270" w:name="_Toc392345945"/>
      <w:bookmarkStart w:id="271" w:name="_Toc152042343"/>
      <w:bookmarkStart w:id="272" w:name="_Toc144974535"/>
      <w:r>
        <w:rPr>
          <w:rFonts w:hint="eastAsia" w:ascii="宋体" w:hAnsi="宋体" w:eastAsia="宋体" w:cs="宋体"/>
          <w:b/>
          <w:color w:val="auto"/>
          <w:szCs w:val="24"/>
          <w:highlight w:val="none"/>
        </w:rPr>
        <w:t>7.1 定标方式</w:t>
      </w:r>
      <w:bookmarkEnd w:id="267"/>
      <w:bookmarkEnd w:id="268"/>
      <w:bookmarkEnd w:id="269"/>
      <w:bookmarkEnd w:id="270"/>
      <w:bookmarkEnd w:id="271"/>
      <w:bookmarkEnd w:id="272"/>
    </w:p>
    <w:p>
      <w:pPr>
        <w:ind w:firstLine="480" w:firstLineChars="200"/>
        <w:rPr>
          <w:rFonts w:hint="eastAsia" w:ascii="宋体" w:hAnsi="宋体" w:eastAsia="宋体" w:cs="宋体"/>
          <w:color w:val="auto"/>
          <w:sz w:val="24"/>
          <w:szCs w:val="24"/>
          <w:highlight w:val="none"/>
        </w:rPr>
      </w:pPr>
      <w:bookmarkStart w:id="273" w:name="_Toc152042344"/>
      <w:bookmarkStart w:id="274" w:name="_Toc152045568"/>
      <w:bookmarkStart w:id="275" w:name="_Toc229646750"/>
      <w:bookmarkStart w:id="276" w:name="_Toc144974536"/>
      <w:r>
        <w:rPr>
          <w:rFonts w:hint="eastAsia" w:ascii="宋体" w:hAnsi="宋体" w:eastAsia="宋体" w:cs="宋体"/>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5"/>
        <w:spacing w:line="440" w:lineRule="exact"/>
        <w:rPr>
          <w:rFonts w:hint="eastAsia" w:ascii="宋体" w:hAnsi="宋体" w:eastAsia="宋体" w:cs="宋体"/>
          <w:b/>
          <w:color w:val="auto"/>
          <w:szCs w:val="24"/>
          <w:highlight w:val="none"/>
        </w:rPr>
      </w:pPr>
      <w:bookmarkStart w:id="277" w:name="_Toc392345946"/>
      <w:bookmarkStart w:id="278" w:name="_Toc32437"/>
      <w:r>
        <w:rPr>
          <w:rFonts w:hint="eastAsia" w:ascii="宋体" w:hAnsi="宋体" w:eastAsia="宋体" w:cs="宋体"/>
          <w:b/>
          <w:color w:val="auto"/>
          <w:szCs w:val="24"/>
          <w:highlight w:val="none"/>
        </w:rPr>
        <w:t>7.2中标公示</w:t>
      </w:r>
      <w:bookmarkEnd w:id="273"/>
      <w:bookmarkEnd w:id="274"/>
      <w:bookmarkEnd w:id="275"/>
      <w:bookmarkEnd w:id="276"/>
      <w:bookmarkEnd w:id="277"/>
      <w:bookmarkEnd w:id="278"/>
    </w:p>
    <w:p>
      <w:pPr>
        <w:ind w:firstLine="480" w:firstLineChars="200"/>
        <w:rPr>
          <w:rFonts w:hint="eastAsia" w:ascii="宋体" w:hAnsi="宋体" w:eastAsia="宋体" w:cs="宋体"/>
          <w:color w:val="auto"/>
          <w:sz w:val="24"/>
          <w:szCs w:val="24"/>
          <w:highlight w:val="none"/>
        </w:rPr>
      </w:pPr>
      <w:bookmarkStart w:id="279" w:name="_Toc229646751"/>
      <w:bookmarkStart w:id="280" w:name="_Toc152045569"/>
      <w:bookmarkStart w:id="281" w:name="_Toc152042345"/>
      <w:bookmarkStart w:id="282" w:name="_Toc144974537"/>
      <w:r>
        <w:rPr>
          <w:rFonts w:hint="eastAsia" w:ascii="宋体" w:hAnsi="宋体" w:eastAsia="宋体" w:cs="宋体"/>
          <w:color w:val="auto"/>
          <w:sz w:val="24"/>
          <w:szCs w:val="24"/>
          <w:highlight w:val="none"/>
        </w:rPr>
        <w:t>招标人自确定中标候选人之日起，应在与发布招标公告或资格预审公告一致的媒介上发布中标公示 ，公示期为3个工作日。</w:t>
      </w:r>
    </w:p>
    <w:bookmarkEnd w:id="279"/>
    <w:bookmarkEnd w:id="280"/>
    <w:bookmarkEnd w:id="281"/>
    <w:bookmarkEnd w:id="282"/>
    <w:p>
      <w:pPr>
        <w:pStyle w:val="45"/>
        <w:spacing w:line="440" w:lineRule="exact"/>
        <w:rPr>
          <w:rFonts w:hint="eastAsia" w:ascii="宋体" w:hAnsi="宋体" w:eastAsia="宋体" w:cs="宋体"/>
          <w:b/>
          <w:color w:val="auto"/>
          <w:szCs w:val="24"/>
          <w:highlight w:val="none"/>
        </w:rPr>
      </w:pPr>
      <w:bookmarkStart w:id="283" w:name="_Toc296602458"/>
      <w:bookmarkStart w:id="284" w:name="_Toc247085726"/>
      <w:bookmarkStart w:id="285" w:name="_Toc392345947"/>
      <w:bookmarkStart w:id="286" w:name="_Toc246996212"/>
      <w:bookmarkStart w:id="287" w:name="_Toc179632586"/>
      <w:bookmarkStart w:id="288" w:name="_Toc246996955"/>
      <w:bookmarkStart w:id="289" w:name="_Toc4618"/>
      <w:r>
        <w:rPr>
          <w:rFonts w:hint="eastAsia" w:ascii="宋体" w:hAnsi="宋体" w:eastAsia="宋体" w:cs="宋体"/>
          <w:b/>
          <w:color w:val="auto"/>
          <w:szCs w:val="24"/>
          <w:highlight w:val="none"/>
        </w:rPr>
        <w:t>7.3 中标通知</w:t>
      </w:r>
      <w:bookmarkEnd w:id="283"/>
      <w:bookmarkEnd w:id="284"/>
      <w:bookmarkEnd w:id="285"/>
      <w:bookmarkEnd w:id="286"/>
      <w:bookmarkEnd w:id="287"/>
      <w:bookmarkEnd w:id="288"/>
      <w:bookmarkEnd w:id="289"/>
    </w:p>
    <w:p>
      <w:pPr>
        <w:pStyle w:val="10"/>
        <w:ind w:firstLine="480"/>
        <w:rPr>
          <w:rFonts w:hint="eastAsia" w:ascii="宋体" w:hAnsi="宋体" w:eastAsia="宋体" w:cs="宋体"/>
          <w:color w:val="auto"/>
          <w:sz w:val="24"/>
          <w:szCs w:val="24"/>
          <w:highlight w:val="none"/>
        </w:rPr>
      </w:pPr>
      <w:bookmarkStart w:id="290" w:name="_Toc392345948"/>
      <w:bookmarkStart w:id="291" w:name="_Toc296602459"/>
      <w:bookmarkStart w:id="292" w:name="_Toc246996213"/>
      <w:bookmarkStart w:id="293" w:name="_Toc246996956"/>
      <w:bookmarkStart w:id="294" w:name="_Toc179632587"/>
      <w:bookmarkStart w:id="295" w:name="_Toc247085727"/>
      <w:r>
        <w:rPr>
          <w:rFonts w:hint="eastAsia" w:ascii="宋体" w:hAnsi="宋体" w:eastAsia="宋体" w:cs="宋体"/>
          <w:color w:val="auto"/>
          <w:sz w:val="24"/>
          <w:szCs w:val="24"/>
          <w:highlight w:val="none"/>
        </w:rPr>
        <w:t>7.3.1中标人确定后，招标人将在投标有效期内以书面形式向中标人发出中标通知书。</w:t>
      </w:r>
    </w:p>
    <w:p>
      <w:pPr>
        <w:pStyle w:val="1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7.3.2招标人将在发出中标通知书的同时，将中标结果以书面形式通知所有未中标的投标人。</w:t>
      </w:r>
    </w:p>
    <w:p>
      <w:pPr>
        <w:pStyle w:val="45"/>
        <w:spacing w:line="440" w:lineRule="exact"/>
        <w:rPr>
          <w:rFonts w:hint="eastAsia" w:ascii="宋体" w:hAnsi="宋体" w:eastAsia="宋体" w:cs="宋体"/>
          <w:b/>
          <w:color w:val="auto"/>
          <w:szCs w:val="24"/>
          <w:highlight w:val="none"/>
        </w:rPr>
      </w:pPr>
      <w:bookmarkStart w:id="296" w:name="_Toc30125"/>
      <w:r>
        <w:rPr>
          <w:rFonts w:hint="eastAsia" w:ascii="宋体" w:hAnsi="宋体" w:eastAsia="宋体" w:cs="宋体"/>
          <w:b/>
          <w:color w:val="auto"/>
          <w:szCs w:val="24"/>
          <w:highlight w:val="none"/>
        </w:rPr>
        <w:t>7.4 履约担保</w:t>
      </w:r>
      <w:bookmarkEnd w:id="290"/>
      <w:bookmarkEnd w:id="291"/>
      <w:bookmarkEnd w:id="292"/>
      <w:bookmarkEnd w:id="293"/>
      <w:bookmarkEnd w:id="294"/>
      <w:bookmarkEnd w:id="295"/>
      <w:bookmarkEnd w:id="296"/>
    </w:p>
    <w:p>
      <w:pPr>
        <w:ind w:firstLine="480" w:firstLineChars="200"/>
        <w:rPr>
          <w:rFonts w:hint="eastAsia" w:ascii="宋体" w:hAnsi="宋体" w:eastAsia="宋体" w:cs="宋体"/>
          <w:color w:val="auto"/>
          <w:sz w:val="24"/>
          <w:szCs w:val="24"/>
          <w:highlight w:val="none"/>
        </w:rPr>
      </w:pPr>
      <w:bookmarkStart w:id="297" w:name="_Toc152042346"/>
      <w:bookmarkStart w:id="298" w:name="_Toc152045570"/>
      <w:bookmarkStart w:id="299" w:name="_Toc179632588"/>
      <w:bookmarkStart w:id="300" w:name="_Toc246996214"/>
      <w:bookmarkStart w:id="301" w:name="_Toc296602460"/>
      <w:bookmarkStart w:id="302" w:name="_Toc144974538"/>
      <w:bookmarkStart w:id="303" w:name="_Toc247085728"/>
      <w:bookmarkStart w:id="304" w:name="_Toc246996957"/>
      <w:r>
        <w:rPr>
          <w:rFonts w:hint="eastAsia" w:ascii="宋体" w:hAnsi="宋体" w:eastAsia="宋体" w:cs="宋体"/>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5"/>
        <w:spacing w:line="440" w:lineRule="exact"/>
        <w:rPr>
          <w:rFonts w:hint="eastAsia" w:ascii="宋体" w:hAnsi="宋体" w:eastAsia="宋体" w:cs="宋体"/>
          <w:b/>
          <w:color w:val="auto"/>
          <w:szCs w:val="24"/>
          <w:highlight w:val="none"/>
        </w:rPr>
      </w:pPr>
      <w:bookmarkStart w:id="305" w:name="_Toc32528"/>
      <w:bookmarkStart w:id="306" w:name="_Toc392345949"/>
      <w:r>
        <w:rPr>
          <w:rFonts w:hint="eastAsia" w:ascii="宋体" w:hAnsi="宋体" w:eastAsia="宋体" w:cs="宋体"/>
          <w:b/>
          <w:color w:val="auto"/>
          <w:szCs w:val="24"/>
          <w:highlight w:val="none"/>
        </w:rPr>
        <w:t>7.5 签订合同</w:t>
      </w:r>
      <w:bookmarkEnd w:id="297"/>
      <w:bookmarkEnd w:id="298"/>
      <w:bookmarkEnd w:id="299"/>
      <w:bookmarkEnd w:id="300"/>
      <w:bookmarkEnd w:id="301"/>
      <w:bookmarkEnd w:id="302"/>
      <w:bookmarkEnd w:id="303"/>
      <w:bookmarkEnd w:id="304"/>
      <w:bookmarkEnd w:id="305"/>
      <w:bookmarkEnd w:id="306"/>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7.5.2 发出中标通知书后，招标人无正当理由拒签合同的，招标人向中标人退还投标保证金；给中标人造成损失的，还应当赔偿损失。</w:t>
      </w:r>
    </w:p>
    <w:p>
      <w:pPr>
        <w:pStyle w:val="44"/>
        <w:spacing w:line="440" w:lineRule="exact"/>
        <w:rPr>
          <w:rFonts w:hint="eastAsia" w:ascii="宋体" w:hAnsi="宋体" w:eastAsia="宋体" w:cs="宋体"/>
          <w:color w:val="auto"/>
          <w:sz w:val="24"/>
          <w:szCs w:val="24"/>
          <w:highlight w:val="none"/>
        </w:rPr>
      </w:pPr>
      <w:bookmarkStart w:id="307" w:name="_Toc323711786"/>
      <w:bookmarkStart w:id="308" w:name="_Toc392345950"/>
      <w:bookmarkStart w:id="309" w:name="_Toc245036638"/>
      <w:bookmarkStart w:id="310" w:name="_Toc24179"/>
      <w:bookmarkStart w:id="311" w:name="_Toc152042347"/>
      <w:bookmarkStart w:id="312" w:name="_Toc144974539"/>
      <w:bookmarkStart w:id="313" w:name="_Toc152045571"/>
      <w:r>
        <w:rPr>
          <w:rFonts w:hint="eastAsia" w:ascii="宋体" w:hAnsi="宋体" w:eastAsia="宋体" w:cs="宋体"/>
          <w:color w:val="auto"/>
          <w:sz w:val="24"/>
          <w:szCs w:val="24"/>
          <w:highlight w:val="none"/>
        </w:rPr>
        <w:t>8. 重新招标和不再招标</w:t>
      </w:r>
      <w:bookmarkEnd w:id="307"/>
      <w:bookmarkEnd w:id="308"/>
      <w:bookmarkEnd w:id="309"/>
      <w:bookmarkEnd w:id="310"/>
      <w:bookmarkEnd w:id="311"/>
      <w:bookmarkEnd w:id="312"/>
      <w:bookmarkEnd w:id="313"/>
    </w:p>
    <w:p>
      <w:pPr>
        <w:pStyle w:val="45"/>
        <w:spacing w:line="440" w:lineRule="exact"/>
        <w:rPr>
          <w:rFonts w:hint="eastAsia" w:ascii="宋体" w:hAnsi="宋体" w:eastAsia="宋体" w:cs="宋体"/>
          <w:b/>
          <w:color w:val="auto"/>
          <w:szCs w:val="24"/>
          <w:highlight w:val="none"/>
        </w:rPr>
      </w:pPr>
      <w:bookmarkStart w:id="314" w:name="_Toc392345951"/>
      <w:bookmarkStart w:id="315" w:name="_Toc322615435"/>
      <w:bookmarkStart w:id="316" w:name="_Toc319408108"/>
      <w:bookmarkStart w:id="317" w:name="_Toc245036639"/>
      <w:bookmarkStart w:id="318" w:name="_Toc152045572"/>
      <w:bookmarkStart w:id="319" w:name="_Toc144974540"/>
      <w:bookmarkStart w:id="320" w:name="_Toc17490"/>
      <w:bookmarkStart w:id="321" w:name="_Toc323711787"/>
      <w:bookmarkStart w:id="322" w:name="_Toc152042348"/>
      <w:bookmarkStart w:id="323" w:name="_Toc319407873"/>
      <w:r>
        <w:rPr>
          <w:rFonts w:hint="eastAsia" w:ascii="宋体" w:hAnsi="宋体" w:eastAsia="宋体" w:cs="宋体"/>
          <w:b/>
          <w:color w:val="auto"/>
          <w:szCs w:val="24"/>
          <w:highlight w:val="none"/>
        </w:rPr>
        <w:t>8.1 重新招标</w:t>
      </w:r>
      <w:bookmarkEnd w:id="314"/>
      <w:bookmarkEnd w:id="315"/>
      <w:bookmarkEnd w:id="316"/>
      <w:bookmarkEnd w:id="317"/>
      <w:bookmarkEnd w:id="318"/>
      <w:bookmarkEnd w:id="319"/>
      <w:bookmarkEnd w:id="320"/>
      <w:bookmarkEnd w:id="321"/>
      <w:bookmarkEnd w:id="322"/>
      <w:bookmarkEnd w:id="323"/>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有下列情形之一的，招标人将重新招标：</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（1）投标截止时间止，投标人少于3个的；</w:t>
      </w:r>
    </w:p>
    <w:p>
      <w:pPr>
        <w:ind w:firstLine="410" w:firstLine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（2）经评标委员会评审后确定的有效投标少于3个的。</w:t>
      </w:r>
    </w:p>
    <w:p>
      <w:pPr>
        <w:pStyle w:val="45"/>
        <w:spacing w:line="440" w:lineRule="exact"/>
        <w:rPr>
          <w:rFonts w:hint="eastAsia" w:ascii="宋体" w:hAnsi="宋体" w:eastAsia="宋体" w:cs="宋体"/>
          <w:b/>
          <w:color w:val="auto"/>
          <w:szCs w:val="24"/>
          <w:highlight w:val="none"/>
        </w:rPr>
      </w:pPr>
      <w:bookmarkStart w:id="324" w:name="_Toc323711788"/>
      <w:bookmarkStart w:id="325" w:name="_Toc152045573"/>
      <w:bookmarkStart w:id="326" w:name="_Toc25234"/>
      <w:bookmarkStart w:id="327" w:name="_Toc152042349"/>
      <w:bookmarkStart w:id="328" w:name="_Toc392345952"/>
      <w:bookmarkStart w:id="329" w:name="_Toc245036640"/>
      <w:bookmarkStart w:id="330" w:name="_Toc319407874"/>
      <w:bookmarkStart w:id="331" w:name="_Toc319408109"/>
      <w:bookmarkStart w:id="332" w:name="_Toc322615436"/>
      <w:bookmarkStart w:id="333" w:name="_Toc144974541"/>
      <w:r>
        <w:rPr>
          <w:rFonts w:hint="eastAsia" w:ascii="宋体" w:hAnsi="宋体" w:eastAsia="宋体" w:cs="宋体"/>
          <w:b/>
          <w:color w:val="auto"/>
          <w:szCs w:val="24"/>
          <w:highlight w:val="none"/>
        </w:rPr>
        <w:t>8.2 不再招标</w:t>
      </w:r>
      <w:bookmarkEnd w:id="324"/>
      <w:bookmarkEnd w:id="325"/>
      <w:bookmarkEnd w:id="326"/>
      <w:bookmarkEnd w:id="327"/>
      <w:bookmarkEnd w:id="328"/>
      <w:bookmarkEnd w:id="329"/>
      <w:bookmarkEnd w:id="330"/>
      <w:bookmarkEnd w:id="331"/>
      <w:bookmarkEnd w:id="332"/>
      <w:bookmarkEnd w:id="333"/>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重新招标后投标人仍少于3个的，经原审批或核准部门批准后不再进行招标。</w:t>
      </w:r>
    </w:p>
    <w:p>
      <w:pPr>
        <w:pStyle w:val="44"/>
        <w:spacing w:line="440" w:lineRule="exact"/>
        <w:rPr>
          <w:rFonts w:hint="eastAsia" w:ascii="宋体" w:hAnsi="宋体" w:eastAsia="宋体" w:cs="宋体"/>
          <w:color w:val="auto"/>
          <w:sz w:val="24"/>
          <w:szCs w:val="24"/>
          <w:highlight w:val="none"/>
        </w:rPr>
      </w:pPr>
      <w:bookmarkStart w:id="334" w:name="_Toc245036641"/>
      <w:bookmarkStart w:id="335" w:name="_Toc152042350"/>
      <w:bookmarkStart w:id="336" w:name="_Toc152045574"/>
      <w:bookmarkStart w:id="337" w:name="_Toc144974542"/>
      <w:bookmarkStart w:id="338" w:name="_Toc323711789"/>
      <w:bookmarkStart w:id="339" w:name="_Toc17513"/>
      <w:bookmarkStart w:id="340" w:name="_Toc392345953"/>
      <w:r>
        <w:rPr>
          <w:rFonts w:hint="eastAsia" w:ascii="宋体" w:hAnsi="宋体" w:eastAsia="宋体" w:cs="宋体"/>
          <w:color w:val="auto"/>
          <w:sz w:val="24"/>
          <w:szCs w:val="24"/>
          <w:highlight w:val="none"/>
        </w:rPr>
        <w:t>9. 纪律和监督</w:t>
      </w:r>
      <w:bookmarkEnd w:id="334"/>
      <w:bookmarkEnd w:id="335"/>
      <w:bookmarkEnd w:id="336"/>
      <w:bookmarkEnd w:id="337"/>
      <w:bookmarkEnd w:id="338"/>
      <w:bookmarkEnd w:id="339"/>
      <w:bookmarkEnd w:id="340"/>
    </w:p>
    <w:p>
      <w:pPr>
        <w:pStyle w:val="45"/>
        <w:spacing w:line="440" w:lineRule="exact"/>
        <w:rPr>
          <w:rFonts w:hint="eastAsia" w:ascii="宋体" w:hAnsi="宋体" w:eastAsia="宋体" w:cs="宋体"/>
          <w:b/>
          <w:color w:val="auto"/>
          <w:szCs w:val="24"/>
          <w:highlight w:val="none"/>
        </w:rPr>
      </w:pPr>
      <w:bookmarkStart w:id="341" w:name="_Toc319408111"/>
      <w:bookmarkStart w:id="342" w:name="_Toc392345954"/>
      <w:bookmarkStart w:id="343" w:name="_Toc9358"/>
      <w:bookmarkStart w:id="344" w:name="_Toc152042351"/>
      <w:bookmarkStart w:id="345" w:name="_Toc152045575"/>
      <w:bookmarkStart w:id="346" w:name="_Toc323711790"/>
      <w:bookmarkStart w:id="347" w:name="_Toc319407876"/>
      <w:bookmarkStart w:id="348" w:name="_Toc144974543"/>
      <w:bookmarkStart w:id="349" w:name="_Toc245036642"/>
      <w:bookmarkStart w:id="350" w:name="_Toc322615438"/>
      <w:r>
        <w:rPr>
          <w:rFonts w:hint="eastAsia" w:ascii="宋体" w:hAnsi="宋体" w:eastAsia="宋体" w:cs="宋体"/>
          <w:b/>
          <w:color w:val="auto"/>
          <w:szCs w:val="24"/>
          <w:highlight w:val="none"/>
        </w:rPr>
        <w:t>9.1 对招标人的纪律要求</w:t>
      </w:r>
      <w:bookmarkEnd w:id="341"/>
      <w:bookmarkEnd w:id="342"/>
      <w:bookmarkEnd w:id="343"/>
      <w:bookmarkEnd w:id="344"/>
      <w:bookmarkEnd w:id="345"/>
      <w:bookmarkEnd w:id="346"/>
      <w:bookmarkEnd w:id="347"/>
      <w:bookmarkEnd w:id="348"/>
      <w:bookmarkEnd w:id="349"/>
      <w:bookmarkEnd w:id="350"/>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招标人不得泄漏招标投标活动中应当保密的情况和资料，不得与投标人串通损害国家利益、社会公共利益或者他人合法权益。</w:t>
      </w:r>
    </w:p>
    <w:p>
      <w:pPr>
        <w:pStyle w:val="45"/>
        <w:spacing w:line="440" w:lineRule="exact"/>
        <w:rPr>
          <w:rFonts w:hint="eastAsia" w:ascii="宋体" w:hAnsi="宋体" w:eastAsia="宋体" w:cs="宋体"/>
          <w:b/>
          <w:color w:val="auto"/>
          <w:szCs w:val="24"/>
          <w:highlight w:val="none"/>
        </w:rPr>
      </w:pPr>
      <w:bookmarkStart w:id="351" w:name="_Toc152045576"/>
      <w:bookmarkStart w:id="352" w:name="_Toc319408112"/>
      <w:bookmarkStart w:id="353" w:name="_Toc144974544"/>
      <w:bookmarkStart w:id="354" w:name="_Toc319407877"/>
      <w:bookmarkStart w:id="355" w:name="_Toc152042352"/>
      <w:bookmarkStart w:id="356" w:name="_Toc214"/>
      <w:bookmarkStart w:id="357" w:name="_Toc392345955"/>
      <w:bookmarkStart w:id="358" w:name="_Toc245036643"/>
      <w:bookmarkStart w:id="359" w:name="_Toc323711791"/>
      <w:bookmarkStart w:id="360" w:name="_Toc322615439"/>
      <w:r>
        <w:rPr>
          <w:rFonts w:hint="eastAsia" w:ascii="宋体" w:hAnsi="宋体" w:eastAsia="宋体" w:cs="宋体"/>
          <w:b/>
          <w:color w:val="auto"/>
          <w:szCs w:val="24"/>
          <w:highlight w:val="none"/>
        </w:rPr>
        <w:t>9.2 对投标人的纪律要求</w:t>
      </w:r>
      <w:bookmarkEnd w:id="351"/>
      <w:bookmarkEnd w:id="352"/>
      <w:bookmarkEnd w:id="353"/>
      <w:bookmarkEnd w:id="354"/>
      <w:bookmarkEnd w:id="355"/>
      <w:bookmarkEnd w:id="356"/>
      <w:bookmarkEnd w:id="357"/>
      <w:bookmarkEnd w:id="358"/>
      <w:bookmarkEnd w:id="359"/>
      <w:bookmarkEnd w:id="360"/>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5"/>
        <w:spacing w:line="440" w:lineRule="exact"/>
        <w:rPr>
          <w:rFonts w:hint="eastAsia" w:ascii="宋体" w:hAnsi="宋体" w:eastAsia="宋体" w:cs="宋体"/>
          <w:b/>
          <w:color w:val="auto"/>
          <w:szCs w:val="24"/>
          <w:highlight w:val="none"/>
        </w:rPr>
      </w:pPr>
      <w:bookmarkStart w:id="361" w:name="_Toc319408113"/>
      <w:bookmarkStart w:id="362" w:name="_Toc245036644"/>
      <w:bookmarkStart w:id="363" w:name="_Toc3266"/>
      <w:bookmarkStart w:id="364" w:name="_Toc144974545"/>
      <w:bookmarkStart w:id="365" w:name="_Toc152042353"/>
      <w:bookmarkStart w:id="366" w:name="_Toc392345956"/>
      <w:bookmarkStart w:id="367" w:name="_Toc152045577"/>
      <w:bookmarkStart w:id="368" w:name="_Toc323711792"/>
      <w:bookmarkStart w:id="369" w:name="_Toc322615440"/>
      <w:bookmarkStart w:id="370" w:name="_Toc319407878"/>
      <w:r>
        <w:rPr>
          <w:rFonts w:hint="eastAsia" w:ascii="宋体" w:hAnsi="宋体" w:eastAsia="宋体" w:cs="宋体"/>
          <w:b/>
          <w:color w:val="auto"/>
          <w:szCs w:val="24"/>
          <w:highlight w:val="none"/>
        </w:rPr>
        <w:t>9.3 对评标委员会成员的纪律要求</w:t>
      </w:r>
      <w:bookmarkEnd w:id="361"/>
      <w:bookmarkEnd w:id="362"/>
      <w:bookmarkEnd w:id="363"/>
      <w:bookmarkEnd w:id="364"/>
      <w:bookmarkEnd w:id="365"/>
      <w:bookmarkEnd w:id="366"/>
      <w:bookmarkEnd w:id="367"/>
      <w:bookmarkEnd w:id="368"/>
      <w:bookmarkEnd w:id="369"/>
      <w:bookmarkEnd w:id="370"/>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5"/>
        <w:spacing w:line="440" w:lineRule="exact"/>
        <w:rPr>
          <w:rFonts w:hint="eastAsia" w:ascii="宋体" w:hAnsi="宋体" w:eastAsia="宋体" w:cs="宋体"/>
          <w:b/>
          <w:color w:val="auto"/>
          <w:szCs w:val="24"/>
          <w:highlight w:val="none"/>
        </w:rPr>
      </w:pPr>
      <w:bookmarkStart w:id="371" w:name="_Toc319407879"/>
      <w:bookmarkStart w:id="372" w:name="_Toc319408114"/>
      <w:bookmarkStart w:id="373" w:name="_Toc322615441"/>
      <w:bookmarkStart w:id="374" w:name="_Toc152042354"/>
      <w:bookmarkStart w:id="375" w:name="_Toc152045578"/>
      <w:bookmarkStart w:id="376" w:name="_Toc245036645"/>
      <w:bookmarkStart w:id="377" w:name="_Toc323711793"/>
      <w:bookmarkStart w:id="378" w:name="_Toc392345957"/>
      <w:bookmarkStart w:id="379" w:name="_Toc480"/>
      <w:bookmarkStart w:id="380" w:name="_Toc144974546"/>
      <w:r>
        <w:rPr>
          <w:rFonts w:hint="eastAsia" w:ascii="宋体" w:hAnsi="宋体" w:eastAsia="宋体" w:cs="宋体"/>
          <w:b/>
          <w:color w:val="auto"/>
          <w:szCs w:val="24"/>
          <w:highlight w:val="none"/>
        </w:rPr>
        <w:t>9.4 对与评标活动有关的工作人员的纪律要求</w:t>
      </w:r>
      <w:bookmarkEnd w:id="371"/>
      <w:bookmarkEnd w:id="372"/>
      <w:bookmarkEnd w:id="373"/>
      <w:bookmarkEnd w:id="374"/>
      <w:bookmarkEnd w:id="375"/>
      <w:bookmarkEnd w:id="376"/>
      <w:bookmarkEnd w:id="377"/>
      <w:bookmarkEnd w:id="378"/>
      <w:bookmarkEnd w:id="379"/>
    </w:p>
    <w:p>
      <w:pPr>
        <w:ind w:firstLine="480" w:firstLineChars="200"/>
        <w:rPr>
          <w:rFonts w:hint="eastAsia" w:ascii="宋体" w:hAnsi="宋体" w:eastAsia="宋体" w:cs="宋体"/>
          <w:color w:val="auto"/>
          <w:sz w:val="24"/>
          <w:szCs w:val="24"/>
          <w:highlight w:val="none"/>
        </w:rPr>
      </w:pPr>
      <w:bookmarkStart w:id="381" w:name="_Toc152042355"/>
      <w:r>
        <w:rPr>
          <w:rFonts w:hint="eastAsia" w:ascii="宋体" w:hAnsi="宋体" w:eastAsia="宋体" w:cs="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1"/>
    </w:p>
    <w:p>
      <w:pPr>
        <w:pStyle w:val="45"/>
        <w:spacing w:line="440" w:lineRule="exact"/>
        <w:rPr>
          <w:rFonts w:hint="eastAsia" w:ascii="宋体" w:hAnsi="宋体" w:eastAsia="宋体" w:cs="宋体"/>
          <w:b/>
          <w:color w:val="auto"/>
          <w:szCs w:val="24"/>
          <w:highlight w:val="none"/>
        </w:rPr>
      </w:pPr>
      <w:bookmarkStart w:id="382" w:name="_Toc245036646"/>
      <w:bookmarkStart w:id="383" w:name="_Toc319408115"/>
      <w:bookmarkStart w:id="384" w:name="_Toc319407880"/>
      <w:bookmarkStart w:id="385" w:name="_Toc323711794"/>
      <w:bookmarkStart w:id="386" w:name="_Toc152042356"/>
      <w:bookmarkStart w:id="387" w:name="_Toc152045579"/>
      <w:bookmarkStart w:id="388" w:name="_Toc322615442"/>
      <w:bookmarkStart w:id="389" w:name="_Toc392345958"/>
      <w:bookmarkStart w:id="390" w:name="_Toc9812"/>
      <w:r>
        <w:rPr>
          <w:rFonts w:hint="eastAsia" w:ascii="宋体" w:hAnsi="宋体" w:eastAsia="宋体" w:cs="宋体"/>
          <w:b/>
          <w:color w:val="auto"/>
          <w:szCs w:val="24"/>
          <w:highlight w:val="none"/>
        </w:rPr>
        <w:t>9.5</w:t>
      </w:r>
      <w:bookmarkEnd w:id="380"/>
      <w:bookmarkEnd w:id="382"/>
      <w:bookmarkEnd w:id="383"/>
      <w:bookmarkEnd w:id="384"/>
      <w:bookmarkEnd w:id="385"/>
      <w:bookmarkEnd w:id="386"/>
      <w:bookmarkEnd w:id="387"/>
      <w:bookmarkEnd w:id="388"/>
      <w:bookmarkEnd w:id="389"/>
      <w:bookmarkStart w:id="391" w:name="_Toc246996966"/>
      <w:bookmarkStart w:id="392" w:name="_Toc296602466"/>
      <w:bookmarkStart w:id="393" w:name="_Toc357955317"/>
      <w:bookmarkStart w:id="394" w:name="_Toc247085737"/>
      <w:bookmarkStart w:id="395" w:name="_Toc246996223"/>
      <w:bookmarkStart w:id="396" w:name="_Toc179632597"/>
      <w:bookmarkStart w:id="397" w:name="_Toc152045580"/>
      <w:bookmarkStart w:id="398" w:name="_Toc152042357"/>
      <w:bookmarkStart w:id="399" w:name="_Toc392345959"/>
      <w:bookmarkStart w:id="400" w:name="_Toc323711795"/>
      <w:bookmarkStart w:id="401" w:name="_Toc245036647"/>
      <w:bookmarkStart w:id="402" w:name="_Toc144974547"/>
      <w:r>
        <w:rPr>
          <w:rFonts w:hint="eastAsia" w:ascii="宋体" w:hAnsi="宋体" w:eastAsia="宋体" w:cs="宋体"/>
          <w:b/>
          <w:color w:val="auto"/>
          <w:szCs w:val="24"/>
          <w:highlight w:val="none"/>
        </w:rPr>
        <w:t>异议与投诉</w:t>
      </w:r>
      <w:bookmarkEnd w:id="390"/>
      <w:bookmarkEnd w:id="391"/>
      <w:bookmarkEnd w:id="392"/>
      <w:bookmarkEnd w:id="393"/>
      <w:bookmarkEnd w:id="394"/>
      <w:bookmarkEnd w:id="395"/>
      <w:bookmarkEnd w:id="396"/>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投标人及其他利害关系人由提出异议与投诉的权利，但应遵守国家相关法律法规的规定和本章第10.2条的要求。</w:t>
      </w:r>
    </w:p>
    <w:p>
      <w:pPr>
        <w:pStyle w:val="45"/>
        <w:spacing w:line="440" w:lineRule="exact"/>
        <w:rPr>
          <w:rFonts w:hint="eastAsia" w:ascii="宋体" w:hAnsi="宋体" w:eastAsia="宋体" w:cs="宋体"/>
          <w:color w:val="auto"/>
          <w:szCs w:val="24"/>
          <w:highlight w:val="none"/>
        </w:rPr>
      </w:pPr>
      <w:bookmarkStart w:id="403" w:name="_Toc576"/>
      <w:r>
        <w:rPr>
          <w:rFonts w:hint="eastAsia" w:ascii="宋体" w:hAnsi="宋体" w:eastAsia="宋体" w:cs="宋体"/>
          <w:color w:val="auto"/>
          <w:szCs w:val="24"/>
          <w:highlight w:val="none"/>
        </w:rPr>
        <w:t xml:space="preserve">10. </w:t>
      </w:r>
      <w:bookmarkEnd w:id="397"/>
      <w:bookmarkEnd w:id="398"/>
      <w:bookmarkEnd w:id="399"/>
      <w:bookmarkEnd w:id="400"/>
      <w:bookmarkEnd w:id="401"/>
      <w:bookmarkEnd w:id="402"/>
      <w:r>
        <w:rPr>
          <w:rFonts w:hint="eastAsia" w:ascii="宋体" w:hAnsi="宋体" w:eastAsia="宋体" w:cs="宋体"/>
          <w:color w:val="auto"/>
          <w:szCs w:val="24"/>
          <w:highlight w:val="none"/>
        </w:rPr>
        <w:t>需要补充的其他内容</w:t>
      </w:r>
      <w:bookmarkEnd w:id="403"/>
    </w:p>
    <w:p>
      <w:pPr>
        <w:ind w:firstLine="480" w:firstLineChars="200"/>
        <w:rPr>
          <w:rFonts w:hint="eastAsia" w:ascii="宋体" w:hAnsi="宋体" w:eastAsia="宋体" w:cs="宋体"/>
          <w:color w:val="auto"/>
          <w:sz w:val="24"/>
          <w:szCs w:val="24"/>
          <w:highlight w:val="none"/>
        </w:rPr>
      </w:pPr>
      <w:bookmarkStart w:id="404" w:name="_Toc322615444"/>
      <w:bookmarkStart w:id="405" w:name="_Toc323711796"/>
      <w:r>
        <w:rPr>
          <w:rFonts w:hint="eastAsia" w:ascii="宋体" w:hAnsi="宋体" w:eastAsia="宋体" w:cs="宋体"/>
          <w:color w:val="auto"/>
          <w:sz w:val="24"/>
          <w:szCs w:val="24"/>
          <w:highlight w:val="none"/>
        </w:rPr>
        <w:t>10.1否决投标的情形</w:t>
      </w:r>
      <w:bookmarkEnd w:id="404"/>
      <w:bookmarkEnd w:id="405"/>
      <w:r>
        <w:rPr>
          <w:rFonts w:hint="eastAsia" w:ascii="宋体" w:hAnsi="宋体" w:eastAsia="宋体" w:cs="宋体"/>
          <w:color w:val="auto"/>
          <w:sz w:val="24"/>
          <w:szCs w:val="24"/>
          <w:highlight w:val="none"/>
        </w:rPr>
        <w:t>：见投标人须知前附表</w:t>
      </w:r>
    </w:p>
    <w:p>
      <w:pPr>
        <w:ind w:firstLine="480" w:firstLineChars="200"/>
        <w:rPr>
          <w:rFonts w:hint="eastAsia" w:ascii="宋体" w:hAnsi="宋体" w:eastAsia="宋体" w:cs="宋体"/>
          <w:color w:val="auto"/>
          <w:sz w:val="24"/>
          <w:szCs w:val="24"/>
          <w:highlight w:val="none"/>
        </w:rPr>
      </w:pPr>
      <w:bookmarkStart w:id="406" w:name="_Toc322615445"/>
      <w:bookmarkStart w:id="407" w:name="_Toc323711797"/>
      <w:r>
        <w:rPr>
          <w:rFonts w:hint="eastAsia" w:ascii="宋体" w:hAnsi="宋体" w:eastAsia="宋体" w:cs="宋体"/>
          <w:color w:val="auto"/>
          <w:sz w:val="24"/>
          <w:szCs w:val="24"/>
          <w:highlight w:val="none"/>
        </w:rPr>
        <w:t>10.2</w:t>
      </w:r>
      <w:bookmarkEnd w:id="406"/>
      <w:bookmarkEnd w:id="407"/>
      <w:r>
        <w:rPr>
          <w:rFonts w:hint="eastAsia" w:ascii="宋体" w:hAnsi="宋体" w:eastAsia="宋体" w:cs="宋体"/>
          <w:color w:val="auto"/>
          <w:sz w:val="24"/>
          <w:szCs w:val="24"/>
          <w:highlight w:val="none"/>
        </w:rPr>
        <w:t>异议与投诉：见投标人须知前附表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10.3定标：见投标人须知前附表</w:t>
      </w: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6"/>
        <w:ind w:firstLine="482"/>
        <w:rPr>
          <w:rFonts w:asciiTheme="minorEastAsia" w:hAnsiTheme="minorEastAsia" w:eastAsiaTheme="minorEastAsia" w:cstheme="minorEastAsia"/>
          <w:color w:val="auto"/>
          <w:sz w:val="24"/>
          <w:szCs w:val="24"/>
          <w:highlight w:val="none"/>
        </w:rPr>
      </w:pPr>
      <w:bookmarkStart w:id="408" w:name="_Toc21652"/>
      <w:bookmarkStart w:id="409" w:name="_Toc323711800"/>
      <w:bookmarkStart w:id="410" w:name="_Toc413527432"/>
      <w:bookmarkStart w:id="411" w:name="_Toc184635081"/>
      <w:r>
        <w:rPr>
          <w:rFonts w:hint="eastAsia" w:asciiTheme="minorEastAsia" w:hAnsiTheme="minorEastAsia" w:eastAsiaTheme="minorEastAsia" w:cstheme="minorEastAsia"/>
          <w:color w:val="auto"/>
          <w:sz w:val="24"/>
          <w:szCs w:val="24"/>
          <w:highlight w:val="none"/>
        </w:rPr>
        <w:t>附表一：开标记录表</w:t>
      </w:r>
      <w:bookmarkEnd w:id="408"/>
      <w:r>
        <w:rPr>
          <w:rFonts w:hint="eastAsia" w:asciiTheme="minorEastAsia" w:hAnsiTheme="minorEastAsia" w:eastAsiaTheme="minorEastAsia" w:cstheme="minorEastAsia"/>
          <w:color w:val="auto"/>
          <w:sz w:val="24"/>
          <w:szCs w:val="24"/>
          <w:highlight w:val="none"/>
        </w:rPr>
        <w:t>（略）</w:t>
      </w:r>
    </w:p>
    <w:p>
      <w:pPr>
        <w:pStyle w:val="6"/>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5" w:h="16838"/>
          <w:pgMar w:top="1417" w:right="1134" w:bottom="1417" w:left="1134" w:header="680" w:footer="680" w:gutter="0"/>
          <w:pgBorders>
            <w:top w:val="none" w:sz="0" w:space="0"/>
            <w:left w:val="none" w:sz="0" w:space="0"/>
            <w:bottom w:val="none" w:sz="0" w:space="0"/>
            <w:right w:val="none" w:sz="0" w:space="0"/>
          </w:pgBorders>
          <w:cols w:space="0" w:num="1"/>
          <w:docGrid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2" w:name="_Toc9597"/>
      <w:r>
        <w:rPr>
          <w:rFonts w:hint="eastAsia" w:asciiTheme="minorEastAsia" w:hAnsiTheme="minorEastAsia" w:eastAsiaTheme="minorEastAsia" w:cstheme="minorEastAsia"/>
          <w:color w:val="auto"/>
          <w:sz w:val="24"/>
          <w:szCs w:val="24"/>
          <w:highlight w:val="none"/>
        </w:rPr>
        <w:t>附表三：问题的澄清</w:t>
      </w:r>
      <w:bookmarkEnd w:id="412"/>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5" w:h="16838"/>
          <w:pgMar w:top="1417" w:right="1134" w:bottom="1417" w:left="1134" w:header="680" w:footer="680" w:gutter="0"/>
          <w:pgBorders>
            <w:top w:val="none" w:sz="0" w:space="0"/>
            <w:left w:val="none" w:sz="0" w:space="0"/>
            <w:bottom w:val="none" w:sz="0" w:space="0"/>
            <w:right w:val="none" w:sz="0" w:space="0"/>
          </w:pgBorders>
          <w:cols w:space="0" w:num="1"/>
          <w:docGrid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3" w:name="_Toc11393"/>
      <w:r>
        <w:rPr>
          <w:rFonts w:hint="eastAsia" w:asciiTheme="minorEastAsia" w:hAnsiTheme="minorEastAsia" w:eastAsiaTheme="minorEastAsia" w:cstheme="minorEastAsia"/>
          <w:color w:val="auto"/>
          <w:sz w:val="24"/>
          <w:szCs w:val="24"/>
          <w:highlight w:val="none"/>
        </w:rPr>
        <w:t>附表四：中标通知书</w:t>
      </w:r>
      <w:bookmarkEnd w:id="413"/>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履约保证金为中标金额的2%，应在合同签订后15日内缴纳。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招标代理：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备案部门：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6"/>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4" w:name="_Toc30185"/>
      <w:r>
        <w:rPr>
          <w:rFonts w:hint="eastAsia" w:asciiTheme="minorEastAsia" w:hAnsiTheme="minorEastAsia" w:eastAsiaTheme="minorEastAsia" w:cstheme="minorEastAsia"/>
          <w:color w:val="auto"/>
          <w:sz w:val="24"/>
          <w:szCs w:val="24"/>
          <w:highlight w:val="none"/>
        </w:rPr>
        <w:t>附表五：中标结果通知书</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5" w:h="16838"/>
          <w:pgMar w:top="1417" w:right="1134" w:bottom="1417" w:left="1134" w:header="680" w:footer="680" w:gutter="0"/>
          <w:pgBorders>
            <w:top w:val="none" w:sz="0" w:space="0"/>
            <w:left w:val="none" w:sz="0" w:space="0"/>
            <w:bottom w:val="none" w:sz="0" w:space="0"/>
            <w:right w:val="none" w:sz="0" w:space="0"/>
          </w:pgBorders>
          <w:cols w:space="0" w:num="1"/>
          <w:docGrid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5" w:name="_Toc23370"/>
      <w:r>
        <w:rPr>
          <w:rFonts w:hint="eastAsia" w:asciiTheme="minorEastAsia" w:hAnsiTheme="minorEastAsia" w:eastAsiaTheme="minorEastAsia" w:cstheme="minorEastAsia"/>
          <w:color w:val="auto"/>
          <w:sz w:val="24"/>
          <w:szCs w:val="24"/>
          <w:highlight w:val="none"/>
        </w:rPr>
        <w:t>附表六：确认通知</w:t>
      </w:r>
      <w:bookmarkEnd w:id="415"/>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9"/>
    <w:bookmarkEnd w:id="410"/>
    <w:bookmarkEnd w:id="411"/>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6" w:name="_Toc413527636"/>
      <w:bookmarkStart w:id="417" w:name="_Toc321687881"/>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18"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6"/>
      <w:bookmarkEnd w:id="417"/>
      <w:bookmarkEnd w:id="418"/>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7"/>
        <w:tblW w:w="10250"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 w:type="dxa"/>
          <w:bottom w:w="0" w:type="dxa"/>
          <w:right w:w="10" w:type="dxa"/>
        </w:tblCellMar>
      </w:tblPr>
      <w:tblGrid>
        <w:gridCol w:w="694"/>
        <w:gridCol w:w="1443"/>
        <w:gridCol w:w="2127"/>
        <w:gridCol w:w="5986"/>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jc w:val="center"/>
        </w:trPr>
        <w:tc>
          <w:tcPr>
            <w:tcW w:w="2137" w:type="dxa"/>
            <w:gridSpan w:val="2"/>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986" w:type="dxa"/>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jc w:val="center"/>
        </w:trPr>
        <w:tc>
          <w:tcPr>
            <w:tcW w:w="2137" w:type="dxa"/>
            <w:gridSpan w:val="2"/>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986" w:type="dxa"/>
            <w:tcBorders>
              <w:tl2br w:val="nil"/>
              <w:tr2bl w:val="nil"/>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16</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42</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jc w:val="center"/>
        </w:trPr>
        <w:tc>
          <w:tcPr>
            <w:tcW w:w="694" w:type="dxa"/>
            <w:vMerge w:val="restart"/>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l2br w:val="nil"/>
              <w:tr2bl w:val="nil"/>
            </w:tcBorders>
            <w:shd w:val="clear" w:color="000000" w:fill="FFFFFF"/>
            <w:tcMar>
              <w:left w:w="108" w:type="dxa"/>
              <w:right w:w="108" w:type="dxa"/>
            </w:tcMar>
            <w:vAlign w:val="center"/>
          </w:tcPr>
          <w:p>
            <w:pPr>
              <w:spacing w:line="320" w:lineRule="auto"/>
              <w:jc w:val="center"/>
              <w:rPr>
                <w:color w:val="auto"/>
                <w:highlight w:val="none"/>
              </w:rPr>
            </w:pPr>
            <w:r>
              <w:rPr>
                <w:rFonts w:hint="eastAsia"/>
                <w:color w:val="auto"/>
                <w:highlight w:val="none"/>
              </w:rPr>
              <w:t>资信部分</w:t>
            </w:r>
          </w:p>
          <w:p>
            <w:pPr>
              <w:spacing w:line="320" w:lineRule="auto"/>
              <w:jc w:val="center"/>
              <w:rPr>
                <w:color w:val="auto"/>
                <w:highlight w:val="none"/>
              </w:rPr>
            </w:pPr>
            <w:r>
              <w:rPr>
                <w:rFonts w:hint="eastAsia"/>
                <w:color w:val="auto"/>
                <w:highlight w:val="none"/>
              </w:rPr>
              <w:t>评分标准</w:t>
            </w:r>
          </w:p>
          <w:p>
            <w:pPr>
              <w:spacing w:line="320" w:lineRule="auto"/>
              <w:jc w:val="center"/>
              <w:rPr>
                <w:rFonts w:hint="eastAsia"/>
                <w:color w:val="auto"/>
                <w:highlight w:val="none"/>
              </w:rPr>
            </w:pPr>
            <w:r>
              <w:rPr>
                <w:rFonts w:hint="eastAsia"/>
                <w:color w:val="auto"/>
                <w:highlight w:val="none"/>
              </w:rPr>
              <w:t>（A=</w:t>
            </w:r>
            <w:r>
              <w:rPr>
                <w:rFonts w:hint="eastAsia"/>
                <w:color w:val="auto"/>
                <w:highlight w:val="none"/>
                <w:lang w:val="en-US" w:eastAsia="zh-CN"/>
              </w:rPr>
              <w:t>16</w:t>
            </w:r>
            <w:r>
              <w:rPr>
                <w:rFonts w:hint="eastAsia"/>
                <w:color w:val="auto"/>
                <w:highlight w:val="none"/>
              </w:rPr>
              <w:t>分）</w:t>
            </w:r>
          </w:p>
          <w:p>
            <w:pPr>
              <w:pStyle w:val="2"/>
              <w:rPr>
                <w:rFonts w:hint="eastAsia"/>
                <w:color w:val="auto"/>
                <w:highlight w:val="none"/>
              </w:rPr>
            </w:pPr>
          </w:p>
          <w:p>
            <w:pPr>
              <w:pStyle w:val="3"/>
              <w:rPr>
                <w:color w:val="auto"/>
                <w:highlight w:val="none"/>
              </w:rPr>
            </w:pPr>
          </w:p>
        </w:tc>
        <w:tc>
          <w:tcPr>
            <w:tcW w:w="2127" w:type="dxa"/>
            <w:tcBorders>
              <w:tl2br w:val="nil"/>
              <w:tr2bl w:val="nil"/>
            </w:tcBorders>
            <w:shd w:val="clear" w:color="000000" w:fill="FFFFFF"/>
            <w:tcMar>
              <w:left w:w="108" w:type="dxa"/>
              <w:right w:w="108" w:type="dxa"/>
            </w:tcMar>
            <w:vAlign w:val="center"/>
          </w:tcPr>
          <w:p>
            <w:pPr>
              <w:spacing w:line="320" w:lineRule="auto"/>
              <w:jc w:val="center"/>
              <w:rPr>
                <w:rFonts w:ascii="宋体" w:hAnsi="宋体" w:cs="宋体"/>
                <w:color w:val="auto"/>
                <w:sz w:val="21"/>
                <w:szCs w:val="21"/>
                <w:highlight w:val="none"/>
              </w:rPr>
            </w:pPr>
            <w:r>
              <w:rPr>
                <w:rFonts w:ascii="宋体" w:hAnsi="宋体" w:cs="宋体"/>
                <w:color w:val="auto"/>
                <w:sz w:val="21"/>
                <w:szCs w:val="21"/>
                <w:highlight w:val="none"/>
              </w:rPr>
              <w:t>企业权威认证</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tc>
        <w:tc>
          <w:tcPr>
            <w:tcW w:w="5986" w:type="dxa"/>
            <w:tcBorders>
              <w:tl2br w:val="nil"/>
              <w:tr2bl w:val="nil"/>
            </w:tcBorders>
            <w:shd w:val="clear" w:color="000000" w:fill="FFFFFF"/>
            <w:tcMar>
              <w:left w:w="108" w:type="dxa"/>
              <w:right w:w="108" w:type="dxa"/>
            </w:tcMar>
            <w:vAlign w:val="center"/>
          </w:tcPr>
          <w:p>
            <w:pPr>
              <w:spacing w:beforeLines="0" w:afterLines="0" w:line="2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投标</w:t>
            </w:r>
            <w:r>
              <w:rPr>
                <w:rFonts w:hint="eastAsia" w:ascii="宋体" w:hAnsi="宋体" w:eastAsia="宋体" w:cs="宋体"/>
                <w:color w:val="auto"/>
                <w:kern w:val="0"/>
                <w:sz w:val="21"/>
                <w:szCs w:val="21"/>
                <w:highlight w:val="none"/>
                <w:lang w:eastAsia="zh-CN"/>
              </w:rPr>
              <w:t>人</w:t>
            </w:r>
            <w:r>
              <w:rPr>
                <w:rFonts w:hint="eastAsia" w:ascii="宋体" w:hAnsi="宋体" w:eastAsia="宋体" w:cs="宋体"/>
                <w:color w:val="auto"/>
                <w:kern w:val="0"/>
                <w:sz w:val="21"/>
                <w:szCs w:val="21"/>
                <w:highlight w:val="none"/>
              </w:rPr>
              <w:t>具有质量管理体系认证证书</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得1分；</w:t>
            </w:r>
          </w:p>
          <w:p>
            <w:pPr>
              <w:spacing w:beforeLines="0" w:afterLines="0" w:line="2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投标</w:t>
            </w:r>
            <w:r>
              <w:rPr>
                <w:rFonts w:hint="eastAsia" w:ascii="宋体" w:hAnsi="宋体" w:eastAsia="宋体" w:cs="宋体"/>
                <w:color w:val="auto"/>
                <w:kern w:val="0"/>
                <w:sz w:val="21"/>
                <w:szCs w:val="21"/>
                <w:highlight w:val="none"/>
                <w:lang w:eastAsia="zh-CN"/>
              </w:rPr>
              <w:t>人</w:t>
            </w:r>
            <w:r>
              <w:rPr>
                <w:rFonts w:hint="eastAsia" w:ascii="宋体" w:hAnsi="宋体" w:eastAsia="宋体" w:cs="宋体"/>
                <w:color w:val="auto"/>
                <w:kern w:val="0"/>
                <w:sz w:val="21"/>
                <w:szCs w:val="21"/>
                <w:highlight w:val="none"/>
              </w:rPr>
              <w:t>具有环境管理体系认证证书</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得1分；</w:t>
            </w:r>
          </w:p>
          <w:p>
            <w:pPr>
              <w:spacing w:beforeLines="0" w:afterLines="0" w:line="240" w:lineRule="exac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投标</w:t>
            </w:r>
            <w:r>
              <w:rPr>
                <w:rFonts w:hint="eastAsia" w:ascii="宋体" w:hAnsi="宋体" w:eastAsia="宋体" w:cs="宋体"/>
                <w:color w:val="auto"/>
                <w:kern w:val="0"/>
                <w:sz w:val="21"/>
                <w:szCs w:val="21"/>
                <w:highlight w:val="none"/>
                <w:lang w:eastAsia="zh-CN"/>
              </w:rPr>
              <w:t>人</w:t>
            </w:r>
            <w:r>
              <w:rPr>
                <w:rFonts w:hint="eastAsia" w:ascii="宋体" w:hAnsi="宋体" w:eastAsia="宋体" w:cs="宋体"/>
                <w:color w:val="auto"/>
                <w:kern w:val="0"/>
                <w:sz w:val="21"/>
                <w:szCs w:val="21"/>
                <w:highlight w:val="none"/>
              </w:rPr>
              <w:t>具有职业健康安全管理体系认证证书</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得1分</w:t>
            </w:r>
            <w:r>
              <w:rPr>
                <w:rFonts w:hint="eastAsia" w:ascii="宋体" w:hAnsi="宋体" w:eastAsia="宋体" w:cs="宋体"/>
                <w:color w:val="auto"/>
                <w:kern w:val="0"/>
                <w:sz w:val="21"/>
                <w:szCs w:val="21"/>
                <w:highlight w:val="none"/>
                <w:lang w:eastAsia="zh-CN"/>
              </w:rPr>
              <w:t>；</w:t>
            </w:r>
          </w:p>
          <w:p>
            <w:pPr>
              <w:spacing w:line="240" w:lineRule="exact"/>
              <w:rPr>
                <w:rFonts w:ascii="宋体" w:hAnsi="宋体" w:cs="宋体"/>
                <w:color w:val="auto"/>
                <w:sz w:val="21"/>
                <w:szCs w:val="21"/>
                <w:highlight w:val="none"/>
              </w:rPr>
            </w:pPr>
            <w:r>
              <w:rPr>
                <w:rFonts w:hint="eastAsia" w:ascii="宋体" w:hAnsi="宋体" w:cs="宋体"/>
                <w:b/>
                <w:bCs/>
                <w:color w:val="auto"/>
                <w:sz w:val="21"/>
                <w:szCs w:val="21"/>
                <w:highlight w:val="none"/>
              </w:rPr>
              <w:t>注：投标文件中须提供有效认证证书复印件加盖投标人公章，否则不得分。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jc w:val="center"/>
        </w:trPr>
        <w:tc>
          <w:tcPr>
            <w:tcW w:w="694" w:type="dxa"/>
            <w:vMerge w:val="continue"/>
            <w:tcBorders>
              <w:tl2br w:val="nil"/>
              <w:tr2bl w:val="nil"/>
            </w:tcBorders>
            <w:shd w:val="clear" w:color="000000" w:fill="FFFFFF"/>
            <w:tcMar>
              <w:left w:w="108" w:type="dxa"/>
              <w:right w:w="108" w:type="dxa"/>
            </w:tcMar>
            <w:vAlign w:val="center"/>
          </w:tcPr>
          <w:p>
            <w:pPr>
              <w:spacing w:line="320" w:lineRule="auto"/>
              <w:jc w:val="center"/>
              <w:rPr>
                <w:rFonts w:hint="eastAsia" w:asciiTheme="minorEastAsia" w:hAnsiTheme="minorEastAsia" w:eastAsiaTheme="minorEastAsia" w:cstheme="minorEastAsia"/>
                <w:color w:val="auto"/>
                <w:sz w:val="24"/>
                <w:szCs w:val="24"/>
                <w:highlight w:val="none"/>
              </w:rPr>
            </w:pPr>
          </w:p>
        </w:tc>
        <w:tc>
          <w:tcPr>
            <w:tcW w:w="1443" w:type="dxa"/>
            <w:vMerge w:val="continue"/>
            <w:tcBorders>
              <w:tl2br w:val="nil"/>
              <w:tr2bl w:val="nil"/>
            </w:tcBorders>
            <w:shd w:val="clear" w:color="000000" w:fill="FFFFFF"/>
            <w:tcMar>
              <w:left w:w="108" w:type="dxa"/>
              <w:right w:w="108" w:type="dxa"/>
            </w:tcMar>
            <w:vAlign w:val="center"/>
          </w:tcPr>
          <w:p>
            <w:pPr>
              <w:spacing w:line="320" w:lineRule="auto"/>
              <w:jc w:val="center"/>
              <w:rPr>
                <w:rFonts w:hint="eastAsia" w:asciiTheme="minorEastAsia" w:hAnsiTheme="minorEastAsia" w:eastAsiaTheme="minorEastAsia" w:cstheme="minorEastAsia"/>
                <w:color w:val="auto"/>
                <w:sz w:val="24"/>
                <w:szCs w:val="24"/>
                <w:highlight w:val="none"/>
              </w:rPr>
            </w:pPr>
          </w:p>
        </w:tc>
        <w:tc>
          <w:tcPr>
            <w:tcW w:w="2127" w:type="dxa"/>
            <w:tcBorders>
              <w:tl2br w:val="nil"/>
              <w:tr2bl w:val="nil"/>
            </w:tcBorders>
            <w:shd w:val="clear" w:color="000000" w:fill="FFFFFF"/>
            <w:tcMar>
              <w:left w:w="108" w:type="dxa"/>
              <w:right w:w="108" w:type="dxa"/>
            </w:tcMar>
            <w:vAlign w:val="center"/>
          </w:tcPr>
          <w:p>
            <w:pPr>
              <w:spacing w:line="320" w:lineRule="auto"/>
              <w:jc w:val="center"/>
              <w:rPr>
                <w:rFonts w:hint="eastAsia" w:ascii="宋体" w:hAnsi="宋体" w:eastAsia="宋体" w:cs="宋体"/>
                <w:color w:val="auto"/>
                <w:kern w:val="0"/>
                <w:sz w:val="21"/>
                <w:szCs w:val="21"/>
                <w:highlight w:val="none"/>
              </w:rPr>
            </w:pPr>
            <w:r>
              <w:rPr>
                <w:rFonts w:hint="eastAsia" w:ascii="宋体" w:hAnsi="宋体" w:eastAsia="宋体" w:cs="宋体"/>
                <w:strike w:val="0"/>
                <w:dstrike w:val="0"/>
                <w:color w:val="auto"/>
                <w:kern w:val="0"/>
                <w:sz w:val="21"/>
                <w:szCs w:val="21"/>
                <w:highlight w:val="none"/>
              </w:rPr>
              <w:t>节能环保</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c>
          <w:tcPr>
            <w:tcW w:w="5986" w:type="dxa"/>
            <w:tcBorders>
              <w:tl2br w:val="nil"/>
              <w:tr2bl w:val="nil"/>
            </w:tcBorders>
            <w:shd w:val="clear" w:color="000000" w:fill="FFFFFF"/>
            <w:tcMar>
              <w:left w:w="108" w:type="dxa"/>
              <w:right w:w="108" w:type="dxa"/>
            </w:tcMar>
            <w:vAlign w:val="center"/>
          </w:tcPr>
          <w:p>
            <w:pPr>
              <w:widowControl/>
              <w:numPr>
                <w:ilvl w:val="0"/>
                <w:numId w:val="0"/>
              </w:numPr>
              <w:spacing w:beforeLines="0" w:afterLines="0"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w:t>
            </w:r>
            <w:r>
              <w:rPr>
                <w:rFonts w:hint="eastAsia" w:ascii="宋体" w:hAnsi="宋体" w:cs="宋体"/>
                <w:color w:val="auto"/>
                <w:sz w:val="21"/>
                <w:szCs w:val="21"/>
                <w:highlight w:val="none"/>
                <w:lang w:val="en-US" w:eastAsia="zh-CN"/>
              </w:rPr>
              <w:t>或</w:t>
            </w:r>
            <w:r>
              <w:rPr>
                <w:rFonts w:hint="eastAsia"/>
                <w:color w:val="auto"/>
                <w:highlight w:val="none"/>
              </w:rPr>
              <w:t>生产厂商</w:t>
            </w:r>
            <w:r>
              <w:rPr>
                <w:rFonts w:hint="eastAsia" w:ascii="宋体" w:hAnsi="宋体" w:eastAsia="宋体" w:cs="宋体"/>
                <w:color w:val="auto"/>
                <w:sz w:val="21"/>
                <w:szCs w:val="21"/>
                <w:highlight w:val="none"/>
                <w:lang w:val="en-US" w:eastAsia="zh-CN"/>
              </w:rPr>
              <w:t>提供</w:t>
            </w:r>
            <w:r>
              <w:rPr>
                <w:rFonts w:hint="eastAsia" w:ascii="宋体" w:hAnsi="宋体" w:cs="宋体"/>
                <w:color w:val="auto"/>
                <w:szCs w:val="21"/>
                <w:highlight w:val="none"/>
              </w:rPr>
              <w:t>本项目清单内产品</w:t>
            </w:r>
            <w:r>
              <w:rPr>
                <w:rFonts w:hint="eastAsia" w:ascii="宋体" w:hAnsi="宋体" w:eastAsia="宋体" w:cs="宋体"/>
                <w:color w:val="auto"/>
                <w:sz w:val="21"/>
                <w:szCs w:val="21"/>
                <w:highlight w:val="none"/>
              </w:rPr>
              <w:t>环境标志产品认证证书的</w:t>
            </w:r>
            <w:r>
              <w:rPr>
                <w:rFonts w:hint="eastAsia" w:ascii="宋体" w:hAnsi="宋体" w:eastAsia="宋体" w:cs="宋体"/>
                <w:color w:val="auto"/>
                <w:sz w:val="21"/>
                <w:szCs w:val="21"/>
                <w:highlight w:val="none"/>
                <w:lang w:val="en-US" w:eastAsia="zh-CN"/>
              </w:rPr>
              <w:t>每个</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本项最高得1分。</w:t>
            </w:r>
          </w:p>
          <w:p>
            <w:pPr>
              <w:widowControl/>
              <w:numPr>
                <w:ilvl w:val="0"/>
                <w:numId w:val="0"/>
              </w:numPr>
              <w:spacing w:beforeLines="0" w:afterLines="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2.投标人</w:t>
            </w:r>
            <w:r>
              <w:rPr>
                <w:rFonts w:hint="eastAsia" w:ascii="宋体" w:hAnsi="宋体" w:cs="宋体"/>
                <w:color w:val="auto"/>
                <w:sz w:val="21"/>
                <w:szCs w:val="21"/>
                <w:highlight w:val="none"/>
                <w:lang w:val="en-US" w:eastAsia="zh-CN"/>
              </w:rPr>
              <w:t>或</w:t>
            </w:r>
            <w:r>
              <w:rPr>
                <w:rFonts w:hint="eastAsia"/>
                <w:color w:val="auto"/>
                <w:highlight w:val="none"/>
              </w:rPr>
              <w:t>生产厂商</w:t>
            </w:r>
            <w:r>
              <w:rPr>
                <w:rFonts w:hint="eastAsia" w:ascii="宋体" w:hAnsi="宋体" w:eastAsia="宋体" w:cs="宋体"/>
                <w:color w:val="auto"/>
                <w:sz w:val="21"/>
                <w:szCs w:val="21"/>
                <w:highlight w:val="none"/>
              </w:rPr>
              <w:t>提供</w:t>
            </w:r>
            <w:r>
              <w:rPr>
                <w:rFonts w:hint="eastAsia" w:ascii="宋体" w:hAnsi="宋体" w:cs="宋体"/>
                <w:color w:val="auto"/>
                <w:szCs w:val="21"/>
                <w:highlight w:val="none"/>
              </w:rPr>
              <w:t>本项目清单内产品</w:t>
            </w:r>
            <w:r>
              <w:rPr>
                <w:rFonts w:hint="eastAsia" w:ascii="宋体" w:hAnsi="宋体" w:eastAsia="宋体" w:cs="宋体"/>
                <w:color w:val="auto"/>
                <w:sz w:val="21"/>
                <w:szCs w:val="21"/>
                <w:highlight w:val="none"/>
              </w:rPr>
              <w:t>节能产品认证证书的</w:t>
            </w:r>
            <w:r>
              <w:rPr>
                <w:rFonts w:hint="eastAsia" w:ascii="宋体" w:hAnsi="宋体" w:eastAsia="宋体" w:cs="宋体"/>
                <w:color w:val="auto"/>
                <w:sz w:val="21"/>
                <w:szCs w:val="21"/>
                <w:highlight w:val="none"/>
                <w:lang w:val="en-US" w:eastAsia="zh-CN"/>
              </w:rPr>
              <w:t>每个得0.5分，本项最高</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pPr>
              <w:widowControl/>
              <w:numPr>
                <w:ilvl w:val="0"/>
                <w:numId w:val="0"/>
              </w:numPr>
              <w:spacing w:beforeLines="0" w:afterLines="0" w:line="2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3.投标人</w:t>
            </w:r>
            <w:r>
              <w:rPr>
                <w:rFonts w:hint="eastAsia" w:ascii="宋体" w:hAnsi="宋体" w:cs="宋体"/>
                <w:color w:val="auto"/>
                <w:sz w:val="21"/>
                <w:szCs w:val="21"/>
                <w:highlight w:val="none"/>
                <w:lang w:val="en-US" w:eastAsia="zh-CN"/>
              </w:rPr>
              <w:t>或</w:t>
            </w:r>
            <w:r>
              <w:rPr>
                <w:rFonts w:hint="eastAsia"/>
                <w:color w:val="auto"/>
                <w:highlight w:val="none"/>
              </w:rPr>
              <w:t>生产厂商</w:t>
            </w:r>
            <w:r>
              <w:rPr>
                <w:rFonts w:hint="eastAsia" w:ascii="宋体" w:hAnsi="宋体" w:eastAsia="宋体" w:cs="宋体"/>
                <w:color w:val="auto"/>
                <w:sz w:val="21"/>
                <w:szCs w:val="21"/>
                <w:highlight w:val="none"/>
              </w:rPr>
              <w:t>提供</w:t>
            </w:r>
            <w:r>
              <w:rPr>
                <w:rFonts w:hint="eastAsia" w:ascii="宋体" w:hAnsi="宋体" w:cs="宋体"/>
                <w:color w:val="auto"/>
                <w:szCs w:val="21"/>
                <w:highlight w:val="none"/>
              </w:rPr>
              <w:t>本项目清单内产品</w:t>
            </w:r>
            <w:r>
              <w:rPr>
                <w:rFonts w:hint="eastAsia" w:ascii="宋体" w:hAnsi="宋体" w:eastAsia="宋体" w:cs="宋体"/>
                <w:color w:val="auto"/>
                <w:sz w:val="21"/>
                <w:szCs w:val="21"/>
                <w:highlight w:val="none"/>
                <w:lang w:val="en-US" w:eastAsia="zh-CN"/>
              </w:rPr>
              <w:t>环保</w:t>
            </w:r>
            <w:r>
              <w:rPr>
                <w:rFonts w:hint="eastAsia" w:ascii="宋体" w:hAnsi="宋体" w:eastAsia="宋体" w:cs="宋体"/>
                <w:color w:val="auto"/>
                <w:sz w:val="21"/>
                <w:szCs w:val="21"/>
                <w:highlight w:val="none"/>
              </w:rPr>
              <w:t>产品认证证书的</w:t>
            </w:r>
            <w:r>
              <w:rPr>
                <w:rFonts w:hint="eastAsia" w:ascii="宋体" w:hAnsi="宋体" w:eastAsia="宋体" w:cs="宋体"/>
                <w:color w:val="auto"/>
                <w:sz w:val="21"/>
                <w:szCs w:val="21"/>
                <w:highlight w:val="none"/>
                <w:lang w:val="en-US" w:eastAsia="zh-CN"/>
              </w:rPr>
              <w:t>每个得0.5分，本项最高</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pPr>
              <w:spacing w:line="240" w:lineRule="exact"/>
              <w:rPr>
                <w:rFonts w:hint="eastAsia" w:ascii="宋体" w:hAnsi="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b/>
                <w:bCs/>
                <w:color w:val="auto"/>
                <w:sz w:val="21"/>
                <w:szCs w:val="21"/>
                <w:highlight w:val="none"/>
              </w:rPr>
              <w:t>：</w:t>
            </w:r>
            <w:r>
              <w:rPr>
                <w:rFonts w:hint="eastAsia" w:ascii="宋体" w:hAnsi="宋体" w:cs="宋体"/>
                <w:b/>
                <w:bCs/>
                <w:color w:val="auto"/>
                <w:szCs w:val="21"/>
                <w:highlight w:val="none"/>
              </w:rPr>
              <w:t>投标文件中须提供处于有效期之内的相关产品认证证书复印件加盖投标人公章及网页截图加盖投标人公章，否则不得分</w:t>
            </w:r>
            <w:r>
              <w:rPr>
                <w:rFonts w:hint="eastAsia" w:ascii="宋体" w:hAnsi="宋体" w:eastAsia="宋体" w:cs="宋体"/>
                <w:b/>
                <w:bCs/>
                <w:color w:val="auto"/>
                <w:sz w:val="21"/>
                <w:szCs w:val="21"/>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jc w:val="center"/>
        </w:trPr>
        <w:tc>
          <w:tcPr>
            <w:tcW w:w="694" w:type="dxa"/>
            <w:vMerge w:val="continue"/>
            <w:tcBorders>
              <w:tl2br w:val="nil"/>
              <w:tr2bl w:val="nil"/>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l2br w:val="nil"/>
              <w:tr2bl w:val="nil"/>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l2br w:val="nil"/>
              <w:tr2bl w:val="nil"/>
            </w:tcBorders>
            <w:shd w:val="clear" w:color="000000" w:fill="FFFFFF"/>
            <w:tcMar>
              <w:left w:w="108" w:type="dxa"/>
              <w:right w:w="108" w:type="dxa"/>
            </w:tcMar>
            <w:vAlign w:val="center"/>
          </w:tcPr>
          <w:p>
            <w:pPr>
              <w:spacing w:line="32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成功案例及业绩</w:t>
            </w:r>
          </w:p>
          <w:p>
            <w:pPr>
              <w:spacing w:line="32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（6分）</w:t>
            </w:r>
          </w:p>
        </w:tc>
        <w:tc>
          <w:tcPr>
            <w:tcW w:w="5986" w:type="dxa"/>
            <w:tcBorders>
              <w:tl2br w:val="nil"/>
              <w:tr2bl w:val="nil"/>
            </w:tcBorders>
            <w:shd w:val="clear" w:color="000000" w:fill="FFFFFF"/>
            <w:tcMar>
              <w:left w:w="108" w:type="dxa"/>
              <w:right w:w="108" w:type="dxa"/>
            </w:tcMar>
            <w:vAlign w:val="center"/>
          </w:tcPr>
          <w:p>
            <w:pPr>
              <w:pStyle w:val="2"/>
              <w:spacing w:line="24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投标人自201</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年1月1日至投标截止日止，</w:t>
            </w:r>
            <w:r>
              <w:rPr>
                <w:rFonts w:hint="eastAsia" w:ascii="宋体" w:hAnsi="宋体" w:eastAsia="宋体" w:cs="宋体"/>
                <w:color w:val="auto"/>
                <w:kern w:val="0"/>
                <w:sz w:val="21"/>
                <w:szCs w:val="21"/>
                <w:highlight w:val="none"/>
              </w:rPr>
              <w:t>完成过单项金额</w:t>
            </w:r>
            <w:r>
              <w:rPr>
                <w:rFonts w:hint="eastAsia" w:ascii="宋体" w:hAnsi="宋体" w:cs="宋体"/>
                <w:color w:val="auto"/>
                <w:kern w:val="0"/>
                <w:sz w:val="21"/>
                <w:szCs w:val="21"/>
                <w:highlight w:val="none"/>
                <w:lang w:val="en-US" w:eastAsia="zh-CN"/>
              </w:rPr>
              <w:t>250</w:t>
            </w:r>
            <w:r>
              <w:rPr>
                <w:rFonts w:hint="eastAsia" w:ascii="宋体" w:hAnsi="宋体" w:eastAsia="宋体" w:cs="宋体"/>
                <w:color w:val="auto"/>
                <w:kern w:val="0"/>
                <w:sz w:val="21"/>
                <w:szCs w:val="21"/>
                <w:highlight w:val="none"/>
              </w:rPr>
              <w:t>万元（含）-</w:t>
            </w:r>
            <w:r>
              <w:rPr>
                <w:rFonts w:hint="eastAsia" w:ascii="宋体" w:hAnsi="宋体" w:cs="宋体"/>
                <w:color w:val="auto"/>
                <w:kern w:val="0"/>
                <w:sz w:val="21"/>
                <w:szCs w:val="21"/>
                <w:highlight w:val="none"/>
                <w:lang w:val="en-US" w:eastAsia="zh-CN"/>
              </w:rPr>
              <w:t>350</w:t>
            </w:r>
            <w:r>
              <w:rPr>
                <w:rFonts w:hint="eastAsia" w:ascii="宋体" w:hAnsi="宋体" w:eastAsia="宋体" w:cs="宋体"/>
                <w:color w:val="auto"/>
                <w:kern w:val="0"/>
                <w:sz w:val="21"/>
                <w:szCs w:val="21"/>
                <w:highlight w:val="none"/>
              </w:rPr>
              <w:t>万元（不含）的类似</w:t>
            </w:r>
            <w:r>
              <w:rPr>
                <w:rFonts w:hint="eastAsia" w:ascii="宋体" w:hAnsi="宋体" w:eastAsia="宋体" w:cs="宋体"/>
                <w:color w:val="auto"/>
                <w:kern w:val="0"/>
                <w:sz w:val="21"/>
                <w:szCs w:val="21"/>
                <w:highlight w:val="none"/>
                <w:lang w:val="en-US" w:eastAsia="zh-CN"/>
              </w:rPr>
              <w:t>厨房设备</w:t>
            </w:r>
            <w:r>
              <w:rPr>
                <w:rFonts w:hint="eastAsia" w:ascii="宋体" w:hAnsi="宋体" w:cs="宋体"/>
                <w:color w:val="auto"/>
                <w:kern w:val="0"/>
                <w:sz w:val="21"/>
                <w:szCs w:val="21"/>
                <w:highlight w:val="none"/>
                <w:lang w:val="en-US" w:eastAsia="zh-CN"/>
              </w:rPr>
              <w:t>供货</w:t>
            </w:r>
            <w:r>
              <w:rPr>
                <w:rFonts w:hint="eastAsia" w:ascii="宋体" w:hAnsi="宋体" w:eastAsia="宋体" w:cs="宋体"/>
                <w:color w:val="auto"/>
                <w:kern w:val="0"/>
                <w:sz w:val="21"/>
                <w:szCs w:val="21"/>
                <w:highlight w:val="none"/>
              </w:rPr>
              <w:t>业绩的，每项得1分；完成过单项金额</w:t>
            </w:r>
            <w:r>
              <w:rPr>
                <w:rFonts w:hint="eastAsia" w:ascii="宋体" w:hAnsi="宋体" w:cs="宋体"/>
                <w:color w:val="auto"/>
                <w:kern w:val="0"/>
                <w:sz w:val="21"/>
                <w:szCs w:val="21"/>
                <w:highlight w:val="none"/>
                <w:lang w:val="en-US" w:eastAsia="zh-CN"/>
              </w:rPr>
              <w:t>350</w:t>
            </w:r>
            <w:r>
              <w:rPr>
                <w:rFonts w:hint="eastAsia" w:ascii="宋体" w:hAnsi="宋体" w:eastAsia="宋体" w:cs="宋体"/>
                <w:color w:val="auto"/>
                <w:kern w:val="0"/>
                <w:sz w:val="21"/>
                <w:szCs w:val="21"/>
                <w:highlight w:val="none"/>
              </w:rPr>
              <w:t>万元及以上的类似</w:t>
            </w:r>
            <w:r>
              <w:rPr>
                <w:rFonts w:hint="eastAsia" w:ascii="宋体" w:hAnsi="宋体" w:eastAsia="宋体" w:cs="宋体"/>
                <w:color w:val="auto"/>
                <w:kern w:val="0"/>
                <w:sz w:val="21"/>
                <w:szCs w:val="21"/>
                <w:highlight w:val="none"/>
                <w:lang w:val="en-US" w:eastAsia="zh-CN"/>
              </w:rPr>
              <w:t>厨房设备</w:t>
            </w:r>
            <w:r>
              <w:rPr>
                <w:rFonts w:hint="eastAsia" w:ascii="宋体" w:hAnsi="宋体" w:cs="宋体"/>
                <w:color w:val="auto"/>
                <w:kern w:val="0"/>
                <w:sz w:val="21"/>
                <w:szCs w:val="21"/>
                <w:highlight w:val="none"/>
                <w:lang w:val="en-US" w:eastAsia="zh-CN"/>
              </w:rPr>
              <w:t>供货</w:t>
            </w:r>
            <w:r>
              <w:rPr>
                <w:rFonts w:hint="eastAsia" w:ascii="宋体" w:hAnsi="宋体" w:eastAsia="宋体" w:cs="宋体"/>
                <w:color w:val="auto"/>
                <w:kern w:val="0"/>
                <w:sz w:val="21"/>
                <w:szCs w:val="21"/>
                <w:highlight w:val="none"/>
              </w:rPr>
              <w:t>业绩的，每项得2分。本项最多提供3个业绩。</w:t>
            </w:r>
            <w:r>
              <w:rPr>
                <w:rFonts w:hint="eastAsia" w:ascii="宋体" w:hAnsi="宋体" w:cs="宋体"/>
                <w:color w:val="auto"/>
                <w:sz w:val="21"/>
                <w:szCs w:val="21"/>
                <w:highlight w:val="none"/>
              </w:rPr>
              <w:t>本项最高得6分</w:t>
            </w:r>
          </w:p>
          <w:p>
            <w:pPr>
              <w:spacing w:line="240" w:lineRule="exact"/>
              <w:rPr>
                <w:rFonts w:ascii="宋体" w:hAnsi="宋体" w:cs="宋体"/>
                <w:color w:val="auto"/>
                <w:sz w:val="21"/>
                <w:szCs w:val="21"/>
                <w:highlight w:val="none"/>
              </w:rPr>
            </w:pPr>
            <w:r>
              <w:rPr>
                <w:rFonts w:hint="eastAsia" w:ascii="宋体" w:hAnsi="宋体" w:cs="宋体"/>
                <w:b/>
                <w:bCs/>
                <w:color w:val="auto"/>
                <w:sz w:val="21"/>
                <w:szCs w:val="21"/>
                <w:highlight w:val="none"/>
              </w:rPr>
              <w:t>注：业绩证明材料必须同时提供合同</w:t>
            </w:r>
            <w:r>
              <w:rPr>
                <w:rFonts w:hint="eastAsia" w:ascii="宋体" w:hAnsi="宋体" w:cs="宋体"/>
                <w:b/>
                <w:bCs/>
                <w:color w:val="auto"/>
                <w:sz w:val="21"/>
                <w:szCs w:val="21"/>
                <w:highlight w:val="none"/>
                <w:lang w:eastAsia="zh-CN"/>
              </w:rPr>
              <w:t>、</w:t>
            </w:r>
            <w:r>
              <w:rPr>
                <w:rFonts w:hint="eastAsia"/>
                <w:color w:val="auto"/>
                <w:highlight w:val="none"/>
              </w:rPr>
              <w:t>单项或整体验收证明</w:t>
            </w:r>
            <w:r>
              <w:rPr>
                <w:rFonts w:hint="eastAsia" w:ascii="宋体" w:hAnsi="宋体" w:cs="宋体"/>
                <w:b/>
                <w:bCs/>
                <w:color w:val="auto"/>
                <w:sz w:val="21"/>
                <w:szCs w:val="21"/>
                <w:highlight w:val="none"/>
              </w:rPr>
              <w:t>（时间以</w:t>
            </w:r>
            <w:r>
              <w:rPr>
                <w:rFonts w:hint="eastAsia" w:ascii="宋体" w:hAnsi="宋体" w:cs="宋体"/>
                <w:b/>
                <w:bCs/>
                <w:color w:val="auto"/>
                <w:sz w:val="21"/>
                <w:szCs w:val="21"/>
                <w:highlight w:val="none"/>
                <w:lang w:val="en-US" w:eastAsia="zh-CN"/>
              </w:rPr>
              <w:t>验收</w:t>
            </w:r>
            <w:r>
              <w:rPr>
                <w:rFonts w:hint="eastAsia" w:ascii="宋体" w:hAnsi="宋体" w:cs="宋体"/>
                <w:b/>
                <w:bCs/>
                <w:color w:val="auto"/>
                <w:sz w:val="21"/>
                <w:szCs w:val="21"/>
                <w:highlight w:val="none"/>
              </w:rPr>
              <w:t>证明上的时间为准）的复印件加盖投标人公章，二者必须兼备，若缺其中任何一项则业绩不予认可。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jc w:val="center"/>
        </w:trPr>
        <w:tc>
          <w:tcPr>
            <w:tcW w:w="694" w:type="dxa"/>
            <w:vMerge w:val="continue"/>
            <w:tcBorders>
              <w:tl2br w:val="nil"/>
              <w:tr2bl w:val="nil"/>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l2br w:val="nil"/>
              <w:tr2bl w:val="nil"/>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l2br w:val="nil"/>
              <w:tr2bl w:val="nil"/>
            </w:tcBorders>
            <w:shd w:val="clear" w:color="000000" w:fill="FFFFFF"/>
            <w:tcMar>
              <w:left w:w="108" w:type="dxa"/>
              <w:right w:w="108" w:type="dxa"/>
            </w:tcMar>
            <w:vAlign w:val="center"/>
          </w:tcPr>
          <w:p>
            <w:pPr>
              <w:spacing w:line="320" w:lineRule="auto"/>
              <w:jc w:val="center"/>
              <w:rPr>
                <w:rFonts w:ascii="宋体" w:hAnsi="宋体" w:cs="宋体"/>
                <w:strike w:val="0"/>
                <w:color w:val="auto"/>
                <w:sz w:val="21"/>
                <w:szCs w:val="21"/>
                <w:highlight w:val="none"/>
              </w:rPr>
            </w:pPr>
            <w:r>
              <w:rPr>
                <w:rFonts w:hint="eastAsia" w:ascii="宋体" w:hAnsi="宋体" w:cs="宋体"/>
                <w:strike w:val="0"/>
                <w:color w:val="auto"/>
                <w:sz w:val="21"/>
                <w:szCs w:val="21"/>
                <w:highlight w:val="none"/>
              </w:rPr>
              <w:t>人员配备（</w:t>
            </w:r>
            <w:r>
              <w:rPr>
                <w:rFonts w:hint="eastAsia" w:ascii="宋体" w:hAnsi="宋体" w:cs="宋体"/>
                <w:strike w:val="0"/>
                <w:color w:val="auto"/>
                <w:sz w:val="21"/>
                <w:szCs w:val="21"/>
                <w:highlight w:val="none"/>
                <w:lang w:val="en-US" w:eastAsia="zh-CN"/>
              </w:rPr>
              <w:t>1</w:t>
            </w:r>
            <w:r>
              <w:rPr>
                <w:rFonts w:hint="eastAsia" w:ascii="宋体" w:hAnsi="宋体" w:cs="宋体"/>
                <w:strike w:val="0"/>
                <w:color w:val="auto"/>
                <w:sz w:val="21"/>
                <w:szCs w:val="21"/>
                <w:highlight w:val="none"/>
              </w:rPr>
              <w:t>分）</w:t>
            </w:r>
          </w:p>
        </w:tc>
        <w:tc>
          <w:tcPr>
            <w:tcW w:w="5986" w:type="dxa"/>
            <w:tcBorders>
              <w:tl2br w:val="nil"/>
              <w:tr2bl w:val="nil"/>
            </w:tcBorders>
            <w:shd w:val="clear" w:color="000000" w:fill="FFFFFF"/>
            <w:tcMar>
              <w:left w:w="108" w:type="dxa"/>
              <w:right w:w="108" w:type="dxa"/>
            </w:tcMar>
            <w:vAlign w:val="center"/>
          </w:tcPr>
          <w:p>
            <w:pPr>
              <w:spacing w:line="240" w:lineRule="exact"/>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rPr>
              <w:t>项目拟投入人员具有</w:t>
            </w:r>
            <w:r>
              <w:rPr>
                <w:rFonts w:hint="eastAsia" w:ascii="宋体" w:hAnsi="宋体" w:cs="宋体"/>
                <w:b/>
                <w:bCs/>
                <w:strike w:val="0"/>
                <w:color w:val="auto"/>
                <w:sz w:val="21"/>
                <w:szCs w:val="21"/>
                <w:highlight w:val="none"/>
                <w:lang w:val="en-US" w:eastAsia="zh-CN"/>
              </w:rPr>
              <w:t>应急管理部门</w:t>
            </w:r>
            <w:r>
              <w:rPr>
                <w:rFonts w:hint="eastAsia" w:ascii="宋体" w:hAnsi="宋体" w:eastAsia="宋体" w:cs="宋体"/>
                <w:strike w:val="0"/>
                <w:color w:val="auto"/>
                <w:sz w:val="21"/>
                <w:szCs w:val="21"/>
                <w:highlight w:val="none"/>
              </w:rPr>
              <w:t>颁发的</w:t>
            </w:r>
            <w:r>
              <w:rPr>
                <w:rFonts w:hint="eastAsia" w:ascii="宋体" w:hAnsi="宋体" w:cs="宋体"/>
                <w:strike w:val="0"/>
                <w:color w:val="auto"/>
                <w:sz w:val="21"/>
                <w:szCs w:val="21"/>
                <w:highlight w:val="none"/>
                <w:lang w:val="en-US" w:eastAsia="zh-CN"/>
              </w:rPr>
              <w:t>低压</w:t>
            </w:r>
            <w:r>
              <w:rPr>
                <w:rFonts w:hint="eastAsia" w:ascii="宋体" w:hAnsi="宋体" w:eastAsia="宋体" w:cs="宋体"/>
                <w:strike w:val="0"/>
                <w:color w:val="auto"/>
                <w:sz w:val="21"/>
                <w:szCs w:val="21"/>
                <w:highlight w:val="none"/>
              </w:rPr>
              <w:t>电工作业证</w:t>
            </w:r>
            <w:r>
              <w:rPr>
                <w:rFonts w:hint="eastAsia" w:ascii="宋体" w:hAnsi="宋体" w:eastAsia="宋体" w:cs="宋体"/>
                <w:strike w:val="0"/>
                <w:color w:val="auto"/>
                <w:sz w:val="21"/>
                <w:szCs w:val="21"/>
                <w:highlight w:val="none"/>
                <w:lang w:val="en-US" w:eastAsia="zh-CN"/>
              </w:rPr>
              <w:t>的得</w:t>
            </w:r>
            <w:r>
              <w:rPr>
                <w:rFonts w:hint="eastAsia" w:ascii="宋体" w:hAnsi="宋体" w:cs="宋体"/>
                <w:strike w:val="0"/>
                <w:color w:val="auto"/>
                <w:sz w:val="21"/>
                <w:szCs w:val="21"/>
                <w:highlight w:val="none"/>
                <w:lang w:val="en-US" w:eastAsia="zh-CN"/>
              </w:rPr>
              <w:t>1</w:t>
            </w:r>
            <w:r>
              <w:rPr>
                <w:rFonts w:hint="eastAsia" w:ascii="宋体" w:hAnsi="宋体" w:eastAsia="宋体" w:cs="宋体"/>
                <w:strike w:val="0"/>
                <w:color w:val="auto"/>
                <w:sz w:val="21"/>
                <w:szCs w:val="21"/>
                <w:highlight w:val="none"/>
                <w:lang w:val="en-US" w:eastAsia="zh-CN"/>
              </w:rPr>
              <w:t>分。</w:t>
            </w:r>
          </w:p>
          <w:p>
            <w:pPr>
              <w:spacing w:line="240" w:lineRule="exact"/>
              <w:rPr>
                <w:rFonts w:ascii="宋体" w:hAnsi="宋体" w:cs="宋体"/>
                <w:strike w:val="0"/>
                <w:color w:val="auto"/>
                <w:sz w:val="21"/>
                <w:szCs w:val="21"/>
                <w:highlight w:val="none"/>
              </w:rPr>
            </w:pPr>
            <w:r>
              <w:rPr>
                <w:rFonts w:hint="eastAsia" w:ascii="宋体" w:hAnsi="宋体" w:cs="宋体"/>
                <w:b/>
                <w:bCs/>
                <w:strike w:val="0"/>
                <w:color w:val="auto"/>
                <w:sz w:val="21"/>
                <w:szCs w:val="21"/>
                <w:highlight w:val="none"/>
              </w:rPr>
              <w:t>注：</w:t>
            </w:r>
            <w:r>
              <w:rPr>
                <w:rFonts w:hint="eastAsia" w:ascii="宋体" w:hAnsi="宋体" w:cs="宋体"/>
                <w:strike w:val="0"/>
                <w:color w:val="auto"/>
                <w:kern w:val="2"/>
                <w:sz w:val="21"/>
                <w:szCs w:val="21"/>
                <w:highlight w:val="none"/>
              </w:rPr>
              <w:t xml:space="preserve">投标文件中提供证书复印件，同时须提供缴费期限包含 </w:t>
            </w:r>
            <w:r>
              <w:rPr>
                <w:rFonts w:hint="eastAsia" w:ascii="宋体" w:hAnsi="宋体" w:cs="宋体"/>
                <w:b/>
                <w:bCs/>
                <w:strike w:val="0"/>
                <w:color w:val="auto"/>
                <w:kern w:val="2"/>
                <w:sz w:val="21"/>
                <w:szCs w:val="21"/>
                <w:highlight w:val="none"/>
              </w:rPr>
              <w:t>202</w:t>
            </w:r>
            <w:r>
              <w:rPr>
                <w:rFonts w:hint="eastAsia" w:ascii="宋体" w:hAnsi="宋体" w:cs="宋体"/>
                <w:b/>
                <w:bCs/>
                <w:strike w:val="0"/>
                <w:color w:val="auto"/>
                <w:kern w:val="2"/>
                <w:sz w:val="21"/>
                <w:szCs w:val="21"/>
                <w:highlight w:val="none"/>
                <w:lang w:val="en-US" w:eastAsia="zh-CN"/>
              </w:rPr>
              <w:t>2</w:t>
            </w:r>
            <w:r>
              <w:rPr>
                <w:rFonts w:hint="eastAsia" w:ascii="宋体" w:hAnsi="宋体" w:cs="宋体"/>
                <w:b/>
                <w:bCs/>
                <w:strike w:val="0"/>
                <w:color w:val="auto"/>
                <w:kern w:val="2"/>
                <w:sz w:val="21"/>
                <w:szCs w:val="21"/>
                <w:highlight w:val="none"/>
              </w:rPr>
              <w:t>年</w:t>
            </w:r>
            <w:r>
              <w:rPr>
                <w:rFonts w:hint="eastAsia" w:ascii="宋体" w:hAnsi="宋体" w:cs="宋体"/>
                <w:b/>
                <w:bCs/>
                <w:strike w:val="0"/>
                <w:color w:val="auto"/>
                <w:kern w:val="2"/>
                <w:sz w:val="21"/>
                <w:szCs w:val="21"/>
                <w:highlight w:val="none"/>
                <w:lang w:val="en-US" w:eastAsia="zh-CN"/>
              </w:rPr>
              <w:t>03</w:t>
            </w:r>
            <w:r>
              <w:rPr>
                <w:rFonts w:hint="eastAsia" w:ascii="宋体" w:hAnsi="宋体" w:cs="宋体"/>
                <w:b/>
                <w:bCs/>
                <w:strike w:val="0"/>
                <w:color w:val="auto"/>
                <w:kern w:val="2"/>
                <w:sz w:val="21"/>
                <w:szCs w:val="21"/>
                <w:highlight w:val="none"/>
              </w:rPr>
              <w:t>月至 2022年0</w:t>
            </w:r>
            <w:r>
              <w:rPr>
                <w:rFonts w:hint="eastAsia" w:ascii="宋体" w:hAnsi="宋体" w:cs="宋体"/>
                <w:b/>
                <w:bCs/>
                <w:strike w:val="0"/>
                <w:color w:val="auto"/>
                <w:kern w:val="2"/>
                <w:sz w:val="21"/>
                <w:szCs w:val="21"/>
                <w:highlight w:val="none"/>
                <w:lang w:val="en-US" w:eastAsia="zh-CN"/>
              </w:rPr>
              <w:t>5</w:t>
            </w:r>
            <w:r>
              <w:rPr>
                <w:rFonts w:hint="eastAsia" w:ascii="宋体" w:hAnsi="宋体" w:cs="宋体"/>
                <w:b/>
                <w:bCs/>
                <w:strike w:val="0"/>
                <w:color w:val="auto"/>
                <w:kern w:val="2"/>
                <w:sz w:val="21"/>
                <w:szCs w:val="21"/>
                <w:highlight w:val="none"/>
              </w:rPr>
              <w:t>月的投标人所属社保机构养老保险交纳清单或证明</w:t>
            </w:r>
            <w:r>
              <w:rPr>
                <w:rFonts w:hint="eastAsia" w:ascii="宋体" w:hAnsi="宋体" w:cs="宋体"/>
                <w:strike w:val="0"/>
                <w:color w:val="auto"/>
                <w:kern w:val="2"/>
                <w:sz w:val="21"/>
                <w:szCs w:val="21"/>
                <w:highlight w:val="none"/>
              </w:rPr>
              <w:t>（缴费单位和投标单位名称必须一致，并加盖社保缴费证明专用章</w:t>
            </w:r>
            <w:r>
              <w:rPr>
                <w:rFonts w:hint="eastAsia" w:ascii="宋体" w:hAnsi="宋体" w:cs="宋体"/>
                <w:strike w:val="0"/>
                <w:color w:val="auto"/>
                <w:kern w:val="2"/>
                <w:sz w:val="21"/>
                <w:szCs w:val="21"/>
                <w:highlight w:val="none"/>
                <w:lang w:eastAsia="zh-CN"/>
              </w:rPr>
              <w:t>（</w:t>
            </w:r>
            <w:r>
              <w:rPr>
                <w:rFonts w:hint="eastAsia" w:ascii="宋体" w:hAnsi="宋体" w:cs="宋体"/>
                <w:strike w:val="0"/>
                <w:color w:val="auto"/>
                <w:kern w:val="2"/>
                <w:sz w:val="21"/>
                <w:szCs w:val="21"/>
                <w:highlight w:val="none"/>
                <w:lang w:val="en-US" w:eastAsia="zh-CN"/>
              </w:rPr>
              <w:t>或电子专用章</w:t>
            </w:r>
            <w:r>
              <w:rPr>
                <w:rFonts w:hint="eastAsia" w:ascii="宋体" w:hAnsi="宋体" w:cs="宋体"/>
                <w:strike w:val="0"/>
                <w:color w:val="auto"/>
                <w:kern w:val="2"/>
                <w:sz w:val="21"/>
                <w:szCs w:val="21"/>
                <w:highlight w:val="none"/>
                <w:lang w:eastAsia="zh-CN"/>
              </w:rPr>
              <w:t>）</w:t>
            </w:r>
            <w:r>
              <w:rPr>
                <w:rFonts w:hint="eastAsia" w:ascii="宋体" w:hAnsi="宋体" w:cs="宋体"/>
                <w:strike w:val="0"/>
                <w:color w:val="auto"/>
                <w:kern w:val="2"/>
                <w:sz w:val="21"/>
                <w:szCs w:val="21"/>
                <w:highlight w:val="none"/>
              </w:rPr>
              <w:t>，非独立法人的分公司社保证明有效），否则不得分</w:t>
            </w:r>
            <w:r>
              <w:rPr>
                <w:rFonts w:hint="eastAsia" w:ascii="宋体" w:hAnsi="宋体" w:cs="宋体"/>
                <w:b/>
                <w:bCs/>
                <w:strike w:val="0"/>
                <w:color w:val="auto"/>
                <w:sz w:val="21"/>
                <w:szCs w:val="21"/>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jc w:val="center"/>
        </w:trPr>
        <w:tc>
          <w:tcPr>
            <w:tcW w:w="694" w:type="dxa"/>
            <w:vMerge w:val="continue"/>
            <w:tcBorders>
              <w:tl2br w:val="nil"/>
              <w:tr2bl w:val="nil"/>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l2br w:val="nil"/>
              <w:tr2bl w:val="nil"/>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l2br w:val="nil"/>
              <w:tr2bl w:val="nil"/>
            </w:tcBorders>
            <w:shd w:val="clear" w:color="000000" w:fill="FFFFFF"/>
            <w:tcMar>
              <w:left w:w="108" w:type="dxa"/>
              <w:right w:w="108" w:type="dxa"/>
            </w:tcMar>
            <w:vAlign w:val="center"/>
          </w:tcPr>
          <w:p>
            <w:pPr>
              <w:spacing w:line="32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质保期优惠</w:t>
            </w:r>
          </w:p>
          <w:p>
            <w:pPr>
              <w:spacing w:line="32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tc>
        <w:tc>
          <w:tcPr>
            <w:tcW w:w="5986" w:type="dxa"/>
            <w:tcBorders>
              <w:tl2br w:val="nil"/>
              <w:tr2bl w:val="nil"/>
            </w:tcBorders>
            <w:shd w:val="clear" w:color="000000" w:fill="FFFFFF"/>
            <w:tcMar>
              <w:left w:w="108" w:type="dxa"/>
              <w:right w:w="108" w:type="dxa"/>
            </w:tcMar>
            <w:vAlign w:val="center"/>
          </w:tcPr>
          <w:p>
            <w:pPr>
              <w:tabs>
                <w:tab w:val="left" w:pos="3060"/>
              </w:tabs>
              <w:spacing w:line="240" w:lineRule="exact"/>
              <w:rPr>
                <w:rFonts w:ascii="宋体" w:hAnsi="宋体" w:cs="宋体"/>
                <w:color w:val="auto"/>
                <w:sz w:val="21"/>
                <w:szCs w:val="21"/>
                <w:highlight w:val="none"/>
              </w:rPr>
            </w:pPr>
            <w:r>
              <w:rPr>
                <w:rFonts w:hint="eastAsia" w:ascii="宋体" w:hAnsi="宋体" w:cs="宋体"/>
                <w:color w:val="auto"/>
                <w:sz w:val="21"/>
                <w:szCs w:val="21"/>
                <w:highlight w:val="none"/>
              </w:rPr>
              <w:t>质保期期限仅满足招标文件规定的质保期</w:t>
            </w:r>
            <w:r>
              <w:rPr>
                <w:rFonts w:hint="eastAsia" w:ascii="宋体" w:hAnsi="宋体" w:eastAsia="宋体" w:cs="宋体"/>
                <w:color w:val="auto"/>
                <w:kern w:val="0"/>
                <w:sz w:val="21"/>
                <w:szCs w:val="21"/>
                <w:highlight w:val="none"/>
              </w:rPr>
              <w:t>（36个月）</w:t>
            </w:r>
            <w:r>
              <w:rPr>
                <w:rFonts w:hint="eastAsia" w:ascii="宋体" w:hAnsi="宋体" w:cs="宋体"/>
                <w:color w:val="auto"/>
                <w:sz w:val="21"/>
                <w:szCs w:val="21"/>
                <w:highlight w:val="none"/>
              </w:rPr>
              <w:t>要求的得0分，质保期期限超过招标文件规定的质保期每12个月的得</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分，最高得</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p>
            <w:pPr>
              <w:tabs>
                <w:tab w:val="left" w:pos="3060"/>
              </w:tabs>
              <w:spacing w:line="240" w:lineRule="exact"/>
              <w:rPr>
                <w:rFonts w:ascii="宋体" w:hAnsi="宋体" w:cs="宋体"/>
                <w:b/>
                <w:bCs/>
                <w:color w:val="auto"/>
                <w:sz w:val="21"/>
                <w:szCs w:val="21"/>
                <w:highlight w:val="none"/>
              </w:rPr>
            </w:pPr>
            <w:r>
              <w:rPr>
                <w:rFonts w:hint="eastAsia" w:ascii="宋体" w:hAnsi="宋体" w:cs="宋体"/>
                <w:color w:val="auto"/>
                <w:sz w:val="21"/>
                <w:szCs w:val="21"/>
                <w:highlight w:val="none"/>
              </w:rPr>
              <w:t>注：质保期优惠包含人工、差旅住宿费、材料</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耗材</w:t>
            </w:r>
            <w:r>
              <w:rPr>
                <w:rFonts w:hint="eastAsia" w:ascii="宋体" w:hAnsi="宋体" w:cs="宋体"/>
                <w:color w:val="auto"/>
                <w:sz w:val="21"/>
                <w:szCs w:val="21"/>
                <w:highlight w:val="none"/>
              </w:rPr>
              <w:t>及配件费等质保期间产生的一切费用</w:t>
            </w:r>
            <w:r>
              <w:rPr>
                <w:rFonts w:hint="eastAsia" w:ascii="宋体" w:hAnsi="宋体" w:cs="宋体"/>
                <w:color w:val="auto"/>
                <w:kern w:val="2"/>
                <w:sz w:val="21"/>
                <w:szCs w:val="21"/>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trHeight w:val="90" w:hRule="atLeast"/>
          <w:jc w:val="center"/>
        </w:trPr>
        <w:tc>
          <w:tcPr>
            <w:tcW w:w="694" w:type="dxa"/>
            <w:vMerge w:val="continue"/>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restart"/>
            <w:tcBorders>
              <w:tl2br w:val="nil"/>
              <w:tr2bl w:val="nil"/>
            </w:tcBorders>
            <w:shd w:val="clear" w:color="000000" w:fill="FFFFFF"/>
            <w:tcMar>
              <w:left w:w="108" w:type="dxa"/>
              <w:right w:w="108" w:type="dxa"/>
            </w:tcMar>
            <w:vAlign w:val="center"/>
          </w:tcPr>
          <w:p>
            <w:pPr>
              <w:spacing w:line="320" w:lineRule="auto"/>
              <w:jc w:val="center"/>
              <w:rPr>
                <w:color w:val="auto"/>
                <w:highlight w:val="none"/>
              </w:rPr>
            </w:pPr>
            <w:r>
              <w:rPr>
                <w:rFonts w:hint="eastAsia"/>
                <w:color w:val="auto"/>
                <w:highlight w:val="none"/>
                <w:lang w:val="en-US" w:eastAsia="zh-CN"/>
              </w:rPr>
              <w:t>技术</w:t>
            </w:r>
            <w:r>
              <w:rPr>
                <w:rFonts w:hint="eastAsia"/>
                <w:color w:val="auto"/>
                <w:highlight w:val="none"/>
              </w:rPr>
              <w:t>部分</w:t>
            </w:r>
          </w:p>
          <w:p>
            <w:pPr>
              <w:spacing w:line="320" w:lineRule="auto"/>
              <w:jc w:val="center"/>
              <w:rPr>
                <w:color w:val="auto"/>
                <w:highlight w:val="none"/>
              </w:rPr>
            </w:pPr>
            <w:r>
              <w:rPr>
                <w:rFonts w:hint="eastAsia"/>
                <w:color w:val="auto"/>
                <w:highlight w:val="none"/>
              </w:rPr>
              <w:t>评分标准</w:t>
            </w:r>
          </w:p>
          <w:p>
            <w:pPr>
              <w:spacing w:line="320" w:lineRule="auto"/>
              <w:jc w:val="center"/>
              <w:rPr>
                <w:rFonts w:ascii="宋体" w:hAnsi="宋体" w:cs="宋体"/>
                <w:color w:val="auto"/>
                <w:sz w:val="24"/>
                <w:szCs w:val="24"/>
                <w:highlight w:val="none"/>
              </w:rPr>
            </w:pPr>
            <w:r>
              <w:rPr>
                <w:rFonts w:hint="eastAsia"/>
                <w:color w:val="auto"/>
                <w:highlight w:val="none"/>
              </w:rPr>
              <w:t>（</w:t>
            </w:r>
            <w:r>
              <w:rPr>
                <w:rFonts w:hint="eastAsia"/>
                <w:color w:val="auto"/>
                <w:highlight w:val="none"/>
                <w:lang w:val="en-US" w:eastAsia="zh-CN"/>
              </w:rPr>
              <w:t>B</w:t>
            </w:r>
            <w:r>
              <w:rPr>
                <w:rFonts w:hint="eastAsia"/>
                <w:color w:val="auto"/>
                <w:highlight w:val="none"/>
              </w:rPr>
              <w:t>=</w:t>
            </w:r>
            <w:r>
              <w:rPr>
                <w:rFonts w:hint="eastAsia"/>
                <w:color w:val="auto"/>
                <w:highlight w:val="none"/>
                <w:lang w:val="en-US" w:eastAsia="zh-CN"/>
              </w:rPr>
              <w:t>44</w:t>
            </w:r>
            <w:r>
              <w:rPr>
                <w:rFonts w:hint="eastAsia"/>
                <w:color w:val="auto"/>
                <w:highlight w:val="none"/>
              </w:rPr>
              <w:t>分）</w:t>
            </w:r>
          </w:p>
        </w:tc>
        <w:tc>
          <w:tcPr>
            <w:tcW w:w="2127" w:type="dxa"/>
            <w:tcBorders>
              <w:tl2br w:val="nil"/>
              <w:tr2bl w:val="nil"/>
            </w:tcBorders>
            <w:shd w:val="clear" w:color="000000" w:fill="FFFFFF"/>
            <w:tcMar>
              <w:left w:w="108" w:type="dxa"/>
              <w:right w:w="108" w:type="dxa"/>
            </w:tcMar>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投标产品参数</w:t>
            </w:r>
            <w:r>
              <w:rPr>
                <w:rFonts w:hint="eastAsia" w:ascii="宋体" w:hAnsi="宋体" w:eastAsia="宋体" w:cs="宋体"/>
                <w:b w:val="0"/>
                <w:color w:val="auto"/>
                <w:sz w:val="21"/>
                <w:szCs w:val="21"/>
                <w:highlight w:val="none"/>
              </w:rPr>
              <w:t>（</w:t>
            </w:r>
            <w:r>
              <w:rPr>
                <w:rFonts w:hint="eastAsia" w:ascii="宋体" w:hAnsi="宋体" w:cs="宋体"/>
                <w:b w:val="0"/>
                <w:color w:val="auto"/>
                <w:sz w:val="21"/>
                <w:szCs w:val="21"/>
                <w:highlight w:val="none"/>
                <w:lang w:val="en-US" w:eastAsia="zh-CN"/>
              </w:rPr>
              <w:t>22</w:t>
            </w:r>
            <w:r>
              <w:rPr>
                <w:rFonts w:hint="eastAsia" w:ascii="宋体" w:hAnsi="宋体" w:eastAsia="宋体" w:cs="宋体"/>
                <w:b w:val="0"/>
                <w:color w:val="auto"/>
                <w:sz w:val="21"/>
                <w:szCs w:val="21"/>
                <w:highlight w:val="none"/>
              </w:rPr>
              <w:t>分）</w:t>
            </w:r>
          </w:p>
        </w:tc>
        <w:tc>
          <w:tcPr>
            <w:tcW w:w="5986" w:type="dxa"/>
            <w:tcBorders>
              <w:tl2br w:val="nil"/>
              <w:tr2bl w:val="nil"/>
            </w:tcBorders>
            <w:shd w:val="clear" w:color="000000" w:fill="FFFFFF"/>
            <w:tcMar>
              <w:left w:w="108" w:type="dxa"/>
              <w:right w:w="108" w:type="dxa"/>
            </w:tcMar>
          </w:tcPr>
          <w:p>
            <w:pPr>
              <w:pStyle w:val="61"/>
              <w:autoSpaceDE/>
              <w:autoSpaceDN/>
              <w:adjustRightInd/>
              <w:snapToGrid/>
              <w:spacing w:line="240" w:lineRule="exact"/>
              <w:ind w:firstLine="420" w:firstLineChars="200"/>
              <w:jc w:val="both"/>
              <w:textAlignment w:val="auto"/>
              <w:rPr>
                <w:rFonts w:hint="eastAsia" w:hAnsi="宋体" w:eastAsia="宋体"/>
                <w:color w:val="auto"/>
                <w:sz w:val="21"/>
                <w:szCs w:val="21"/>
                <w:highlight w:val="none"/>
                <w:lang w:val="zh-CN" w:bidi="zh-CN"/>
              </w:rPr>
            </w:pPr>
            <w:r>
              <w:rPr>
                <w:rFonts w:hint="eastAsia" w:hAnsi="宋体" w:eastAsia="宋体"/>
                <w:color w:val="auto"/>
                <w:sz w:val="21"/>
                <w:szCs w:val="21"/>
                <w:highlight w:val="none"/>
                <w:lang w:val="zh-CN" w:bidi="zh-CN"/>
              </w:rPr>
              <w:t>根据各投标人所投设备性能以及技术参数和设备质量对招标文件各项基本要求（招标货物清单及技术要求中各项条款）的逐项响应等方面情况由评委进行评议打分，投标人所投设备完全满足招标文件技术规范及要求的，得</w:t>
            </w:r>
            <w:r>
              <w:rPr>
                <w:rFonts w:hint="eastAsia" w:hAnsi="宋体" w:eastAsia="宋体"/>
                <w:color w:val="auto"/>
                <w:sz w:val="21"/>
                <w:szCs w:val="21"/>
                <w:highlight w:val="none"/>
                <w:lang w:val="en-US" w:bidi="zh-CN"/>
              </w:rPr>
              <w:t>22</w:t>
            </w:r>
            <w:r>
              <w:rPr>
                <w:rFonts w:hint="eastAsia" w:hAnsi="宋体" w:eastAsia="宋体"/>
                <w:color w:val="auto"/>
                <w:sz w:val="21"/>
                <w:szCs w:val="21"/>
                <w:highlight w:val="none"/>
                <w:lang w:val="zh-CN" w:bidi="zh-CN"/>
              </w:rPr>
              <w:t>分。</w:t>
            </w:r>
          </w:p>
          <w:p>
            <w:pPr>
              <w:pStyle w:val="61"/>
              <w:autoSpaceDE/>
              <w:autoSpaceDN/>
              <w:adjustRightInd/>
              <w:snapToGrid/>
              <w:spacing w:line="240" w:lineRule="exact"/>
              <w:ind w:firstLine="420" w:firstLineChars="200"/>
              <w:jc w:val="both"/>
              <w:textAlignment w:val="auto"/>
              <w:rPr>
                <w:rFonts w:hint="default" w:hAnsi="宋体" w:eastAsia="宋体"/>
                <w:color w:val="auto"/>
                <w:sz w:val="21"/>
                <w:szCs w:val="21"/>
                <w:highlight w:val="none"/>
                <w:lang w:val="en-US" w:bidi="zh-CN"/>
              </w:rPr>
            </w:pPr>
            <w:r>
              <w:rPr>
                <w:rFonts w:hint="eastAsia" w:hAnsi="宋体" w:eastAsia="宋体"/>
                <w:color w:val="auto"/>
                <w:sz w:val="21"/>
                <w:szCs w:val="21"/>
                <w:highlight w:val="none"/>
                <w:lang w:val="zh-CN" w:bidi="zh-CN"/>
              </w:rPr>
              <w:t>有负偏离情况的，评标委员会将根</w:t>
            </w:r>
            <w:bookmarkStart w:id="450" w:name="_GoBack"/>
            <w:bookmarkEnd w:id="450"/>
            <w:r>
              <w:rPr>
                <w:rFonts w:hint="eastAsia" w:hAnsi="宋体" w:eastAsia="宋体"/>
                <w:color w:val="auto"/>
                <w:sz w:val="21"/>
                <w:szCs w:val="21"/>
                <w:highlight w:val="none"/>
                <w:lang w:val="zh-CN" w:bidi="zh-CN"/>
              </w:rPr>
              <w:t xml:space="preserve">据该技术参数的负偏离对所投设备的使用影响程度进行以下扣分： </w:t>
            </w:r>
          </w:p>
          <w:p>
            <w:pPr>
              <w:pStyle w:val="61"/>
              <w:autoSpaceDE/>
              <w:autoSpaceDN/>
              <w:adjustRightInd/>
              <w:snapToGrid/>
              <w:spacing w:line="240" w:lineRule="exact"/>
              <w:jc w:val="both"/>
              <w:textAlignment w:val="auto"/>
              <w:rPr>
                <w:rFonts w:hAnsi="宋体" w:eastAsia="宋体"/>
                <w:color w:val="auto"/>
                <w:sz w:val="21"/>
                <w:szCs w:val="21"/>
                <w:highlight w:val="none"/>
                <w:lang w:val="zh-CN" w:bidi="zh-CN"/>
              </w:rPr>
            </w:pPr>
            <w:r>
              <w:rPr>
                <w:rFonts w:hint="eastAsia" w:hAnsi="宋体" w:eastAsia="宋体"/>
                <w:color w:val="auto"/>
                <w:sz w:val="21"/>
                <w:szCs w:val="21"/>
                <w:highlight w:val="none"/>
                <w:lang w:val="zh-CN" w:bidi="zh-CN"/>
              </w:rPr>
              <w:t xml:space="preserve">(1)技术要求中标注 “▲”号的指标，每负偏离一项扣2分； </w:t>
            </w:r>
            <w:r>
              <w:rPr>
                <w:rFonts w:hint="eastAsia" w:hAnsi="宋体" w:eastAsia="宋体"/>
                <w:color w:val="auto"/>
                <w:sz w:val="21"/>
                <w:szCs w:val="21"/>
                <w:highlight w:val="none"/>
                <w:lang w:bidi="zh-CN"/>
              </w:rPr>
              <w:t>其他指标，</w:t>
            </w:r>
            <w:r>
              <w:rPr>
                <w:rFonts w:hint="eastAsia" w:hAnsi="宋体" w:eastAsia="宋体"/>
                <w:color w:val="auto"/>
                <w:sz w:val="21"/>
                <w:szCs w:val="21"/>
                <w:highlight w:val="none"/>
                <w:lang w:val="zh-CN" w:bidi="zh-CN"/>
              </w:rPr>
              <w:t>每负偏离一项扣</w:t>
            </w:r>
            <w:r>
              <w:rPr>
                <w:rFonts w:hint="eastAsia" w:hAnsi="宋体" w:eastAsia="宋体"/>
                <w:color w:val="auto"/>
                <w:sz w:val="21"/>
                <w:szCs w:val="21"/>
                <w:highlight w:val="none"/>
                <w:lang w:bidi="zh-CN"/>
              </w:rPr>
              <w:t>1</w:t>
            </w:r>
            <w:r>
              <w:rPr>
                <w:rFonts w:hint="eastAsia" w:hAnsi="宋体" w:eastAsia="宋体"/>
                <w:color w:val="auto"/>
                <w:sz w:val="21"/>
                <w:szCs w:val="21"/>
                <w:highlight w:val="none"/>
                <w:lang w:val="zh-CN" w:bidi="zh-CN"/>
              </w:rPr>
              <w:t>分，扣完为止。（同一类参数正偏离不扣分，</w:t>
            </w:r>
            <w:r>
              <w:rPr>
                <w:rFonts w:hint="eastAsia" w:hAnsi="宋体" w:eastAsia="宋体"/>
                <w:color w:val="auto"/>
                <w:sz w:val="21"/>
                <w:szCs w:val="21"/>
                <w:highlight w:val="none"/>
                <w:lang w:val="en-US" w:bidi="zh-CN"/>
              </w:rPr>
              <w:t>同样参数</w:t>
            </w:r>
            <w:r>
              <w:rPr>
                <w:rFonts w:hint="eastAsia" w:hAnsi="宋体" w:eastAsia="宋体"/>
                <w:color w:val="auto"/>
                <w:sz w:val="21"/>
                <w:szCs w:val="21"/>
                <w:highlight w:val="none"/>
                <w:lang w:val="zh-CN" w:bidi="zh-CN"/>
              </w:rPr>
              <w:t>不重复扣分）。若是功能一样，表述方式不一样则为符合，量化类的由评委视情况讨论决定。</w:t>
            </w:r>
          </w:p>
          <w:p>
            <w:pPr>
              <w:pStyle w:val="61"/>
              <w:autoSpaceDE/>
              <w:autoSpaceDN/>
              <w:adjustRightInd/>
              <w:snapToGrid/>
              <w:spacing w:line="240" w:lineRule="exact"/>
              <w:jc w:val="both"/>
              <w:textAlignment w:val="auto"/>
              <w:rPr>
                <w:rFonts w:hint="eastAsia" w:hAnsi="宋体" w:eastAsia="宋体"/>
                <w:color w:val="auto"/>
                <w:sz w:val="21"/>
                <w:szCs w:val="21"/>
                <w:highlight w:val="none"/>
                <w:lang w:val="zh-CN" w:bidi="zh-CN"/>
              </w:rPr>
            </w:pPr>
            <w:r>
              <w:rPr>
                <w:rFonts w:hint="eastAsia" w:hAnsi="宋体" w:eastAsia="宋体"/>
                <w:color w:val="auto"/>
                <w:sz w:val="21"/>
                <w:szCs w:val="21"/>
                <w:highlight w:val="none"/>
                <w:lang w:val="zh-CN" w:bidi="zh-CN"/>
              </w:rPr>
              <w:t>(2)正偏离不加分。</w:t>
            </w:r>
          </w:p>
          <w:p>
            <w:pPr>
              <w:spacing w:line="240" w:lineRule="exact"/>
              <w:ind w:firstLine="0" w:firstLineChars="0"/>
              <w:jc w:val="left"/>
              <w:rPr>
                <w:rFonts w:ascii="宋体" w:hAnsi="宋体" w:cs="宋体"/>
                <w:color w:val="auto"/>
                <w:sz w:val="21"/>
                <w:szCs w:val="21"/>
                <w:highlight w:val="none"/>
                <w:lang w:bidi="zh-CN"/>
              </w:rPr>
            </w:pPr>
            <w:r>
              <w:rPr>
                <w:rFonts w:hint="eastAsia" w:hAnsi="宋体" w:eastAsia="宋体"/>
                <w:color w:val="auto"/>
                <w:sz w:val="21"/>
                <w:szCs w:val="21"/>
                <w:highlight w:val="none"/>
                <w:lang w:val="zh-CN" w:bidi="zh-CN"/>
              </w:rPr>
              <w:t>（3）打★指标负偏离的无效投标处理。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trHeight w:val="911" w:hRule="atLeast"/>
          <w:jc w:val="center"/>
        </w:trPr>
        <w:tc>
          <w:tcPr>
            <w:tcW w:w="694" w:type="dxa"/>
            <w:vMerge w:val="continue"/>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tl2br w:val="nil"/>
              <w:tr2bl w:val="nil"/>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tcBorders>
              <w:tl2br w:val="nil"/>
              <w:tr2bl w:val="nil"/>
            </w:tcBorders>
            <w:shd w:val="clear" w:color="000000" w:fill="FFFFFF"/>
            <w:tcMar>
              <w:left w:w="108" w:type="dxa"/>
              <w:right w:w="108" w:type="dxa"/>
            </w:tcMar>
            <w:vAlign w:val="center"/>
          </w:tcPr>
          <w:p>
            <w:pPr>
              <w:jc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sz w:val="21"/>
                <w:szCs w:val="21"/>
                <w:highlight w:val="none"/>
              </w:rPr>
              <w:t>主要产品情况 （</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 xml:space="preserve"> 分）</w:t>
            </w:r>
          </w:p>
        </w:tc>
        <w:tc>
          <w:tcPr>
            <w:tcW w:w="5986" w:type="dxa"/>
            <w:tcBorders>
              <w:tl2br w:val="nil"/>
              <w:tr2bl w:val="nil"/>
            </w:tcBorders>
            <w:shd w:val="clear" w:color="000000" w:fill="FFFFFF"/>
            <w:tcMar>
              <w:left w:w="108" w:type="dxa"/>
              <w:right w:w="108" w:type="dxa"/>
            </w:tcMar>
          </w:tcPr>
          <w:p>
            <w:pPr>
              <w:spacing w:beforeLines="0" w:afterLines="0"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投标时提供以下</w:t>
            </w:r>
            <w:r>
              <w:rPr>
                <w:rFonts w:hint="eastAsia" w:ascii="宋体" w:hAnsi="宋体" w:cs="宋体"/>
                <w:color w:val="auto"/>
                <w:sz w:val="21"/>
                <w:szCs w:val="21"/>
                <w:highlight w:val="none"/>
                <w:lang w:val="en-US" w:eastAsia="zh-CN"/>
              </w:rPr>
              <w:t>两</w:t>
            </w:r>
            <w:r>
              <w:rPr>
                <w:rFonts w:hint="eastAsia" w:ascii="宋体" w:hAnsi="宋体" w:cs="宋体"/>
                <w:color w:val="auto"/>
                <w:sz w:val="21"/>
                <w:szCs w:val="21"/>
                <w:highlight w:val="none"/>
              </w:rPr>
              <w:t>个产品检测报告：</w:t>
            </w:r>
          </w:p>
          <w:p>
            <w:pPr>
              <w:spacing w:beforeLines="0" w:afterLines="0"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）不锈钢油烟净化器（</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p>
            <w:pPr>
              <w:spacing w:beforeLines="0" w:afterLines="0" w:line="24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所投</w:t>
            </w:r>
            <w:r>
              <w:rPr>
                <w:rFonts w:hint="eastAsia" w:ascii="宋体" w:hAnsi="宋体" w:cs="宋体"/>
                <w:color w:val="auto"/>
                <w:sz w:val="21"/>
                <w:szCs w:val="21"/>
                <w:highlight w:val="none"/>
                <w:lang w:val="en-US" w:eastAsia="zh-CN"/>
              </w:rPr>
              <w:t>产品</w:t>
            </w:r>
            <w:r>
              <w:rPr>
                <w:rFonts w:hint="eastAsia" w:ascii="宋体" w:hAnsi="宋体" w:cs="宋体"/>
                <w:color w:val="auto"/>
                <w:sz w:val="21"/>
                <w:szCs w:val="21"/>
                <w:highlight w:val="none"/>
              </w:rPr>
              <w:t>需提供</w:t>
            </w:r>
            <w:r>
              <w:rPr>
                <w:rFonts w:hint="eastAsia" w:ascii="宋体" w:hAnsi="宋体" w:cs="宋体"/>
                <w:color w:val="auto"/>
                <w:sz w:val="21"/>
                <w:szCs w:val="21"/>
                <w:highlight w:val="none"/>
                <w:lang w:val="en-US" w:eastAsia="zh-CN"/>
              </w:rPr>
              <w:t>第三方</w:t>
            </w:r>
            <w:r>
              <w:rPr>
                <w:rFonts w:hint="eastAsia" w:ascii="宋体" w:hAnsi="宋体" w:cs="宋体"/>
                <w:color w:val="auto"/>
                <w:sz w:val="21"/>
                <w:szCs w:val="21"/>
                <w:highlight w:val="none"/>
              </w:rPr>
              <w:t>检测</w:t>
            </w:r>
            <w:r>
              <w:rPr>
                <w:rFonts w:hint="eastAsia" w:ascii="宋体" w:hAnsi="宋体" w:cs="宋体"/>
                <w:color w:val="auto"/>
                <w:szCs w:val="21"/>
                <w:highlight w:val="none"/>
              </w:rPr>
              <w:t>机构</w:t>
            </w:r>
            <w:r>
              <w:rPr>
                <w:rFonts w:hint="eastAsia" w:ascii="宋体" w:hAnsi="宋体" w:cs="宋体"/>
                <w:color w:val="auto"/>
                <w:sz w:val="21"/>
                <w:szCs w:val="21"/>
                <w:highlight w:val="none"/>
              </w:rPr>
              <w:t>出具的油烟净化设备检测报告复印件盖章</w:t>
            </w:r>
            <w:r>
              <w:rPr>
                <w:rFonts w:hint="eastAsia" w:ascii="宋体" w:hAnsi="宋体" w:cs="宋体"/>
                <w:color w:val="auto"/>
                <w:szCs w:val="21"/>
                <w:highlight w:val="none"/>
              </w:rPr>
              <w:t>加盖投标人公章</w:t>
            </w:r>
            <w:r>
              <w:rPr>
                <w:rFonts w:hint="eastAsia" w:ascii="宋体" w:hAnsi="宋体" w:cs="宋体"/>
                <w:color w:val="auto"/>
                <w:sz w:val="21"/>
                <w:szCs w:val="21"/>
                <w:highlight w:val="none"/>
              </w:rPr>
              <w:t>，检测报告中</w:t>
            </w:r>
            <w:r>
              <w:rPr>
                <w:rFonts w:hint="eastAsia"/>
                <w:color w:val="auto"/>
                <w:highlight w:val="none"/>
              </w:rPr>
              <w:t>油烟净化效率在95%以上、非甲烷总烃排放浓度为≤2.0mg/m³，实测油烟排放浓度为≤0.3mg/m³</w:t>
            </w:r>
            <w:r>
              <w:rPr>
                <w:rFonts w:hint="eastAsia" w:ascii="宋体" w:hAnsi="宋体" w:cs="宋体"/>
                <w:color w:val="auto"/>
                <w:sz w:val="21"/>
                <w:szCs w:val="21"/>
                <w:highlight w:val="none"/>
                <w:lang w:val="en-US" w:eastAsia="zh-CN"/>
              </w:rPr>
              <w:t>的得2分；</w:t>
            </w:r>
          </w:p>
          <w:p>
            <w:pPr>
              <w:spacing w:beforeLines="0" w:afterLines="0" w:line="24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所投产品</w:t>
            </w:r>
            <w:r>
              <w:rPr>
                <w:rFonts w:hint="eastAsia" w:ascii="宋体" w:hAnsi="宋体" w:cs="宋体"/>
                <w:color w:val="auto"/>
                <w:sz w:val="21"/>
                <w:szCs w:val="21"/>
                <w:highlight w:val="none"/>
              </w:rPr>
              <w:t>符合GB/T 10125-20</w:t>
            </w:r>
            <w:r>
              <w:rPr>
                <w:rFonts w:hint="eastAsia" w:ascii="宋体" w:hAnsi="宋体" w:cs="宋体"/>
                <w:color w:val="auto"/>
                <w:sz w:val="21"/>
                <w:szCs w:val="21"/>
                <w:highlight w:val="none"/>
                <w:lang w:val="en-US" w:eastAsia="zh-CN"/>
              </w:rPr>
              <w:t>21</w:t>
            </w:r>
            <w:r>
              <w:rPr>
                <w:rFonts w:hint="eastAsia" w:ascii="宋体" w:hAnsi="宋体" w:cs="宋体"/>
                <w:color w:val="auto"/>
                <w:sz w:val="21"/>
                <w:szCs w:val="21"/>
                <w:highlight w:val="none"/>
              </w:rPr>
              <w:t>标准</w:t>
            </w:r>
            <w:r>
              <w:rPr>
                <w:rFonts w:hint="eastAsia" w:ascii="宋体" w:hAnsi="宋体" w:eastAsia="宋体" w:cs="宋体"/>
                <w:color w:val="auto"/>
                <w:sz w:val="21"/>
                <w:szCs w:val="21"/>
                <w:highlight w:val="none"/>
                <w:lang w:val="en-US" w:eastAsia="zh-CN"/>
              </w:rPr>
              <w:t>或者</w:t>
            </w:r>
            <w:r>
              <w:rPr>
                <w:rFonts w:hint="eastAsia" w:ascii="宋体" w:hAnsi="宋体" w:eastAsia="宋体" w:cs="宋体"/>
                <w:color w:val="auto"/>
                <w:sz w:val="21"/>
                <w:szCs w:val="21"/>
                <w:highlight w:val="none"/>
                <w:lang w:eastAsia="zh-CN"/>
              </w:rPr>
              <w:t>所投产品符合GB/T 10125-2012标准（</w:t>
            </w:r>
            <w:r>
              <w:rPr>
                <w:rFonts w:hint="eastAsia" w:ascii="宋体" w:hAnsi="宋体" w:eastAsia="宋体" w:cs="宋体"/>
                <w:color w:val="auto"/>
                <w:sz w:val="21"/>
                <w:szCs w:val="21"/>
                <w:highlight w:val="none"/>
                <w:lang w:val="en-US" w:eastAsia="zh-CN"/>
              </w:rPr>
              <w:t>在有效期内</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rPr>
              <w:t>，样品检验面未见锈蚀，</w:t>
            </w:r>
            <w:r>
              <w:rPr>
                <w:rFonts w:hint="eastAsia" w:ascii="宋体" w:hAnsi="宋体" w:cs="宋体"/>
                <w:color w:val="auto"/>
                <w:sz w:val="21"/>
                <w:szCs w:val="21"/>
                <w:highlight w:val="none"/>
                <w:lang w:val="en-US" w:eastAsia="zh-CN"/>
              </w:rPr>
              <w:t>提供</w:t>
            </w:r>
            <w:r>
              <w:rPr>
                <w:rFonts w:hint="eastAsia" w:ascii="宋体" w:hAnsi="宋体" w:cs="宋体"/>
                <w:color w:val="auto"/>
                <w:szCs w:val="21"/>
                <w:highlight w:val="none"/>
              </w:rPr>
              <w:t>第三方检测机构出具的</w:t>
            </w:r>
            <w:r>
              <w:rPr>
                <w:rFonts w:hint="eastAsia" w:ascii="宋体" w:hAnsi="宋体" w:cs="宋体"/>
                <w:color w:val="auto"/>
                <w:sz w:val="21"/>
                <w:szCs w:val="21"/>
                <w:highlight w:val="none"/>
              </w:rPr>
              <w:t>盐雾检验报告</w:t>
            </w:r>
            <w:r>
              <w:rPr>
                <w:rFonts w:hint="eastAsia" w:ascii="宋体" w:hAnsi="宋体" w:cs="宋体"/>
                <w:color w:val="auto"/>
                <w:sz w:val="21"/>
                <w:szCs w:val="21"/>
                <w:highlight w:val="none"/>
                <w:lang w:val="en-US" w:eastAsia="zh-CN"/>
              </w:rPr>
              <w:t>的得1分。</w:t>
            </w:r>
          </w:p>
          <w:p>
            <w:pPr>
              <w:numPr>
                <w:ilvl w:val="-1"/>
                <w:numId w:val="0"/>
              </w:numPr>
              <w:spacing w:beforeLines="-2147483648" w:afterLines="-2147483648" w:line="2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）智能双门热风循环消毒柜（</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p>
            <w:pPr>
              <w:spacing w:line="2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所投产品</w:t>
            </w:r>
            <w:r>
              <w:rPr>
                <w:rFonts w:hint="eastAsia" w:ascii="宋体" w:hAnsi="宋体" w:cs="宋体"/>
                <w:color w:val="auto"/>
                <w:szCs w:val="21"/>
                <w:highlight w:val="none"/>
              </w:rPr>
              <w:t>消毒柜性能指标：满载状态下运行，大肠杆菌的杀灭对数值＞3.00，满足参数要求且</w:t>
            </w:r>
            <w:r>
              <w:rPr>
                <w:rFonts w:hint="eastAsia" w:ascii="宋体" w:hAnsi="宋体" w:cs="宋体"/>
                <w:color w:val="auto"/>
                <w:szCs w:val="21"/>
                <w:highlight w:val="none"/>
                <w:lang w:val="en-US" w:eastAsia="zh-CN"/>
              </w:rPr>
              <w:t>提供</w:t>
            </w:r>
            <w:r>
              <w:rPr>
                <w:rFonts w:hint="eastAsia" w:ascii="宋体" w:hAnsi="宋体" w:cs="宋体"/>
                <w:color w:val="auto"/>
                <w:szCs w:val="21"/>
                <w:highlight w:val="none"/>
              </w:rPr>
              <w:t>第三方检测机构出具的检测报告</w:t>
            </w:r>
            <w:r>
              <w:rPr>
                <w:rFonts w:hint="eastAsia" w:ascii="宋体" w:hAnsi="宋体" w:cs="宋体"/>
                <w:color w:val="auto"/>
                <w:szCs w:val="21"/>
                <w:highlight w:val="none"/>
                <w:lang w:val="en-US" w:eastAsia="zh-CN"/>
              </w:rPr>
              <w:t>的得3分。</w:t>
            </w:r>
          </w:p>
          <w:p>
            <w:pPr>
              <w:spacing w:line="240" w:lineRule="exact"/>
              <w:ind w:firstLine="0" w:firstLineChars="0"/>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cs="宋体"/>
                <w:b/>
                <w:color w:val="auto"/>
                <w:sz w:val="21"/>
                <w:szCs w:val="21"/>
                <w:highlight w:val="none"/>
              </w:rPr>
              <w:t>注：</w:t>
            </w:r>
            <w:r>
              <w:rPr>
                <w:rFonts w:hint="eastAsia" w:ascii="宋体" w:hAnsi="宋体" w:cs="宋体"/>
                <w:b/>
                <w:color w:val="auto"/>
                <w:sz w:val="21"/>
                <w:szCs w:val="21"/>
                <w:highlight w:val="none"/>
                <w:lang w:val="en-US" w:eastAsia="zh-CN"/>
              </w:rPr>
              <w:t>投标文件中</w:t>
            </w:r>
            <w:r>
              <w:rPr>
                <w:rFonts w:hint="eastAsia"/>
                <w:b/>
                <w:bCs/>
                <w:color w:val="auto"/>
                <w:highlight w:val="none"/>
              </w:rPr>
              <w:t>提供检测报告复印件加盖投标人公章</w:t>
            </w:r>
            <w:r>
              <w:rPr>
                <w:rFonts w:hint="eastAsia" w:ascii="宋体" w:hAnsi="宋体" w:eastAsia="宋体" w:cs="宋体"/>
                <w:b/>
                <w:bCs/>
                <w:color w:val="auto"/>
                <w:kern w:val="0"/>
                <w:sz w:val="21"/>
                <w:szCs w:val="21"/>
                <w:highlight w:val="none"/>
                <w:lang w:val="en-US" w:eastAsia="zh-CN"/>
              </w:rPr>
              <w:t>，不提供不得分</w:t>
            </w:r>
            <w:r>
              <w:rPr>
                <w:rFonts w:hint="eastAsia" w:ascii="宋体" w:hAnsi="宋体" w:cs="宋体"/>
                <w:b/>
                <w:color w:val="auto"/>
                <w:sz w:val="21"/>
                <w:szCs w:val="21"/>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trHeight w:val="911" w:hRule="atLeast"/>
          <w:jc w:val="center"/>
        </w:trPr>
        <w:tc>
          <w:tcPr>
            <w:tcW w:w="694" w:type="dxa"/>
            <w:vMerge w:val="continue"/>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tl2br w:val="nil"/>
              <w:tr2bl w:val="nil"/>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tcBorders>
              <w:tl2br w:val="nil"/>
              <w:tr2bl w:val="nil"/>
            </w:tcBorders>
            <w:shd w:val="clear" w:color="000000" w:fill="FFFFFF"/>
            <w:tcMar>
              <w:left w:w="108" w:type="dxa"/>
              <w:right w:w="108" w:type="dxa"/>
            </w:tcMar>
            <w:vAlign w:val="center"/>
          </w:tcPr>
          <w:p>
            <w:pPr>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主要材料选用</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 xml:space="preserve"> 分）</w:t>
            </w:r>
          </w:p>
        </w:tc>
        <w:tc>
          <w:tcPr>
            <w:tcW w:w="5986" w:type="dxa"/>
            <w:tcBorders>
              <w:tl2br w:val="nil"/>
              <w:tr2bl w:val="nil"/>
            </w:tcBorders>
            <w:shd w:val="clear" w:color="000000" w:fill="FFFFFF"/>
            <w:tcMar>
              <w:left w:w="108" w:type="dxa"/>
              <w:right w:w="108" w:type="dxa"/>
            </w:tcMar>
          </w:tcPr>
          <w:p>
            <w:pPr>
              <w:spacing w:line="2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1.提供本次招标清单内厂制品原材料SUS304-2B不锈钢板符合GB8624-2012要求，且为燃烧性能（防火）A（A1）级要求</w:t>
            </w:r>
            <w:r>
              <w:rPr>
                <w:rFonts w:hint="eastAsia" w:ascii="宋体" w:hAnsi="宋体" w:cs="宋体"/>
                <w:color w:val="auto"/>
                <w:szCs w:val="21"/>
                <w:highlight w:val="none"/>
                <w:lang w:val="en-US" w:eastAsia="zh-CN"/>
              </w:rPr>
              <w:t>并提供</w:t>
            </w:r>
            <w:r>
              <w:rPr>
                <w:rFonts w:hint="eastAsia" w:ascii="宋体" w:hAnsi="宋体" w:cs="宋体"/>
                <w:color w:val="auto"/>
                <w:szCs w:val="21"/>
                <w:highlight w:val="none"/>
              </w:rPr>
              <w:t>第三方检测机构出具的</w:t>
            </w:r>
            <w:r>
              <w:rPr>
                <w:rFonts w:hint="eastAsia" w:ascii="宋体" w:hAnsi="宋体" w:cs="宋体"/>
                <w:color w:val="auto"/>
                <w:szCs w:val="21"/>
                <w:highlight w:val="none"/>
                <w:lang w:val="en-US" w:eastAsia="zh-CN"/>
              </w:rPr>
              <w:t>检测报告</w:t>
            </w:r>
            <w:r>
              <w:rPr>
                <w:rFonts w:hint="eastAsia" w:ascii="宋体" w:hAnsi="宋体" w:eastAsia="宋体" w:cs="宋体"/>
                <w:color w:val="auto"/>
                <w:szCs w:val="21"/>
                <w:highlight w:val="none"/>
                <w:lang w:val="en-US" w:eastAsia="zh-CN"/>
              </w:rPr>
              <w:t>的得</w:t>
            </w:r>
            <w:r>
              <w:rPr>
                <w:rFonts w:hint="eastAsia" w:ascii="宋体" w:hAnsi="宋体" w:cs="宋体"/>
                <w:color w:val="auto"/>
                <w:szCs w:val="21"/>
                <w:highlight w:val="none"/>
                <w:lang w:val="en-US" w:eastAsia="zh-CN"/>
              </w:rPr>
              <w:t>0.5</w:t>
            </w:r>
            <w:r>
              <w:rPr>
                <w:rFonts w:hint="eastAsia" w:ascii="宋体" w:hAnsi="宋体" w:eastAsia="宋体" w:cs="宋体"/>
                <w:color w:val="auto"/>
                <w:szCs w:val="21"/>
                <w:highlight w:val="none"/>
                <w:lang w:val="en-US" w:eastAsia="zh-CN"/>
              </w:rPr>
              <w:t>分。</w:t>
            </w:r>
          </w:p>
          <w:p>
            <w:pPr>
              <w:spacing w:line="2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提供</w:t>
            </w:r>
            <w:r>
              <w:rPr>
                <w:rFonts w:hint="eastAsia" w:ascii="宋体" w:hAnsi="宋体" w:cs="宋体"/>
                <w:color w:val="auto"/>
                <w:szCs w:val="21"/>
                <w:highlight w:val="none"/>
                <w:lang w:val="en-US" w:eastAsia="zh-CN"/>
              </w:rPr>
              <w:t>第三方</w:t>
            </w:r>
            <w:r>
              <w:rPr>
                <w:rFonts w:hint="eastAsia" w:ascii="宋体" w:hAnsi="宋体" w:cs="宋体"/>
                <w:color w:val="auto"/>
                <w:szCs w:val="21"/>
                <w:highlight w:val="none"/>
              </w:rPr>
              <w:t>检测机构出具</w:t>
            </w:r>
            <w:r>
              <w:rPr>
                <w:rFonts w:hint="eastAsia" w:ascii="宋体" w:hAnsi="宋体" w:eastAsia="宋体" w:cs="宋体"/>
                <w:color w:val="auto"/>
                <w:szCs w:val="21"/>
                <w:highlight w:val="none"/>
              </w:rPr>
              <w:t>的</w:t>
            </w:r>
            <w:r>
              <w:rPr>
                <w:rFonts w:hint="eastAsia" w:ascii="宋体" w:hAnsi="宋体" w:eastAsia="宋体" w:cs="宋体"/>
                <w:strike w:val="0"/>
                <w:color w:val="auto"/>
                <w:szCs w:val="21"/>
                <w:highlight w:val="none"/>
              </w:rPr>
              <w:t>有效期内的</w:t>
            </w:r>
            <w:r>
              <w:rPr>
                <w:rFonts w:hint="eastAsia" w:ascii="宋体" w:hAnsi="宋体" w:eastAsia="宋体" w:cs="宋体"/>
                <w:color w:val="auto"/>
                <w:szCs w:val="21"/>
                <w:highlight w:val="none"/>
              </w:rPr>
              <w:t>304不锈钢板1.5mm、1.2mm、1.0mm</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304不锈钢</w:t>
            </w:r>
            <w:r>
              <w:rPr>
                <w:rFonts w:hint="eastAsia" w:ascii="宋体" w:hAnsi="宋体" w:eastAsia="宋体" w:cs="宋体"/>
                <w:color w:val="auto"/>
                <w:szCs w:val="21"/>
                <w:highlight w:val="none"/>
                <w:lang w:val="en-US" w:eastAsia="zh-CN"/>
              </w:rPr>
              <w:t>方</w:t>
            </w:r>
            <w:r>
              <w:rPr>
                <w:rFonts w:hint="eastAsia" w:ascii="宋体" w:hAnsi="宋体" w:eastAsia="宋体" w:cs="宋体"/>
                <w:color w:val="auto"/>
                <w:szCs w:val="21"/>
                <w:highlight w:val="none"/>
              </w:rPr>
              <w:t>管</w:t>
            </w:r>
            <w:r>
              <w:rPr>
                <w:rFonts w:hint="eastAsia" w:ascii="宋体" w:hAnsi="宋体" w:cs="宋体"/>
                <w:color w:val="auto"/>
                <w:szCs w:val="21"/>
                <w:highlight w:val="none"/>
                <w:lang w:val="en-US" w:eastAsia="zh-CN"/>
              </w:rPr>
              <w:t>30*30</w:t>
            </w:r>
            <w:r>
              <w:rPr>
                <w:rFonts w:hint="eastAsia" w:ascii="宋体" w:hAnsi="宋体" w:eastAsia="宋体" w:cs="宋体"/>
                <w:color w:val="auto"/>
                <w:szCs w:val="21"/>
                <w:highlight w:val="none"/>
              </w:rPr>
              <w:t>mm、</w:t>
            </w:r>
            <w:r>
              <w:rPr>
                <w:rFonts w:hint="eastAsia" w:ascii="宋体" w:hAnsi="宋体" w:eastAsia="宋体" w:cs="宋体"/>
                <w:color w:val="auto"/>
                <w:szCs w:val="21"/>
                <w:highlight w:val="none"/>
                <w:lang w:val="en-US" w:eastAsia="zh-CN"/>
              </w:rPr>
              <w:t>38*25mm，304不锈钢圆管</w:t>
            </w:r>
            <w:r>
              <w:rPr>
                <w:rFonts w:hint="eastAsia" w:ascii="宋体" w:hAnsi="宋体" w:eastAsia="宋体" w:cs="宋体"/>
                <w:color w:val="auto"/>
                <w:szCs w:val="21"/>
                <w:highlight w:val="none"/>
              </w:rPr>
              <w:t>φ38</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φ</w:t>
            </w:r>
            <w:r>
              <w:rPr>
                <w:rFonts w:hint="eastAsia" w:ascii="宋体" w:hAnsi="宋体" w:eastAsia="宋体" w:cs="宋体"/>
                <w:color w:val="auto"/>
                <w:szCs w:val="21"/>
                <w:highlight w:val="none"/>
                <w:lang w:val="en-US" w:eastAsia="zh-CN"/>
              </w:rPr>
              <w:t>25共</w:t>
            </w:r>
            <w:r>
              <w:rPr>
                <w:rFonts w:hint="eastAsia" w:ascii="宋体" w:hAnsi="宋体" w:cs="宋体"/>
                <w:color w:val="auto"/>
                <w:szCs w:val="21"/>
                <w:highlight w:val="none"/>
                <w:lang w:val="en-US" w:eastAsia="zh-CN"/>
              </w:rPr>
              <w:t>七种材料</w:t>
            </w:r>
            <w:r>
              <w:rPr>
                <w:rFonts w:hint="eastAsia" w:ascii="宋体" w:hAnsi="宋体" w:eastAsia="宋体" w:cs="宋体"/>
                <w:color w:val="auto"/>
                <w:szCs w:val="21"/>
                <w:highlight w:val="none"/>
              </w:rPr>
              <w:t>检测合格报告，报告符合GB/T 3280-2015(不锈钢冷轧钢板和钢带)、GB4806.9-2016(食品接触用金属材料及制品)、GB/T10125-20</w:t>
            </w:r>
            <w:r>
              <w:rPr>
                <w:rFonts w:hint="eastAsia" w:ascii="宋体" w:hAnsi="宋体" w:cs="宋体"/>
                <w:color w:val="auto"/>
                <w:szCs w:val="21"/>
                <w:highlight w:val="none"/>
                <w:lang w:val="en-US" w:eastAsia="zh-CN"/>
              </w:rPr>
              <w:t>21</w:t>
            </w:r>
            <w:r>
              <w:rPr>
                <w:rFonts w:hint="eastAsia" w:ascii="宋体" w:hAnsi="宋体" w:eastAsia="宋体" w:cs="宋体"/>
                <w:color w:val="auto"/>
                <w:szCs w:val="21"/>
                <w:highlight w:val="none"/>
              </w:rPr>
              <w:t>(人造气氛腐蚀试验、</w:t>
            </w:r>
            <w:r>
              <w:rPr>
                <w:rFonts w:hint="eastAsia" w:ascii="宋体" w:hAnsi="宋体" w:eastAsia="宋体" w:cs="宋体"/>
                <w:color w:val="auto"/>
                <w:szCs w:val="21"/>
                <w:highlight w:val="none"/>
                <w:lang w:val="en-US" w:eastAsia="zh-CN"/>
              </w:rPr>
              <w:t>盐雾试验</w:t>
            </w:r>
            <w:r>
              <w:rPr>
                <w:rFonts w:hint="eastAsia" w:ascii="宋体" w:hAnsi="宋体" w:eastAsia="宋体" w:cs="宋体"/>
                <w:color w:val="auto"/>
                <w:szCs w:val="21"/>
                <w:highlight w:val="none"/>
              </w:rPr>
              <w:t>标准）</w:t>
            </w:r>
            <w:r>
              <w:rPr>
                <w:rFonts w:hint="eastAsia" w:ascii="宋体" w:hAnsi="宋体" w:cs="宋体"/>
                <w:color w:val="auto"/>
                <w:szCs w:val="21"/>
                <w:highlight w:val="none"/>
                <w:lang w:val="en-US" w:eastAsia="zh-CN"/>
              </w:rPr>
              <w:t>或</w:t>
            </w:r>
            <w:r>
              <w:rPr>
                <w:rFonts w:hint="eastAsia" w:ascii="宋体" w:hAnsi="宋体" w:eastAsia="宋体" w:cs="宋体"/>
                <w:color w:val="auto"/>
                <w:szCs w:val="21"/>
                <w:highlight w:val="none"/>
              </w:rPr>
              <w:t>GB/T10125-20</w:t>
            </w: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rPr>
              <w:t>(人造气氛腐蚀试验、</w:t>
            </w:r>
            <w:r>
              <w:rPr>
                <w:rFonts w:hint="eastAsia" w:ascii="宋体" w:hAnsi="宋体" w:eastAsia="宋体" w:cs="宋体"/>
                <w:color w:val="auto"/>
                <w:szCs w:val="21"/>
                <w:highlight w:val="none"/>
                <w:lang w:val="en-US" w:eastAsia="zh-CN"/>
              </w:rPr>
              <w:t>盐雾试验</w:t>
            </w:r>
            <w:r>
              <w:rPr>
                <w:rFonts w:hint="eastAsia" w:ascii="宋体" w:hAnsi="宋体" w:eastAsia="宋体" w:cs="宋体"/>
                <w:color w:val="auto"/>
                <w:szCs w:val="21"/>
                <w:highlight w:val="none"/>
              </w:rPr>
              <w:t>标准）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在有效期内</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，每个得</w:t>
            </w:r>
            <w:r>
              <w:rPr>
                <w:rFonts w:hint="eastAsia" w:ascii="宋体" w:hAnsi="宋体" w:cs="宋体"/>
                <w:color w:val="auto"/>
                <w:szCs w:val="21"/>
                <w:highlight w:val="none"/>
                <w:lang w:val="en-US" w:eastAsia="zh-CN"/>
              </w:rPr>
              <w:t>0.5</w:t>
            </w:r>
            <w:r>
              <w:rPr>
                <w:rFonts w:hint="eastAsia" w:ascii="宋体" w:hAnsi="宋体" w:eastAsia="宋体" w:cs="宋体"/>
                <w:color w:val="auto"/>
                <w:szCs w:val="21"/>
                <w:highlight w:val="none"/>
              </w:rPr>
              <w:t>分，</w:t>
            </w:r>
            <w:r>
              <w:rPr>
                <w:rFonts w:hint="eastAsia" w:ascii="宋体" w:hAnsi="宋体" w:cs="宋体"/>
                <w:color w:val="auto"/>
                <w:szCs w:val="21"/>
                <w:highlight w:val="none"/>
                <w:lang w:val="en-US" w:eastAsia="zh-CN"/>
              </w:rPr>
              <w:t>共7种材料，</w:t>
            </w:r>
            <w:r>
              <w:rPr>
                <w:rFonts w:hint="eastAsia" w:ascii="宋体" w:hAnsi="宋体" w:eastAsia="宋体" w:cs="宋体"/>
                <w:color w:val="auto"/>
                <w:szCs w:val="21"/>
                <w:highlight w:val="none"/>
              </w:rPr>
              <w:t>最高得</w:t>
            </w:r>
            <w:r>
              <w:rPr>
                <w:rFonts w:hint="eastAsia" w:ascii="宋体" w:hAnsi="宋体" w:cs="宋体"/>
                <w:color w:val="auto"/>
                <w:szCs w:val="21"/>
                <w:highlight w:val="none"/>
                <w:lang w:val="en-US" w:eastAsia="zh-CN"/>
              </w:rPr>
              <w:t>3.5</w:t>
            </w:r>
            <w:r>
              <w:rPr>
                <w:rFonts w:hint="eastAsia" w:ascii="宋体" w:hAnsi="宋体" w:eastAsia="宋体" w:cs="宋体"/>
                <w:color w:val="auto"/>
                <w:szCs w:val="21"/>
                <w:highlight w:val="none"/>
              </w:rPr>
              <w:t>分。</w:t>
            </w:r>
          </w:p>
          <w:p>
            <w:pPr>
              <w:spacing w:line="240" w:lineRule="exact"/>
              <w:ind w:firstLine="0" w:firstLineChars="0"/>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注：</w:t>
            </w:r>
            <w:r>
              <w:rPr>
                <w:rFonts w:hint="eastAsia" w:ascii="宋体" w:hAnsi="宋体" w:cs="宋体"/>
                <w:b/>
                <w:bCs/>
                <w:color w:val="auto"/>
                <w:kern w:val="0"/>
                <w:sz w:val="21"/>
                <w:szCs w:val="21"/>
                <w:highlight w:val="none"/>
                <w:lang w:val="en-US" w:eastAsia="zh-CN"/>
              </w:rPr>
              <w:t>投标文件中</w:t>
            </w:r>
            <w:r>
              <w:rPr>
                <w:rFonts w:hint="eastAsia" w:ascii="宋体" w:hAnsi="宋体" w:eastAsia="宋体" w:cs="宋体"/>
                <w:b/>
                <w:bCs/>
                <w:color w:val="auto"/>
                <w:kern w:val="0"/>
                <w:sz w:val="21"/>
                <w:szCs w:val="21"/>
                <w:highlight w:val="none"/>
                <w:lang w:val="en-US" w:eastAsia="zh-CN"/>
              </w:rPr>
              <w:t>提供相关</w:t>
            </w:r>
            <w:r>
              <w:rPr>
                <w:rFonts w:hint="eastAsia" w:ascii="宋体" w:hAnsi="宋体" w:cs="宋体"/>
                <w:b/>
                <w:bCs/>
                <w:color w:val="auto"/>
                <w:kern w:val="0"/>
                <w:sz w:val="21"/>
                <w:szCs w:val="21"/>
                <w:highlight w:val="none"/>
                <w:lang w:val="en-US" w:eastAsia="zh-CN"/>
              </w:rPr>
              <w:t>检测报告</w:t>
            </w:r>
            <w:r>
              <w:rPr>
                <w:rFonts w:hint="eastAsia" w:ascii="宋体" w:hAnsi="宋体" w:eastAsia="宋体" w:cs="宋体"/>
                <w:b/>
                <w:bCs/>
                <w:color w:val="auto"/>
                <w:kern w:val="0"/>
                <w:sz w:val="21"/>
                <w:szCs w:val="21"/>
                <w:highlight w:val="none"/>
                <w:lang w:val="en-US" w:eastAsia="zh-CN"/>
              </w:rPr>
              <w:t>复印件加盖</w:t>
            </w:r>
            <w:r>
              <w:rPr>
                <w:rFonts w:hint="eastAsia" w:ascii="宋体" w:hAnsi="宋体" w:cs="宋体"/>
                <w:b/>
                <w:bCs/>
                <w:color w:val="auto"/>
                <w:kern w:val="0"/>
                <w:sz w:val="21"/>
                <w:szCs w:val="21"/>
                <w:highlight w:val="none"/>
                <w:lang w:val="en-US" w:eastAsia="zh-CN"/>
              </w:rPr>
              <w:t>投标人</w:t>
            </w:r>
            <w:r>
              <w:rPr>
                <w:rFonts w:hint="eastAsia" w:ascii="宋体" w:hAnsi="宋体" w:eastAsia="宋体" w:cs="宋体"/>
                <w:b/>
                <w:bCs/>
                <w:color w:val="auto"/>
                <w:kern w:val="0"/>
                <w:sz w:val="21"/>
                <w:szCs w:val="21"/>
                <w:highlight w:val="none"/>
                <w:lang w:val="en-US" w:eastAsia="zh-CN"/>
              </w:rPr>
              <w:t>公章，不提供不得分。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trHeight w:val="90" w:hRule="atLeast"/>
          <w:jc w:val="center"/>
        </w:trPr>
        <w:tc>
          <w:tcPr>
            <w:tcW w:w="694" w:type="dxa"/>
            <w:vMerge w:val="continue"/>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tl2br w:val="nil"/>
              <w:tr2bl w:val="nil"/>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tcBorders>
              <w:tl2br w:val="nil"/>
              <w:tr2bl w:val="nil"/>
            </w:tcBorders>
            <w:shd w:val="clear" w:color="000000" w:fill="FFFFFF"/>
            <w:tcMar>
              <w:left w:w="108" w:type="dxa"/>
              <w:right w:w="108" w:type="dxa"/>
            </w:tcMar>
            <w:vAlign w:val="center"/>
          </w:tcPr>
          <w:p>
            <w:pPr>
              <w:widowControl/>
              <w:spacing w:beforeLines="0" w:afterLine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项目实施方案</w:t>
            </w:r>
          </w:p>
          <w:p>
            <w:pPr>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zh-CN"/>
              </w:rPr>
              <w:t>分）</w:t>
            </w:r>
          </w:p>
        </w:tc>
        <w:tc>
          <w:tcPr>
            <w:tcW w:w="5986" w:type="dxa"/>
            <w:tcBorders>
              <w:tl2br w:val="nil"/>
              <w:tr2bl w:val="nil"/>
            </w:tcBorders>
            <w:shd w:val="clear" w:color="000000" w:fill="FFFFFF"/>
            <w:tcMar>
              <w:left w:w="108" w:type="dxa"/>
              <w:right w:w="108" w:type="dxa"/>
            </w:tcMar>
          </w:tcPr>
          <w:p>
            <w:pPr>
              <w:widowControl/>
              <w:spacing w:beforeLines="0" w:afterLines="0" w:line="24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根据投标人的施工实施方案，从施工组织设计内容完整性和编制水平、施工方案与技术措施、加工制造、运输装卸、安装、调试、环境安全保护管理体系与措施、用人安排计划、项目风险预测与防范</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与总包的配合</w:t>
            </w:r>
            <w:r>
              <w:rPr>
                <w:rFonts w:hint="eastAsia" w:ascii="宋体" w:hAnsi="宋体" w:eastAsia="宋体" w:cs="宋体"/>
                <w:color w:val="auto"/>
                <w:kern w:val="0"/>
                <w:sz w:val="21"/>
                <w:szCs w:val="21"/>
                <w:highlight w:val="none"/>
              </w:rPr>
              <w:t>编制情况说明等方面综合评审。</w:t>
            </w:r>
          </w:p>
          <w:p>
            <w:pPr>
              <w:spacing w:line="240" w:lineRule="exact"/>
              <w:ind w:firstLine="0" w:firstLineChars="0"/>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优秀的</w:t>
            </w:r>
            <w:r>
              <w:rPr>
                <w:rFonts w:hint="eastAsia" w:ascii="宋体" w:hAnsi="宋体" w:eastAsia="宋体" w:cs="宋体"/>
                <w:color w:val="auto"/>
                <w:kern w:val="0"/>
                <w:sz w:val="21"/>
                <w:szCs w:val="21"/>
                <w:highlight w:val="none"/>
              </w:rPr>
              <w:t>得</w:t>
            </w:r>
            <w:r>
              <w:rPr>
                <w:rFonts w:hint="eastAsia" w:ascii="宋体" w:hAnsi="宋体" w:cs="宋体"/>
                <w:color w:val="auto"/>
                <w:kern w:val="0"/>
                <w:sz w:val="21"/>
                <w:szCs w:val="21"/>
                <w:highlight w:val="none"/>
                <w:lang w:val="en-US" w:eastAsia="zh-CN"/>
              </w:rPr>
              <w:t>4.1</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6.0</w:t>
            </w:r>
            <w:r>
              <w:rPr>
                <w:rFonts w:hint="eastAsia" w:ascii="宋体" w:hAnsi="宋体" w:eastAsia="宋体" w:cs="宋体"/>
                <w:color w:val="auto"/>
                <w:kern w:val="0"/>
                <w:sz w:val="21"/>
                <w:szCs w:val="21"/>
                <w:highlight w:val="none"/>
              </w:rPr>
              <w:t>分，</w:t>
            </w:r>
            <w:r>
              <w:rPr>
                <w:rFonts w:hint="eastAsia" w:ascii="宋体" w:hAnsi="宋体" w:cs="宋体"/>
                <w:color w:val="auto"/>
                <w:kern w:val="0"/>
                <w:sz w:val="21"/>
                <w:szCs w:val="21"/>
                <w:highlight w:val="none"/>
                <w:lang w:val="en-US" w:eastAsia="zh-CN"/>
              </w:rPr>
              <w:t>良的</w:t>
            </w:r>
            <w:r>
              <w:rPr>
                <w:rFonts w:hint="eastAsia" w:ascii="宋体" w:hAnsi="宋体" w:eastAsia="宋体" w:cs="宋体"/>
                <w:color w:val="auto"/>
                <w:kern w:val="0"/>
                <w:sz w:val="21"/>
                <w:szCs w:val="21"/>
                <w:highlight w:val="none"/>
              </w:rPr>
              <w:t>得</w:t>
            </w:r>
            <w:r>
              <w:rPr>
                <w:rFonts w:hint="eastAsia" w:ascii="宋体" w:hAnsi="宋体" w:cs="宋体"/>
                <w:color w:val="auto"/>
                <w:kern w:val="0"/>
                <w:sz w:val="21"/>
                <w:szCs w:val="21"/>
                <w:highlight w:val="none"/>
                <w:lang w:val="en-US" w:eastAsia="zh-CN"/>
              </w:rPr>
              <w:t>2.1</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4.0</w:t>
            </w:r>
            <w:r>
              <w:rPr>
                <w:rFonts w:hint="eastAsia" w:ascii="宋体" w:hAnsi="宋体" w:eastAsia="宋体" w:cs="宋体"/>
                <w:color w:val="auto"/>
                <w:kern w:val="0"/>
                <w:sz w:val="21"/>
                <w:szCs w:val="21"/>
                <w:highlight w:val="none"/>
              </w:rPr>
              <w:t>分，</w:t>
            </w:r>
            <w:r>
              <w:rPr>
                <w:rFonts w:hint="eastAsia" w:ascii="宋体" w:hAnsi="宋体" w:cs="宋体"/>
                <w:color w:val="auto"/>
                <w:kern w:val="0"/>
                <w:sz w:val="21"/>
                <w:szCs w:val="21"/>
                <w:highlight w:val="none"/>
                <w:lang w:val="en-US" w:eastAsia="zh-CN"/>
              </w:rPr>
              <w:t>一般的</w:t>
            </w:r>
            <w:r>
              <w:rPr>
                <w:rFonts w:hint="eastAsia" w:ascii="宋体" w:hAnsi="宋体" w:eastAsia="宋体" w:cs="宋体"/>
                <w:color w:val="auto"/>
                <w:kern w:val="0"/>
                <w:sz w:val="21"/>
                <w:szCs w:val="21"/>
                <w:highlight w:val="none"/>
              </w:rPr>
              <w:t>得0</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2.0</w:t>
            </w:r>
            <w:r>
              <w:rPr>
                <w:rFonts w:hint="eastAsia" w:ascii="宋体" w:hAnsi="宋体" w:eastAsia="宋体" w:cs="宋体"/>
                <w:color w:val="auto"/>
                <w:kern w:val="0"/>
                <w:sz w:val="21"/>
                <w:szCs w:val="21"/>
                <w:highlight w:val="none"/>
              </w:rPr>
              <w:t>分</w:t>
            </w:r>
            <w:r>
              <w:rPr>
                <w:rFonts w:hint="eastAsia" w:ascii="宋体" w:hAnsi="宋体" w:cs="宋体"/>
                <w:color w:val="auto"/>
                <w:kern w:val="0"/>
                <w:sz w:val="21"/>
                <w:szCs w:val="21"/>
                <w:highlight w:val="none"/>
                <w:lang w:eastAsia="zh-CN"/>
              </w:rPr>
              <w:t>，不提供得</w:t>
            </w:r>
            <w:r>
              <w:rPr>
                <w:rFonts w:hint="eastAsia" w:ascii="宋体" w:hAnsi="宋体" w:cs="宋体"/>
                <w:color w:val="auto"/>
                <w:kern w:val="0"/>
                <w:sz w:val="21"/>
                <w:szCs w:val="21"/>
                <w:highlight w:val="none"/>
                <w:lang w:val="en-US" w:eastAsia="zh-CN"/>
              </w:rPr>
              <w:t>0分。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trHeight w:val="90" w:hRule="atLeast"/>
          <w:jc w:val="center"/>
        </w:trPr>
        <w:tc>
          <w:tcPr>
            <w:tcW w:w="694" w:type="dxa"/>
            <w:vMerge w:val="continue"/>
            <w:tcBorders>
              <w:tl2br w:val="nil"/>
              <w:tr2bl w:val="nil"/>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tl2br w:val="nil"/>
              <w:tr2bl w:val="nil"/>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tcBorders>
              <w:tl2br w:val="nil"/>
              <w:tr2bl w:val="nil"/>
            </w:tcBorders>
            <w:shd w:val="clear" w:color="000000" w:fill="FFFFFF"/>
            <w:tcMar>
              <w:left w:w="108" w:type="dxa"/>
              <w:right w:w="108" w:type="dxa"/>
            </w:tcMar>
            <w:vAlign w:val="center"/>
          </w:tcPr>
          <w:p>
            <w:pPr>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应急响应</w:t>
            </w:r>
            <w:r>
              <w:rPr>
                <w:rFonts w:hint="eastAsia" w:ascii="宋体" w:hAnsi="宋体" w:eastAsia="宋体" w:cs="宋体"/>
                <w:color w:val="auto"/>
                <w:kern w:val="0"/>
                <w:sz w:val="21"/>
                <w:szCs w:val="21"/>
                <w:highlight w:val="none"/>
              </w:rPr>
              <w:t>能力</w:t>
            </w: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tc>
        <w:tc>
          <w:tcPr>
            <w:tcW w:w="5986" w:type="dxa"/>
            <w:tcBorders>
              <w:tl2br w:val="nil"/>
              <w:tr2bl w:val="nil"/>
            </w:tcBorders>
            <w:shd w:val="clear" w:color="000000" w:fill="FFFFFF"/>
            <w:tcMar>
              <w:left w:w="108" w:type="dxa"/>
              <w:right w:w="108" w:type="dxa"/>
            </w:tcMar>
          </w:tcPr>
          <w:p>
            <w:pPr>
              <w:widowControl/>
              <w:spacing w:beforeLines="0" w:afterLines="0" w:line="24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w:t>
            </w:r>
            <w:r>
              <w:rPr>
                <w:rFonts w:hint="eastAsia" w:ascii="宋体" w:hAnsi="宋体" w:cs="宋体"/>
                <w:color w:val="auto"/>
                <w:kern w:val="0"/>
                <w:sz w:val="21"/>
                <w:szCs w:val="21"/>
                <w:highlight w:val="none"/>
                <w:lang w:val="en-US" w:eastAsia="zh-CN"/>
              </w:rPr>
              <w:t>投标人</w:t>
            </w:r>
            <w:r>
              <w:rPr>
                <w:rFonts w:hint="eastAsia" w:ascii="宋体" w:hAnsi="宋体" w:eastAsia="宋体" w:cs="宋体"/>
                <w:color w:val="auto"/>
                <w:kern w:val="0"/>
                <w:sz w:val="21"/>
                <w:szCs w:val="21"/>
                <w:highlight w:val="none"/>
              </w:rPr>
              <w:t>提供的针对本项目配送响应方案</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应急配送能力及应急响应承诺情况的合理性等情况进行评审。</w:t>
            </w:r>
          </w:p>
          <w:p>
            <w:pPr>
              <w:spacing w:line="240" w:lineRule="exact"/>
              <w:ind w:firstLine="0" w:firstLineChars="0"/>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优秀的</w:t>
            </w:r>
            <w:r>
              <w:rPr>
                <w:rFonts w:hint="eastAsia" w:ascii="宋体" w:hAnsi="宋体" w:eastAsia="宋体" w:cs="宋体"/>
                <w:color w:val="auto"/>
                <w:kern w:val="0"/>
                <w:sz w:val="21"/>
                <w:szCs w:val="21"/>
                <w:highlight w:val="none"/>
              </w:rPr>
              <w:t>得</w:t>
            </w:r>
            <w:r>
              <w:rPr>
                <w:rFonts w:hint="eastAsia" w:ascii="宋体" w:hAnsi="宋体" w:cs="宋体"/>
                <w:color w:val="auto"/>
                <w:kern w:val="0"/>
                <w:sz w:val="21"/>
                <w:szCs w:val="21"/>
                <w:highlight w:val="none"/>
                <w:lang w:val="en-US" w:eastAsia="zh-CN"/>
              </w:rPr>
              <w:t>2.1</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w:t>
            </w:r>
            <w:r>
              <w:rPr>
                <w:rFonts w:hint="eastAsia" w:ascii="宋体" w:hAnsi="宋体" w:cs="宋体"/>
                <w:color w:val="auto"/>
                <w:kern w:val="0"/>
                <w:sz w:val="21"/>
                <w:szCs w:val="21"/>
                <w:highlight w:val="none"/>
                <w:lang w:val="en-US" w:eastAsia="zh-CN"/>
              </w:rPr>
              <w:t>良的</w:t>
            </w:r>
            <w:r>
              <w:rPr>
                <w:rFonts w:hint="eastAsia" w:ascii="宋体" w:hAnsi="宋体" w:eastAsia="宋体" w:cs="宋体"/>
                <w:color w:val="auto"/>
                <w:kern w:val="0"/>
                <w:sz w:val="21"/>
                <w:szCs w:val="21"/>
                <w:highlight w:val="none"/>
              </w:rPr>
              <w:t>得</w:t>
            </w:r>
            <w:r>
              <w:rPr>
                <w:rFonts w:hint="eastAsia" w:ascii="宋体" w:hAnsi="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2.0</w:t>
            </w:r>
            <w:r>
              <w:rPr>
                <w:rFonts w:hint="eastAsia" w:ascii="宋体" w:hAnsi="宋体" w:eastAsia="宋体" w:cs="宋体"/>
                <w:color w:val="auto"/>
                <w:kern w:val="0"/>
                <w:sz w:val="21"/>
                <w:szCs w:val="21"/>
                <w:highlight w:val="none"/>
              </w:rPr>
              <w:t>分，</w:t>
            </w:r>
            <w:r>
              <w:rPr>
                <w:rFonts w:hint="eastAsia" w:ascii="宋体" w:hAnsi="宋体" w:cs="宋体"/>
                <w:color w:val="auto"/>
                <w:kern w:val="0"/>
                <w:sz w:val="21"/>
                <w:szCs w:val="21"/>
                <w:highlight w:val="none"/>
                <w:lang w:val="en-US" w:eastAsia="zh-CN"/>
              </w:rPr>
              <w:t>一般的</w:t>
            </w:r>
            <w:r>
              <w:rPr>
                <w:rFonts w:hint="eastAsia" w:ascii="宋体" w:hAnsi="宋体" w:eastAsia="宋体" w:cs="宋体"/>
                <w:color w:val="auto"/>
                <w:kern w:val="0"/>
                <w:sz w:val="21"/>
                <w:szCs w:val="21"/>
                <w:highlight w:val="none"/>
              </w:rPr>
              <w:t>得0.1-</w:t>
            </w:r>
            <w:r>
              <w:rPr>
                <w:rFonts w:hint="eastAsia" w:ascii="宋体" w:hAnsi="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分，不提供得0分。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 w:type="dxa"/>
            <w:bottom w:w="0" w:type="dxa"/>
            <w:right w:w="10" w:type="dxa"/>
          </w:tblCellMar>
        </w:tblPrEx>
        <w:trPr>
          <w:jc w:val="center"/>
        </w:trPr>
        <w:tc>
          <w:tcPr>
            <w:tcW w:w="694" w:type="dxa"/>
            <w:vMerge w:val="continue"/>
            <w:tcBorders>
              <w:tl2br w:val="nil"/>
              <w:tr2bl w:val="nil"/>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l2br w:val="nil"/>
              <w:tr2bl w:val="nil"/>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l2br w:val="nil"/>
              <w:tr2bl w:val="nil"/>
            </w:tcBorders>
            <w:shd w:val="clear" w:color="000000" w:fill="FFFFFF"/>
            <w:tcMar>
              <w:left w:w="108" w:type="dxa"/>
              <w:right w:w="108" w:type="dxa"/>
            </w:tcMar>
            <w:vAlign w:val="center"/>
          </w:tcPr>
          <w:p>
            <w:pPr>
              <w:jc w:val="center"/>
              <w:rPr>
                <w:rFonts w:hint="default" w:ascii="宋体" w:hAnsi="宋体" w:cs="宋体"/>
                <w:color w:val="auto"/>
                <w:sz w:val="21"/>
                <w:szCs w:val="21"/>
                <w:highlight w:val="none"/>
                <w:lang w:val="en-US"/>
              </w:rPr>
            </w:pPr>
            <w:r>
              <w:rPr>
                <w:rFonts w:hint="eastAsia" w:ascii="宋体" w:hAnsi="宋体" w:eastAsia="宋体" w:cs="宋体"/>
                <w:color w:val="auto"/>
                <w:kern w:val="0"/>
                <w:sz w:val="21"/>
                <w:szCs w:val="21"/>
                <w:highlight w:val="none"/>
              </w:rPr>
              <w:t>运维服务承诺</w:t>
            </w:r>
            <w:r>
              <w:rPr>
                <w:rFonts w:hint="eastAsia" w:ascii="宋体" w:hAnsi="宋体" w:eastAsia="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w:t>
            </w:r>
            <w:r>
              <w:rPr>
                <w:rFonts w:hint="eastAsia" w:ascii="宋体" w:hAnsi="宋体" w:eastAsia="宋体" w:cs="宋体"/>
                <w:color w:val="auto"/>
                <w:kern w:val="0"/>
                <w:sz w:val="21"/>
                <w:szCs w:val="21"/>
                <w:highlight w:val="none"/>
                <w:lang w:eastAsia="zh-CN"/>
              </w:rPr>
              <w:t>）</w:t>
            </w:r>
          </w:p>
        </w:tc>
        <w:tc>
          <w:tcPr>
            <w:tcW w:w="5986" w:type="dxa"/>
            <w:tcBorders>
              <w:tl2br w:val="nil"/>
              <w:tr2bl w:val="nil"/>
            </w:tcBorders>
            <w:shd w:val="clear" w:color="000000" w:fill="FFFFFF"/>
            <w:tcMar>
              <w:left w:w="108" w:type="dxa"/>
              <w:right w:w="108" w:type="dxa"/>
            </w:tcMar>
            <w:vAlign w:val="top"/>
          </w:tcPr>
          <w:p>
            <w:pPr>
              <w:spacing w:line="240" w:lineRule="exact"/>
              <w:rPr>
                <w:rFonts w:ascii="宋体" w:hAnsi="宋体" w:cs="宋体"/>
                <w:color w:val="auto"/>
                <w:szCs w:val="21"/>
                <w:highlight w:val="none"/>
              </w:rPr>
            </w:pPr>
            <w:r>
              <w:rPr>
                <w:rFonts w:hint="eastAsia" w:ascii="宋体" w:hAnsi="宋体" w:cs="宋体"/>
                <w:color w:val="auto"/>
                <w:szCs w:val="21"/>
                <w:highlight w:val="none"/>
              </w:rPr>
              <w:t>1.由评委根据各投标人的售后服务方案进行比较评议：固定巡查、售后服务优惠承诺、售后服务保障、方案可行性等进行评审。服务方案优秀的得</w:t>
            </w:r>
            <w:r>
              <w:rPr>
                <w:rFonts w:hint="eastAsia" w:ascii="宋体" w:hAnsi="宋体" w:cs="宋体"/>
                <w:color w:val="auto"/>
                <w:szCs w:val="21"/>
                <w:highlight w:val="none"/>
                <w:lang w:val="en-US" w:eastAsia="zh-CN"/>
              </w:rPr>
              <w:t>1.6-2.0</w:t>
            </w:r>
            <w:r>
              <w:rPr>
                <w:rFonts w:hint="eastAsia" w:ascii="宋体" w:hAnsi="宋体" w:cs="宋体"/>
                <w:color w:val="auto"/>
                <w:szCs w:val="21"/>
                <w:highlight w:val="none"/>
              </w:rPr>
              <w:t>分，服务方案良好的得</w:t>
            </w:r>
            <w:r>
              <w:rPr>
                <w:rFonts w:hint="eastAsia" w:ascii="宋体" w:hAnsi="宋体" w:cs="宋体"/>
                <w:color w:val="auto"/>
                <w:szCs w:val="21"/>
                <w:highlight w:val="none"/>
                <w:lang w:val="en-US" w:eastAsia="zh-CN"/>
              </w:rPr>
              <w:t>0.9-1.5</w:t>
            </w:r>
            <w:r>
              <w:rPr>
                <w:rFonts w:hint="eastAsia" w:ascii="宋体" w:hAnsi="宋体" w:cs="宋体"/>
                <w:color w:val="auto"/>
                <w:szCs w:val="21"/>
                <w:highlight w:val="none"/>
              </w:rPr>
              <w:t>分，服务方案一般的得</w:t>
            </w:r>
            <w:r>
              <w:rPr>
                <w:rFonts w:hint="eastAsia" w:ascii="宋体" w:hAnsi="宋体" w:cs="宋体"/>
                <w:color w:val="auto"/>
                <w:szCs w:val="21"/>
                <w:highlight w:val="none"/>
                <w:lang w:val="en-US" w:eastAsia="zh-CN"/>
              </w:rPr>
              <w:t>0.1-0.8</w:t>
            </w:r>
            <w:r>
              <w:rPr>
                <w:rFonts w:hint="eastAsia" w:ascii="宋体" w:hAnsi="宋体" w:cs="宋体"/>
                <w:color w:val="auto"/>
                <w:szCs w:val="21"/>
                <w:highlight w:val="none"/>
              </w:rPr>
              <w:t>分</w:t>
            </w:r>
            <w:r>
              <w:rPr>
                <w:rFonts w:hint="eastAsia" w:ascii="宋体" w:hAnsi="宋体" w:eastAsia="宋体" w:cs="宋体"/>
                <w:color w:val="auto"/>
                <w:kern w:val="0"/>
                <w:sz w:val="21"/>
                <w:szCs w:val="21"/>
                <w:highlight w:val="none"/>
              </w:rPr>
              <w:t>，不提供得0分</w:t>
            </w:r>
            <w:r>
              <w:rPr>
                <w:rFonts w:hint="eastAsia" w:ascii="宋体" w:hAnsi="宋体" w:cs="宋体"/>
                <w:color w:val="auto"/>
                <w:szCs w:val="21"/>
                <w:highlight w:val="none"/>
              </w:rPr>
              <w:t>。</w:t>
            </w:r>
          </w:p>
          <w:p>
            <w:pPr>
              <w:spacing w:line="240" w:lineRule="exact"/>
              <w:ind w:firstLine="0" w:firstLineChars="0"/>
              <w:jc w:val="left"/>
              <w:rPr>
                <w:rFonts w:hint="eastAsia" w:ascii="宋体" w:hAnsi="宋体" w:cs="宋体"/>
                <w:color w:val="auto"/>
                <w:sz w:val="21"/>
                <w:szCs w:val="21"/>
                <w:highlight w:val="none"/>
              </w:rPr>
            </w:pPr>
            <w:r>
              <w:rPr>
                <w:rFonts w:hint="eastAsia" w:ascii="宋体" w:hAnsi="宋体" w:cs="宋体"/>
                <w:color w:val="auto"/>
                <w:szCs w:val="21"/>
                <w:highlight w:val="none"/>
              </w:rPr>
              <w:t>承诺2小时以内到达的得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分，承诺2-4小时以内到达的得</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分，承诺4小时以上到达的得</w:t>
            </w:r>
            <w:r>
              <w:rPr>
                <w:rFonts w:hint="eastAsia" w:ascii="宋体" w:hAnsi="宋体" w:cs="宋体"/>
                <w:color w:val="auto"/>
                <w:szCs w:val="21"/>
                <w:highlight w:val="none"/>
                <w:lang w:val="en-US" w:eastAsia="zh-CN"/>
              </w:rPr>
              <w:t>0.3</w:t>
            </w:r>
            <w:r>
              <w:rPr>
                <w:rFonts w:hint="eastAsia" w:ascii="宋体" w:hAnsi="宋体" w:cs="宋体"/>
                <w:color w:val="auto"/>
                <w:szCs w:val="21"/>
                <w:highlight w:val="none"/>
              </w:rPr>
              <w:t>分，投标文件中提供承诺函加盖投标人公章，不提供的得0分。</w:t>
            </w:r>
          </w:p>
        </w:tc>
      </w:tr>
    </w:tbl>
    <w:p>
      <w:pPr>
        <w:adjustRightInd w:val="0"/>
        <w:snapToGrid w:val="0"/>
        <w:spacing w:line="320" w:lineRule="exact"/>
        <w:ind w:firstLine="482"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r>
        <w:rPr>
          <w:rFonts w:hint="eastAsia" w:asciiTheme="minorEastAsia" w:hAnsiTheme="minorEastAsia" w:eastAsiaTheme="minorEastAsia" w:cstheme="minorEastAsia"/>
          <w:color w:val="auto"/>
          <w:sz w:val="24"/>
          <w:szCs w:val="24"/>
          <w:highlight w:val="none"/>
          <w:lang w:eastAsia="zh-CN"/>
        </w:rPr>
        <w:t>。</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4、报价评分（0-40分）</w:t>
      </w:r>
    </w:p>
    <w:p>
      <w:pPr>
        <w:adjustRightInd w:val="0"/>
        <w:snapToGrid w:val="0"/>
        <w:spacing w:line="500" w:lineRule="exact"/>
        <w:ind w:firstLine="480" w:firstLineChars="200"/>
        <w:jc w:val="left"/>
        <w:rPr>
          <w:rFonts w:ascii="宋体" w:hAnsi="宋体" w:cs="宋体"/>
          <w:b/>
          <w:color w:val="auto"/>
          <w:sz w:val="24"/>
          <w:szCs w:val="24"/>
          <w:highlight w:val="none"/>
        </w:rPr>
      </w:pPr>
      <w:r>
        <w:rPr>
          <w:rFonts w:hint="eastAsia" w:ascii="宋体" w:hAnsi="宋体" w:cs="宋体"/>
          <w:color w:val="auto"/>
          <w:sz w:val="24"/>
          <w:szCs w:val="24"/>
          <w:highlight w:val="none"/>
        </w:rPr>
        <w:t>☑</w:t>
      </w:r>
      <w:r>
        <w:rPr>
          <w:rFonts w:hint="eastAsia" w:ascii="宋体" w:hAnsi="宋体" w:cs="宋体"/>
          <w:b/>
          <w:color w:val="auto"/>
          <w:sz w:val="24"/>
          <w:szCs w:val="24"/>
          <w:highlight w:val="none"/>
        </w:rPr>
        <w:t xml:space="preserve">  下浮率法</w:t>
      </w:r>
    </w:p>
    <w:p>
      <w:pPr>
        <w:spacing w:line="3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1）设定最小下浮率5%。</w:t>
      </w:r>
    </w:p>
    <w:p>
      <w:pPr>
        <w:spacing w:line="3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2）投标人报价为下浮率Xi</w:t>
      </w:r>
      <w:r>
        <w:rPr>
          <w:rFonts w:hint="eastAsia" w:ascii="宋体" w:hAnsi="宋体" w:cs="宋体"/>
          <w:color w:val="auto"/>
          <w:sz w:val="24"/>
          <w:szCs w:val="24"/>
          <w:highlight w:val="none"/>
        </w:rPr>
        <w:t>【投标人下浮率以投标报价计算为准（四舍五入后保留小数点后二位，例6.75%），</w:t>
      </w:r>
      <w:r>
        <w:rPr>
          <w:rFonts w:ascii="宋体" w:hAnsi="宋体" w:cs="宋体"/>
          <w:color w:val="auto"/>
          <w:sz w:val="24"/>
          <w:szCs w:val="24"/>
          <w:highlight w:val="none"/>
        </w:rPr>
        <w:t>Xi</w:t>
      </w:r>
      <w:r>
        <w:rPr>
          <w:rFonts w:hint="eastAsia" w:ascii="宋体" w:hAnsi="宋体" w:cs="宋体"/>
          <w:color w:val="auto"/>
          <w:sz w:val="24"/>
          <w:szCs w:val="24"/>
          <w:highlight w:val="none"/>
        </w:rPr>
        <w:t>=（参考标底－投标报价）/参考标底】，</w:t>
      </w:r>
      <w:r>
        <w:rPr>
          <w:rFonts w:ascii="宋体" w:hAnsi="宋体" w:cs="宋体"/>
          <w:color w:val="auto"/>
          <w:sz w:val="24"/>
          <w:szCs w:val="24"/>
          <w:highlight w:val="none"/>
        </w:rPr>
        <w:t>Xi&lt;5%的投标作无效标处理。</w:t>
      </w:r>
    </w:p>
    <w:p>
      <w:pPr>
        <w:spacing w:line="3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3）设定下浮率抽取区间：5%至15%（含上、下限）。</w:t>
      </w:r>
    </w:p>
    <w:p>
      <w:pPr>
        <w:spacing w:line="3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4）在5%至15%(以0.5%为步长)范围内，由招标人代表1人在规定的下浮率</w:t>
      </w:r>
      <w:r>
        <w:rPr>
          <w:rFonts w:hint="eastAsia" w:ascii="宋体" w:hAnsi="宋体" w:cs="宋体"/>
          <w:color w:val="auto"/>
          <w:sz w:val="24"/>
          <w:szCs w:val="24"/>
          <w:highlight w:val="none"/>
        </w:rPr>
        <w:t>抽取区间内随机抽取两个下浮率，其算术平均值作为基准下浮率，其算术平均为</w:t>
      </w:r>
      <w:r>
        <w:rPr>
          <w:rFonts w:ascii="宋体" w:hAnsi="宋体" w:cs="宋体"/>
          <w:color w:val="auto"/>
          <w:sz w:val="24"/>
          <w:szCs w:val="24"/>
          <w:highlight w:val="none"/>
        </w:rPr>
        <w:t>Y。</w:t>
      </w:r>
    </w:p>
    <w:p>
      <w:pPr>
        <w:spacing w:line="360" w:lineRule="exact"/>
        <w:ind w:firstLine="420"/>
        <w:rPr>
          <w:rFonts w:ascii="宋体" w:hAnsi="宋体" w:cs="宋体"/>
          <w:color w:val="auto"/>
          <w:sz w:val="24"/>
          <w:szCs w:val="24"/>
          <w:highlight w:val="none"/>
        </w:rPr>
      </w:pPr>
      <w:r>
        <w:rPr>
          <w:rFonts w:ascii="宋体" w:hAnsi="宋体" w:cs="宋体"/>
          <w:color w:val="auto"/>
          <w:sz w:val="24"/>
          <w:szCs w:val="24"/>
          <w:highlight w:val="none"/>
        </w:rPr>
        <w:t>Xi=Y时,得分=4</w:t>
      </w:r>
      <w:r>
        <w:rPr>
          <w:rFonts w:hint="eastAsia" w:ascii="宋体" w:hAnsi="宋体" w:cs="宋体"/>
          <w:color w:val="auto"/>
          <w:sz w:val="24"/>
          <w:szCs w:val="24"/>
          <w:highlight w:val="none"/>
        </w:rPr>
        <w:t>0</w:t>
      </w:r>
    </w:p>
    <w:p>
      <w:pPr>
        <w:spacing w:line="360" w:lineRule="exact"/>
        <w:ind w:firstLine="420"/>
        <w:rPr>
          <w:rFonts w:ascii="宋体" w:hAnsi="宋体" w:cs="宋体"/>
          <w:color w:val="auto"/>
          <w:sz w:val="24"/>
          <w:szCs w:val="24"/>
          <w:highlight w:val="none"/>
        </w:rPr>
      </w:pPr>
      <w:r>
        <w:rPr>
          <w:rFonts w:ascii="宋体" w:hAnsi="宋体" w:cs="宋体"/>
          <w:color w:val="auto"/>
          <w:sz w:val="24"/>
          <w:szCs w:val="24"/>
          <w:highlight w:val="none"/>
        </w:rPr>
        <w:t>Xi&lt;Y时,得分=4</w:t>
      </w:r>
      <w:r>
        <w:rPr>
          <w:rFonts w:hint="eastAsia" w:ascii="宋体" w:hAnsi="宋体" w:cs="宋体"/>
          <w:color w:val="auto"/>
          <w:sz w:val="24"/>
          <w:szCs w:val="24"/>
          <w:highlight w:val="none"/>
        </w:rPr>
        <w:t>0</w:t>
      </w:r>
      <w:r>
        <w:rPr>
          <w:rFonts w:ascii="宋体" w:hAnsi="宋体" w:cs="宋体"/>
          <w:color w:val="auto"/>
          <w:sz w:val="24"/>
          <w:szCs w:val="24"/>
          <w:highlight w:val="none"/>
        </w:rPr>
        <w:t>-(Y-Xi)×2×100</w:t>
      </w:r>
    </w:p>
    <w:p>
      <w:pPr>
        <w:spacing w:line="360" w:lineRule="exact"/>
        <w:ind w:firstLine="420"/>
        <w:rPr>
          <w:rFonts w:ascii="宋体" w:hAnsi="宋体" w:cs="宋体"/>
          <w:color w:val="auto"/>
          <w:sz w:val="24"/>
          <w:szCs w:val="24"/>
          <w:highlight w:val="none"/>
        </w:rPr>
      </w:pPr>
      <w:r>
        <w:rPr>
          <w:rFonts w:ascii="宋体" w:hAnsi="宋体" w:cs="宋体"/>
          <w:color w:val="auto"/>
          <w:sz w:val="24"/>
          <w:szCs w:val="24"/>
          <w:highlight w:val="none"/>
        </w:rPr>
        <w:t>Xi&gt;Y时,得分=4</w:t>
      </w:r>
      <w:r>
        <w:rPr>
          <w:rFonts w:hint="eastAsia" w:ascii="宋体" w:hAnsi="宋体" w:cs="宋体"/>
          <w:color w:val="auto"/>
          <w:sz w:val="24"/>
          <w:szCs w:val="24"/>
          <w:highlight w:val="none"/>
        </w:rPr>
        <w:t>0</w:t>
      </w:r>
      <w:r>
        <w:rPr>
          <w:rFonts w:ascii="宋体" w:hAnsi="宋体" w:cs="宋体"/>
          <w:color w:val="auto"/>
          <w:sz w:val="24"/>
          <w:szCs w:val="24"/>
          <w:highlight w:val="none"/>
        </w:rPr>
        <w:t>-(Xi-Y)×1×100</w:t>
      </w:r>
    </w:p>
    <w:p>
      <w:pPr>
        <w:adjustRightInd w:val="0"/>
        <w:snapToGrid w:val="0"/>
        <w:spacing w:line="320" w:lineRule="exact"/>
        <w:ind w:firstLine="480" w:firstLineChars="200"/>
        <w:jc w:val="left"/>
        <w:rPr>
          <w:color w:val="auto"/>
          <w:highlight w:val="none"/>
        </w:rPr>
      </w:pPr>
      <w:r>
        <w:rPr>
          <w:rFonts w:hint="eastAsia" w:ascii="宋体" w:hAnsi="宋体" w:cs="宋体"/>
          <w:color w:val="auto"/>
          <w:sz w:val="24"/>
          <w:szCs w:val="24"/>
          <w:highlight w:val="none"/>
        </w:rPr>
        <w:t>下浮率计算和商务部分评估计算结果均精确到小数点后两位，小数点后第三位四舍五入</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79"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（四）投标文件的综合评分：</w:t>
      </w:r>
      <w:r>
        <w:rPr>
          <w:rFonts w:hint="eastAsia" w:asciiTheme="minorEastAsia" w:hAnsiTheme="minorEastAsia" w:eastAsiaTheme="minorEastAsia" w:cstheme="minorEastAsia"/>
          <w:color w:val="auto"/>
          <w:sz w:val="24"/>
          <w:szCs w:val="24"/>
          <w:highlight w:val="none"/>
        </w:rPr>
        <w:t>投标文件的技术标评分、商务评分的总和。</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pStyle w:val="2"/>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sz w:val="24"/>
          <w:szCs w:val="24"/>
          <w:highlight w:val="none"/>
        </w:rPr>
      </w:pPr>
    </w:p>
    <w:p>
      <w:pPr>
        <w:pStyle w:val="4"/>
        <w:rPr>
          <w:color w:val="auto"/>
          <w:highlight w:val="none"/>
        </w:rPr>
      </w:pPr>
      <w:bookmarkStart w:id="419" w:name="_Toc229646768"/>
      <w:bookmarkStart w:id="420" w:name="_Toc144974577"/>
      <w:bookmarkStart w:id="421" w:name="_Toc152045609"/>
      <w:bookmarkStart w:id="422" w:name="_Toc152042387"/>
      <w:bookmarkStart w:id="423" w:name="_Toc2565"/>
      <w:bookmarkStart w:id="424" w:name="_Toc392345963"/>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9"/>
      <w:bookmarkEnd w:id="420"/>
      <w:bookmarkEnd w:id="421"/>
      <w:bookmarkEnd w:id="422"/>
      <w:bookmarkEnd w:id="423"/>
      <w:bookmarkEnd w:id="424"/>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5" w:name="_Toc297017781"/>
      <w:bookmarkStart w:id="426" w:name="_Toc406074420"/>
      <w:bookmarkStart w:id="427" w:name="_Toc18320"/>
      <w:r>
        <w:rPr>
          <w:rFonts w:hint="eastAsia" w:asciiTheme="minorEastAsia" w:hAnsiTheme="minorEastAsia" w:eastAsiaTheme="minorEastAsia" w:cstheme="minorEastAsia"/>
          <w:b/>
          <w:bCs/>
          <w:color w:val="auto"/>
          <w:sz w:val="24"/>
          <w:szCs w:val="24"/>
          <w:highlight w:val="none"/>
        </w:rPr>
        <w:t>一、合同协议书</w:t>
      </w:r>
      <w:bookmarkEnd w:id="425"/>
      <w:bookmarkEnd w:id="426"/>
      <w:bookmarkEnd w:id="427"/>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lang w:eastAsia="zh-CN"/>
        </w:rPr>
        <w:t>绍兴市妇幼保健院（绍兴市儿童医院）建设项目厨房设备</w:t>
      </w:r>
      <w:r>
        <w:rPr>
          <w:rFonts w:hint="eastAsia"/>
          <w:color w:val="auto"/>
          <w:szCs w:val="21"/>
          <w:highlight w:val="none"/>
          <w:u w:val="single"/>
        </w:rPr>
        <w:t>项目。</w:t>
      </w:r>
    </w:p>
    <w:p>
      <w:pPr>
        <w:pStyle w:val="26"/>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85" w:firstLineChars="231"/>
        <w:jc w:val="left"/>
        <w:rPr>
          <w:rFonts w:hint="eastAsia" w:ascii="Times New Roman" w:hAnsi="Times New Roman" w:eastAsia="宋体" w:cs="Times New Roman"/>
          <w:b w:val="0"/>
          <w:bCs w:val="0"/>
          <w:color w:val="auto"/>
          <w:szCs w:val="21"/>
          <w:highlight w:val="none"/>
        </w:rPr>
      </w:pPr>
      <w:r>
        <w:rPr>
          <w:rFonts w:hint="eastAsia"/>
          <w:color w:val="auto"/>
          <w:szCs w:val="21"/>
          <w:highlight w:val="none"/>
        </w:rPr>
        <w:t>3、项目内容：</w:t>
      </w:r>
      <w:r>
        <w:rPr>
          <w:rFonts w:hint="eastAsia" w:ascii="Times New Roman" w:hAnsi="Times New Roman" w:eastAsia="宋体" w:cs="Times New Roman"/>
          <w:b w:val="0"/>
          <w:bCs w:val="0"/>
          <w:color w:val="auto"/>
          <w:szCs w:val="21"/>
          <w:highlight w:val="none"/>
          <w:lang w:val="en-US" w:eastAsia="zh-CN"/>
        </w:rPr>
        <w:t>绍兴市妇幼保健院地下室厨房、</w:t>
      </w:r>
      <w:r>
        <w:rPr>
          <w:rFonts w:hint="eastAsia" w:ascii="Times New Roman" w:hAnsi="Times New Roman" w:eastAsia="宋体" w:cs="Times New Roman"/>
          <w:b w:val="0"/>
          <w:bCs w:val="0"/>
          <w:color w:val="auto"/>
          <w:szCs w:val="21"/>
          <w:highlight w:val="none"/>
        </w:rPr>
        <w:t>职工食堂</w:t>
      </w:r>
      <w:r>
        <w:rPr>
          <w:rFonts w:hint="eastAsia" w:ascii="Times New Roman" w:hAnsi="Times New Roman" w:eastAsia="宋体" w:cs="Times New Roman"/>
          <w:b w:val="0"/>
          <w:bCs w:val="0"/>
          <w:color w:val="auto"/>
          <w:szCs w:val="21"/>
          <w:highlight w:val="none"/>
          <w:lang w:eastAsia="zh-CN"/>
        </w:rPr>
        <w:t>、</w:t>
      </w:r>
      <w:r>
        <w:rPr>
          <w:rFonts w:hint="eastAsia" w:ascii="Times New Roman" w:hAnsi="Times New Roman" w:eastAsia="宋体" w:cs="Times New Roman"/>
          <w:b w:val="0"/>
          <w:bCs w:val="0"/>
          <w:color w:val="auto"/>
          <w:szCs w:val="21"/>
          <w:highlight w:val="none"/>
          <w:lang w:val="en-US" w:eastAsia="zh-CN"/>
        </w:rPr>
        <w:t>病人食堂</w:t>
      </w:r>
      <w:r>
        <w:rPr>
          <w:rFonts w:hint="eastAsia" w:ascii="Times New Roman" w:hAnsi="Times New Roman" w:eastAsia="宋体" w:cs="Times New Roman"/>
          <w:b w:val="0"/>
          <w:bCs w:val="0"/>
          <w:color w:val="auto"/>
          <w:szCs w:val="21"/>
          <w:highlight w:val="none"/>
        </w:rPr>
        <w:t>内的厨房设备的设计、制造、运输、装卸、产品保护、安装、调试、配合验收、培训及售后服务等工作。</w:t>
      </w:r>
    </w:p>
    <w:p>
      <w:pPr>
        <w:spacing w:line="360" w:lineRule="auto"/>
        <w:ind w:firstLine="485" w:firstLineChars="231"/>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rPr>
        <w:t>总承包单位负责：按图纸施工，总包施工至结构层，</w:t>
      </w:r>
      <w:r>
        <w:rPr>
          <w:rFonts w:hint="eastAsia" w:ascii="Times New Roman" w:hAnsi="Times New Roman" w:eastAsia="宋体" w:cs="Times New Roman"/>
          <w:b w:val="0"/>
          <w:bCs w:val="0"/>
          <w:color w:val="auto"/>
          <w:sz w:val="21"/>
          <w:szCs w:val="21"/>
          <w:highlight w:val="none"/>
          <w:lang w:val="en-US" w:eastAsia="zh-CN"/>
        </w:rPr>
        <w:t>精装修、安装工程图纸部分内容。</w:t>
      </w:r>
    </w:p>
    <w:p>
      <w:pPr>
        <w:spacing w:line="360" w:lineRule="auto"/>
        <w:ind w:firstLine="420" w:firstLineChars="200"/>
        <w:rPr>
          <w:color w:val="auto"/>
          <w:szCs w:val="21"/>
          <w:highlight w:val="none"/>
          <w:u w:val="single"/>
        </w:rPr>
      </w:pPr>
      <w:r>
        <w:rPr>
          <w:rFonts w:hint="eastAsia" w:ascii="Times New Roman" w:hAnsi="Times New Roman" w:eastAsia="宋体" w:cs="Times New Roman"/>
          <w:b w:val="0"/>
          <w:bCs w:val="0"/>
          <w:color w:val="auto"/>
          <w:szCs w:val="21"/>
          <w:highlight w:val="none"/>
          <w:lang w:val="en-US" w:eastAsia="zh-CN"/>
        </w:rPr>
        <w:t>厨房设备</w:t>
      </w:r>
      <w:r>
        <w:rPr>
          <w:rFonts w:hint="eastAsia" w:cs="Times New Roman"/>
          <w:b w:val="0"/>
          <w:bCs w:val="0"/>
          <w:color w:val="auto"/>
          <w:szCs w:val="21"/>
          <w:highlight w:val="none"/>
          <w:lang w:val="en-US" w:eastAsia="zh-CN"/>
        </w:rPr>
        <w:t>中标人</w:t>
      </w:r>
      <w:r>
        <w:rPr>
          <w:rFonts w:hint="eastAsia" w:ascii="Times New Roman" w:hAnsi="Times New Roman" w:eastAsia="宋体" w:cs="Times New Roman"/>
          <w:b w:val="0"/>
          <w:bCs w:val="0"/>
          <w:color w:val="auto"/>
          <w:szCs w:val="21"/>
          <w:highlight w:val="none"/>
        </w:rPr>
        <w:t>负责：①</w:t>
      </w:r>
      <w:r>
        <w:rPr>
          <w:rFonts w:hint="eastAsia" w:ascii="Times New Roman" w:hAnsi="Times New Roman" w:eastAsia="宋体" w:cs="Times New Roman"/>
          <w:b w:val="0"/>
          <w:bCs w:val="0"/>
          <w:color w:val="auto"/>
          <w:szCs w:val="21"/>
          <w:highlight w:val="none"/>
          <w:lang w:val="en-US" w:eastAsia="zh-CN"/>
        </w:rPr>
        <w:t>根据厨房设备采购清单进行平面布局图纸深化、协助使用单位进行图纸深化</w:t>
      </w:r>
      <w:r>
        <w:rPr>
          <w:rFonts w:hint="eastAsia" w:ascii="Times New Roman" w:hAnsi="Times New Roman" w:eastAsia="宋体" w:cs="Times New Roman"/>
          <w:b w:val="0"/>
          <w:bCs w:val="0"/>
          <w:color w:val="auto"/>
          <w:szCs w:val="21"/>
          <w:highlight w:val="none"/>
        </w:rPr>
        <w:t>；②</w:t>
      </w:r>
      <w:r>
        <w:rPr>
          <w:rFonts w:hint="eastAsia" w:ascii="Times New Roman" w:hAnsi="Times New Roman" w:eastAsia="宋体" w:cs="Times New Roman"/>
          <w:b w:val="0"/>
          <w:bCs w:val="0"/>
          <w:color w:val="auto"/>
          <w:szCs w:val="21"/>
          <w:highlight w:val="none"/>
          <w:lang w:val="en-US" w:eastAsia="zh-CN"/>
        </w:rPr>
        <w:t>设备供货、线路铺设、设备的检验测试费用；③招标内容及需求内的要求。</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62"/>
        <w:spacing w:line="360" w:lineRule="auto"/>
        <w:ind w:firstLine="630" w:firstLineChars="300"/>
        <w:rPr>
          <w:rFonts w:hint="eastAsia" w:ascii="Times New Roman" w:hAnsi="Times New Roman" w:eastAsia="宋体" w:cs="Times New Roman"/>
          <w:color w:val="auto"/>
          <w:kern w:val="0"/>
          <w:highlight w:val="none"/>
          <w:u w:val="single"/>
        </w:rPr>
      </w:pPr>
      <w:r>
        <w:rPr>
          <w:rFonts w:hint="eastAsia" w:ascii="Times New Roman" w:hAnsi="Times New Roman" w:eastAsia="宋体" w:cs="Times New Roman"/>
          <w:color w:val="auto"/>
          <w:kern w:val="0"/>
          <w:highlight w:val="none"/>
          <w:u w:val="single"/>
        </w:rPr>
        <w:t>以招标人发出的开工指令后210日历天，具体应与工程施工总进度计划同步（根据医院设备安装进度，完成该工程并在30个工作日内出具相关检测报告）。</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2"/>
        <w:spacing w:line="360" w:lineRule="auto"/>
        <w:ind w:firstLine="630" w:firstLineChars="300"/>
        <w:rPr>
          <w:color w:val="auto"/>
          <w:sz w:val="21"/>
          <w:szCs w:val="21"/>
          <w:highlight w:val="none"/>
        </w:rPr>
      </w:pPr>
      <w:r>
        <w:rPr>
          <w:rFonts w:hint="eastAsia"/>
          <w:color w:val="auto"/>
          <w:sz w:val="21"/>
          <w:szCs w:val="21"/>
          <w:highlight w:val="none"/>
        </w:rPr>
        <w:t>合格。全力配合甲方争创钱江杯、鲁班奖。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6"/>
        <w:spacing w:line="360" w:lineRule="auto"/>
        <w:ind w:firstLineChars="200"/>
        <w:rPr>
          <w:color w:val="auto"/>
          <w:sz w:val="21"/>
          <w:szCs w:val="21"/>
          <w:highlight w:val="none"/>
        </w:rPr>
      </w:pPr>
      <w:r>
        <w:rPr>
          <w:rFonts w:hint="eastAsia"/>
          <w:color w:val="auto"/>
          <w:sz w:val="21"/>
          <w:szCs w:val="21"/>
          <w:highlight w:val="none"/>
        </w:rPr>
        <w:t>本项目釆用总价承包，货物清单中的工程量、清单描述若与图纸及答疑不一致时，以图纸及答疑为准并须满足各专业的功能要求，由乙方自行复核计算。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6"/>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6"/>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6"/>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6"/>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color w:val="auto"/>
          <w:szCs w:val="21"/>
          <w:highlight w:val="none"/>
          <w:u w:val="single"/>
        </w:rPr>
      </w:pPr>
      <w:r>
        <w:rPr>
          <w:rFonts w:hint="eastAsia"/>
          <w:color w:val="auto"/>
          <w:szCs w:val="21"/>
          <w:highlight w:val="none"/>
        </w:rPr>
        <w:t>甲方：                                                    乙方：</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u w:val="single"/>
        </w:rPr>
        <w:t xml:space="preserve"> (盖章）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6"/>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spacing w:line="360" w:lineRule="auto"/>
        <w:ind w:firstLine="210"/>
        <w:rPr>
          <w:color w:val="auto"/>
          <w:szCs w:val="21"/>
          <w:highlight w:val="none"/>
          <w:u w:val="single"/>
        </w:rPr>
      </w:pPr>
    </w:p>
    <w:p>
      <w:pPr>
        <w:pStyle w:val="26"/>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6"/>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
        <w:rPr>
          <w:color w:val="auto"/>
          <w:szCs w:val="21"/>
          <w:highlight w:val="none"/>
          <w:u w:val="single"/>
        </w:rPr>
      </w:pPr>
    </w:p>
    <w:p>
      <w:pPr>
        <w:pStyle w:val="3"/>
        <w:rPr>
          <w:color w:val="auto"/>
          <w:szCs w:val="21"/>
          <w:highlight w:val="none"/>
          <w:u w:val="single"/>
        </w:rPr>
      </w:pPr>
    </w:p>
    <w:p>
      <w:pPr>
        <w:rPr>
          <w:color w:val="auto"/>
          <w:szCs w:val="21"/>
          <w:highlight w:val="none"/>
          <w:u w:val="single"/>
        </w:rPr>
      </w:pPr>
    </w:p>
    <w:p>
      <w:pPr>
        <w:pStyle w:val="2"/>
        <w:rPr>
          <w:color w:val="auto"/>
          <w:szCs w:val="21"/>
          <w:highlight w:val="none"/>
          <w:u w:val="single"/>
        </w:rPr>
      </w:pPr>
    </w:p>
    <w:p>
      <w:pPr>
        <w:pStyle w:val="3"/>
        <w:rPr>
          <w:color w:val="auto"/>
          <w:szCs w:val="21"/>
          <w:highlight w:val="none"/>
          <w:u w:val="single"/>
        </w:rPr>
      </w:pPr>
    </w:p>
    <w:p>
      <w:pPr>
        <w:rPr>
          <w:color w:val="auto"/>
          <w:szCs w:val="21"/>
          <w:highlight w:val="none"/>
          <w:u w:val="single"/>
        </w:rPr>
      </w:pPr>
    </w:p>
    <w:p>
      <w:pPr>
        <w:pStyle w:val="2"/>
        <w:rPr>
          <w:color w:val="auto"/>
          <w:szCs w:val="21"/>
          <w:highlight w:val="none"/>
          <w:u w:val="single"/>
        </w:rPr>
      </w:pPr>
    </w:p>
    <w:p>
      <w:pPr>
        <w:pStyle w:val="3"/>
        <w:rPr>
          <w:color w:val="auto"/>
          <w:szCs w:val="21"/>
          <w:highlight w:val="none"/>
          <w:u w:val="single"/>
        </w:rPr>
      </w:pPr>
    </w:p>
    <w:p>
      <w:pPr>
        <w:rPr>
          <w:color w:val="auto"/>
          <w:szCs w:val="21"/>
          <w:highlight w:val="none"/>
          <w:u w:val="single"/>
        </w:rPr>
      </w:pPr>
    </w:p>
    <w:p>
      <w:pPr>
        <w:pStyle w:val="2"/>
        <w:rPr>
          <w:color w:val="auto"/>
          <w:szCs w:val="21"/>
          <w:highlight w:val="none"/>
          <w:u w:val="single"/>
        </w:rPr>
      </w:pPr>
    </w:p>
    <w:p>
      <w:pPr>
        <w:pStyle w:val="3"/>
        <w:rPr>
          <w:color w:val="auto"/>
          <w:szCs w:val="21"/>
          <w:highlight w:val="none"/>
          <w:u w:val="single"/>
        </w:rPr>
      </w:pPr>
    </w:p>
    <w:p>
      <w:pPr>
        <w:rPr>
          <w:color w:val="auto"/>
          <w:szCs w:val="21"/>
          <w:highlight w:val="none"/>
          <w:u w:val="single"/>
        </w:rPr>
      </w:pPr>
    </w:p>
    <w:p>
      <w:pPr>
        <w:pStyle w:val="2"/>
        <w:rPr>
          <w:color w:val="auto"/>
          <w:szCs w:val="21"/>
          <w:highlight w:val="none"/>
          <w:u w:val="single"/>
        </w:rPr>
      </w:pPr>
    </w:p>
    <w:p>
      <w:pPr>
        <w:pStyle w:val="3"/>
        <w:rPr>
          <w:color w:val="auto"/>
          <w:szCs w:val="21"/>
          <w:highlight w:val="none"/>
          <w:u w:val="single"/>
        </w:rPr>
      </w:pPr>
    </w:p>
    <w:p>
      <w:pPr>
        <w:rPr>
          <w:color w:val="auto"/>
          <w:szCs w:val="21"/>
          <w:highlight w:val="none"/>
          <w:u w:val="single"/>
        </w:rPr>
      </w:pPr>
    </w:p>
    <w:p>
      <w:pPr>
        <w:pStyle w:val="2"/>
        <w:rPr>
          <w:color w:val="auto"/>
          <w:szCs w:val="21"/>
          <w:highlight w:val="none"/>
          <w:u w:val="single"/>
        </w:rPr>
      </w:pPr>
    </w:p>
    <w:p>
      <w:pPr>
        <w:pStyle w:val="3"/>
        <w:rPr>
          <w:color w:val="auto"/>
          <w:szCs w:val="21"/>
          <w:highlight w:val="none"/>
          <w:u w:val="single"/>
        </w:rPr>
      </w:pPr>
    </w:p>
    <w:p>
      <w:pPr>
        <w:rPr>
          <w:color w:val="auto"/>
          <w:szCs w:val="21"/>
          <w:highlight w:val="none"/>
          <w:u w:val="single"/>
        </w:rPr>
      </w:pPr>
    </w:p>
    <w:p>
      <w:pPr>
        <w:pStyle w:val="2"/>
        <w:rPr>
          <w:color w:val="auto"/>
          <w:szCs w:val="21"/>
          <w:highlight w:val="none"/>
          <w:u w:val="single"/>
        </w:rPr>
      </w:pPr>
    </w:p>
    <w:p>
      <w:pPr>
        <w:pStyle w:val="3"/>
        <w:rPr>
          <w:color w:val="auto"/>
          <w:szCs w:val="21"/>
          <w:highlight w:val="none"/>
          <w:u w:val="single"/>
        </w:rPr>
      </w:pPr>
    </w:p>
    <w:p>
      <w:pPr>
        <w:rPr>
          <w:color w:val="auto"/>
          <w:szCs w:val="21"/>
          <w:highlight w:val="none"/>
          <w:u w:val="single"/>
        </w:rPr>
      </w:pPr>
    </w:p>
    <w:p>
      <w:pPr>
        <w:pStyle w:val="2"/>
        <w:rPr>
          <w:color w:val="auto"/>
          <w:szCs w:val="21"/>
          <w:highlight w:val="none"/>
          <w:u w:val="single"/>
        </w:rPr>
      </w:pPr>
    </w:p>
    <w:p>
      <w:pPr>
        <w:pStyle w:val="3"/>
        <w:rPr>
          <w:color w:val="auto"/>
          <w:szCs w:val="21"/>
          <w:highlight w:val="none"/>
          <w:u w:val="single"/>
        </w:rPr>
      </w:pPr>
    </w:p>
    <w:p>
      <w:pPr>
        <w:rPr>
          <w:color w:val="auto"/>
          <w:szCs w:val="21"/>
          <w:highlight w:val="none"/>
          <w:u w:val="single"/>
        </w:rPr>
      </w:pPr>
    </w:p>
    <w:p>
      <w:pPr>
        <w:pStyle w:val="2"/>
        <w:rPr>
          <w:color w:val="auto"/>
          <w:highlight w:val="none"/>
        </w:rPr>
      </w:pPr>
    </w:p>
    <w:p>
      <w:pPr>
        <w:pStyle w:val="3"/>
        <w:rPr>
          <w:color w:val="auto"/>
          <w:highlight w:val="none"/>
        </w:rPr>
      </w:pPr>
    </w:p>
    <w:p>
      <w:pPr>
        <w:pStyle w:val="2"/>
        <w:rPr>
          <w:color w:val="auto"/>
          <w:szCs w:val="21"/>
          <w:highlight w:val="none"/>
          <w:u w:val="single"/>
        </w:rPr>
      </w:pPr>
    </w:p>
    <w:p>
      <w:pPr>
        <w:pStyle w:val="3"/>
        <w:rPr>
          <w:color w:val="auto"/>
          <w:szCs w:val="21"/>
          <w:highlight w:val="none"/>
          <w:u w:val="single"/>
        </w:rPr>
      </w:pPr>
    </w:p>
    <w:p>
      <w:pPr>
        <w:rPr>
          <w:color w:val="auto"/>
          <w:szCs w:val="21"/>
          <w:highlight w:val="none"/>
          <w:u w:val="single"/>
        </w:rPr>
      </w:pPr>
    </w:p>
    <w:p>
      <w:pPr>
        <w:spacing w:line="360" w:lineRule="auto"/>
        <w:jc w:val="center"/>
        <w:rPr>
          <w:b/>
          <w:color w:val="auto"/>
          <w:szCs w:val="21"/>
          <w:highlight w:val="none"/>
        </w:rPr>
      </w:pPr>
      <w:bookmarkStart w:id="428" w:name="_Toc297017782"/>
      <w:bookmarkStart w:id="429" w:name="_Toc406074421"/>
      <w:r>
        <w:rPr>
          <w:rFonts w:hint="eastAsia"/>
          <w:b/>
          <w:color w:val="auto"/>
          <w:szCs w:val="21"/>
          <w:highlight w:val="none"/>
        </w:rPr>
        <w:t>二、合同一般条款</w:t>
      </w:r>
      <w:bookmarkEnd w:id="428"/>
      <w:bookmarkEnd w:id="429"/>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30" w:name="_Toc28660"/>
      <w:r>
        <w:rPr>
          <w:rFonts w:hint="eastAsia"/>
          <w:color w:val="auto"/>
          <w:szCs w:val="21"/>
          <w:highlight w:val="none"/>
        </w:rPr>
        <w:t>2、产品的质量、技术标准</w:t>
      </w:r>
      <w:bookmarkEnd w:id="430"/>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1" w:name="_Toc23533"/>
      <w:r>
        <w:rPr>
          <w:rFonts w:hint="eastAsia"/>
          <w:color w:val="auto"/>
          <w:szCs w:val="21"/>
          <w:highlight w:val="none"/>
        </w:rPr>
        <w:t>4、质量保证期</w:t>
      </w:r>
      <w:bookmarkEnd w:id="431"/>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2" w:name="_Toc4104"/>
      <w:r>
        <w:rPr>
          <w:rFonts w:hint="eastAsia"/>
          <w:color w:val="auto"/>
          <w:szCs w:val="21"/>
          <w:highlight w:val="none"/>
        </w:rPr>
        <w:t>5、合同修改</w:t>
      </w:r>
      <w:bookmarkEnd w:id="432"/>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3" w:name="_Toc21842"/>
      <w:r>
        <w:rPr>
          <w:rFonts w:hint="eastAsia"/>
          <w:color w:val="auto"/>
          <w:szCs w:val="21"/>
          <w:highlight w:val="none"/>
        </w:rPr>
        <w:t>6、违约责任</w:t>
      </w:r>
      <w:bookmarkEnd w:id="433"/>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2）乙方在接到甲方及</w:t>
      </w:r>
      <w:r>
        <w:rPr>
          <w:rFonts w:hint="eastAsia" w:ascii="宋体" w:hAnsi="宋体" w:cs="宋体"/>
          <w:color w:val="auto"/>
          <w:szCs w:val="21"/>
          <w:highlight w:val="none"/>
        </w:rPr>
        <w:t>/或</w:t>
      </w:r>
      <w:r>
        <w:rPr>
          <w:rFonts w:hint="eastAsia"/>
          <w:color w:val="auto"/>
          <w:szCs w:val="21"/>
          <w:highlight w:val="none"/>
        </w:rPr>
        <w:t>丙方通知后，2小时内派人赴现场处理设备质量问题。质保期内乙方须安排专业维保人员驻场，驻场人员数量及资质须满足甲方及丙、丁方需求并获得书面审批。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rPr>
        <w:t>各方</w:t>
      </w:r>
      <w:r>
        <w:rPr>
          <w:rFonts w:hint="eastAsia"/>
          <w:color w:val="auto"/>
          <w:szCs w:val="21"/>
          <w:highlight w:val="none"/>
        </w:rPr>
        <w:t>应通过友好协商，妥善解决。如通过协商仍不能解决时，</w:t>
      </w:r>
      <w:r>
        <w:rPr>
          <w:rFonts w:hint="eastAsia" w:ascii="宋体" w:hAnsi="宋体" w:cs="宋体"/>
          <w:color w:val="auto"/>
          <w:szCs w:val="21"/>
          <w:highlight w:val="none"/>
        </w:rPr>
        <w:t>可向项目所在人民法院申请调解或处理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争议费用除决裁机构另有裁决外，由败诉方承担</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在决裁期间</w:t>
      </w:r>
      <w:r>
        <w:rPr>
          <w:rFonts w:hint="eastAsia"/>
          <w:color w:val="auto"/>
          <w:szCs w:val="21"/>
          <w:highlight w:val="none"/>
        </w:rPr>
        <w:t>，除争议部分外，本合同其他部分应继续执行。</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4" w:name="_Toc297017783"/>
      <w:bookmarkStart w:id="435" w:name="_Toc17297"/>
      <w:bookmarkStart w:id="436" w:name="_Toc406074422"/>
      <w:r>
        <w:rPr>
          <w:rFonts w:hint="eastAsia"/>
          <w:b/>
          <w:bCs/>
          <w:color w:val="auto"/>
          <w:szCs w:val="21"/>
          <w:highlight w:val="none"/>
        </w:rPr>
        <w:t>三、合同专用条款</w:t>
      </w:r>
      <w:bookmarkEnd w:id="434"/>
      <w:bookmarkEnd w:id="435"/>
      <w:bookmarkEnd w:id="436"/>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总工期为</w:t>
      </w:r>
      <w:r>
        <w:rPr>
          <w:rFonts w:hint="eastAsia"/>
          <w:color w:val="auto"/>
          <w:szCs w:val="21"/>
          <w:highlight w:val="none"/>
          <w:lang w:val="en-US" w:eastAsia="zh-CN"/>
        </w:rPr>
        <w:t>210</w:t>
      </w:r>
      <w:r>
        <w:rPr>
          <w:rFonts w:hint="eastAsia"/>
          <w:color w:val="auto"/>
          <w:szCs w:val="21"/>
          <w:highlight w:val="none"/>
          <w:u w:val="single"/>
        </w:rPr>
        <w:t xml:space="preserve"> </w:t>
      </w:r>
      <w:r>
        <w:rPr>
          <w:rFonts w:hint="eastAsia"/>
          <w:color w:val="auto"/>
          <w:szCs w:val="21"/>
          <w:highlight w:val="none"/>
        </w:rPr>
        <w:t xml:space="preserve"> 天。其中深化设计</w:t>
      </w:r>
      <w:r>
        <w:rPr>
          <w:rFonts w:hint="eastAsia"/>
          <w:color w:val="auto"/>
          <w:szCs w:val="21"/>
          <w:highlight w:val="none"/>
          <w:u w:val="single"/>
        </w:rPr>
        <w:t xml:space="preserve">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w:t>
      </w:r>
      <w:r>
        <w:rPr>
          <w:rFonts w:hint="eastAsia"/>
          <w:color w:val="auto"/>
          <w:szCs w:val="21"/>
          <w:highlight w:val="none"/>
        </w:rPr>
        <w:t>天，现场安装、调试、交验</w:t>
      </w:r>
      <w:r>
        <w:rPr>
          <w:rFonts w:hint="eastAsia"/>
          <w:color w:val="auto"/>
          <w:szCs w:val="21"/>
          <w:highlight w:val="none"/>
          <w:u w:val="single"/>
        </w:rPr>
        <w:t xml:space="preserve">       </w:t>
      </w:r>
      <w:r>
        <w:rPr>
          <w:rFonts w:hint="eastAsia"/>
          <w:color w:val="auto"/>
          <w:szCs w:val="21"/>
          <w:highlight w:val="none"/>
        </w:rPr>
        <w:t>天；</w:t>
      </w:r>
      <w:r>
        <w:rPr>
          <w:rFonts w:hint="eastAsia" w:ascii="宋体" w:hAnsi="宋体" w:cs="宋体"/>
          <w:color w:val="auto"/>
          <w:szCs w:val="21"/>
          <w:highlight w:val="none"/>
        </w:rPr>
        <w:t>自</w:t>
      </w:r>
      <w:r>
        <w:rPr>
          <w:rFonts w:hint="eastAsia"/>
          <w:color w:val="auto"/>
          <w:szCs w:val="21"/>
          <w:highlight w:val="none"/>
        </w:rPr>
        <w:t>甲方及丙、丁方发出书面排产通知日（即开工报告）开始计算工期。单项工期与总工期分别进行考核，如有延期，均追究相应责任。</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7" w:name="_Toc21937"/>
      <w:r>
        <w:rPr>
          <w:rFonts w:hint="eastAsia"/>
          <w:bCs/>
          <w:color w:val="auto"/>
          <w:szCs w:val="21"/>
          <w:highlight w:val="none"/>
        </w:rPr>
        <w:t>6、</w:t>
      </w:r>
      <w:r>
        <w:rPr>
          <w:rFonts w:hint="eastAsia"/>
          <w:color w:val="auto"/>
          <w:szCs w:val="21"/>
          <w:highlight w:val="none"/>
        </w:rPr>
        <w:t>付款方式</w:t>
      </w:r>
      <w:bookmarkEnd w:id="437"/>
    </w:p>
    <w:p>
      <w:pPr>
        <w:pStyle w:val="63"/>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3"/>
        <w:adjustRightInd w:val="0"/>
        <w:snapToGrid w:val="0"/>
        <w:spacing w:before="0"/>
        <w:ind w:firstLine="420"/>
        <w:rPr>
          <w:color w:val="auto"/>
          <w:sz w:val="21"/>
          <w:szCs w:val="21"/>
          <w:highlight w:val="none"/>
        </w:rPr>
      </w:pPr>
      <w:r>
        <w:rPr>
          <w:rFonts w:hint="eastAsia"/>
          <w:color w:val="auto"/>
          <w:sz w:val="21"/>
          <w:szCs w:val="21"/>
          <w:highlight w:val="none"/>
        </w:rPr>
        <w:t>第1次付款：</w:t>
      </w:r>
      <w:r>
        <w:rPr>
          <w:rFonts w:hint="eastAsia" w:ascii="宋体" w:hAnsi="宋体"/>
          <w:color w:val="auto"/>
          <w:sz w:val="21"/>
          <w:szCs w:val="21"/>
          <w:highlight w:val="none"/>
        </w:rPr>
        <w:t>合同签订生效后，发包人向承包人支付合同总价的30</w:t>
      </w:r>
      <w:r>
        <w:rPr>
          <w:rFonts w:ascii="宋体" w:hAnsi="宋体"/>
          <w:color w:val="auto"/>
          <w:sz w:val="21"/>
          <w:szCs w:val="21"/>
          <w:highlight w:val="none"/>
        </w:rPr>
        <w:t>%的预付款。预付款与合同履行同步进行，预付款支付进程不得影响合同的履行</w:t>
      </w:r>
      <w:r>
        <w:rPr>
          <w:rFonts w:hint="eastAsia"/>
          <w:color w:val="auto"/>
          <w:sz w:val="21"/>
          <w:szCs w:val="21"/>
          <w:highlight w:val="none"/>
        </w:rPr>
        <w:t>，乙方不得以预付款支付问题停止合同的履行。</w:t>
      </w:r>
    </w:p>
    <w:p>
      <w:pPr>
        <w:pStyle w:val="63"/>
        <w:numPr>
          <w:ilvl w:val="0"/>
          <w:numId w:val="2"/>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3"/>
        <w:adjustRightInd w:val="0"/>
        <w:snapToGrid w:val="0"/>
        <w:spacing w:before="0"/>
        <w:ind w:firstLine="420"/>
        <w:rPr>
          <w:rFonts w:ascii="宋体" w:hAnsi="宋体"/>
          <w:color w:val="auto"/>
          <w:sz w:val="21"/>
          <w:szCs w:val="21"/>
          <w:highlight w:val="none"/>
        </w:rPr>
      </w:pPr>
      <w:r>
        <w:rPr>
          <w:rFonts w:hint="eastAsia"/>
          <w:color w:val="auto"/>
          <w:sz w:val="21"/>
          <w:szCs w:val="21"/>
          <w:highlight w:val="none"/>
        </w:rPr>
        <w:t>第2次付款：主要设备到货并初验合格后，支付至签约合同价的60%</w:t>
      </w:r>
      <w:r>
        <w:rPr>
          <w:rFonts w:ascii="宋体" w:hAnsi="宋体"/>
          <w:color w:val="auto"/>
          <w:sz w:val="21"/>
          <w:szCs w:val="21"/>
          <w:highlight w:val="none"/>
        </w:rPr>
        <w:t>。</w:t>
      </w:r>
    </w:p>
    <w:p>
      <w:pPr>
        <w:pStyle w:val="63"/>
        <w:adjustRightInd w:val="0"/>
        <w:snapToGrid w:val="0"/>
        <w:spacing w:before="0"/>
        <w:ind w:firstLine="420"/>
        <w:rPr>
          <w:rFonts w:ascii="宋体" w:hAnsi="宋体"/>
          <w:color w:val="auto"/>
          <w:sz w:val="21"/>
          <w:szCs w:val="21"/>
          <w:highlight w:val="none"/>
        </w:rPr>
      </w:pPr>
      <w:r>
        <w:rPr>
          <w:rFonts w:hint="eastAsia" w:ascii="宋体" w:hAnsi="宋体"/>
          <w:color w:val="auto"/>
          <w:sz w:val="21"/>
          <w:szCs w:val="21"/>
          <w:highlight w:val="none"/>
        </w:rPr>
        <w:t>第3次付款：</w:t>
      </w:r>
      <w:r>
        <w:rPr>
          <w:rFonts w:hint="eastAsia" w:ascii="宋体" w:hAnsi="宋体"/>
          <w:b/>
          <w:color w:val="auto"/>
          <w:sz w:val="21"/>
          <w:szCs w:val="21"/>
          <w:highlight w:val="none"/>
        </w:rPr>
        <w:t>在所有设备安装、调试完成，经过试运行，通过验收并按买方要求移交所有资料后10个工作日内支付合同总价的85%，并退还履约保证金</w:t>
      </w:r>
      <w:r>
        <w:rPr>
          <w:rFonts w:ascii="宋体" w:hAnsi="宋体"/>
          <w:color w:val="auto"/>
          <w:sz w:val="21"/>
          <w:szCs w:val="21"/>
          <w:highlight w:val="none"/>
        </w:rPr>
        <w:t>。</w:t>
      </w:r>
    </w:p>
    <w:p>
      <w:pPr>
        <w:pStyle w:val="63"/>
        <w:adjustRightInd w:val="0"/>
        <w:snapToGrid w:val="0"/>
        <w:spacing w:before="0"/>
        <w:ind w:firstLine="420"/>
        <w:rPr>
          <w:rFonts w:ascii="宋体" w:hAnsi="宋体"/>
          <w:color w:val="auto"/>
          <w:sz w:val="21"/>
          <w:szCs w:val="21"/>
          <w:highlight w:val="none"/>
        </w:rPr>
      </w:pPr>
      <w:r>
        <w:rPr>
          <w:rFonts w:hint="eastAsia" w:ascii="宋体" w:hAnsi="宋体"/>
          <w:color w:val="auto"/>
          <w:sz w:val="21"/>
          <w:szCs w:val="21"/>
          <w:highlight w:val="none"/>
        </w:rPr>
        <w:t>第4次付款：</w:t>
      </w:r>
      <w:r>
        <w:rPr>
          <w:rFonts w:hint="eastAsia" w:ascii="宋体" w:hAnsi="宋体"/>
          <w:b/>
          <w:color w:val="auto"/>
          <w:sz w:val="21"/>
          <w:szCs w:val="21"/>
          <w:highlight w:val="none"/>
        </w:rPr>
        <w:t>通过验收并试运行二个月后10个工作日内支付至结算总价的97.5%，余款2.5%待质量保证期满无质量问题经买方确认后10工作日内付清（不计利息）</w:t>
      </w:r>
      <w:r>
        <w:rPr>
          <w:rFonts w:ascii="宋体" w:hAnsi="宋体"/>
          <w:color w:val="auto"/>
          <w:sz w:val="21"/>
          <w:szCs w:val="21"/>
          <w:highlight w:val="none"/>
        </w:rPr>
        <w:t>。</w:t>
      </w:r>
    </w:p>
    <w:p>
      <w:pPr>
        <w:pStyle w:val="63"/>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第5次付款：余款2.5%（不计利息）作为保修金，在保修期满后后15日内一次性付清</w:t>
      </w:r>
      <w:r>
        <w:rPr>
          <w:rFonts w:hint="eastAsia"/>
          <w:color w:val="auto"/>
          <w:sz w:val="21"/>
          <w:szCs w:val="21"/>
          <w:highlight w:val="none"/>
        </w:rPr>
        <w:t>。</w:t>
      </w:r>
    </w:p>
    <w:p>
      <w:pPr>
        <w:pStyle w:val="63"/>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3"/>
        <w:adjustRightInd w:val="0"/>
        <w:snapToGrid w:val="0"/>
        <w:spacing w:before="0"/>
        <w:ind w:firstLine="422"/>
        <w:rPr>
          <w:b/>
          <w:strike/>
          <w:color w:val="auto"/>
          <w:sz w:val="21"/>
          <w:szCs w:val="21"/>
          <w:highlight w:val="none"/>
          <w:u w:val="single"/>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r>
        <w:rPr>
          <w:rFonts w:hint="eastAsia"/>
          <w:b/>
          <w:color w:val="auto"/>
          <w:sz w:val="21"/>
          <w:szCs w:val="21"/>
          <w:highlight w:val="none"/>
          <w:u w:val="single"/>
        </w:rPr>
        <w:t>。</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本工程采用总价合同，丙、丁方有权增减工作范围，该费用应予以增减，在结算时按中标单价按实调整，漏项部分需优化设计，最多不超过合同总价的5%，5%以内部分按实结算，超过5%以上部分不予支付，视为乙方为做好优化设计工作，漏项部分单价定价需以最终的审计为准。</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6"/>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64"/>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8" w:name="_Toc812"/>
      <w:r>
        <w:rPr>
          <w:rFonts w:hint="eastAsia"/>
          <w:b/>
          <w:color w:val="auto"/>
          <w:szCs w:val="21"/>
          <w:highlight w:val="none"/>
        </w:rPr>
        <w:t>12、设备的安装、调试</w:t>
      </w:r>
      <w:bookmarkEnd w:id="438"/>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9" w:name="_Toc8150"/>
      <w:r>
        <w:rPr>
          <w:rFonts w:hint="eastAsia"/>
          <w:b/>
          <w:color w:val="auto"/>
          <w:szCs w:val="21"/>
          <w:highlight w:val="none"/>
        </w:rPr>
        <w:t>14、质保及维修</w:t>
      </w:r>
      <w:bookmarkEnd w:id="439"/>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rPr>
        <w:t>（具体时间以投标文件为准）</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
          <w:color w:val="auto"/>
          <w:szCs w:val="21"/>
          <w:highlight w:val="none"/>
          <w:u w:val="single"/>
        </w:rPr>
        <w:t>36</w:t>
      </w:r>
      <w:r>
        <w:rPr>
          <w:rFonts w:hint="eastAsia"/>
          <w:bCs/>
          <w:color w:val="auto"/>
          <w:szCs w:val="21"/>
          <w:highlight w:val="none"/>
          <w:u w:val="single"/>
        </w:rPr>
        <w:t>个月</w:t>
      </w:r>
      <w:r>
        <w:rPr>
          <w:rFonts w:hint="eastAsia" w:ascii="宋体" w:hAnsi="宋体" w:cs="宋体"/>
          <w:b/>
          <w:bCs/>
          <w:color w:val="auto"/>
          <w:szCs w:val="21"/>
          <w:highlight w:val="none"/>
          <w:u w:val="single"/>
        </w:rPr>
        <w:t>（具体时间以投标文件为准）</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4"/>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40" w:name="_Toc10358"/>
      <w:r>
        <w:rPr>
          <w:rFonts w:hint="eastAsia"/>
          <w:b/>
          <w:color w:val="auto"/>
          <w:szCs w:val="21"/>
          <w:highlight w:val="none"/>
        </w:rPr>
        <w:t>16、违约责任</w:t>
      </w:r>
      <w:bookmarkEnd w:id="440"/>
    </w:p>
    <w:p>
      <w:pPr>
        <w:snapToGrid w:val="0"/>
        <w:spacing w:line="360" w:lineRule="auto"/>
        <w:ind w:firstLine="420" w:firstLineChars="200"/>
        <w:rPr>
          <w:strike/>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rPr>
        <w:t>协商一致后</w:t>
      </w:r>
      <w:r>
        <w:rPr>
          <w:rFonts w:hint="eastAsia"/>
          <w:color w:val="auto"/>
          <w:szCs w:val="21"/>
          <w:highlight w:val="none"/>
        </w:rPr>
        <w:t>有权解除合同</w:t>
      </w:r>
      <w:r>
        <w:rPr>
          <w:color w:val="auto"/>
          <w:szCs w:val="21"/>
          <w:highlight w:val="none"/>
        </w:rPr>
        <w:t>、</w:t>
      </w:r>
      <w:r>
        <w:rPr>
          <w:rFonts w:hint="eastAsia" w:ascii="宋体" w:hAnsi="宋体" w:cs="宋体"/>
          <w:color w:val="auto"/>
          <w:szCs w:val="21"/>
          <w:highlight w:val="none"/>
        </w:rPr>
        <w:t>甲方</w:t>
      </w:r>
      <w:r>
        <w:rPr>
          <w:rFonts w:hint="eastAsia"/>
          <w:color w:val="auto"/>
          <w:szCs w:val="21"/>
          <w:highlight w:val="none"/>
        </w:rPr>
        <w:t>没收全部的履约保证金并乙方承担所有的违约责任并承担由此造成的甲方及丙、丁方的全部损失。</w:t>
      </w:r>
      <w:r>
        <w:rPr>
          <w:rFonts w:hint="eastAsia"/>
          <w:strike/>
          <w:color w:val="auto"/>
          <w:szCs w:val="21"/>
          <w:highlight w:val="none"/>
        </w:rPr>
        <w:t>乙方</w:t>
      </w:r>
      <w:r>
        <w:rPr>
          <w:rFonts w:hint="eastAsia"/>
          <w:bCs/>
          <w:strike/>
          <w:color w:val="auto"/>
          <w:szCs w:val="21"/>
          <w:highlight w:val="none"/>
        </w:rPr>
        <w:t>总工期超</w:t>
      </w:r>
      <w:r>
        <w:rPr>
          <w:rFonts w:hint="eastAsia"/>
          <w:strike/>
          <w:color w:val="auto"/>
          <w:szCs w:val="21"/>
          <w:highlight w:val="none"/>
        </w:rPr>
        <w:t>过本合同约定期限的，按照逾期交货承担违约责任。</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6"/>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或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1" w:name="_Toc18664"/>
      <w:r>
        <w:rPr>
          <w:rFonts w:hint="eastAsia"/>
          <w:color w:val="auto"/>
          <w:szCs w:val="21"/>
          <w:highlight w:val="none"/>
        </w:rPr>
        <w:t>17、其他</w:t>
      </w:r>
      <w:bookmarkEnd w:id="441"/>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6"/>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 xml:space="preserve">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未能按要求完成修复的，扣 </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2" w:name="OLE_LINK6"/>
      <w:r>
        <w:rPr>
          <w:rFonts w:hint="eastAsia"/>
          <w:color w:val="auto"/>
          <w:szCs w:val="21"/>
          <w:highlight w:val="none"/>
        </w:rPr>
        <w:t xml:space="preserve">  18.5</w:t>
      </w:r>
      <w:bookmarkEnd w:id="442"/>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w:t>
      </w:r>
      <w:r>
        <w:rPr>
          <w:rFonts w:hint="eastAsia" w:ascii="宋体" w:hAnsi="宋体"/>
          <w:b/>
          <w:bCs/>
          <w:color w:val="auto"/>
          <w:kern w:val="58"/>
          <w:szCs w:val="21"/>
          <w:highlight w:val="none"/>
          <w:u w:val="single"/>
          <w:lang w:val="en-US" w:eastAsia="zh-CN"/>
        </w:rPr>
        <w:t>厨房设备</w:t>
      </w:r>
      <w:r>
        <w:rPr>
          <w:rFonts w:hint="eastAsia" w:ascii="宋体" w:hAnsi="宋体"/>
          <w:b/>
          <w:bCs/>
          <w:color w:val="auto"/>
          <w:kern w:val="58"/>
          <w:szCs w:val="21"/>
          <w:highlight w:val="none"/>
          <w:u w:val="single"/>
        </w:rPr>
        <w:t>项目</w:t>
      </w:r>
      <w:r>
        <w:rPr>
          <w:rFonts w:hint="eastAsia"/>
          <w:b/>
          <w:bCs/>
          <w:color w:val="auto"/>
          <w:szCs w:val="21"/>
          <w:highlight w:val="none"/>
        </w:rPr>
        <w:t>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19.1具体详见招标文件所附设备清单</w:t>
      </w:r>
    </w:p>
    <w:p>
      <w:pPr>
        <w:spacing w:line="360" w:lineRule="auto"/>
        <w:ind w:firstLine="210"/>
        <w:rPr>
          <w:color w:val="auto"/>
          <w:szCs w:val="21"/>
          <w:highlight w:val="none"/>
        </w:rPr>
      </w:pPr>
      <w:r>
        <w:rPr>
          <w:rFonts w:hint="eastAsia"/>
          <w:color w:val="auto"/>
          <w:szCs w:val="21"/>
          <w:highlight w:val="none"/>
        </w:rPr>
        <w:t xml:space="preserve">  19.2本合同价格包括</w:t>
      </w:r>
      <w:r>
        <w:rPr>
          <w:rFonts w:hint="eastAsia" w:ascii="宋体" w:hAnsi="宋体"/>
          <w:b/>
          <w:bCs/>
          <w:color w:val="auto"/>
          <w:kern w:val="58"/>
          <w:szCs w:val="21"/>
          <w:highlight w:val="none"/>
          <w:u w:val="single"/>
        </w:rPr>
        <w:t>生</w:t>
      </w:r>
      <w:r>
        <w:rPr>
          <w:rFonts w:hint="eastAsia" w:ascii="宋体" w:hAnsi="宋体"/>
          <w:b/>
          <w:bCs/>
          <w:color w:val="auto"/>
          <w:kern w:val="58"/>
          <w:szCs w:val="21"/>
          <w:highlight w:val="none"/>
          <w:u w:val="single"/>
          <w:lang w:val="en-US" w:eastAsia="zh-CN"/>
        </w:rPr>
        <w:t>厨房设备</w:t>
      </w:r>
      <w:r>
        <w:rPr>
          <w:rFonts w:hint="eastAsia" w:ascii="宋体" w:hAnsi="宋体"/>
          <w:b/>
          <w:bCs/>
          <w:color w:val="auto"/>
          <w:kern w:val="58"/>
          <w:szCs w:val="21"/>
          <w:highlight w:val="none"/>
          <w:u w:val="single"/>
        </w:rPr>
        <w:t>项目</w:t>
      </w:r>
      <w:r>
        <w:rPr>
          <w:rFonts w:hint="eastAsia"/>
          <w:color w:val="auto"/>
          <w:szCs w:val="21"/>
          <w:highlight w:val="none"/>
        </w:rPr>
        <w:t>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3"/>
        <w:rPr>
          <w:color w:val="auto"/>
          <w:szCs w:val="21"/>
          <w:highlight w:val="none"/>
        </w:rPr>
      </w:pPr>
    </w:p>
    <w:p>
      <w:pPr>
        <w:rPr>
          <w:color w:val="auto"/>
          <w:szCs w:val="21"/>
          <w:highlight w:val="none"/>
        </w:rPr>
      </w:pPr>
    </w:p>
    <w:p>
      <w:pPr>
        <w:pStyle w:val="2"/>
        <w:rPr>
          <w:color w:val="auto"/>
          <w:szCs w:val="21"/>
          <w:highlight w:val="none"/>
        </w:rPr>
      </w:pPr>
    </w:p>
    <w:p>
      <w:pPr>
        <w:pStyle w:val="6"/>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lang w:eastAsia="zh-CN"/>
        </w:rPr>
        <w:t>绍兴市妇幼保健院（绍兴市儿童医院）建设项目厨房设备</w:t>
      </w:r>
      <w:r>
        <w:rPr>
          <w:rFonts w:hint="eastAsia"/>
          <w:color w:val="auto"/>
          <w:kern w:val="58"/>
          <w:szCs w:val="21"/>
          <w:highlight w:val="none"/>
        </w:rPr>
        <w:t>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u w:val="single"/>
        </w:rPr>
      </w:pPr>
      <w:r>
        <w:rPr>
          <w:rFonts w:hint="eastAsia"/>
          <w:color w:val="auto"/>
          <w:szCs w:val="21"/>
          <w:highlight w:val="none"/>
        </w:rPr>
        <w:t>日期：      年     月     日                           日期：     年     月       日</w:t>
      </w:r>
    </w:p>
    <w:p>
      <w:pPr>
        <w:spacing w:line="360" w:lineRule="auto"/>
        <w:rPr>
          <w:color w:val="auto"/>
          <w:szCs w:val="21"/>
          <w:highlight w:val="none"/>
        </w:rPr>
      </w:pPr>
      <w:r>
        <w:rPr>
          <w:rFonts w:hint="eastAsia"/>
          <w:color w:val="auto"/>
          <w:szCs w:val="21"/>
          <w:highlight w:val="none"/>
        </w:rPr>
        <w:br w:type="page"/>
      </w:r>
    </w:p>
    <w:p>
      <w:pPr>
        <w:pStyle w:val="6"/>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rPr>
        <w:t>连带责任担保人：（盖单位公章）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5" w:h="16838"/>
          <w:pgMar w:top="1417" w:right="1134" w:bottom="1417" w:left="1134" w:header="680" w:footer="680" w:gutter="0"/>
          <w:pgBorders>
            <w:top w:val="none" w:sz="0" w:space="0"/>
            <w:left w:val="none" w:sz="0" w:space="0"/>
            <w:bottom w:val="none" w:sz="0" w:space="0"/>
            <w:right w:val="none" w:sz="0" w:space="0"/>
          </w:pgBorders>
          <w:cols w:space="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lang w:eastAsia="zh-CN"/>
        </w:rPr>
        <w:t>绍兴市妇幼保健院（绍兴市儿童医院）建设项目厨房设备</w:t>
      </w:r>
      <w:r>
        <w:rPr>
          <w:rFonts w:hint="eastAsia"/>
          <w:color w:val="auto"/>
          <w:szCs w:val="21"/>
          <w:highlight w:val="none"/>
          <w:u w:val="single"/>
        </w:rPr>
        <w:t>项目</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color w:val="auto"/>
          <w:highlight w:val="none"/>
        </w:rPr>
      </w:pPr>
    </w:p>
    <w:p>
      <w:pPr>
        <w:rPr>
          <w:color w:val="auto"/>
          <w:highlight w:val="none"/>
        </w:rPr>
      </w:pPr>
    </w:p>
    <w:p>
      <w:pPr>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3" w:name="_Toc30226"/>
      <w:r>
        <w:rPr>
          <w:rFonts w:hint="eastAsia" w:ascii="仿宋" w:hAnsi="仿宋" w:eastAsia="仿宋"/>
          <w:b/>
          <w:bCs/>
          <w:color w:val="auto"/>
          <w:szCs w:val="21"/>
          <w:highlight w:val="none"/>
        </w:rPr>
        <w:t>质 量 保 修 书</w:t>
      </w:r>
      <w:bookmarkEnd w:id="443"/>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4"/>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质量保修期为，工程经竣工验收合格并移交业主且</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 xml:space="preserve">使用产品之日起算 </w:t>
      </w:r>
      <w:r>
        <w:rPr>
          <w:rFonts w:ascii="仿宋" w:hAnsi="仿宋" w:eastAsia="仿宋"/>
          <w:color w:val="auto"/>
          <w:szCs w:val="21"/>
          <w:highlight w:val="none"/>
        </w:rPr>
        <w:t xml:space="preserve">    </w:t>
      </w:r>
      <w:r>
        <w:rPr>
          <w:rFonts w:hint="eastAsia" w:ascii="仿宋" w:hAnsi="仿宋" w:eastAsia="仿宋"/>
          <w:color w:val="auto"/>
          <w:szCs w:val="21"/>
          <w:highlight w:val="none"/>
        </w:rPr>
        <w:t xml:space="preserve">个月或 </w:t>
      </w:r>
      <w:r>
        <w:rPr>
          <w:rFonts w:ascii="仿宋" w:hAnsi="仿宋" w:eastAsia="仿宋"/>
          <w:color w:val="auto"/>
          <w:szCs w:val="21"/>
          <w:highlight w:val="none"/>
        </w:rPr>
        <w:t xml:space="preserve">   </w:t>
      </w:r>
      <w:r>
        <w:rPr>
          <w:rFonts w:hint="eastAsia" w:ascii="仿宋" w:hAnsi="仿宋" w:eastAsia="仿宋"/>
          <w:color w:val="auto"/>
          <w:szCs w:val="21"/>
          <w:highlight w:val="none"/>
        </w:rPr>
        <w:t>年（质保期优惠的，在此基础上顺延，优惠期满才视为质量保修期满）。</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2"/>
        <w:rPr>
          <w:color w:val="auto"/>
          <w:highlight w:val="none"/>
        </w:rPr>
      </w:pPr>
      <w:r>
        <w:rPr>
          <w:rFonts w:hint="eastAsia"/>
          <w:color w:val="auto"/>
          <w:highlight w:val="none"/>
        </w:rPr>
        <w:t>甲方对乙方的保修义务对丙方承担连带责任，丙方有权直接在应支付给甲方的款项中扣除乙方应承担的违约金等责任。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05" w:h="16838"/>
          <w:pgMar w:top="1417" w:right="1134" w:bottom="1417" w:left="1134" w:header="680" w:footer="680" w:gutter="0"/>
          <w:pgBorders>
            <w:top w:val="none" w:sz="0" w:space="0"/>
            <w:left w:val="none" w:sz="0" w:space="0"/>
            <w:bottom w:val="none" w:sz="0" w:space="0"/>
            <w:right w:val="none" w:sz="0" w:space="0"/>
          </w:pgBorders>
          <w:cols w:space="0" w:num="1"/>
        </w:sectPr>
      </w:pPr>
    </w:p>
    <w:p>
      <w:pPr>
        <w:pStyle w:val="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招标人提供由深圳市建筑设计研究总院有限公司提供的</w:t>
      </w:r>
      <w:r>
        <w:rPr>
          <w:rFonts w:hint="eastAsia" w:asciiTheme="minorEastAsia" w:hAnsiTheme="minorEastAsia" w:eastAsiaTheme="minorEastAsia" w:cstheme="minorEastAsia"/>
          <w:color w:val="auto"/>
          <w:sz w:val="24"/>
          <w:szCs w:val="24"/>
          <w:highlight w:val="none"/>
          <w:lang w:val="en-US" w:eastAsia="zh-CN" w:bidi="ar"/>
        </w:rPr>
        <w:t>厨房设备</w:t>
      </w:r>
      <w:r>
        <w:rPr>
          <w:rFonts w:hint="eastAsia" w:asciiTheme="minorEastAsia" w:hAnsiTheme="minorEastAsia" w:eastAsiaTheme="minorEastAsia" w:cstheme="minorEastAsia"/>
          <w:color w:val="auto"/>
          <w:sz w:val="24"/>
          <w:szCs w:val="24"/>
          <w:highlight w:val="none"/>
          <w:lang w:bidi="ar"/>
        </w:rPr>
        <w:t>工程施工图纸（电子版），请各投</w:t>
      </w:r>
      <w:r>
        <w:rPr>
          <w:rFonts w:hint="eastAsia" w:asciiTheme="minorEastAsia" w:hAnsiTheme="minorEastAsia" w:eastAsiaTheme="minorEastAsia" w:cstheme="minorEastAsia"/>
          <w:color w:val="auto"/>
          <w:sz w:val="24"/>
          <w:szCs w:val="24"/>
          <w:highlight w:val="none"/>
        </w:rPr>
        <w:t>标人在</w:t>
      </w:r>
      <w:r>
        <w:rPr>
          <w:rFonts w:hint="eastAsia" w:asciiTheme="minorEastAsia" w:hAnsiTheme="minorEastAsia" w:eastAsiaTheme="minorEastAsia" w:cstheme="minorEastAsia"/>
          <w:color w:val="auto"/>
          <w:sz w:val="24"/>
          <w:szCs w:val="24"/>
          <w:highlight w:val="none"/>
          <w:lang w:bidi="ar"/>
        </w:rPr>
        <w:t>在登陆绍兴公共资源交易网交易平台后在</w:t>
      </w:r>
      <w:r>
        <w:rPr>
          <w:rFonts w:asciiTheme="minorEastAsia" w:hAnsiTheme="minorEastAsia" w:eastAsiaTheme="minorEastAsia" w:cstheme="minorEastAsia"/>
          <w:color w:val="auto"/>
          <w:sz w:val="24"/>
          <w:szCs w:val="24"/>
          <w:highlight w:val="none"/>
          <w:lang w:bidi="ar"/>
        </w:rPr>
        <w:t>控制价文件</w:t>
      </w:r>
      <w:r>
        <w:rPr>
          <w:rFonts w:hint="eastAsia" w:asciiTheme="minorEastAsia" w:hAnsiTheme="minorEastAsia" w:eastAsiaTheme="minorEastAsia" w:cstheme="minorEastAsia"/>
          <w:color w:val="auto"/>
          <w:sz w:val="24"/>
          <w:szCs w:val="24"/>
          <w:highlight w:val="none"/>
          <w:lang w:bidi="ar"/>
        </w:rPr>
        <w:t>中</w:t>
      </w:r>
      <w:r>
        <w:rPr>
          <w:rFonts w:asciiTheme="minorEastAsia" w:hAnsiTheme="minorEastAsia" w:eastAsiaTheme="minorEastAsia" w:cstheme="minorEastAsia"/>
          <w:color w:val="auto"/>
          <w:sz w:val="24"/>
          <w:szCs w:val="24"/>
          <w:highlight w:val="none"/>
          <w:lang w:bidi="ar"/>
        </w:rPr>
        <w:t>领取</w:t>
      </w:r>
      <w:r>
        <w:rPr>
          <w:rFonts w:hint="eastAsia" w:asciiTheme="minorEastAsia" w:hAnsiTheme="minorEastAsia" w:eastAsiaTheme="minorEastAsia" w:cstheme="minorEastAsia"/>
          <w:color w:val="auto"/>
          <w:sz w:val="24"/>
          <w:szCs w:val="24"/>
          <w:highlight w:val="none"/>
          <w:lang w:bidi="ar"/>
        </w:rPr>
        <w:t>下载电子版图纸</w:t>
      </w:r>
      <w:r>
        <w:rPr>
          <w:rFonts w:hint="eastAsia" w:asciiTheme="minorEastAsia" w:hAnsiTheme="minorEastAsia" w:eastAsiaTheme="minorEastAsia" w:cstheme="minorEastAsia"/>
          <w:color w:val="auto"/>
          <w:sz w:val="24"/>
          <w:szCs w:val="24"/>
          <w:highlight w:val="none"/>
        </w:rPr>
        <w:t>。</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7"/>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b/>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由招标人另册提供。</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00" w:lineRule="auto"/>
        <w:rPr>
          <w:rFonts w:asciiTheme="minorEastAsia" w:hAnsiTheme="minorEastAsia" w:eastAsiaTheme="minorEastAsia" w:cstheme="minorEastAsia"/>
          <w:color w:val="auto"/>
          <w:sz w:val="24"/>
          <w:szCs w:val="24"/>
          <w:highlight w:val="none"/>
        </w:rPr>
        <w:sectPr>
          <w:footerReference r:id="rId6" w:type="default"/>
          <w:footerReference r:id="rId7" w:type="even"/>
          <w:pgSz w:w="11905" w:h="16838"/>
          <w:pgMar w:top="1417" w:right="1134" w:bottom="1417" w:left="1134" w:header="680" w:footer="680" w:gutter="0"/>
          <w:pgBorders>
            <w:top w:val="none" w:sz="0" w:space="0"/>
            <w:left w:val="none" w:sz="0" w:space="0"/>
            <w:bottom w:val="none" w:sz="0" w:space="0"/>
            <w:right w:val="none" w:sz="0" w:space="0"/>
          </w:pgBorders>
          <w:cols w:space="0" w:num="1"/>
          <w:docGrid w:linePitch="271" w:charSpace="0"/>
        </w:sectPr>
      </w:pPr>
    </w:p>
    <w:p>
      <w:pPr>
        <w:pStyle w:val="2"/>
        <w:rPr>
          <w:color w:val="auto"/>
          <w:highlight w:val="none"/>
        </w:rPr>
      </w:pPr>
    </w:p>
    <w:p>
      <w:pPr>
        <w:pStyle w:val="4"/>
        <w:rPr>
          <w:color w:val="auto"/>
          <w:highlight w:val="none"/>
        </w:rPr>
      </w:pPr>
      <w:bookmarkStart w:id="444" w:name="_Toc19145"/>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4"/>
    </w:p>
    <w:p>
      <w:pPr>
        <w:pStyle w:val="5"/>
        <w:ind w:firstLine="422" w:firstLineChars="200"/>
        <w:jc w:val="left"/>
        <w:rPr>
          <w:rStyle w:val="73"/>
          <w:color w:val="auto"/>
          <w:sz w:val="21"/>
          <w:szCs w:val="21"/>
          <w:highlight w:val="none"/>
        </w:rPr>
      </w:pPr>
      <w:bookmarkStart w:id="445" w:name="_Toc424132252"/>
      <w:bookmarkStart w:id="446" w:name="_Toc24820"/>
      <w:r>
        <w:rPr>
          <w:rStyle w:val="73"/>
          <w:rFonts w:hint="eastAsia"/>
          <w:color w:val="auto"/>
          <w:sz w:val="21"/>
          <w:szCs w:val="21"/>
          <w:highlight w:val="none"/>
        </w:rPr>
        <w:t>一、总体要求</w:t>
      </w:r>
      <w:bookmarkEnd w:id="445"/>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1、本次招标货物为</w:t>
      </w:r>
      <w:r>
        <w:rPr>
          <w:rFonts w:hint="eastAsia" w:ascii="宋体" w:hAnsi="宋体" w:eastAsia="宋体" w:cs="宋体"/>
          <w:color w:val="auto"/>
          <w:sz w:val="21"/>
          <w:szCs w:val="21"/>
          <w:highlight w:val="none"/>
          <w:lang w:eastAsia="zh-CN"/>
        </w:rPr>
        <w:t>绍兴市妇幼保健院</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绍兴市儿童医院</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厨房设备</w:t>
      </w:r>
      <w:r>
        <w:rPr>
          <w:rFonts w:hint="eastAsia" w:ascii="宋体" w:hAnsi="宋体" w:eastAsia="宋体" w:cs="宋体"/>
          <w:color w:val="auto"/>
          <w:sz w:val="21"/>
          <w:szCs w:val="21"/>
          <w:highlight w:val="none"/>
        </w:rPr>
        <w:t>采购，投标人应根据招标文件所提出的要求，选择具有最佳性能价格比的产品前来投标，并以精良的产品、优质的服务和优惠的价格，充分显示各自的竞争力。</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2、按交钥匙工程方式交货。</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3、安装坏境</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投标人须自行了解使用坏境的一切与本项目实施有关的情况，提供产品时应考虑相应的环境与条件。</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4、安装地点：招标人指定的安装地点。</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、交货期：根据</w:t>
      </w:r>
      <w:r>
        <w:rPr>
          <w:rFonts w:hint="eastAsia" w:ascii="宋体" w:hAnsi="宋体" w:cs="宋体"/>
          <w:color w:val="auto"/>
          <w:sz w:val="21"/>
          <w:szCs w:val="21"/>
          <w:highlight w:val="none"/>
          <w:lang w:val="en-US" w:eastAsia="zh-CN"/>
        </w:rPr>
        <w:t>招标人</w:t>
      </w:r>
      <w:r>
        <w:rPr>
          <w:rFonts w:hint="eastAsia" w:ascii="宋体" w:hAnsi="宋体" w:eastAsia="宋体" w:cs="宋体"/>
          <w:color w:val="auto"/>
          <w:sz w:val="21"/>
          <w:szCs w:val="21"/>
          <w:highlight w:val="none"/>
        </w:rPr>
        <w:t>通知排产送货，60天内供货至招标人指定的地点，并负责组装、安装、调试、检测等，直至验收合格交付招标人使用。</w:t>
      </w:r>
    </w:p>
    <w:p>
      <w:pPr>
        <w:adjustRightInd w:val="0"/>
        <w:snapToGrid w:val="0"/>
        <w:spacing w:line="360" w:lineRule="auto"/>
        <w:ind w:firstLine="422" w:firstLineChars="200"/>
        <w:rPr>
          <w:rFonts w:hint="eastAsia" w:ascii="宋体" w:hAnsi="宋体" w:cs="宋体"/>
          <w:b/>
          <w:color w:val="auto"/>
          <w:kern w:val="2"/>
          <w:sz w:val="21"/>
          <w:szCs w:val="21"/>
          <w:highlight w:val="none"/>
        </w:rPr>
      </w:pPr>
      <w:r>
        <w:rPr>
          <w:rFonts w:hint="eastAsia" w:ascii="宋体" w:hAnsi="宋体" w:cs="宋体"/>
          <w:b/>
          <w:color w:val="auto"/>
          <w:kern w:val="2"/>
          <w:sz w:val="21"/>
          <w:szCs w:val="21"/>
          <w:highlight w:val="none"/>
        </w:rPr>
        <w:t>二、货物需求一览表：</w:t>
      </w:r>
    </w:p>
    <w:tbl>
      <w:tblPr>
        <w:tblStyle w:val="27"/>
        <w:tblW w:w="13689" w:type="dxa"/>
        <w:tblInd w:w="0" w:type="dxa"/>
        <w:shd w:val="clear" w:color="auto" w:fill="auto"/>
        <w:tblLayout w:type="fixed"/>
        <w:tblCellMar>
          <w:top w:w="0" w:type="dxa"/>
          <w:left w:w="0" w:type="dxa"/>
          <w:bottom w:w="0" w:type="dxa"/>
          <w:right w:w="0" w:type="dxa"/>
        </w:tblCellMar>
      </w:tblPr>
      <w:tblGrid>
        <w:gridCol w:w="990"/>
        <w:gridCol w:w="1093"/>
        <w:gridCol w:w="5654"/>
        <w:gridCol w:w="2414"/>
        <w:gridCol w:w="1432"/>
        <w:gridCol w:w="981"/>
        <w:gridCol w:w="1125"/>
      </w:tblGrid>
      <w:tr>
        <w:tblPrEx>
          <w:shd w:val="clear" w:color="auto" w:fill="auto"/>
          <w:tblCellMar>
            <w:top w:w="0" w:type="dxa"/>
            <w:left w:w="0" w:type="dxa"/>
            <w:bottom w:w="0" w:type="dxa"/>
            <w:right w:w="0" w:type="dxa"/>
          </w:tblCellMar>
        </w:tblPrEx>
        <w:trPr>
          <w:trHeight w:val="231" w:hRule="atLeast"/>
        </w:trPr>
        <w:tc>
          <w:tcPr>
            <w:tcW w:w="99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序号</w:t>
            </w:r>
          </w:p>
        </w:tc>
        <w:tc>
          <w:tcPr>
            <w:tcW w:w="109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名称</w:t>
            </w:r>
          </w:p>
        </w:tc>
        <w:tc>
          <w:tcPr>
            <w:tcW w:w="5654"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名称及参数</w:t>
            </w:r>
          </w:p>
        </w:tc>
        <w:tc>
          <w:tcPr>
            <w:tcW w:w="2414"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参考品牌</w:t>
            </w:r>
          </w:p>
        </w:tc>
        <w:tc>
          <w:tcPr>
            <w:tcW w:w="1432"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规格</w:t>
            </w:r>
          </w:p>
        </w:tc>
        <w:tc>
          <w:tcPr>
            <w:tcW w:w="981"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单位</w:t>
            </w:r>
          </w:p>
        </w:tc>
        <w:tc>
          <w:tcPr>
            <w:tcW w:w="1125"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招标数量</w:t>
            </w:r>
          </w:p>
        </w:tc>
      </w:tr>
      <w:tr>
        <w:tblPrEx>
          <w:shd w:val="clear" w:color="auto" w:fill="auto"/>
          <w:tblCellMar>
            <w:top w:w="0" w:type="dxa"/>
            <w:left w:w="0" w:type="dxa"/>
            <w:bottom w:w="0" w:type="dxa"/>
            <w:right w:w="0" w:type="dxa"/>
          </w:tblCellMar>
        </w:tblPrEx>
        <w:trPr>
          <w:trHeight w:val="22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地下一层厨房</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6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风幕机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说明：铝合金外壳，时尚美观，独特导风板设计，风向可随意调节；风量≥2500m3/h；电量：220V，≤800w。</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绿岛风</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志高</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三菱电机</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L=1500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r>
      <w:tr>
        <w:tblPrEx>
          <w:shd w:val="clear" w:color="auto" w:fill="auto"/>
          <w:tblCellMar>
            <w:top w:w="0" w:type="dxa"/>
            <w:left w:w="0" w:type="dxa"/>
            <w:bottom w:w="0" w:type="dxa"/>
            <w:right w:w="0" w:type="dxa"/>
          </w:tblCellMar>
        </w:tblPrEx>
        <w:trPr>
          <w:trHeight w:val="56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电子秤</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说明：不锈钢秤盘，高清液晶大屏，省电待机，高精准秤重，轻触大按键，两种蓄电模式。</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友声</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碧彩</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赛多利斯</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300KG</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6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四层平板货架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说明：用SUS304-2B不锈钢板制作,骨架δ=1.0mm，面板厚度δ=1.0mm；下配4个可调子弹脚。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1200*500*1800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23</w:t>
            </w:r>
          </w:p>
        </w:tc>
      </w:tr>
      <w:tr>
        <w:tblPrEx>
          <w:shd w:val="clear" w:color="auto" w:fill="auto"/>
          <w:tblCellMar>
            <w:top w:w="0" w:type="dxa"/>
            <w:left w:w="0" w:type="dxa"/>
            <w:bottom w:w="0" w:type="dxa"/>
            <w:right w:w="0" w:type="dxa"/>
          </w:tblCellMar>
        </w:tblPrEx>
        <w:trPr>
          <w:trHeight w:val="111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600*600*800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9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感应龙头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说明：单孔台出电子感应龙头，带有孔罩板、起泡器，防水控制盒，AC/DC交直流两用，手动混水阀。</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东鹏（广东）</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箭牌卫浴</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九牧</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套</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100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粘捕式灭蝇灯</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说明：电压：220V交流电（2孔扁插）；功率：≤20W，灯管尺寸：300mm左右，有效面积：50-100m2；特点：有效防止蚊蝇残骸落到机外，造成二次污染现象，环保卫生，稳健可靠，阻燃ABS。</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喜来乐</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灯下</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伯仕雷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单管</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38</w:t>
            </w:r>
          </w:p>
        </w:tc>
      </w:tr>
      <w:tr>
        <w:tblPrEx>
          <w:shd w:val="clear" w:color="auto" w:fill="auto"/>
          <w:tblCellMar>
            <w:top w:w="0" w:type="dxa"/>
            <w:left w:w="0" w:type="dxa"/>
            <w:bottom w:w="0" w:type="dxa"/>
            <w:right w:w="0" w:type="dxa"/>
          </w:tblCellMar>
        </w:tblPrEx>
        <w:trPr>
          <w:trHeight w:val="68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干手器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说明：红外线感应，瞬驰快热技术，人性化静音，强劲≤2200W电机，烤漆工艺，智能微电脑控制，风量≥150m3/h。</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莫顿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峰洁</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松下</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100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单向调理柜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说明：用SUS304-2B不锈钢板制作，面板δ=1.2mm，侧板δ=1.0mm，柜内中置一层不锈钢隔板，配移门，配不锈钢调节脚，配1000mm长不锈钢调料架。未列明不锈钢板厚度统一为δ=1.0mm。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1800*700*800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w:t>
            </w:r>
          </w:p>
        </w:tc>
      </w:tr>
      <w:tr>
        <w:tblPrEx>
          <w:shd w:val="clear" w:color="auto" w:fill="auto"/>
          <w:tblCellMar>
            <w:top w:w="0" w:type="dxa"/>
            <w:left w:w="0" w:type="dxa"/>
            <w:bottom w:w="0" w:type="dxa"/>
            <w:right w:w="0" w:type="dxa"/>
          </w:tblCellMar>
        </w:tblPrEx>
        <w:trPr>
          <w:trHeight w:val="89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农药检测仪</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说明：智能横流：光源自动校准，长时间连续工作光源无温漂现象；仪器采用光路自校正系统，实现开机自校；仪器具有保存检测结果，并能随意查询保存的记录和打印。</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2"/>
                <w:szCs w:val="22"/>
                <w:highlight w:val="none"/>
                <w:u w:val="none"/>
                <w:lang w:val="en-US" w:eastAsia="zh-CN" w:bidi="ar"/>
              </w:rPr>
              <w:t>风途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绿安</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霍尔德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8通道</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平板车</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材质：用SUS304-2B不锈钢板制作。厚度为1.2mm，不锈钢制造；说明：拉手采用30*30*1.0㎜SUS304-2B方管制作；配四寸静音轮四只。</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900*500*800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辆</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56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大米架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说明：用SUS304-2B不锈钢管制造，采用δ=1.2mm，不锈钢方管制作，下配4个可调子弹脚。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1200*500*300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48</w:t>
            </w:r>
          </w:p>
        </w:tc>
      </w:tr>
      <w:tr>
        <w:tblPrEx>
          <w:shd w:val="clear" w:color="auto" w:fill="auto"/>
          <w:tblCellMar>
            <w:top w:w="0" w:type="dxa"/>
            <w:left w:w="0" w:type="dxa"/>
            <w:bottom w:w="0" w:type="dxa"/>
            <w:right w:w="0" w:type="dxa"/>
          </w:tblCellMar>
        </w:tblPrEx>
        <w:trPr>
          <w:trHeight w:val="3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不锈钢更衣柜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说明：用SUS304-2B不锈钢板制作,δ=1.0mm。内配不锈钢挂衣杆。</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900*400*1800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22</w:t>
            </w: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单孔收餐工作台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双层工作台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38</w:t>
            </w: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土豆脱皮机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额定电压 :220V；电机功率 : 1.5-2.5kW                                                                                                            用于马铃薯、胡萝卜、莲藕、红薯等蔬果类清洗去皮。对物料损耗小，工作效率高，毛刷耐用，易于清洗。</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银鹰</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旭众</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台盈</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7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四层栅格层架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说明：立柱采用SUS304-2B不锈钢管制作，格栅型，横档采用38*25不锈钢管制作，δ=1.0mm,配不锈钢可调节子弹脚。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1200*500*1800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w:t>
            </w:r>
          </w:p>
        </w:tc>
      </w:tr>
      <w:tr>
        <w:tblPrEx>
          <w:shd w:val="clear" w:color="auto" w:fill="auto"/>
          <w:tblCellMar>
            <w:top w:w="0" w:type="dxa"/>
            <w:left w:w="0" w:type="dxa"/>
            <w:bottom w:w="0" w:type="dxa"/>
            <w:right w:w="0" w:type="dxa"/>
          </w:tblCellMar>
        </w:tblPrEx>
        <w:trPr>
          <w:trHeight w:val="45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摇摆混合龙头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混水龙头，摇摆水嘴，采用无铅黄铜材质 90°旋转陶瓷阀芯，偏心法兰。</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东鹏（广东）</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箭牌卫浴</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九牧</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r>
      <w:tr>
        <w:tblPrEx>
          <w:shd w:val="clear" w:color="auto" w:fill="auto"/>
          <w:tblCellMar>
            <w:top w:w="0" w:type="dxa"/>
            <w:left w:w="0" w:type="dxa"/>
            <w:bottom w:w="0" w:type="dxa"/>
            <w:right w:w="0" w:type="dxa"/>
          </w:tblCellMar>
        </w:tblPrEx>
        <w:trPr>
          <w:trHeight w:val="111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w:t>
            </w:r>
          </w:p>
        </w:tc>
      </w:tr>
      <w:tr>
        <w:tblPrEx>
          <w:shd w:val="clear" w:color="auto" w:fill="auto"/>
          <w:tblCellMar>
            <w:top w:w="0" w:type="dxa"/>
            <w:left w:w="0" w:type="dxa"/>
            <w:bottom w:w="0" w:type="dxa"/>
            <w:right w:w="0" w:type="dxa"/>
          </w:tblCellMar>
        </w:tblPrEx>
        <w:trPr>
          <w:trHeight w:val="2754"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农药降解水池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纳米超净气泡清洗功能，可无损清洗蔬菜、水果、水产、肉类等各类型食材；2.天然无添加的水触媒卫士对农药残留、细菌进行降解消杀；3.双缸同时具备独立清洗净化功能，净化效率高；4.全电数字化控制系统，精准施控、远程联调，确保食材净化安全可靠；5.安全墙设计，清洗缸内采用≤24V安全电压，全程可安全接触水体和食材；6.采用高规安全水触媒发生器，杜绝使用钌、铱等放射性元素，全程无紫外线、臭氧产生，无论对消费者或是餐厅员工均安全无害；7.净化缸体：2个；8.额定规格：220V，≤8kW；9.防护等级：IPX4</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优厨科技</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新宝盈</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博立</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易萨朵</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83"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洗地龙头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说明：喉管自动回卷装置（棘轮系统，防锁死，棘轮保持放松）配软管，喉管止动器，可调节；</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TTS</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SoFinor</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klarco</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11M</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122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单星剖鱼台面</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采用SUS304-2B不锈钢板制造，—剖鱼台面一体拉伸，台面板厚1.2㎜,水斗板厚1.0mm；配2″去水，水斗一体冲压规格：500*500*280；φ38mm厚度1.0mm不锈钢圆通腿，φ25mm厚度1.0mm不锈钢下橫通；配全钢可调式子弹脚。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1500*800*800/950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117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1000*600*800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235"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23</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残菜粉碎机</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1.材质：机身304不锈钢；</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易萨朵</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滢弘</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赫德机械</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大于等于1000*800*800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2.额定功率：≤3.5KW，耗电量:≤0.008kWh/kg；</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3.处理量:≥300千克/小时；</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5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4.功能：对餐厨垃圾进行粉碎、脱水,（选配：油水分离）以达到垃圾减量的效果；</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838"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5.粉碎力强,不堵塞：利用低速对辊式撕碎机，进口合金钢刀，碾碎研磨机具备，双轴异步运动,具有防堵塞功能，遇到堵塞时刀片会自动反向旋转；</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11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6.固液分离：采用螺旋压榨脱水原理,实现固体和液体分离；内置挤压锥，可调节出料的干湿度，清洗时，挤压锥会自动拖开，保证挤压仓中的垃圾会被水完全清洗冲出，配有接渣盒，防止残渣堵塞下水道；</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11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7.自动清洗：内部全自动清洗，针对链板输送，粉碎，挤压，提升段配有高压喷头，保证机器内部清洁卫生，同时配有杀菌清洁剂槽，定量泵，清洗时定量添加,外部配手动喷枪清洗，清洗彻底，无异味；</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8.效果：全自动减料处理，减量率60%以上；</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9.省水：设备内部自带传送功能，无需水源推动；</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10.省人工：设备自动运行，无需人工干预；</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67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11.安全：收集口配有吸纳磁铁装置，防止不锈钢餐具和铁块误入压缩机中，影响设备运行及设备使用寿命；顶门配有磁感应开关和破碎机联动，打开即停，安全可靠；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12.撕碎机具有电流感应保护和报警功能；</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5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13.所用电机采用IP54防水等级；机器外壳防水等级IP4X ；整机安全防水；</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0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拖把池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说明：用SUS304-2B不锈钢板制作，台面δ=1.2mm水斗δ=1.2mm脚为不锈钢φ38*1.0mm不锈钢管，档为φ25*1.0mm不锈钢管。配优质落水器、需带橡胶减音板、拦渣斗及不锈钢可调节子弹脚。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1000*700*600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45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拖把架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说明：用SUS304-2B不锈钢板制作，厚度δ＝1.2mm，骨架用40*40方管制作。</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1800*500*1800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94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可视刀具砧板消毒柜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说明：1.可容纳厚度≤10厘米砧板≥8块，刀具≥25把，毛巾若干，消毒时间≥30分钟。2.毛巾柜采用紫外线+臭氧双重消毒，红外线烘干 3.刀具和砧板采用紫外线+臭氧消毒，带循环风机，360度无死角。4.砧板架可拆卸设计，更方便清理。</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1200*600*1720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129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四门高身雪柜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一线品牌压缩机；2、板材加厚30%；3、全铜冷凝器、蒸发器；4、选配高档温控器；5、边框防凝露，电热丝加温，可拆换；6、加厚发泡层设计，降低热传导率；7、高强度脚轮锌合金回弹绞链；8、38℃实验工况下，冷藏温度范围-2℃~8s℃，冷冻温度范围-6℃~-18℃。</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摩威尔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凯普顿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华美</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1230*760*2005</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w:t>
            </w:r>
          </w:p>
        </w:tc>
      </w:tr>
      <w:tr>
        <w:tblPrEx>
          <w:shd w:val="clear" w:color="auto" w:fill="auto"/>
          <w:tblCellMar>
            <w:top w:w="0" w:type="dxa"/>
            <w:left w:w="0" w:type="dxa"/>
            <w:bottom w:w="0" w:type="dxa"/>
            <w:right w:w="0" w:type="dxa"/>
          </w:tblCellMar>
        </w:tblPrEx>
        <w:trPr>
          <w:trHeight w:val="67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9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多功能切菜机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广泛适用于各种根、茎、叶类蔬菜和海带、豆制品等切制加工，可加工片、块、丁、菱形、曲线多种形状。该机操作简单、维修方便、适应性强，是理想的蔬菜加工设备。生产能力：200-1000kg/h，电机：1.5-2.2kw，输送带：≥2000*300mm，竖刀次数：150-300次/min，切菜长度：1-30mm，塔轮传动、无切片机构</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旭众</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恒联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台盈</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1300*510*1050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37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绞切肉机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功率：220V/≥0.75KW</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千家汇</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天烨</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凯伍德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12型</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2471"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31</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双头大锅灶</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优质SUS304-2B不锈钢板制造，面板、前脸板厚δ＝1.2,台面一次压制成型；2、外旁板、后立板SUS201板厚δ＝1.0,龙骨架国标不锈钢方管25*38厚1.2，衬板电解镀锌钢板厚δ＝1.2mm,灶身双层热轧钢板，隔热层厚40,炉膛50厚耐高温材料及50厚耐高温泥， 稀土贵金属聚能网；3、配全预混式节能炉头，热效率45%以上；4、燃气泄漏报警自动关闭，配熄火保护装置，比例阀关闭时间≤10s；5、火力为5档，火力大小数字可视化显示器，故障代码显示；6、炉灶自带蓝牙控制，可实现灶具参数设定和灶具控制程序升级功能</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智博立</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裕富宝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志高</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2000*1200*800+450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56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7、产品符合 GB 35848-2018 《商用燃气燃烧器具》，核心配件风机符合 GB/T5171.1-2014《小功率电动风机第 1 部分 通用技术条件》要求。</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i w:val="0"/>
                <w:color w:val="auto"/>
                <w:sz w:val="20"/>
                <w:szCs w:val="20"/>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58"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r>
              <w:rPr>
                <w:rFonts w:hint="eastAsia" w:ascii="宋体" w:hAnsi="宋体" w:eastAsia="宋体" w:cs="宋体"/>
                <w:i w:val="0"/>
                <w:color w:val="auto"/>
                <w:kern w:val="0"/>
                <w:sz w:val="20"/>
                <w:szCs w:val="20"/>
                <w:highlight w:val="none"/>
                <w:u w:val="none"/>
                <w:lang w:val="en-US" w:eastAsia="zh-CN" w:bidi="ar"/>
              </w:rPr>
              <w:t>燃气类型：管道天然气</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i w:val="0"/>
                <w:color w:val="auto"/>
                <w:sz w:val="20"/>
                <w:szCs w:val="20"/>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635"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32</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双头双尾炒灶</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优质SUS304-2B不锈钢板制造，面板、前脸板厚δ＝1.2,台面一次压制成型；2、外旁板、后立板SUS201板厚δ＝1.0,龙骨架国标不锈钢方管25*38厚1.2，衬板电解镀锌钢板厚δ＝1.2mm,灶身双层热轧钢板，隔热层厚40,炉膛50厚耐高温材料及50厚耐高温泥， 稀土贵金属聚能网；3、配全预混式节能炉头，热效率45%以上；4、燃气泄漏报警自动关闭，配熄火保护装置，比例阀关闭时间≤10s；5、火力为5档，火力大小数字可视化显示器，故障代码显示；6、使用24~50V安全电压直流电机,风机功率随档位变化，每档功率不一样，最小功率不大于35W,最大功率不超过45W；7、炉灶自带蓝牙控制，可实现灶具参数设定和灶具控制程序升级功能；8、产品符合 GB 35848-2018 《商用燃气燃烧器具》，核心配件燃气稳压器符合GB35848-2018《商用燃气燃烧器具》要求</w:t>
            </w:r>
            <w:r>
              <w:rPr>
                <w:rFonts w:hint="eastAsia" w:ascii="宋体" w:hAnsi="宋体" w:cs="宋体"/>
                <w:i w:val="0"/>
                <w:color w:val="auto"/>
                <w:kern w:val="0"/>
                <w:sz w:val="20"/>
                <w:szCs w:val="20"/>
                <w:highlight w:val="none"/>
                <w:u w:val="none"/>
                <w:lang w:val="en-US" w:eastAsia="zh-CN" w:bidi="ar"/>
              </w:rPr>
              <w:t>；</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智博立</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裕富宝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志高</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2000*1200*800+450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0"/>
                <w:szCs w:val="20"/>
                <w:highlight w:val="none"/>
                <w:u w:val="none"/>
              </w:rPr>
            </w:pPr>
            <w:r>
              <w:rPr>
                <w:rFonts w:hint="eastAsia" w:ascii="宋体" w:hAnsi="宋体" w:cs="宋体"/>
                <w:i w:val="0"/>
                <w:color w:val="auto"/>
                <w:kern w:val="0"/>
                <w:sz w:val="20"/>
                <w:szCs w:val="20"/>
                <w:highlight w:val="none"/>
                <w:u w:val="none"/>
                <w:lang w:val="en-US" w:eastAsia="zh-CN" w:bidi="ar"/>
              </w:rPr>
              <w:t>9</w:t>
            </w:r>
            <w:r>
              <w:rPr>
                <w:rFonts w:hint="eastAsia" w:ascii="宋体" w:hAnsi="宋体" w:eastAsia="宋体" w:cs="宋体"/>
                <w:i w:val="0"/>
                <w:color w:val="auto"/>
                <w:kern w:val="0"/>
                <w:sz w:val="20"/>
                <w:szCs w:val="20"/>
                <w:highlight w:val="none"/>
                <w:u w:val="none"/>
                <w:lang w:val="en-US" w:eastAsia="zh-CN" w:bidi="ar"/>
              </w:rPr>
              <w:t>、燃气类型：管道天然气</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97"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33</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单头单尾炒灶</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优质SUS304-2B不锈钢板制造，面板、前脸板厚δ＝1.2,台面一次压制成型；2、外旁板、后立板SUS201板厚δ＝1.0,龙骨架国标不锈钢方管25*38厚1.2，衬板电解镀锌钢板厚δ＝1.2mm,灶身双层热轧钢板，隔热层厚40,炉膛50厚耐高温材料及50厚耐高温泥， 稀土贵金属聚能网；3、配全预混式节能炉头，热效率45%以上；4、燃气泄漏报警自动关闭，配熄火保护装置，比例阀关闭时间≤10s；5、火力为5档，火力大小数字可视化显示器，故障代码显示；6、使用24~50V安全电压直流电机,风机功率随档位变化，每档功率不一样，最小功率不大于35W,最大功率不超过45W；7、炉灶自带蓝牙控制，可实现灶具参数设定和灶具控制程序升级功能；8、产品符合 GB 35848-2018 《商用燃气燃烧器具》，核心配件燃气稳压器符合GB35848-2018《商用燃气燃烧器具》要求</w:t>
            </w:r>
            <w:r>
              <w:rPr>
                <w:rFonts w:hint="eastAsia" w:ascii="宋体" w:hAnsi="宋体" w:cs="宋体"/>
                <w:i w:val="0"/>
                <w:color w:val="auto"/>
                <w:kern w:val="0"/>
                <w:sz w:val="20"/>
                <w:szCs w:val="20"/>
                <w:highlight w:val="none"/>
                <w:u w:val="none"/>
                <w:lang w:val="en-US" w:eastAsia="zh-CN" w:bidi="ar"/>
              </w:rPr>
              <w:t>；</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智博立</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裕富宝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志高</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1000*1200*800+450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cs="宋体"/>
                <w:i w:val="0"/>
                <w:color w:val="auto"/>
                <w:kern w:val="0"/>
                <w:sz w:val="20"/>
                <w:szCs w:val="20"/>
                <w:highlight w:val="none"/>
                <w:u w:val="none"/>
                <w:lang w:val="en-US" w:eastAsia="zh-CN" w:bidi="ar"/>
              </w:rPr>
              <w:t>9</w:t>
            </w:r>
            <w:r>
              <w:rPr>
                <w:rFonts w:hint="eastAsia" w:ascii="宋体" w:hAnsi="宋体" w:eastAsia="宋体" w:cs="宋体"/>
                <w:i w:val="0"/>
                <w:color w:val="auto"/>
                <w:kern w:val="0"/>
                <w:sz w:val="20"/>
                <w:szCs w:val="20"/>
                <w:highlight w:val="none"/>
                <w:u w:val="none"/>
                <w:lang w:val="en-US" w:eastAsia="zh-CN" w:bidi="ar"/>
              </w:rPr>
              <w:t>、燃气类型：管道天然气</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简易炉拼台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500*1200*800+450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w:t>
            </w:r>
          </w:p>
        </w:tc>
      </w:tr>
      <w:tr>
        <w:tblPrEx>
          <w:shd w:val="clear" w:color="auto" w:fill="auto"/>
          <w:tblCellMar>
            <w:top w:w="0" w:type="dxa"/>
            <w:left w:w="0" w:type="dxa"/>
            <w:bottom w:w="0" w:type="dxa"/>
            <w:right w:w="0" w:type="dxa"/>
          </w:tblCellMar>
        </w:tblPrEx>
        <w:trPr>
          <w:trHeight w:val="103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双瓶组灭火系统</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说明：1.食用油专用灭火剂应为绿色环保型灭火药剂，无色、无味、灭火效率快且不复燃，灭火时间：≤1.8s；2.装置灭火剂喷射时间不得小于20s，同时具备较好的抗飞溅性能，在灭火剂喷射过程中无油点飞溅出来；3.装置启动灭火的同时，可联动电气开关切断厨房设备用电，可联动燃气切断阀切断燃气，同时具备控制接口，可实现动火离人功能，全方位保护厨房消防安全。</w:t>
            </w:r>
          </w:p>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color w:val="auto"/>
                <w:highlight w:val="none"/>
              </w:rPr>
              <w:t>★</w:t>
            </w:r>
            <w:r>
              <w:rPr>
                <w:rFonts w:hint="eastAsia" w:ascii="宋体" w:hAnsi="宋体" w:eastAsia="宋体" w:cs="宋体"/>
                <w:i w:val="0"/>
                <w:color w:val="auto"/>
                <w:kern w:val="0"/>
                <w:sz w:val="20"/>
                <w:szCs w:val="20"/>
                <w:highlight w:val="none"/>
                <w:u w:val="none"/>
                <w:lang w:val="en-US" w:eastAsia="zh-CN" w:bidi="ar"/>
              </w:rPr>
              <w:t>4.通过CCC中国强制性认证，提供CCC认证证书</w:t>
            </w:r>
            <w:r>
              <w:rPr>
                <w:rFonts w:hint="eastAsia" w:ascii="宋体" w:hAnsi="宋体" w:cs="宋体"/>
                <w:color w:val="auto"/>
                <w:sz w:val="20"/>
                <w:szCs w:val="20"/>
                <w:highlight w:val="none"/>
              </w:rPr>
              <w:t>复印件加盖投标人公章</w:t>
            </w:r>
            <w:r>
              <w:rPr>
                <w:rFonts w:hint="eastAsia" w:ascii="宋体" w:hAnsi="宋体" w:eastAsia="宋体" w:cs="宋体"/>
                <w:i w:val="0"/>
                <w:color w:val="auto"/>
                <w:kern w:val="0"/>
                <w:sz w:val="20"/>
                <w:szCs w:val="20"/>
                <w:highlight w:val="none"/>
                <w:u w:val="none"/>
                <w:lang w:val="en-US" w:eastAsia="zh-CN" w:bidi="ar"/>
              </w:rPr>
              <w:t>；5.食用油专用灭火药剂提供第三方检测机构出具的制造商食用油专用灭火药剂灭火试验报告（灭火时间：≤1.8s）</w:t>
            </w:r>
            <w:r>
              <w:rPr>
                <w:rFonts w:hint="eastAsia" w:ascii="宋体" w:hAnsi="宋体" w:cs="宋体"/>
                <w:color w:val="auto"/>
                <w:sz w:val="20"/>
                <w:szCs w:val="20"/>
                <w:highlight w:val="none"/>
              </w:rPr>
              <w:t>，提供检测报告复印件加盖投标人公章</w:t>
            </w:r>
            <w:r>
              <w:rPr>
                <w:rFonts w:hint="eastAsia" w:ascii="宋体" w:hAnsi="宋体" w:eastAsia="宋体" w:cs="宋体"/>
                <w:i w:val="0"/>
                <w:color w:val="auto"/>
                <w:kern w:val="0"/>
                <w:sz w:val="20"/>
                <w:szCs w:val="20"/>
                <w:highlight w:val="none"/>
                <w:u w:val="none"/>
                <w:lang w:val="en-US" w:eastAsia="zh-CN" w:bidi="ar"/>
              </w:rPr>
              <w:t>。</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顺康</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美人鱼</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美力马</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双瓶</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组</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3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灶后封板</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说明：用SUS304-2B不锈钢板制作，δ=1.2mm。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18300*1800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40</w:t>
            </w:r>
          </w:p>
        </w:tc>
      </w:tr>
      <w:tr>
        <w:tblPrEx>
          <w:shd w:val="clear" w:color="auto" w:fill="auto"/>
          <w:tblCellMar>
            <w:top w:w="0" w:type="dxa"/>
            <w:left w:w="0" w:type="dxa"/>
            <w:bottom w:w="0" w:type="dxa"/>
            <w:right w:w="0" w:type="dxa"/>
          </w:tblCellMar>
        </w:tblPrEx>
        <w:trPr>
          <w:trHeight w:val="3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罩前封板</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说明：用SUS304-2B不锈钢板制作，δ=1.2mm。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18300*1500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27.5</w:t>
            </w:r>
          </w:p>
        </w:tc>
      </w:tr>
      <w:tr>
        <w:tblPrEx>
          <w:shd w:val="clear" w:color="auto" w:fill="auto"/>
          <w:tblCellMar>
            <w:top w:w="0" w:type="dxa"/>
            <w:left w:w="0" w:type="dxa"/>
            <w:bottom w:w="0" w:type="dxa"/>
            <w:right w:w="0" w:type="dxa"/>
          </w:tblCellMar>
        </w:tblPrEx>
        <w:trPr>
          <w:trHeight w:val="235"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38</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双眼电磁炉炖汤炉</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1.材质：采用304不锈钢板材厚度1.2mm</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名厨</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环球</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九阳</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1500*700*760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2.电压/功率：≥12kW*2/380V；</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3.采用半导体芯片机智能化控制；</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6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4.机芯采用分层次散热结构，机芯外壳全密封防水设计，采用汽车级烤漆，机箱完全达到绝缘效果；</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89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5.具备智能汽车仪表盘彩屏显示器，可实时显示机芯、线盘、锅底工作时的温度；同时可显示用电量，数据准确；中文故障代码显示，当故障出现，可以通过中文故障代码明确故障原因，高效处理问题；</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25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6.双系统控制火力：触屏控制和0至8档磁控两种控制火力模式，优点是：当其中一个损坏，另一个可以正常使用；                                                                                    7.人性化设计，可定时、定温、预约操作，并自带5种自编菜单模式，针对每个菜品厨师可分别对时间及温度进行设定，定时，控温精准，可实现标准化烹饪，出菜效率高效，口感一致</w:t>
            </w:r>
            <w:r>
              <w:rPr>
                <w:rFonts w:hint="eastAsia" w:ascii="宋体" w:hAnsi="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63"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电饼铛</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220/380V可选   锅盘直径：≥500mm      锅高：≥25mm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粤华</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松下</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爱仕达</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101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不锈钢鞋柜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2000*50*1000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恒温定量水机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89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HF100型智能快速粉末分装机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分装范围1-80g,分装速度200-300份/小时，高精度自动称重放量，快速分装，全封闭无菌分装环境，一键式全自动分装，匹配4L以上大容量自动补料机。</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中营康园</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旭众</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三麦</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500*600*1500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半自动粉末混合机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旭朗</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旭众</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永强</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897"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45</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不锈钢消毒房</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说明：库体内外壁采用SUS304-2B不锈钢板，厚度为1.5mm,库体为100mm厚专用保温板经复合压制而成的，门为不锈钢门，不锈钢门中间开≥1200*400mm的内开高温玻璃门，为了防止操作人员在内，无法出来。地板加铺5mm厚防滑铝板，防止湿滑，更加人性化。库内配防水、防爆灯。</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6400*4000*2500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间</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89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2.配电脑温度显示器、时间控制器、电源指示灯及风机加热启动停止等操作按钮，操作方便；消毒温度、时间可控、数字显示、直观准确。消毒房内配备机械式的冲洗功能。</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8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3.该设备利用循环热风对洗净的餐器具进行杀菌、消毒，循环热风使库体内的各点温度保持一致，库内的餐具消毒更加彻底，该设备并具有烘干、贮存等功效。</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89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4.加热机组产生的热量，由循环风机强制经风道吹入消毒室，热风反复循环使餐具得到充分的消毒和干燥，循环热风使库体内的各点温度保持一致，库内餐具消毒更彻底。</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5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5.此设备具备容量大、适用性强、升温快、体积可根据客户要求和实际空间而制作等优点。</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6.消毒温度在≥100℃，消毒时间90分钟以上。</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9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保温送餐车</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说明：用SUS304-2B不锈钢板制作，不锈钢板δ=1.2mm。内配2个菜斗，菜斗规格：400*280*400，可放5只饭盘，饭盘规格：450*600，配4只静音轮，带电助力及电加热功能。</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1150*600*800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辆</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66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月子餐车</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说明：用SUS304-2B不锈钢板制作，不锈钢板δ=1.2mm，内分12层。带电助力及电加热功能。</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890*535*1400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辆</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68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流质车</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说明：用SUS304-2B不锈钢板制作，不锈钢板δ=1.2mm，内分12层。</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900*600*1100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辆</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146"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49</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篮传式洗碗机</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产品功能</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霍巴特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赫尔盾</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华帝</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2550*770*1950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洗涤盘、碗、碟、托盘等餐具.</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40"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适用场地</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适用于宾馆酒店、医院、学校食堂等高端餐饮场所。</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40"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整机描述</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1、洗碗机由主洗、漂洗、烘干等部分组成；</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2、机器传送速度3档可调；</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3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3、主洗、漂洗区长度≥1500mm,烘干区长度大于等于1000mm；</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4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4、机器入口高度≥400mm，入口宽度≥500mm；</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53"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5、整机采用电路板控制、自动进水、自动加热，操作简单，简单易学。</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6、整机材料采用优质不锈钢，材料厚度：</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8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水箱厚度≥1.5mm、机架厚度≥2.0mm、外罩板≥1.0mm、加热包封板≥6mm。</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2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7、基本参数</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洗涤筐尺寸 ：500*500*100 mm</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清洗量： ≥100筐/小时。</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最大洗涤高度 ：≥420 mm</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1"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清洗温度： 55-60℃。</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漂洗温度： 82℃以上。</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耗水量：260-300L/H。</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进汽压力 ：0.3-0.4Mpa</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进水压力：0.15-0.4Mpa</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1"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漂洗加热功率：≤27KW</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1"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烘干加热功率：≤9KW</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洗碗机加热方式：电加热型</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92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8、所投洗碗机</w:t>
            </w:r>
            <w:r>
              <w:rPr>
                <w:rFonts w:hint="eastAsia" w:ascii="宋体" w:hAnsi="宋体" w:cs="宋体"/>
                <w:i w:val="0"/>
                <w:color w:val="auto"/>
                <w:kern w:val="0"/>
                <w:sz w:val="20"/>
                <w:szCs w:val="20"/>
                <w:highlight w:val="none"/>
                <w:u w:val="none"/>
                <w:lang w:val="en-US" w:eastAsia="zh-CN" w:bidi="ar"/>
              </w:rPr>
              <w:t>具有</w:t>
            </w:r>
            <w:r>
              <w:rPr>
                <w:rFonts w:hint="eastAsia" w:ascii="宋体" w:hAnsi="宋体" w:eastAsia="宋体" w:cs="宋体"/>
                <w:i w:val="0"/>
                <w:color w:val="auto"/>
                <w:kern w:val="0"/>
                <w:sz w:val="20"/>
                <w:szCs w:val="20"/>
                <w:highlight w:val="none"/>
                <w:u w:val="none"/>
                <w:lang w:val="en-US" w:eastAsia="zh-CN" w:bidi="ar"/>
              </w:rPr>
              <w:t>食品接触产品安全认证证书（须提供有效的证书复印件及认证中心官网查询截图（或网页）打印（含网站）；</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651"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9、所投洗碗机板材依据GB/T2423.17-2008 标准，通过盐雾测试报告，提供检测报告</w:t>
            </w:r>
            <w:r>
              <w:rPr>
                <w:rFonts w:hint="eastAsia" w:ascii="宋体" w:hAnsi="宋体" w:cs="宋体"/>
                <w:i w:val="0"/>
                <w:color w:val="auto"/>
                <w:kern w:val="0"/>
                <w:sz w:val="20"/>
                <w:szCs w:val="20"/>
                <w:highlight w:val="none"/>
                <w:u w:val="none"/>
                <w:lang w:val="en-US" w:eastAsia="zh-CN" w:bidi="ar"/>
              </w:rPr>
              <w:t>，</w:t>
            </w:r>
            <w:r>
              <w:rPr>
                <w:rFonts w:hint="eastAsia" w:ascii="宋体" w:hAnsi="宋体" w:cs="宋体"/>
                <w:color w:val="auto"/>
                <w:sz w:val="20"/>
                <w:szCs w:val="20"/>
                <w:highlight w:val="none"/>
                <w:u w:val="none"/>
                <w:lang w:bidi="ar"/>
              </w:rPr>
              <w:t>复印件加盖投标人公章</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29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10、所投洗碗机依据GB4706.1-2005和GB4706.50-2008标准，在正常工作温度下，输入功率与额定功率的偏差不应超过标准规定的范围（偏差极值：+15%），防水等级达到IPX4以上（投标文件需提供第三方检测机构出具的检验报告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90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11、所投洗碗机必须提供大肠菌群、沙氏菌群，依据GB14934-2016检测，检测结果为未检出的检测报告；阴离子合成洗涤剂（以十二烷基苯磺酸钠计）游离余氯，依据GB14934-2016检测，检测结果为未检出的检测报告；提供检测报告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691"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12、所投洗碗机生产厂家需提供电子设备不含重金属、溴代阻燃剂、领苯二甲酸酯（DEHP,BBP,DBP）有害成分的检测报告复印件加盖投标人公章。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03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大单星水池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87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沥水工作台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85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蒸汽智能型双门蒸饭箱</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说明：用SUS304-2B不锈钢板制作，内胆为δ=1.2mm不锈刚板制作，外胆为优质不锈钢δ=1.0mm框架采用4*4角铁制作, 配不锈钢饭盘24只，饭盘为带推车可推入式。</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1280*760*1600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r>
      <w:tr>
        <w:tblPrEx>
          <w:shd w:val="clear" w:color="auto" w:fill="auto"/>
          <w:tblCellMar>
            <w:top w:w="0" w:type="dxa"/>
            <w:left w:w="0" w:type="dxa"/>
            <w:bottom w:w="0" w:type="dxa"/>
            <w:right w:w="0" w:type="dxa"/>
          </w:tblCellMar>
        </w:tblPrEx>
        <w:trPr>
          <w:trHeight w:val="146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蒸汽可倾式汤锅</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适用于煲汤、漂烫、预煮，熬煮粥、水饺类食物；全 304 不锈钢制造，外型美观，结构紧凑，清洗方便；符合国家钢制压力容器标准 GB150-98；内外锅体整体冲压成型，自动抛光，精细焊接；锅体可倾，便于出料；夹套结构，半球形锅体，换热面积大，加热速度快，高效节能。锅内直径≥800mm,锅内深度≥500mm。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国龙</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翔鹰</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乐鹰</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200L</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81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蒸汽三门蒸柜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说明：1、用SUS304-2B不锈钢板制造，面板板厚δ＝1.2mm,台面一次压制成型；2、外旁板、门及后立板板厚δ＝1.0 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900*900*1800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78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不锈钢盘车</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说明：用SUS304-2B不锈钢管制造，δ=1.2mm，30*30方管；其余δ=1.0mm，配承重静音脚轮，其中两只带刹车擎。</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600*600*1800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辆</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r>
      <w:tr>
        <w:tblPrEx>
          <w:shd w:val="clear" w:color="auto" w:fill="auto"/>
          <w:tblCellMar>
            <w:top w:w="0" w:type="dxa"/>
            <w:left w:w="0" w:type="dxa"/>
            <w:bottom w:w="0" w:type="dxa"/>
            <w:right w:w="0" w:type="dxa"/>
          </w:tblCellMar>
        </w:tblPrEx>
        <w:trPr>
          <w:trHeight w:val="99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8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水压式洗米机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说明：用SUS304-2B优质不锈钢板制作，δ=1.2mm；产量：≥25KG/次。</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φ650*950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83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木案工作台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说明：硬木质台面外包不锈钢δ=1.0mm；下置加台型不锈钢脚架；脚Φ38*0.8mm(配有不锈钢可调子弹脚)；脚杯Φ50*100*0.8mm；横通Φ25*0.8mm。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59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二十六盆醒发箱</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说明：用SUS304-2B不锈钢板制作，功率：220V/3KW左右。</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恒联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新麦</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凯膳怡</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985*750*1860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45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厨师机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说明：电子液晶屏面板，带定时功能，LED亮光设计，高灵敏性按键操作。</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新麦</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凯膳怡</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凯伍德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7L</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5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破壁机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说明：360度加热底盘设计，8款预设烹饪程序，10档速度随心调控，运行防护，一机多用。</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祁和</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飞利浦</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九阳</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2L</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473"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三门烤箱（电热）</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功率：380V/20KW左右</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恒联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新麦</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凯膳怡</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1225*900*1535</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0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搅拌机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额定电压 : 380V；电机功率 : 2kW左右（50L以上)</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恒联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新麦</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凯膳怡</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670*620*1250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473"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揉压压面机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额定电压 : 380V；电机功率 : 2kW左右</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恒联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新麦</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凯膳怡</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905*865*1160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1221"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冷藏操作台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一线品牌压缩机；2、板材加厚30%；3、全铜冷凝器、蒸发器；4、选配温控器；5、边框防凝露，电热丝加温，可拆换；6、加厚发泡层设计，降低热传导率；7、高强度脚轮锌合金回弹绞链；8、38℃实验工况下，冷藏温度范围-2℃~8s℃，增加上面有不锈钢置物架。</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摩威尔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凯普顿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华美</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1224"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自动封口机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说明：PLC智能控制系统 ，全自动—气动封口 ，封口数量：1出~4出；封口直径：50~250mm，封口速度300~1200Pcs/h，适用封口：盒/碗/杯等；温度范围：0~300度，打码功能：可装配打码功能。</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行远</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耐雪</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浩博</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22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制冰机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产量≥100kg</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660*680*900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87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净水机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过滤精度：≤0.2微米；瞬间流量：≥5升/分钟；去除：颗粒杂质，余氯/异味，孢子包囊</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3M</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Everpure（爱惠普）</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A.O.史密斯</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9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打蛋机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优质电机，优质大齿轮，铸铁机体铸铁</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双麦</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BONGARD（邦佳）</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MIWE（麦威）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40L</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79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面粉车</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说明：采用SUS304-2B不锈钢板制造，车体厚度1.2mm/盖板厚度1.0mm，配4个4"车轮，其中两个带刹车掣。</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600*500*600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01"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蒸汽双眼蒸台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说明：用优质SUS304-2B不锈钢板制作，台面1.2mm。脚38×38×1.0mm不锈钢方管（配有可调子弹脚）。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1500*700*760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99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豆浆机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容量：≥10L；说明：双层304不锈钢机桶，显示加工食物温度，已经使用次数，故障代码，预约开水功能，自动过滤，暂停/复位功能,冷（热）水干（湿）都均可制浆。</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九阳</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禾元</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九康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≥10L</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146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冷藏操作台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一线品牌压缩机；2、板材加厚30%；3、全铜冷凝器、蒸发器；4、选配温控器；5、边框防凝露，电热丝加温，可拆换；6、加厚发泡层设计，降低热传导率；7、高强度脚轮锌合金回弹绞链；8、38℃实验工况下，冷藏温度范围-2℃~8s℃，增加上面有不锈钢置物架。</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摩威尔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凯普顿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华美</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8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不锈钢更衣柜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说明：用SUS304-2B不锈钢板制作,δ=1.0mm。内配不锈钢挂衣杆。</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900*400*1800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r>
      <w:tr>
        <w:tblPrEx>
          <w:shd w:val="clear" w:color="auto" w:fill="auto"/>
          <w:tblCellMar>
            <w:top w:w="0" w:type="dxa"/>
            <w:left w:w="0" w:type="dxa"/>
            <w:bottom w:w="0" w:type="dxa"/>
            <w:right w:w="0" w:type="dxa"/>
          </w:tblCellMar>
        </w:tblPrEx>
        <w:trPr>
          <w:trHeight w:val="9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五斗保温台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说明：用SUS304-2B不锈钢板制作。台板厚1.2㎜,侧板厚1.0㎜；脚采用Φ38*1.0㎜SUS304-2B圆管制作。配有温控，3KW左右 220VU型电热管，斗另计。</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1800*700*800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r>
      <w:tr>
        <w:tblPrEx>
          <w:shd w:val="clear" w:color="auto" w:fill="auto"/>
          <w:tblCellMar>
            <w:top w:w="0" w:type="dxa"/>
            <w:left w:w="0" w:type="dxa"/>
            <w:bottom w:w="0" w:type="dxa"/>
            <w:right w:w="0" w:type="dxa"/>
          </w:tblCellMar>
        </w:tblPrEx>
        <w:trPr>
          <w:trHeight w:val="40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不锈钢份数斗</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说明：用不锈钢制作，配合五斗保温台使用。</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360*700*800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25</w:t>
            </w:r>
          </w:p>
        </w:tc>
      </w:tr>
      <w:tr>
        <w:tblPrEx>
          <w:shd w:val="clear" w:color="auto" w:fill="auto"/>
          <w:tblCellMar>
            <w:top w:w="0" w:type="dxa"/>
            <w:left w:w="0" w:type="dxa"/>
            <w:bottom w:w="0" w:type="dxa"/>
            <w:right w:w="0" w:type="dxa"/>
          </w:tblCellMar>
        </w:tblPrEx>
        <w:trPr>
          <w:trHeight w:val="33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紫外线杀菌灯架带灯管</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紫外线杀菌灯架带灯管</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凌峰</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飞利浦</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松下</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36W</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r>
      <w:tr>
        <w:tblPrEx>
          <w:shd w:val="clear" w:color="auto" w:fill="auto"/>
          <w:tblCellMar>
            <w:top w:w="0" w:type="dxa"/>
            <w:left w:w="0" w:type="dxa"/>
            <w:bottom w:w="0" w:type="dxa"/>
            <w:right w:w="0" w:type="dxa"/>
          </w:tblCellMar>
        </w:tblPrEx>
        <w:trPr>
          <w:trHeight w:val="139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冷藏操作台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一线品牌压缩机；2、板材加厚30%；3、全铜冷凝器、蒸发器；4、选配温控器；5、边框防凝露，电热丝加温，可拆换；6、加厚发泡层设计，降低热传导率；7、高强度脚轮锌合金回弹绞链；8、38℃实验工况下，冷藏温度范围-2℃~8s℃，增加上面有不锈钢置物架。</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摩威尔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凯普顿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华美</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77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不锈钢烟罩（烹饪间）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说明：选用SUS304不锈钢板制作，厚度1.2mm；说明：配积油杯，防爆灯，沥油槽。（招标数量为投影面积）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19000*1400*500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26.6</w:t>
            </w:r>
          </w:p>
        </w:tc>
      </w:tr>
      <w:tr>
        <w:tblPrEx>
          <w:shd w:val="clear" w:color="auto" w:fill="auto"/>
          <w:tblCellMar>
            <w:top w:w="0" w:type="dxa"/>
            <w:left w:w="0" w:type="dxa"/>
            <w:bottom w:w="0" w:type="dxa"/>
            <w:right w:w="0" w:type="dxa"/>
          </w:tblCellMar>
        </w:tblPrEx>
        <w:trPr>
          <w:trHeight w:val="40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不锈钢沥油网</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说明：沥油网选用优质不锈钢板制作。</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块</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38</w:t>
            </w:r>
          </w:p>
        </w:tc>
      </w:tr>
      <w:tr>
        <w:tblPrEx>
          <w:shd w:val="clear" w:color="auto" w:fill="auto"/>
          <w:tblCellMar>
            <w:top w:w="0" w:type="dxa"/>
            <w:left w:w="0" w:type="dxa"/>
            <w:bottom w:w="0" w:type="dxa"/>
            <w:right w:w="0" w:type="dxa"/>
          </w:tblCellMar>
        </w:tblPrEx>
        <w:trPr>
          <w:trHeight w:val="78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不锈钢集气罩（蒸饭间）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说明：选用SUS304不锈钢板制作，厚度1.2mm。（招标数量为投影面积）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15600*1000*500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15.6</w:t>
            </w:r>
          </w:p>
        </w:tc>
      </w:tr>
      <w:tr>
        <w:tblPrEx>
          <w:shd w:val="clear" w:color="auto" w:fill="auto"/>
          <w:tblCellMar>
            <w:top w:w="0" w:type="dxa"/>
            <w:left w:w="0" w:type="dxa"/>
            <w:bottom w:w="0" w:type="dxa"/>
            <w:right w:w="0" w:type="dxa"/>
          </w:tblCellMar>
        </w:tblPrEx>
        <w:trPr>
          <w:trHeight w:val="78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不锈钢集气罩（西式面点间）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说明：选用SUS304不锈钢板制作，厚度1.2mm。（招标数量为投影面积）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3400*1000*500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3.4</w:t>
            </w:r>
          </w:p>
        </w:tc>
      </w:tr>
      <w:tr>
        <w:tblPrEx>
          <w:shd w:val="clear" w:color="auto" w:fill="auto"/>
          <w:tblCellMar>
            <w:top w:w="0" w:type="dxa"/>
            <w:left w:w="0" w:type="dxa"/>
            <w:bottom w:w="0" w:type="dxa"/>
            <w:right w:w="0" w:type="dxa"/>
          </w:tblCellMar>
        </w:tblPrEx>
        <w:trPr>
          <w:trHeight w:val="78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不锈钢集气罩（中式面点间）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说明：选用SUS304不锈钢板制作，厚度1.2mm。（招标数量为投影面积）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8500*1000*500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8.5</w:t>
            </w:r>
          </w:p>
        </w:tc>
      </w:tr>
      <w:tr>
        <w:tblPrEx>
          <w:shd w:val="clear" w:color="auto" w:fill="auto"/>
          <w:tblCellMar>
            <w:top w:w="0" w:type="dxa"/>
            <w:left w:w="0" w:type="dxa"/>
            <w:bottom w:w="0" w:type="dxa"/>
            <w:right w:w="0" w:type="dxa"/>
          </w:tblCellMar>
        </w:tblPrEx>
        <w:trPr>
          <w:trHeight w:val="78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不锈钢集气罩（清洗间）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说明：选用SUS304不锈钢板制作，厚度1.2mm。（招标数量为投影面积）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1500*1000*500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w:t>
            </w:r>
          </w:p>
        </w:tc>
      </w:tr>
      <w:tr>
        <w:tblPrEx>
          <w:shd w:val="clear" w:color="auto" w:fill="auto"/>
          <w:tblCellMar>
            <w:top w:w="0" w:type="dxa"/>
            <w:left w:w="0" w:type="dxa"/>
            <w:bottom w:w="0" w:type="dxa"/>
            <w:right w:w="0" w:type="dxa"/>
          </w:tblCellMar>
        </w:tblPrEx>
        <w:trPr>
          <w:trHeight w:val="59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不锈钢风管</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说明：优质不锈钢板制造，δ=1.0mm。含法兰、支架、配件等。（招标数量为展开面积）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550</w:t>
            </w:r>
          </w:p>
        </w:tc>
      </w:tr>
      <w:tr>
        <w:tblPrEx>
          <w:shd w:val="clear" w:color="auto" w:fill="auto"/>
          <w:tblCellMar>
            <w:top w:w="0" w:type="dxa"/>
            <w:left w:w="0" w:type="dxa"/>
            <w:bottom w:w="0" w:type="dxa"/>
            <w:right w:w="0" w:type="dxa"/>
          </w:tblCellMar>
        </w:tblPrEx>
        <w:trPr>
          <w:trHeight w:val="853"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86</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排烟风机</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说明：该风机箱体采用双吸式蜗壳吸风钢架柜式结构，多翼式风轮，具有风量大，噪音低、震动小等优点。（风量需二次深化满足排烟要求）</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22KW</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9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1.前倾低噪音多翼式机翼叶轮，风量大，噪声低，静压高；</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9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2.优选金属板材折边柜体，铝合金菱形包角，宽形立柱，美观耐用；</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643"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3.优选风机专用轴承，采用防油型接触性油封，有效阻止轴承内的润滑脂外溢，使用寿命长；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73"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4.柜体及内胆均使用优质的钢板制作而成，加厚角铁框架，造型美观，防护性能优良，外观光滑平整，耐磨损，耐腐蚀；</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9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5.主轴材料采用优质45#钢，皮带轮门盖设计，防脱落；</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6.方形外壳设计，可角度互换，产品方便安装与维护；</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8.独特的检修门设计，维护检修更方便；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9.柜体内部加装双层多孔加棉消音板，降噪效果明显；</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10.电机采用纯铜国标电机，高可靠性且发热低；</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12.认证节能产品，</w:t>
            </w:r>
            <w:r>
              <w:rPr>
                <w:rFonts w:hint="eastAsia"/>
                <w:color w:val="auto"/>
                <w:highlight w:val="none"/>
                <w:lang w:val="en-US" w:eastAsia="zh-CN"/>
              </w:rPr>
              <w:t>二级能效及以上</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13.产品阻燃等级及产品防水等级满足使用要求。</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887"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87</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排烟风机</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说明：该风机箱体采用双吸式蜗壳吸风钢架柜式结构，多翼式风轮，具有风量大，噪音低、震动小等优点。（风量需二次深化满足排烟要求）</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15KW</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9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1.前倾低噪音多翼式机翼叶轮，风量大，噪声低，静压高；</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9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2.优选金属板材折边柜体，铝合金菱形包角，宽形立柱，美观耐用；</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630"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4.优选风机专用轴承，采用防油型接触性油封，有效阻止轴承内的润滑脂外溢，使用寿命长；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69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5.柜体及内胆均使用优质的钢板制作而成，加厚角铁框架，造型美观，防护性能优良，外观光滑平整，耐磨损，耐腐蚀；</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9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6.主轴材料采用优质45#钢，皮带轮门盖设计，防脱落；</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7.方形外壳设计，可角度互换，产品方便安装与维护；</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8.独特的检修门设计，维护检修更方便；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9.柜体内部加装双层多孔加棉消音板，降噪效果明显；</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10.电机采用纯铜国标电机，高可靠性且发热低；</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11.认证节能产品，</w:t>
            </w:r>
            <w:r>
              <w:rPr>
                <w:rFonts w:hint="eastAsia"/>
                <w:color w:val="auto"/>
                <w:highlight w:val="none"/>
                <w:lang w:val="en-US" w:eastAsia="zh-CN"/>
              </w:rPr>
              <w:t>二级能效及以上</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13.产品阻燃等级及产品防水等级满足使用要求。</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85"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88</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排烟风机</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说明：该风机箱体采用双吸式蜗壳吸风钢架柜式结构，多翼式风轮，具有风量大，噪音低、震动小等优点。（风量需二次深化满足排烟要求）</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7.5KW</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343"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1.前倾低噪音多翼式机翼叶轮，风量大，噪声低，静压高；</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94"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2.优选金属板材折边柜体，铝合金菱形包角，宽形立柱，美观耐用；</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4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4.优选风机专用轴承，采用防油型接触性油封，有效阻止轴承内的润滑脂外溢，使用寿命长；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4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5.柜体及内胆均使用优质的钢板制作而成，加厚角铁框架，造型美观，防护性能优良，外观光滑平整，耐磨损，耐腐蚀；</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50"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6.主轴材料采用优质45#钢，皮带轮门盖设计，防脱落；</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78"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7.方形外壳设计，可角度互换，产品方便安装与维护；</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8.独特的检修门设计，维护检修更方便；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9.柜体内部加装双层多孔加棉消音板，降噪效果明显；</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10.电机采用纯铜国标电机，高可靠性且发热低；</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11.认证节能产品，</w:t>
            </w:r>
            <w:r>
              <w:rPr>
                <w:rFonts w:hint="eastAsia"/>
                <w:color w:val="auto"/>
                <w:highlight w:val="none"/>
                <w:lang w:val="en-US" w:eastAsia="zh-CN"/>
              </w:rPr>
              <w:t>二级能效及以上</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13.产品阻燃等级及产品防水等级满足使用要求。</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不锈钢消声器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说明：优质不锈钢制造。</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配风柜</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321"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不锈钢油烟净化器</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功率：220V，不小于2KW</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55000风量</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说明：箱体外壳采用不锈钢板制作。</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14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处理效果：油烟净化效率在95%以上、非甲烷总烃排放浓度为≤2.0mg/m³达到国家标准，实测油烟排放浓度为≤0.3mg/m³达到国家标准；内部采用三系铝合金专用板式电场，设备具有软启动，多次打火保护，短路，开路，过载保护，还具有放结雾，灭弧功能；航空级铝合金电场。</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1.优选三系铝镁合金，强耐腐蚀性；</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2.产品表面采用静电环氧喷涂，符合IP54防水设计标准；</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3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3.箱体材质为SPCC冷板≥1.0mm；</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2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r>
              <w:rPr>
                <w:rFonts w:hint="eastAsia" w:ascii="宋体" w:hAnsi="宋体" w:cs="宋体"/>
                <w:color w:val="auto"/>
                <w:sz w:val="20"/>
                <w:szCs w:val="20"/>
                <w:highlight w:val="none"/>
              </w:rPr>
              <w:t>内部采用三系铝合金专用板式电场，设备具有软启动，多次打火保护，短路，开路，过载保护，还具有放结雾，灭弧功能；航空级铝合金电场</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5.电源控制系统可自动调节电场强度；</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6.产生器采用环氧树脂封闭设计；</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7.产品通过环保类认证，</w:t>
            </w:r>
            <w:r>
              <w:rPr>
                <w:rFonts w:hint="eastAsia" w:ascii="宋体" w:hAnsi="宋体" w:cs="宋体"/>
                <w:color w:val="auto"/>
                <w:sz w:val="20"/>
                <w:szCs w:val="20"/>
                <w:highlight w:val="none"/>
              </w:rPr>
              <w:t>提供证书复印件加盖投标人公章</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8.方形外壳设计，内部可自行调整进出风口方向；</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9.加装初效及活性炭过滤网板；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10.油烟净化器设备稳定，设备的电源功率因素&gt;0.8；</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11.包含安装及其附属零部件</w:t>
            </w:r>
            <w:r>
              <w:rPr>
                <w:rFonts w:hint="eastAsia" w:ascii="宋体" w:hAnsi="宋体" w:cs="宋体"/>
                <w:i w:val="0"/>
                <w:color w:val="auto"/>
                <w:kern w:val="0"/>
                <w:sz w:val="20"/>
                <w:szCs w:val="20"/>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cs="宋体"/>
                <w:i w:val="0"/>
                <w:color w:val="auto"/>
                <w:kern w:val="0"/>
                <w:sz w:val="20"/>
                <w:szCs w:val="20"/>
                <w:highlight w:val="none"/>
                <w:u w:val="none"/>
                <w:lang w:val="en-US" w:eastAsia="zh-CN" w:bidi="ar"/>
              </w:rPr>
              <w:t>12.</w:t>
            </w:r>
            <w:r>
              <w:rPr>
                <w:rFonts w:hint="eastAsia" w:ascii="宋体" w:hAnsi="宋体" w:cs="宋体"/>
                <w:color w:val="auto"/>
                <w:sz w:val="20"/>
                <w:szCs w:val="20"/>
                <w:highlight w:val="none"/>
              </w:rPr>
              <w:t>可处理0.1um以上的油烟粒子，节能环保，符合国家环保低空排放标准，提供第三方检测机构出具的检测报告复印件加盖投标人公章。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21"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91</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不锈钢油烟净化器</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功率：220V，不小于2KW</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32000风量</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说明：箱体外壳采用不锈钢板制作。</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90"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1.优选三系铝镁合金，强耐腐蚀性；</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2.产品表面采用静电环氧喷涂，符合IP54防水设计标准；</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3.箱体材质为SPCC冷板≥1.0mm；</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3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 xml:space="preserve">4. 内部采用三系铝合金专用板式电场，设备具有软启动，多次打火保护，短路，开路，过载保护，还具有放结雾，灭弧功能；航空级铝合金电场； </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33"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5.电源控制系统可自动调节电场强度；</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6.产生器采用环氧树脂封闭设计；</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7.产品通过环保类认证，提供证书复印件加盖投标人公章；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8.方形外壳设计，内部可自行调整进出风口方向；</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9.加装初效及活性炭过滤网板；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10.油烟净化器设备稳定，设备的电源功率因素&gt;0.8；</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8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11.包含安装及其附属零部件；</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12. 可处理0.1um以上的油烟粒子，节能环保，符合国家环保低空排放标准，提供第三方检测机构出具的检测报告复印件加盖投标人公章。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73"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防火阀</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说明：优质镀锌板制，喷漆。熔点：150℃</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配风管</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473"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调节阀</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说明：优质镀锌板制</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配风管</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风柜支架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组</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473"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阻尼减震器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16</w:t>
            </w: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净化箱支架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组</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59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风机启动变频器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说明：≥22KW/380V（预留电源进线由总包单位负责施工）</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德力西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ABB</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施耐德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可控22KW</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9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风机启动变频器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说明：≥15KW/380V（预留电源进线由总包单位负责施工）</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德力西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ABB</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施耐德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可控15KW</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9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风机启动变频器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说明：≥7.5KW/380V（预留电源进线由总包单位负责施工）</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德力西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ABB</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施耐德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可控7.5KW</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软接</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68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锯骨机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说明：额定电压：220V，可切高度：200mm,可切厚度：100mm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天烨</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SIRMAN</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希恩</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590*495*890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22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一层厨房设备</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654"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风幕机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说明：铝合金外壳，时尚美观，独特导风板设计，风向可随意调节；风量≥2500m3/h；电量：220V，≤800w。</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绿岛风</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志高</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三菱电机</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L=1500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w:t>
            </w:r>
          </w:p>
        </w:tc>
      </w:tr>
      <w:tr>
        <w:tblPrEx>
          <w:shd w:val="clear" w:color="auto" w:fill="auto"/>
          <w:tblCellMar>
            <w:top w:w="0" w:type="dxa"/>
            <w:left w:w="0" w:type="dxa"/>
            <w:bottom w:w="0" w:type="dxa"/>
            <w:right w:w="0" w:type="dxa"/>
          </w:tblCellMar>
        </w:tblPrEx>
        <w:trPr>
          <w:trHeight w:val="52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大米架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说明：用SUS304-2B不锈钢管制造，采用δ=1.2mm，不锈钢方管制作，下配4个可调子弹脚。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1200*500*300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w:t>
            </w:r>
          </w:p>
        </w:tc>
      </w:tr>
      <w:tr>
        <w:tblPrEx>
          <w:shd w:val="clear" w:color="auto" w:fill="auto"/>
          <w:tblCellMar>
            <w:top w:w="0" w:type="dxa"/>
            <w:left w:w="0" w:type="dxa"/>
            <w:bottom w:w="0" w:type="dxa"/>
            <w:right w:w="0" w:type="dxa"/>
          </w:tblCellMar>
        </w:tblPrEx>
        <w:trPr>
          <w:trHeight w:val="781"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四层栅格层架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说明：立柱采用SUS304-2B不锈钢管制作，格栅型，横档采用38*25不锈钢管制作，δ=1.0mm,配不锈钢可调节子弹脚。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1200*500*1800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r>
      <w:tr>
        <w:tblPrEx>
          <w:shd w:val="clear" w:color="auto" w:fill="auto"/>
          <w:tblCellMar>
            <w:top w:w="0" w:type="dxa"/>
            <w:left w:w="0" w:type="dxa"/>
            <w:bottom w:w="0" w:type="dxa"/>
            <w:right w:w="0" w:type="dxa"/>
          </w:tblCellMar>
        </w:tblPrEx>
        <w:trPr>
          <w:trHeight w:val="231"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超市购物车</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辆</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305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双头双尾炒灶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优质SUS304-2B不锈钢板制造，面板、前脸板厚δ＝1.2,台面一次压制成型；2、外旁板、后立SUS201板厚δ＝1.0,龙骨架国标不锈钢方管25*38厚1.2，衬板电解镀锌钢板厚δ＝1.2mm,灶身双层热轧钢板，隔热层厚40,炉膛50厚耐高温材料及50厚耐高温泥， 稀土贵金属聚能网；3、配全预混式节能炉头，热效率45%以上；4、燃气泄漏报警自动关闭，配熄火保护装置，比例阀关闭时间≤10s；5、火力为5档，火力大小数字可视化显示器，故障代码显示；6、使用24~50V安全电压直流电机,风机功率随档位变化，每档功率不一样，最小功率不大于35W,最大功率不超过45W；7、炉灶自带蓝牙控制，可实现灶具参数设定和灶具控制程序升级功能；8、产品符合 GB 35848-2018 《商用燃气燃烧器具》，核心配件燃气稳压器符合GB35848-2018《商用燃气燃烧器具》要求。9、燃气类型：管道天然气</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智博立</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裕富宝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志高</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2000*1200*800+450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764"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简易炉拼台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500*1200*800+450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1121"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单向调理柜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说明：用SUS304-2B不锈钢板制作，面板δ=1.2mm，侧板δ=1.0mm，柜内中置一层不锈钢隔板，配移门，配不锈钢调节脚，配1000mm长不锈钢调料架。未列明不锈钢板厚度统一为δ=1.0mm。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1800*700*800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w:t>
            </w:r>
          </w:p>
        </w:tc>
      </w:tr>
      <w:tr>
        <w:tblPrEx>
          <w:shd w:val="clear" w:color="auto" w:fill="auto"/>
          <w:tblCellMar>
            <w:top w:w="0" w:type="dxa"/>
            <w:left w:w="0" w:type="dxa"/>
            <w:bottom w:w="0" w:type="dxa"/>
            <w:right w:w="0" w:type="dxa"/>
          </w:tblCellMar>
        </w:tblPrEx>
        <w:trPr>
          <w:trHeight w:val="75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双层工作台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13</w:t>
            </w:r>
          </w:p>
        </w:tc>
      </w:tr>
      <w:tr>
        <w:tblPrEx>
          <w:shd w:val="clear" w:color="auto" w:fill="auto"/>
          <w:tblCellMar>
            <w:top w:w="0" w:type="dxa"/>
            <w:left w:w="0" w:type="dxa"/>
            <w:bottom w:w="0" w:type="dxa"/>
            <w:right w:w="0" w:type="dxa"/>
          </w:tblCellMar>
        </w:tblPrEx>
        <w:trPr>
          <w:trHeight w:val="93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蒸汽智能型双门蒸饭箱</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说明：用SUS304-2B不锈钢板制作，内胆为δ=1.2mm不锈刚板制作，外胆为优质不锈钢δ=1.0mm框架采用4*4角铁制作, 配不锈钢饭盘24只，饭盘为带推车可推入式。</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1280*760*1600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79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蒸汽三门蒸柜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说明：1、用SUS304-2B不锈钢板制造，面板板厚δ＝1.2mm,台面一次压制成型；2、外旁板、门及后立板板厚δ＝1.0 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900*900*1800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129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四门高身雪柜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一线品牌压缩机；2、板材加厚30%；3、全铜冷凝器、蒸发器；4、选配高档温控器；5、边框防凝露，电热丝加温，可拆换；6、加厚发泡层设计，降低热传导率；7、高强度脚轮锌合金回弹绞链；8、38℃实验工况下，冷藏温度范围-2℃~8s℃，冷冻温度范围-6℃~-18℃。</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摩威尔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凯普顿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华美</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1230*760*2005</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990"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415"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13</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双眼电磁炉炖汤炉</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1.材质：采用304不锈钢板材厚度1.2mm</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名厨</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环球</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九阳</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1500*700*760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409"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2.电压/功率：≥12kW*2/380V；</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1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3.采用半导体芯片机智能化控制；</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87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4.机芯采用分层次散热结构，机芯外壳全密封防水设计，采用汽车级烤漆，机箱完全达到绝缘效果；</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06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5.具备智能汽车仪表盘彩屏显示器，可实时显示机芯、线盘、锅底工作时的温度；同时可显示用电量，数据准确；中文故障代码显示，当故障出现，可以通过中文故障代码明确故障原因，高效处理问题；</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458"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6.双系统控制火力：触屏控制和0至8档磁控两种控制火力模式，优点是：当其中一个损坏，另一个可以正常使用；                                                                                    7.人性化设计，可定时、定温、预约操作，并自带5种自编菜单模式，针对每个菜品厨师可分别对时间及温度进行设定，定时，控温精准，可实现标准化烹饪，出菜效率高效，口感一致。</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六头煮面炉连柜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说明：用优质SUS304-2B不锈钢板制作，台面1.2mm厚。脚38×38×1.0mm不锈钢方管（配有可调子弹脚）；功率：12KW/380V</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81"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可移动双眼蒸包炉</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说明：用优质SUS304-2B不锈钢板制作，台面1.2mm厚。脚38×38×1.0mm不锈钢方管（配有可调子弹脚）。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1500*700*760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89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电磁六眼煲仔炉连柜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说明：1.材质：面板采用优质SUS304不锈钢板，实厚1.25mm，侧板201#，实厚1.0mm；2.功率：3.5kW*4/380V 3N ~；3.人性化设计，具备定时关机，预约开机、定温功能，可精准控温，控时；</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名厨</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环球</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九阳</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1200*800*800+50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100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粘捕式灭蝇灯</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说明：电压：220V交流电（2孔扁插）；功率：≤20W，灯管尺寸：300mm左右，有效面积：50-100m2；特点：有效防止蚊蝇残骸落到机外，造成二次污染现象，环保卫生，稳健可靠，阻燃ABS。</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喜来乐</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灯下</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伯仕雷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单管</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25</w:t>
            </w:r>
          </w:p>
        </w:tc>
      </w:tr>
      <w:tr>
        <w:tblPrEx>
          <w:shd w:val="clear" w:color="auto" w:fill="auto"/>
          <w:tblCellMar>
            <w:top w:w="0" w:type="dxa"/>
            <w:left w:w="0" w:type="dxa"/>
            <w:bottom w:w="0" w:type="dxa"/>
            <w:right w:w="0" w:type="dxa"/>
          </w:tblCellMar>
        </w:tblPrEx>
        <w:trPr>
          <w:trHeight w:val="2461"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双瓶组灭火系统</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说明：1.食用油专用灭火剂应为绿色环保型灭火药剂，无色、无味、灭火效率快且不复燃，灭火时间：≤1.8s；2.装置灭火剂喷射时间不得小于20s，同时具备较好的抗飞溅性能，在灭火剂喷射过程中无油点飞溅出来；3.装置启动灭火的同时，可联动电气开关切断厨房设备用电，可联动燃气切断阀切断燃气，同时具备控制接口，可实现动火离人功能，全方位保护厨房消防安全。</w:t>
            </w:r>
          </w:p>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color w:val="auto"/>
                <w:highlight w:val="none"/>
              </w:rPr>
              <w:t>★</w:t>
            </w:r>
            <w:r>
              <w:rPr>
                <w:rFonts w:hint="eastAsia" w:ascii="宋体" w:hAnsi="宋体" w:eastAsia="宋体" w:cs="宋体"/>
                <w:i w:val="0"/>
                <w:color w:val="auto"/>
                <w:kern w:val="0"/>
                <w:sz w:val="20"/>
                <w:szCs w:val="20"/>
                <w:highlight w:val="none"/>
                <w:u w:val="none"/>
                <w:lang w:val="en-US" w:eastAsia="zh-CN" w:bidi="ar"/>
              </w:rPr>
              <w:t>4.通过CCC中国强制性认证，提供CCC认证证书</w:t>
            </w:r>
            <w:r>
              <w:rPr>
                <w:rFonts w:hint="eastAsia" w:ascii="宋体" w:hAnsi="宋体" w:cs="宋体"/>
                <w:color w:val="auto"/>
                <w:sz w:val="20"/>
                <w:szCs w:val="20"/>
                <w:highlight w:val="none"/>
              </w:rPr>
              <w:t>复印件加盖投标人公章</w:t>
            </w:r>
            <w:r>
              <w:rPr>
                <w:rFonts w:hint="eastAsia" w:ascii="宋体" w:hAnsi="宋体" w:eastAsia="宋体" w:cs="宋体"/>
                <w:i w:val="0"/>
                <w:color w:val="auto"/>
                <w:kern w:val="0"/>
                <w:sz w:val="20"/>
                <w:szCs w:val="20"/>
                <w:highlight w:val="none"/>
                <w:u w:val="none"/>
                <w:lang w:val="en-US" w:eastAsia="zh-CN" w:bidi="ar"/>
              </w:rPr>
              <w:t>；5.食用油专用灭火药剂具有第三方检测机构出具的检验报告复印件，提供第三方检测机构出具的制造商食用油专用灭火药剂灭火试验报告（灭火时间：≤1.8s）</w:t>
            </w:r>
            <w:r>
              <w:rPr>
                <w:rFonts w:hint="eastAsia" w:ascii="宋体" w:hAnsi="宋体" w:cs="宋体"/>
                <w:color w:val="auto"/>
                <w:sz w:val="20"/>
                <w:szCs w:val="20"/>
                <w:highlight w:val="none"/>
              </w:rPr>
              <w:t>，提供检测报告复印件加盖投标人公章</w:t>
            </w:r>
            <w:r>
              <w:rPr>
                <w:rFonts w:hint="eastAsia" w:ascii="宋体" w:hAnsi="宋体" w:eastAsia="宋体" w:cs="宋体"/>
                <w:i w:val="0"/>
                <w:color w:val="auto"/>
                <w:kern w:val="0"/>
                <w:sz w:val="20"/>
                <w:szCs w:val="20"/>
                <w:highlight w:val="none"/>
                <w:u w:val="none"/>
                <w:lang w:val="en-US" w:eastAsia="zh-CN" w:bidi="ar"/>
              </w:rPr>
              <w:t>。</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顺康</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美人鱼</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美力马</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双瓶</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组</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0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灶后封板</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说明：用SUS304-2B不锈钢板制作，δ=1.2mm。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10300*1800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30</w:t>
            </w:r>
          </w:p>
        </w:tc>
      </w:tr>
      <w:tr>
        <w:tblPrEx>
          <w:shd w:val="clear" w:color="auto" w:fill="auto"/>
          <w:tblCellMar>
            <w:top w:w="0" w:type="dxa"/>
            <w:left w:w="0" w:type="dxa"/>
            <w:bottom w:w="0" w:type="dxa"/>
            <w:right w:w="0" w:type="dxa"/>
          </w:tblCellMar>
        </w:tblPrEx>
        <w:trPr>
          <w:trHeight w:val="50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罩前封板</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说明：用SUS304-2B不锈钢板制作，δ=1.2mm。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10300*1500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w:t>
            </w:r>
          </w:p>
        </w:tc>
      </w:tr>
      <w:tr>
        <w:tblPrEx>
          <w:shd w:val="clear" w:color="auto" w:fill="auto"/>
          <w:tblCellMar>
            <w:top w:w="0" w:type="dxa"/>
            <w:left w:w="0" w:type="dxa"/>
            <w:bottom w:w="0" w:type="dxa"/>
            <w:right w:w="0" w:type="dxa"/>
          </w:tblCellMar>
        </w:tblPrEx>
        <w:trPr>
          <w:trHeight w:val="601"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21</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蒸品售菜工作柜</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说明：用SUS304-2B不锈钢板制作。台板厚1.2㎜,侧板厚1.0㎜。</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1800*700*800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78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脚采用Φ38*1.0㎜SUS304-2B圆管制作。配有温控，≥3KW 220VU型电热管。</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6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洗地龙头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说明：喉管自动回卷装置（棘轮系统，防锁死，棘轮保持放松）配软管，喉管止动器，可调节。</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TTS</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SoFinor</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klarco</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11M</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133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可视刀具砧板消毒柜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说明：1.可容纳厚度≤10厘米砧板9块，刀具≥25把，毛巾若干，消毒时间＞30分钟。2.毛巾柜采用紫外线+臭氧双重消毒，红外线烘干 3.刀具和砧板采用紫外线+臭氧消毒，带循环风机，360度无死角。4.砧板架可拆卸设计，更方便清理。</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1200*600*1720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6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感应龙头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说明：单孔台出电子感应龙头，带有孔罩板、起泡器，防水控制盒，AC/DC交直流两用，手动混水阀。</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东鹏（广东）</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箭牌卫浴</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九牧</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套</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19</w:t>
            </w:r>
          </w:p>
        </w:tc>
      </w:tr>
      <w:tr>
        <w:tblPrEx>
          <w:shd w:val="clear" w:color="auto" w:fill="auto"/>
          <w:tblCellMar>
            <w:top w:w="0" w:type="dxa"/>
            <w:left w:w="0" w:type="dxa"/>
            <w:bottom w:w="0" w:type="dxa"/>
            <w:right w:w="0" w:type="dxa"/>
          </w:tblCellMar>
        </w:tblPrEx>
        <w:trPr>
          <w:trHeight w:val="111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单星水池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600*600*800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594"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不锈钢更衣柜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说明：用SUS304-2B不锈钢板制作,δ=1.0mm。内配不锈钢挂衣杆。</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900*400*1800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r>
      <w:tr>
        <w:tblPrEx>
          <w:shd w:val="clear" w:color="auto" w:fill="auto"/>
          <w:tblCellMar>
            <w:top w:w="0" w:type="dxa"/>
            <w:left w:w="0" w:type="dxa"/>
            <w:bottom w:w="0" w:type="dxa"/>
            <w:right w:w="0" w:type="dxa"/>
          </w:tblCellMar>
        </w:tblPrEx>
        <w:trPr>
          <w:trHeight w:val="122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五斗保温台连双层玻璃罩</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说明：用SUS304-2B不锈钢板制作。台板厚1.2㎜,侧板厚1.0㎜；脚采用Φ38*1.0㎜SUS304-2B圆管制作。配有温控，3KW 220VU型电热管，配5只1/1的不锈钢份数斗，层高300MM左右。立架和台面之间采用2.0钢化玻璃封挡。</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1800*700*800+600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r>
      <w:tr>
        <w:tblPrEx>
          <w:shd w:val="clear" w:color="auto" w:fill="auto"/>
          <w:tblCellMar>
            <w:top w:w="0" w:type="dxa"/>
            <w:left w:w="0" w:type="dxa"/>
            <w:bottom w:w="0" w:type="dxa"/>
            <w:right w:w="0" w:type="dxa"/>
          </w:tblCellMar>
        </w:tblPrEx>
        <w:trPr>
          <w:trHeight w:val="111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蒸品保温台连双层玻璃罩</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说明：用SUS304-2B不锈钢板制作。台板厚1.2㎜,侧板厚1.0㎜；脚采用Φ38*1.0㎜SUS304-2B圆管制作。配有温控，3KW 220VU型电热管，层高300MM左右。立架和台面之间采用2.0钢化玻璃封挡。</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1800*700*800+600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四门碗柜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说明：用SUS304-2B不锈钢板制，面板厚度1.2mm，侧板厚度1.0mm，内分四层，配吊式四移门，活动层板，配有不锈钢可调节子弹脚。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1200*500*1800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332"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紫外线杀菌灯架带灯管</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紫外线杀菌灯架带灯管</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凌峰</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飞利浦</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0"/>
                <w:szCs w:val="20"/>
                <w:highlight w:val="none"/>
                <w:u w:val="none"/>
                <w:lang w:val="en-US" w:eastAsia="zh-CN" w:bidi="ar"/>
              </w:rPr>
              <w:t>松下</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36W</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w:t>
            </w: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双层工作台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r>
      <w:tr>
        <w:tblPrEx>
          <w:shd w:val="clear" w:color="auto" w:fill="auto"/>
          <w:tblCellMar>
            <w:top w:w="0" w:type="dxa"/>
            <w:left w:w="0" w:type="dxa"/>
            <w:bottom w:w="0" w:type="dxa"/>
            <w:right w:w="0" w:type="dxa"/>
          </w:tblCellMar>
        </w:tblPrEx>
        <w:trPr>
          <w:trHeight w:val="45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双门留样冰箱</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容量1010L，功率220/405W,箱内温度R2-8;采用内外201，门绞链304不锈钢</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摩威尔</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凯普顿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华美</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1210*750*2005</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残物回收柜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说明：用SUS304-2B不锈钢板制作，台面δ=1.2mm。脚为不锈钢管φ38*1.0mm，档为φ25*1.0mm不锈钢管。配有不锈钢可调节子弹脚，配桶、配车。</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1800*700*800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套</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r>
      <w:tr>
        <w:tblPrEx>
          <w:shd w:val="clear" w:color="auto" w:fill="auto"/>
          <w:tblCellMar>
            <w:top w:w="0" w:type="dxa"/>
            <w:left w:w="0" w:type="dxa"/>
            <w:bottom w:w="0" w:type="dxa"/>
            <w:right w:w="0" w:type="dxa"/>
          </w:tblCellMar>
        </w:tblPrEx>
        <w:trPr>
          <w:trHeight w:val="3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残物回收窗口</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6000*500*900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套</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111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大单星水池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双层工作台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1800*800*800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4265"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37</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带传式洗碗机</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特 点：机械控制面板，数码温度显示；超低的耗水量,节省电力、催干剂、洗涤剂；内凹式防堵清洗喷管；前门双层结构，隔热、隔音、节约能源且操作舒适；独特的双喷淋系统，高温消毒；自清洗功能，最大程度的保证卫生与清洁；出口端装有限位装置，无人收取时自动停机；洗涤量大，适用于各种餐具，多种网带，也可将餐具摆放在篮筐上直接清洗；烘干系统由强力离心风机和防干烧电热管组成；洗涤后的餐具经过烘干箱由强力热风吹干对餐具进行消毒杀菌烘干等处理；输送链排装置采用耐热、耐腐蚀、卫生无毒、强度高造型美观的工程塑料网爪，餐盘可直接插在网爪上输送，适用范围广；入口端配置抽屉式接渣过滤装置，并且抽屉滤网在机器运行过程中也能够及时取出进行清洁；机器入口宽度：≥600 mm，最大洗涤高度：≥420 mm，最大洗涤量：3000-5000碟/小时；耗水量：350-400L，洗涤温度：55-60℃，漂洗温度：≥80℃，进水压力：0.15-0.4Mpa，进汽压力：0.3-0.4Mpa，电源要求：380V/50Hz/3N，加热方式：电加热型/蒸汽加热型，电加热型功率：60-70kw。</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霍巴特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赫尔盾</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华帝</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 xml:space="preserve">4200*1000*2040  </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7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1、所投洗碗机厂家具备食品接触产品安全认证证书（须提供有效的证书复印件及认证中心官网查询截图（或网页）打印（含网站）；</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5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2、所投洗碗机板材依据GB/T2423.17-2008 标准，通过盐雾测试报告，提供检测报告</w:t>
            </w:r>
            <w:r>
              <w:rPr>
                <w:rFonts w:hint="eastAsia" w:ascii="宋体" w:hAnsi="宋体" w:cs="宋体"/>
                <w:color w:val="auto"/>
                <w:sz w:val="20"/>
                <w:szCs w:val="20"/>
                <w:highlight w:val="none"/>
                <w:u w:val="none"/>
                <w:lang w:bidi="ar"/>
              </w:rPr>
              <w:t>复印件加盖投标人公章</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448"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所投洗碗机依据GB4706.1-2005和GB4706.50-2008标准，在正常工作温度下，输入功率与额定功率的偏差不应超过标准规定的范围（偏差极值：+15%），防水等级达到IPX4以上（投标文件需提供印有CNAS或CMA标识的第三方检测机构出具的检验报告</w:t>
            </w:r>
            <w:r>
              <w:rPr>
                <w:rFonts w:hint="eastAsia" w:ascii="宋体" w:hAnsi="宋体" w:cs="宋体"/>
                <w:color w:val="auto"/>
                <w:sz w:val="20"/>
                <w:szCs w:val="20"/>
                <w:highlight w:val="none"/>
              </w:rPr>
              <w:t>复印件加盖投标人公章</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338"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所投洗碗机必须提供大肠菌群、沙氏菌群，依据GB14934-2016检测，检测结果为未检出的检测报告；阴离子合成洗涤剂（以十二烷基苯磺酸钠计）游离余氯，依据GB14934-2016检测，检测结果为未检出的检测报告；提供检测报告</w:t>
            </w:r>
            <w:r>
              <w:rPr>
                <w:rFonts w:hint="eastAsia" w:ascii="宋体" w:hAnsi="宋体" w:cs="宋体"/>
                <w:color w:val="auto"/>
                <w:sz w:val="20"/>
                <w:szCs w:val="20"/>
                <w:highlight w:val="none"/>
                <w:u w:val="none"/>
                <w:lang w:bidi="ar"/>
              </w:rPr>
              <w:t>复印件加盖投标人公章</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89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12、所投洗碗机生产厂家需提供电子设备不含重金属、溴代阻燃剂、领苯二甲酸酯（DEHP,BBP,DBP）等有害成分的检测</w:t>
            </w:r>
            <w:r>
              <w:rPr>
                <w:rFonts w:hint="eastAsia" w:ascii="宋体" w:hAnsi="宋体" w:cs="宋体"/>
                <w:i w:val="0"/>
                <w:color w:val="auto"/>
                <w:kern w:val="0"/>
                <w:sz w:val="20"/>
                <w:szCs w:val="20"/>
                <w:highlight w:val="none"/>
                <w:u w:val="none"/>
                <w:lang w:val="en-US" w:eastAsia="zh-CN" w:bidi="ar"/>
              </w:rPr>
              <w:t>报告</w:t>
            </w:r>
            <w:r>
              <w:rPr>
                <w:rFonts w:hint="eastAsia" w:ascii="宋体" w:hAnsi="宋体" w:cs="宋体"/>
                <w:color w:val="auto"/>
                <w:sz w:val="20"/>
                <w:szCs w:val="20"/>
                <w:highlight w:val="none"/>
              </w:rPr>
              <w:t>复印件加盖投标人公章</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5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传送带连投放柜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特 点：适合各种类型餐具使用，操作方便；采用优质不锈钢材质、耐腐蚀、强度高、韧性好；采用进口食品级POM链片，确保食品卫生；配置柔性启动和停止设计，采用变频调速；主动轴和被动轴为不锈钢材质，方便拆卸；配置链板自动清洗功能，在传送中可保持链板卫生；内置抽屉，易于清洗。</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霍巴特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赫尔盾</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华帝</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520*850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M</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r>
      <w:tr>
        <w:tblPrEx>
          <w:shd w:val="clear" w:color="auto" w:fill="auto"/>
          <w:tblCellMar>
            <w:top w:w="0" w:type="dxa"/>
            <w:left w:w="0" w:type="dxa"/>
            <w:bottom w:w="0" w:type="dxa"/>
            <w:right w:w="0" w:type="dxa"/>
          </w:tblCellMar>
        </w:tblPrEx>
        <w:trPr>
          <w:trHeight w:val="78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沥水工作台</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说明：用SUS304-2B不锈钢板制作，台面δ=1.2mm。脚为不锈钢管φ38*1.0mm，档为φ25*1.0mm不锈钢管。配有不锈钢可调节子弹脚。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133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智能双门热风循环消毒柜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说明：1.SUS304-2B不锈钢板材，内配 8只不锈钢消毒筐 。2.消毒方式：热风循环 3.温度调节范围：30-125°。</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1280*600*1900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3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可推式不锈钢搁碗架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说明：采用SUS304-2B不锈钢管制作，δ=1.2mm。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1200*700*1500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67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可移动式紫外线筷子消毒机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说明：用SUS304-2B不锈钢板制作，δ=1.0mm，紫外线灭菌，循环热风烘干，方便清洁卫生，可放1000双筷子。</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700*450*800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r>
      <w:tr>
        <w:tblPrEx>
          <w:shd w:val="clear" w:color="auto" w:fill="auto"/>
          <w:tblCellMar>
            <w:top w:w="0" w:type="dxa"/>
            <w:left w:w="0" w:type="dxa"/>
            <w:bottom w:w="0" w:type="dxa"/>
            <w:right w:w="0" w:type="dxa"/>
          </w:tblCellMar>
        </w:tblPrEx>
        <w:trPr>
          <w:trHeight w:val="111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双星水池</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说明：用SUS304-2B不锈钢板制作，台面δ=1.2mm，水斗δ=1.0mm，脚为不锈钢φ38*1.0mm不锈钢管，档为φ25*1.0mm不锈钢管；配优质落水器、需带橡胶减音板、拦渣斗及不锈钢可调节子弹脚。</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7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净水机</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过滤精度：≤0.2微米；瞬间流量：≥5升/分钟；处理量：34069升；去除：颗粒杂质，余氯/异味，孢子包囊。</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3M</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Everpure（爱惠普）</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A.O.史密斯</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45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双眼保温盛饭盛汤柜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1500*600*800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45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双眼保温盛饭盛汤柜</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说明：用SUS304-2B不锈钢板制作，台面δ=1.2mm。脚为不锈钢管φ38*1.0mm。</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1500*800*800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30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VIP月子套餐盘</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密胺（不锈钢内胆）月子餐六件套餐具，A70-5.5；G38-5；G18-4.5；G18-5；不锈钢冲压医院LOGO</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套</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w:t>
            </w:r>
          </w:p>
        </w:tc>
      </w:tr>
      <w:tr>
        <w:tblPrEx>
          <w:shd w:val="clear" w:color="auto" w:fill="auto"/>
          <w:tblCellMar>
            <w:top w:w="0" w:type="dxa"/>
            <w:left w:w="0" w:type="dxa"/>
            <w:bottom w:w="0" w:type="dxa"/>
            <w:right w:w="0" w:type="dxa"/>
          </w:tblCellMar>
        </w:tblPrEx>
        <w:trPr>
          <w:trHeight w:val="3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月子餐套盒</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304不锈钢内胆深格保温，不锈钢冲压医院LOGO</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套</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w:t>
            </w:r>
          </w:p>
        </w:tc>
      </w:tr>
      <w:tr>
        <w:tblPrEx>
          <w:shd w:val="clear" w:color="auto" w:fill="auto"/>
          <w:tblCellMar>
            <w:top w:w="0" w:type="dxa"/>
            <w:left w:w="0" w:type="dxa"/>
            <w:bottom w:w="0" w:type="dxa"/>
            <w:right w:w="0" w:type="dxa"/>
          </w:tblCellMar>
        </w:tblPrEx>
        <w:trPr>
          <w:trHeight w:val="3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餐盘</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304不锈钢浅款加厚五格加pc盖，不锈钢冲压医院LOGO</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282*220*33</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套</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300</w:t>
            </w:r>
          </w:p>
        </w:tc>
      </w:tr>
      <w:tr>
        <w:tblPrEx>
          <w:shd w:val="clear" w:color="auto" w:fill="auto"/>
          <w:tblCellMar>
            <w:top w:w="0" w:type="dxa"/>
            <w:left w:w="0" w:type="dxa"/>
            <w:bottom w:w="0" w:type="dxa"/>
            <w:right w:w="0" w:type="dxa"/>
          </w:tblCellMar>
        </w:tblPrEx>
        <w:trPr>
          <w:trHeight w:val="346"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50</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双层推车</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材质：用SUS304-2B不锈钢板制作。厚度为1.2mm，不锈钢制造</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900*500*900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辆</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45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说明：拉手采用30*30*1.0㎜SUS304-2B方管制作。配四寸静音轮四只；</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51</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三层推车</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材质：用SUS304-2B不锈钢板制作。厚度为1.2mm，不锈钢制造</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900*500*900</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辆</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r>
      <w:tr>
        <w:tblPrEx>
          <w:shd w:val="clear" w:color="auto" w:fill="auto"/>
          <w:tblCellMar>
            <w:top w:w="0" w:type="dxa"/>
            <w:left w:w="0" w:type="dxa"/>
            <w:bottom w:w="0" w:type="dxa"/>
            <w:right w:w="0" w:type="dxa"/>
          </w:tblCellMar>
        </w:tblPrEx>
        <w:trPr>
          <w:trHeight w:val="45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说明：拉手采用30*30*1.0㎜SUS304-2B方管制作。配四寸静音轮四只；</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墙面置物架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SUS304-2B不锈钢材质，免打孔，加宽托盘，强悍承重</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40*20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40</w:t>
            </w:r>
          </w:p>
        </w:tc>
      </w:tr>
      <w:tr>
        <w:tblPrEx>
          <w:shd w:val="clear" w:color="auto" w:fill="auto"/>
          <w:tblCellMar>
            <w:top w:w="0" w:type="dxa"/>
            <w:left w:w="0" w:type="dxa"/>
            <w:bottom w:w="0" w:type="dxa"/>
            <w:right w:w="0" w:type="dxa"/>
          </w:tblCellMar>
        </w:tblPrEx>
        <w:trPr>
          <w:trHeight w:val="67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不锈钢烟罩（烹饪间）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说明：选用SUS304不锈钢板制作，厚度1.2mm；说明：配积油杯，防爆灯，沥油槽。（招标数量为投影面积）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10000*1400*500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14</w:t>
            </w: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不锈钢沥油网</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说明：沥油网选用优质不锈钢板制作。</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块</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20</w:t>
            </w:r>
          </w:p>
        </w:tc>
      </w:tr>
      <w:tr>
        <w:tblPrEx>
          <w:shd w:val="clear" w:color="auto" w:fill="auto"/>
          <w:tblCellMar>
            <w:top w:w="0" w:type="dxa"/>
            <w:left w:w="0" w:type="dxa"/>
            <w:bottom w:w="0" w:type="dxa"/>
            <w:right w:w="0" w:type="dxa"/>
          </w:tblCellMar>
        </w:tblPrEx>
        <w:trPr>
          <w:trHeight w:val="45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不锈钢集气罩（烹饪间）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说明：选用SUS304不锈钢板制作，厚度1.2mm。（招标数量为投影面积）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2800*1000*500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2.8</w:t>
            </w:r>
          </w:p>
        </w:tc>
      </w:tr>
      <w:tr>
        <w:tblPrEx>
          <w:shd w:val="clear" w:color="auto" w:fill="auto"/>
          <w:tblCellMar>
            <w:top w:w="0" w:type="dxa"/>
            <w:left w:w="0" w:type="dxa"/>
            <w:bottom w:w="0" w:type="dxa"/>
            <w:right w:w="0" w:type="dxa"/>
          </w:tblCellMar>
        </w:tblPrEx>
        <w:trPr>
          <w:trHeight w:val="521"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不锈钢集气罩（洗消间）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说明：选用SUS304不锈钢板制作，厚度1.2mm。（招标数量为投影面积）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4500*1200*500</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5.4</w:t>
            </w:r>
          </w:p>
        </w:tc>
      </w:tr>
      <w:tr>
        <w:tblPrEx>
          <w:shd w:val="clear" w:color="auto" w:fill="auto"/>
          <w:tblCellMar>
            <w:top w:w="0" w:type="dxa"/>
            <w:left w:w="0" w:type="dxa"/>
            <w:bottom w:w="0" w:type="dxa"/>
            <w:right w:w="0" w:type="dxa"/>
          </w:tblCellMar>
        </w:tblPrEx>
        <w:trPr>
          <w:trHeight w:val="56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不锈钢风管</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说明：优质不锈钢板制造，δ=1.0mm。含法兰、支架、配件等。（招标数量为展开面积）</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360</w:t>
            </w:r>
          </w:p>
        </w:tc>
      </w:tr>
      <w:tr>
        <w:tblPrEx>
          <w:shd w:val="clear" w:color="auto" w:fill="auto"/>
          <w:tblCellMar>
            <w:top w:w="0" w:type="dxa"/>
            <w:left w:w="0" w:type="dxa"/>
            <w:bottom w:w="0" w:type="dxa"/>
            <w:right w:w="0" w:type="dxa"/>
          </w:tblCellMar>
        </w:tblPrEx>
        <w:trPr>
          <w:trHeight w:val="235"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58</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排烟风机</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说明：该风机箱体采用双吸式蜗壳吸风钢架柜式结构，多翼式风轮，具有风量大，噪音低、震动小等优点。（风量需二次深化满足排烟要求）</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15KW</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1.前倾低噪音多翼式机翼叶轮，风量大，噪声低，静压高；</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2.独家油烟风机风轮、商用厨房油烟风机、风机蜗壳外观优质；</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3.优选金属板材折边柜体，铝合金菱形包角，宽形立柱，美观耐用；</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6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4.优选风机专用轴承，采用防油型接触性油封，有效阻止轴承内的润滑脂外溢，使用寿命长；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67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5.柜体及内胆均使用优质的钢板制作而成，加厚角铁框架，造型美观，防护性能优良，外观光滑平整，耐磨损，耐腐蚀；</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6.主轴材料采用优质45#钢，皮带轮门盖设计，防脱落；</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7.方形外壳设计，可角度互换，产品方便安装与维护；</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8.独特的检修门设计，维护检修更方便；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9.柜体内部加装双层多孔加棉消音板，降噪效果明显；</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10.电机采用纯铜国标电机，高可靠性且发热低；</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02"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r>
              <w:rPr>
                <w:rFonts w:hint="eastAsia" w:ascii="宋体" w:hAnsi="宋体" w:cs="宋体"/>
                <w:i w:val="0"/>
                <w:color w:val="auto"/>
                <w:kern w:val="0"/>
                <w:sz w:val="20"/>
                <w:szCs w:val="20"/>
                <w:highlight w:val="none"/>
                <w:u w:val="none"/>
                <w:lang w:val="en-US" w:eastAsia="zh-CN" w:bidi="ar"/>
              </w:rPr>
              <w:t>1</w:t>
            </w:r>
            <w:r>
              <w:rPr>
                <w:rFonts w:hint="eastAsia" w:ascii="宋体" w:hAnsi="宋体" w:eastAsia="宋体" w:cs="宋体"/>
                <w:i w:val="0"/>
                <w:color w:val="auto"/>
                <w:kern w:val="0"/>
                <w:sz w:val="20"/>
                <w:szCs w:val="20"/>
                <w:highlight w:val="none"/>
                <w:u w:val="none"/>
                <w:lang w:val="en-US" w:eastAsia="zh-CN" w:bidi="ar"/>
              </w:rPr>
              <w:t>.认证节能产品，</w:t>
            </w:r>
            <w:r>
              <w:rPr>
                <w:rFonts w:hint="eastAsia"/>
                <w:color w:val="auto"/>
                <w:highlight w:val="none"/>
                <w:lang w:val="en-US" w:eastAsia="zh-CN"/>
              </w:rPr>
              <w:t>二级能效及以上</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60"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cs="宋体"/>
                <w:i w:val="0"/>
                <w:color w:val="auto"/>
                <w:kern w:val="0"/>
                <w:sz w:val="20"/>
                <w:szCs w:val="20"/>
                <w:highlight w:val="none"/>
                <w:u w:val="none"/>
                <w:lang w:val="en-US" w:eastAsia="zh-CN" w:bidi="ar"/>
              </w:rPr>
              <w:t>12</w:t>
            </w:r>
            <w:r>
              <w:rPr>
                <w:rFonts w:hint="eastAsia" w:ascii="宋体" w:hAnsi="宋体" w:eastAsia="宋体" w:cs="宋体"/>
                <w:i w:val="0"/>
                <w:color w:val="auto"/>
                <w:kern w:val="0"/>
                <w:sz w:val="20"/>
                <w:szCs w:val="20"/>
                <w:highlight w:val="none"/>
                <w:u w:val="none"/>
                <w:lang w:val="en-US" w:eastAsia="zh-CN" w:bidi="ar"/>
              </w:rPr>
              <w:t>.产品阻燃等级及产品防水等级满足使用要求。</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787"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59</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排烟风机</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说明：该风机箱体采用双吸式蜗壳吸风钢架柜式结构，多翼式风轮，具有风量大，噪音低、震动小等优点。（风量需二次深化满足排烟要求）</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7.5KW</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1.前倾低噪音多翼式机翼叶轮，风量大，噪声低，静压高；</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2.独家油烟风机风轮、商用厨房油烟风机、风机蜗壳外观优质；</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3.优选金属板材折边柜体，铝合金菱形包角，宽形立柱，美观耐用；</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56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4.优选风机专用轴承，采用防油型接触性油封，有效阻止轴承内的润滑脂外溢，使用寿命长；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67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5.柜体及内胆均使用优质的钢板制作而成，加厚角铁框架，造型美观，防护性能优良，外观光滑平整，耐磨损，耐腐蚀；</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6.主轴材料采用优质45#钢，皮带轮门盖设计，防脱落；</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7.方形外壳设计，可角度互换，产品方便安装与维护；</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8.独特的检修门设计，维护检修更方便；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9.柜体内部加装双层多孔加棉消音板，降噪效果明显；</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10.电机采用纯铜国标电机，高可靠性且发热低；</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11.认证节能产品，</w:t>
            </w:r>
            <w:r>
              <w:rPr>
                <w:rFonts w:hint="eastAsia"/>
                <w:color w:val="auto"/>
                <w:highlight w:val="none"/>
                <w:lang w:val="en-US" w:eastAsia="zh-CN"/>
              </w:rPr>
              <w:t>二级能效及以上</w:t>
            </w:r>
            <w:r>
              <w:rPr>
                <w:rFonts w:hint="eastAsia" w:ascii="宋体" w:hAnsi="宋体" w:eastAsia="宋体" w:cs="宋体"/>
                <w:i w:val="0"/>
                <w:color w:val="auto"/>
                <w:kern w:val="0"/>
                <w:sz w:val="20"/>
                <w:szCs w:val="20"/>
                <w:highlight w:val="none"/>
                <w:u w:val="none"/>
                <w:lang w:val="en-US" w:eastAsia="zh-CN" w:bidi="ar"/>
              </w:rPr>
              <w:t>；</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13.产品阻燃等级及产品防水等级满足使用要求。</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不锈钢消声器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说明：优质不锈钢制造。</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配风柜</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235"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61</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不锈钢油烟净化器</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功率：220V，不小于2KW</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40000风量</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12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说明：箱体外壳采用不锈钢板制作。</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9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1.优选三系铝镁合金，强耐腐蚀性；</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2.产品表面采用静电环氧喷涂，符合IP54防水设计标准；</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3.箱体材质为SPCC冷板≥1.0mm；</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 xml:space="preserve">4. 内部采用三系铝合金专用板式电场，设备具有软启动，多次打火保护，短路，开路，过载保护，还具有放结雾，灭弧功能；航空级铝合金电场； </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57"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5.电源控制系统可自动调节电场强度；</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6.产生器采用环氧树脂封闭设计；</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7.产品通过环保类认证，提供证书复印件加盖投标人公章；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8.方形外壳设计，内部可自行调整进出风口方向；</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9.加装初效及活性炭过滤网板；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10.油烟净化器设备稳定，设备的电源功率因素&gt;0.8；</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rPr>
              <w:t>11.包含安装及其附属零部件；</w:t>
            </w:r>
          </w:p>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12. 可处理0.1um以上的油烟粒子，节能环保，符合国家环保低空排放标准，提供第三方检测机构出具的检测报告复印件加盖投标人公章。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62</w:t>
            </w:r>
          </w:p>
        </w:tc>
        <w:tc>
          <w:tcPr>
            <w:tcW w:w="1093"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不锈钢油烟净化器</w:t>
            </w: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功率：220V，不小于2KW</w:t>
            </w:r>
          </w:p>
        </w:tc>
        <w:tc>
          <w:tcPr>
            <w:tcW w:w="2414"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28000风量</w:t>
            </w:r>
          </w:p>
        </w:tc>
        <w:tc>
          <w:tcPr>
            <w:tcW w:w="981"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说明：箱体外壳采用不锈钢板制作。</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14"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1.优选三系铝镁合金，强耐腐蚀性；</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2.产品表面采用静电环氧喷涂，符合IP54防水设计标准；</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3.箱体材质为SPCC冷板≥1.0mm；</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 xml:space="preserve">4. 内部采用三系铝合金专用板式电场，设备具有软启动，多次打火保护，短路，开路，过载保护，还具有放结雾，灭弧功能；航空级铝合金电场； </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440"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5.电源控制系统可自动调节电场强度；</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6.产生器采用环氧树脂封闭设计；</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7.产品通过环保类认证，提供证书复印件加盖投标人公章；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8.方形外壳设计，内部可自行调整进出风口方向；</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9.加装初效及活性炭过滤网板；</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10.油烟净化器设备稳定，设备的电源功率因素&gt;0.8；</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46"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nil"/>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rPr>
              <w:t>11.包含安装及其附属零部件；</w:t>
            </w:r>
          </w:p>
          <w:p>
            <w:pPr>
              <w:widowControl/>
              <w:jc w:val="left"/>
              <w:textAlignment w:val="center"/>
              <w:rPr>
                <w:rFonts w:hint="eastAsia" w:ascii="宋体" w:hAnsi="宋体" w:eastAsia="宋体" w:cs="宋体"/>
                <w:i w:val="0"/>
                <w:color w:val="auto"/>
                <w:sz w:val="20"/>
                <w:szCs w:val="20"/>
                <w:highlight w:val="none"/>
                <w:u w:val="none"/>
              </w:rPr>
            </w:pPr>
            <w:r>
              <w:rPr>
                <w:rFonts w:hint="eastAsia" w:ascii="宋体" w:hAnsi="宋体" w:cs="宋体"/>
                <w:color w:val="auto"/>
                <w:sz w:val="20"/>
                <w:szCs w:val="20"/>
                <w:highlight w:val="none"/>
              </w:rPr>
              <w:t>12. 可处理0.1um以上的油烟粒子，节能环保，符合国家环保低空排放标准，提供第三方检测机构出具的检测报告复印件加盖投标人公章。</w:t>
            </w: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235" w:hRule="atLeast"/>
        </w:trPr>
        <w:tc>
          <w:tcPr>
            <w:tcW w:w="99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i w:val="0"/>
                <w:color w:val="auto"/>
                <w:sz w:val="20"/>
                <w:szCs w:val="20"/>
                <w:highlight w:val="none"/>
                <w:u w:val="none"/>
              </w:rPr>
            </w:pPr>
          </w:p>
        </w:tc>
        <w:tc>
          <w:tcPr>
            <w:tcW w:w="2414"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1432"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37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防火阀</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说明：优质镀锌板制，喷漆。熔点：150℃</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配风管</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37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调节阀</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说明：优质镀锌板制</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配风管</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风柜支架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组</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阻尼减震器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科蓝</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倍思特</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尚雅酷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w:t>
            </w:r>
          </w:p>
        </w:tc>
      </w:tr>
      <w:tr>
        <w:tblPrEx>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净化箱支架</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组</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shd w:val="clear" w:color="auto" w:fill="auto"/>
          <w:tblCellMar>
            <w:top w:w="0" w:type="dxa"/>
            <w:left w:w="0" w:type="dxa"/>
            <w:bottom w:w="0" w:type="dxa"/>
            <w:right w:w="0" w:type="dxa"/>
          </w:tblCellMar>
        </w:tblPrEx>
        <w:trPr>
          <w:trHeight w:val="37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68</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风机启动变频器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说明：≥20KW/380V（预留电源进线由总包单位负责施工）</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德力西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ABB</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施耐德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可控15KW</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tblCellMar>
            <w:top w:w="0" w:type="dxa"/>
            <w:left w:w="0" w:type="dxa"/>
            <w:bottom w:w="0" w:type="dxa"/>
            <w:right w:w="0" w:type="dxa"/>
          </w:tblCellMar>
        </w:tblPrEx>
        <w:trPr>
          <w:trHeight w:val="59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69</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风机启动变频器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说明：≥15KW/380V（预留电源进线由总包单位负责施工）</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德力西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ABB</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施耐德</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可控7.5KW</w:t>
            </w: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70</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软接</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r>
      <w:tr>
        <w:tblPrEx>
          <w:tblCellMar>
            <w:top w:w="0" w:type="dxa"/>
            <w:left w:w="0" w:type="dxa"/>
            <w:bottom w:w="0" w:type="dxa"/>
            <w:right w:w="0" w:type="dxa"/>
          </w:tblCellMar>
        </w:tblPrEx>
        <w:trPr>
          <w:trHeight w:val="31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敲及补风管洞</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本项目涉及到的所有敲补费用</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批</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tblCellMar>
            <w:top w:w="0" w:type="dxa"/>
            <w:left w:w="0" w:type="dxa"/>
            <w:bottom w:w="0" w:type="dxa"/>
            <w:right w:w="0" w:type="dxa"/>
          </w:tblCellMar>
        </w:tblPrEx>
        <w:trPr>
          <w:trHeight w:val="31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吊机费</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本项目涉及到的所有吊机租用费用</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项</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37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冷热水龙头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东鹏（广东）</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箭牌卫浴</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九牧</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47</w:t>
            </w:r>
          </w:p>
        </w:tc>
      </w:tr>
      <w:tr>
        <w:tblPrEx>
          <w:shd w:val="clear" w:color="auto" w:fill="auto"/>
          <w:tblCellMar>
            <w:top w:w="0" w:type="dxa"/>
            <w:left w:w="0" w:type="dxa"/>
            <w:bottom w:w="0" w:type="dxa"/>
            <w:right w:w="0" w:type="dxa"/>
          </w:tblCellMar>
        </w:tblPrEx>
        <w:trPr>
          <w:trHeight w:val="379"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74</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脚踏龙头</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东鹏（广东）</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箭牌卫浴</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九牧</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r>
      <w:tr>
        <w:tblPrEx>
          <w:shd w:val="clear" w:color="auto" w:fill="auto"/>
          <w:tblCellMar>
            <w:top w:w="0" w:type="dxa"/>
            <w:left w:w="0" w:type="dxa"/>
            <w:bottom w:w="0" w:type="dxa"/>
            <w:right w:w="0" w:type="dxa"/>
          </w:tblCellMar>
        </w:tblPrEx>
        <w:trPr>
          <w:trHeight w:val="25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75</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三角阀及软管</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宋体" w:hAnsi="宋体" w:eastAsia="宋体" w:cs="宋体"/>
                <w:i w:val="0"/>
                <w:color w:val="auto"/>
                <w:sz w:val="20"/>
                <w:szCs w:val="20"/>
                <w:highlight w:val="none"/>
                <w:u w:val="none"/>
              </w:rPr>
            </w:pP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厂制品</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只</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100</w:t>
            </w:r>
          </w:p>
        </w:tc>
      </w:tr>
      <w:tr>
        <w:tblPrEx>
          <w:shd w:val="clear" w:color="auto" w:fill="auto"/>
          <w:tblCellMar>
            <w:top w:w="0" w:type="dxa"/>
            <w:left w:w="0" w:type="dxa"/>
            <w:bottom w:w="0" w:type="dxa"/>
            <w:right w:w="0" w:type="dxa"/>
          </w:tblCellMar>
        </w:tblPrEx>
        <w:trPr>
          <w:trHeight w:val="346"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76</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接设备进出水管</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本项目涉及到的接设备进出水管材料及安装费用</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项</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677"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77</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干手器</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说明：红外线感应，瞬驰快热技术，人性化静音，强劲≤2200W电机，烤漆工艺，智能微电脑控制，风量≥150m3/h。</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莫顿</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峰洁</w:t>
            </w:r>
            <w:r>
              <w:rPr>
                <w:rFonts w:hint="eastAsia" w:ascii="宋体" w:hAnsi="宋体" w:cs="宋体"/>
                <w:i w:val="0"/>
                <w:color w:val="auto"/>
                <w:kern w:val="0"/>
                <w:sz w:val="22"/>
                <w:szCs w:val="22"/>
                <w:highlight w:val="none"/>
                <w:u w:val="none"/>
                <w:lang w:val="en-US" w:eastAsia="zh-CN" w:bidi="ar"/>
              </w:rPr>
              <w:t>或</w:t>
            </w:r>
            <w:r>
              <w:rPr>
                <w:rFonts w:hint="eastAsia" w:ascii="宋体" w:hAnsi="宋体" w:eastAsia="宋体" w:cs="宋体"/>
                <w:i w:val="0"/>
                <w:color w:val="auto"/>
                <w:kern w:val="0"/>
                <w:sz w:val="22"/>
                <w:szCs w:val="22"/>
                <w:highlight w:val="none"/>
                <w:u w:val="none"/>
                <w:lang w:val="en-US" w:eastAsia="zh-CN" w:bidi="ar"/>
              </w:rPr>
              <w:t>松下</w:t>
            </w: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台</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r>
      <w:tr>
        <w:tblPrEx>
          <w:shd w:val="clear" w:color="auto" w:fill="auto"/>
          <w:tblCellMar>
            <w:top w:w="0" w:type="dxa"/>
            <w:left w:w="0" w:type="dxa"/>
            <w:bottom w:w="0" w:type="dxa"/>
            <w:right w:w="0" w:type="dxa"/>
          </w:tblCellMar>
        </w:tblPrEx>
        <w:trPr>
          <w:trHeight w:val="134"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杂项</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r>
      <w:tr>
        <w:tblPrEx>
          <w:shd w:val="clear" w:color="auto" w:fill="auto"/>
          <w:tblCellMar>
            <w:top w:w="0" w:type="dxa"/>
            <w:left w:w="0" w:type="dxa"/>
            <w:bottom w:w="0" w:type="dxa"/>
            <w:right w:w="0" w:type="dxa"/>
          </w:tblCellMar>
        </w:tblPrEx>
        <w:trPr>
          <w:trHeight w:val="1228"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质保期维修服务</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除杂项以外的所有厨房设备采购项目：1.提供免费的3年质保，质保期内所有的配件由投标人提供；2.质保到期后，承诺的免费质保期内提供与质保期内一样的服务；3.质保期使用的配件、产生的人工、交通、住宿、材料等所有费用全部免费。</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项</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r>
      <w:tr>
        <w:tblPrEx>
          <w:shd w:val="clear" w:color="auto" w:fill="auto"/>
          <w:tblCellMar>
            <w:top w:w="0" w:type="dxa"/>
            <w:left w:w="0" w:type="dxa"/>
            <w:bottom w:w="0" w:type="dxa"/>
            <w:right w:w="0" w:type="dxa"/>
          </w:tblCellMar>
        </w:tblPrEx>
        <w:trPr>
          <w:trHeight w:val="23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油烟机及烟道清洗</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投标人按照4次/年的频次为招标人采购及其他安装的油烟机、烟道提供内外部清洗除油服务，总计服务期限6年</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年</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r>
      <w:tr>
        <w:tblPrEx>
          <w:shd w:val="clear" w:color="auto" w:fill="auto"/>
          <w:tblCellMar>
            <w:top w:w="0" w:type="dxa"/>
            <w:left w:w="0" w:type="dxa"/>
            <w:bottom w:w="0" w:type="dxa"/>
            <w:right w:w="0" w:type="dxa"/>
          </w:tblCellMar>
        </w:tblPrEx>
        <w:trPr>
          <w:trHeight w:val="575" w:hRule="atLeast"/>
        </w:trPr>
        <w:tc>
          <w:tcPr>
            <w:tcW w:w="990"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c>
          <w:tcPr>
            <w:tcW w:w="1093"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耗材提供服务</w:t>
            </w:r>
          </w:p>
        </w:tc>
        <w:tc>
          <w:tcPr>
            <w:tcW w:w="565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投标人为中标人免费提供洗碗机专用洗涤液及干燥剂，按照每年限量提供600KG洗涤剂、600KG干燥剂。</w:t>
            </w:r>
          </w:p>
        </w:tc>
        <w:tc>
          <w:tcPr>
            <w:tcW w:w="2414"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1432"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highlight w:val="none"/>
                <w:u w:val="none"/>
              </w:rPr>
            </w:pPr>
          </w:p>
        </w:tc>
        <w:tc>
          <w:tcPr>
            <w:tcW w:w="981"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年</w:t>
            </w:r>
          </w:p>
        </w:tc>
        <w:tc>
          <w:tcPr>
            <w:tcW w:w="1125"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6</w:t>
            </w:r>
          </w:p>
        </w:tc>
      </w:tr>
    </w:tbl>
    <w:p>
      <w:pPr>
        <w:pStyle w:val="2"/>
        <w:rPr>
          <w:rFonts w:hint="eastAsia"/>
          <w:color w:val="auto"/>
          <w:highlight w:val="none"/>
        </w:rPr>
      </w:pPr>
    </w:p>
    <w:p>
      <w:pPr>
        <w:rPr>
          <w:rFonts w:hint="eastAsia"/>
          <w:color w:val="auto"/>
          <w:highlight w:val="none"/>
        </w:rPr>
      </w:pPr>
    </w:p>
    <w:p>
      <w:pPr>
        <w:spacing w:line="320" w:lineRule="exact"/>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备注：</w:t>
      </w:r>
      <w:r>
        <w:rPr>
          <w:rFonts w:hint="eastAsia" w:ascii="宋体" w:hAnsi="宋体" w:eastAsia="宋体" w:cs="宋体"/>
          <w:b/>
          <w:color w:val="auto"/>
          <w:kern w:val="2"/>
          <w:sz w:val="21"/>
          <w:szCs w:val="21"/>
          <w:highlight w:val="none"/>
          <w:lang w:val="en-US" w:eastAsia="zh-CN"/>
        </w:rPr>
        <w:t>1.</w:t>
      </w:r>
      <w:r>
        <w:rPr>
          <w:rFonts w:hint="eastAsia" w:ascii="宋体" w:hAnsi="宋体" w:eastAsia="宋体" w:cs="宋体"/>
          <w:b/>
          <w:color w:val="auto"/>
          <w:kern w:val="2"/>
          <w:sz w:val="21"/>
          <w:szCs w:val="21"/>
          <w:highlight w:val="none"/>
        </w:rPr>
        <w:t>表中产品如有特定品牌的名称或型号，是为了表明招标人需求产品的规格大小及产品档次，投标人可选用同档次及以上档次的品牌产品，但必须满足安装场所及使用功能的要求。</w:t>
      </w:r>
    </w:p>
    <w:p>
      <w:pPr>
        <w:pStyle w:val="26"/>
        <w:spacing w:line="320" w:lineRule="exact"/>
        <w:rPr>
          <w:rFonts w:hint="eastAsia" w:ascii="宋体" w:hAnsi="宋体" w:eastAsia="宋体" w:cs="宋体"/>
          <w:b/>
          <w:color w:val="auto"/>
          <w:kern w:val="2"/>
          <w:sz w:val="21"/>
          <w:szCs w:val="21"/>
          <w:highlight w:val="none"/>
          <w:lang w:val="en-US" w:eastAsia="zh-CN"/>
        </w:rPr>
      </w:pPr>
      <w:r>
        <w:rPr>
          <w:rFonts w:hint="eastAsia" w:ascii="宋体" w:hAnsi="宋体" w:eastAsia="宋体" w:cs="宋体"/>
          <w:b/>
          <w:color w:val="auto"/>
          <w:kern w:val="2"/>
          <w:sz w:val="21"/>
          <w:szCs w:val="21"/>
          <w:highlight w:val="none"/>
          <w:lang w:val="en-US" w:eastAsia="zh-CN"/>
        </w:rPr>
        <w:t>2.以下产品与食品或半成品接触，需具有食品接触产品卫生认证证书，产品验收时</w:t>
      </w:r>
      <w:r>
        <w:rPr>
          <w:rFonts w:hint="eastAsia" w:ascii="宋体" w:hAnsi="宋体" w:cs="宋体"/>
          <w:b/>
          <w:color w:val="auto"/>
          <w:kern w:val="2"/>
          <w:sz w:val="21"/>
          <w:szCs w:val="21"/>
          <w:highlight w:val="none"/>
          <w:lang w:val="en-US" w:eastAsia="zh-CN"/>
        </w:rPr>
        <w:t>随设备</w:t>
      </w:r>
      <w:r>
        <w:rPr>
          <w:rFonts w:hint="eastAsia" w:ascii="宋体" w:hAnsi="宋体" w:eastAsia="宋体" w:cs="宋体"/>
          <w:b/>
          <w:color w:val="auto"/>
          <w:kern w:val="2"/>
          <w:sz w:val="21"/>
          <w:szCs w:val="21"/>
          <w:highlight w:val="none"/>
          <w:lang w:val="en-US" w:eastAsia="zh-CN"/>
        </w:rPr>
        <w:t>提供：四层平板货架、单向调理柜、双层工作台、单星剖鱼台面、双层工作台、保温送餐车、月子餐车、流质车、不锈钢盘车、面粉车、五斗保温台、蒸品售菜工作柜、五斗保温台连双层玻璃罩、蒸品保温台连双层玻璃罩、四门碗柜。</w:t>
      </w:r>
    </w:p>
    <w:p>
      <w:pPr>
        <w:rPr>
          <w:rFonts w:hint="eastAsia" w:ascii="宋体" w:hAnsi="宋体" w:eastAsia="宋体" w:cs="宋体"/>
          <w:b/>
          <w:color w:val="auto"/>
          <w:kern w:val="2"/>
          <w:sz w:val="21"/>
          <w:szCs w:val="21"/>
          <w:highlight w:val="none"/>
          <w:lang w:val="en-US" w:eastAsia="zh-CN"/>
        </w:rPr>
      </w:pPr>
    </w:p>
    <w:p>
      <w:pPr>
        <w:pStyle w:val="26"/>
        <w:spacing w:line="320" w:lineRule="exact"/>
        <w:rPr>
          <w:rFonts w:hint="eastAsia" w:ascii="宋体" w:hAnsi="宋体" w:cs="宋体"/>
          <w:b/>
          <w:color w:val="auto"/>
          <w:kern w:val="2"/>
          <w:sz w:val="21"/>
          <w:szCs w:val="21"/>
          <w:highlight w:val="none"/>
          <w:lang w:val="en-US" w:eastAsia="zh-CN"/>
        </w:rPr>
      </w:pPr>
      <w:r>
        <w:rPr>
          <w:rFonts w:hint="eastAsia" w:ascii="宋体" w:hAnsi="宋体" w:cs="宋体"/>
          <w:b/>
          <w:color w:val="auto"/>
          <w:kern w:val="2"/>
          <w:sz w:val="21"/>
          <w:szCs w:val="21"/>
          <w:highlight w:val="none"/>
          <w:lang w:val="en-US" w:eastAsia="zh-CN"/>
        </w:rPr>
        <w:t xml:space="preserve"> 3.</w:t>
      </w:r>
      <w:r>
        <w:rPr>
          <w:rFonts w:hint="eastAsia" w:ascii="宋体" w:hAnsi="宋体" w:cs="宋体"/>
          <w:b/>
          <w:color w:val="auto"/>
          <w:kern w:val="2"/>
          <w:sz w:val="21"/>
          <w:szCs w:val="21"/>
          <w:highlight w:val="none"/>
        </w:rPr>
        <w:t>不锈钢油烟净化器</w:t>
      </w:r>
      <w:r>
        <w:rPr>
          <w:rFonts w:hint="eastAsia" w:ascii="宋体" w:hAnsi="宋体" w:cs="宋体"/>
          <w:b/>
          <w:color w:val="auto"/>
          <w:kern w:val="2"/>
          <w:sz w:val="21"/>
          <w:szCs w:val="21"/>
          <w:highlight w:val="none"/>
          <w:lang w:val="en-US" w:eastAsia="zh-CN"/>
        </w:rPr>
        <w:t>设备产品验收时需提供根据</w:t>
      </w:r>
      <w:r>
        <w:rPr>
          <w:rFonts w:hint="eastAsia" w:ascii="宋体" w:hAnsi="宋体" w:eastAsia="宋体" w:cs="宋体"/>
          <w:b/>
          <w:color w:val="auto"/>
          <w:kern w:val="2"/>
          <w:sz w:val="21"/>
          <w:szCs w:val="21"/>
          <w:highlight w:val="none"/>
        </w:rPr>
        <w:t>GB/T10125-20</w:t>
      </w:r>
      <w:r>
        <w:rPr>
          <w:rFonts w:hint="eastAsia" w:ascii="宋体" w:hAnsi="宋体" w:cs="宋体"/>
          <w:b/>
          <w:color w:val="auto"/>
          <w:kern w:val="2"/>
          <w:sz w:val="21"/>
          <w:szCs w:val="21"/>
          <w:highlight w:val="none"/>
          <w:lang w:val="en-US" w:eastAsia="zh-CN"/>
        </w:rPr>
        <w:t>21</w:t>
      </w:r>
      <w:r>
        <w:rPr>
          <w:rFonts w:hint="eastAsia" w:ascii="宋体" w:hAnsi="宋体" w:eastAsia="宋体" w:cs="宋体"/>
          <w:b/>
          <w:color w:val="auto"/>
          <w:kern w:val="2"/>
          <w:sz w:val="21"/>
          <w:szCs w:val="21"/>
          <w:highlight w:val="none"/>
        </w:rPr>
        <w:t>(人造气氛腐蚀试验、</w:t>
      </w:r>
      <w:r>
        <w:rPr>
          <w:rFonts w:hint="eastAsia" w:ascii="宋体" w:hAnsi="宋体" w:eastAsia="宋体" w:cs="宋体"/>
          <w:b/>
          <w:color w:val="auto"/>
          <w:kern w:val="2"/>
          <w:sz w:val="21"/>
          <w:szCs w:val="21"/>
          <w:highlight w:val="none"/>
          <w:lang w:val="en-US" w:eastAsia="zh-CN"/>
        </w:rPr>
        <w:t>盐雾试验</w:t>
      </w:r>
      <w:r>
        <w:rPr>
          <w:rFonts w:hint="eastAsia" w:ascii="宋体" w:hAnsi="宋体" w:eastAsia="宋体" w:cs="宋体"/>
          <w:b/>
          <w:color w:val="auto"/>
          <w:kern w:val="2"/>
          <w:sz w:val="21"/>
          <w:szCs w:val="21"/>
          <w:highlight w:val="none"/>
        </w:rPr>
        <w:t>标准）</w:t>
      </w:r>
      <w:r>
        <w:rPr>
          <w:rFonts w:hint="eastAsia" w:ascii="宋体" w:hAnsi="宋体" w:cs="宋体"/>
          <w:b/>
          <w:color w:val="auto"/>
          <w:kern w:val="2"/>
          <w:sz w:val="21"/>
          <w:szCs w:val="21"/>
          <w:highlight w:val="none"/>
          <w:lang w:val="en-US" w:eastAsia="zh-CN"/>
        </w:rPr>
        <w:t>或</w:t>
      </w:r>
      <w:r>
        <w:rPr>
          <w:rFonts w:hint="eastAsia" w:ascii="宋体" w:hAnsi="宋体" w:eastAsia="宋体" w:cs="宋体"/>
          <w:b/>
          <w:color w:val="auto"/>
          <w:kern w:val="2"/>
          <w:sz w:val="21"/>
          <w:szCs w:val="21"/>
          <w:highlight w:val="none"/>
        </w:rPr>
        <w:t>GB/T10125-20</w:t>
      </w:r>
      <w:r>
        <w:rPr>
          <w:rFonts w:hint="eastAsia" w:ascii="宋体" w:hAnsi="宋体" w:cs="宋体"/>
          <w:b/>
          <w:color w:val="auto"/>
          <w:kern w:val="2"/>
          <w:sz w:val="21"/>
          <w:szCs w:val="21"/>
          <w:highlight w:val="none"/>
          <w:lang w:val="en-US" w:eastAsia="zh-CN"/>
        </w:rPr>
        <w:t>12</w:t>
      </w:r>
      <w:r>
        <w:rPr>
          <w:rFonts w:hint="eastAsia" w:ascii="宋体" w:hAnsi="宋体" w:eastAsia="宋体" w:cs="宋体"/>
          <w:b/>
          <w:color w:val="auto"/>
          <w:kern w:val="2"/>
          <w:sz w:val="21"/>
          <w:szCs w:val="21"/>
          <w:highlight w:val="none"/>
        </w:rPr>
        <w:t>(人造气氛腐蚀试验、</w:t>
      </w:r>
      <w:r>
        <w:rPr>
          <w:rFonts w:hint="eastAsia" w:ascii="宋体" w:hAnsi="宋体" w:eastAsia="宋体" w:cs="宋体"/>
          <w:b/>
          <w:color w:val="auto"/>
          <w:kern w:val="2"/>
          <w:sz w:val="21"/>
          <w:szCs w:val="21"/>
          <w:highlight w:val="none"/>
          <w:lang w:val="en-US" w:eastAsia="zh-CN"/>
        </w:rPr>
        <w:t>盐雾试验</w:t>
      </w:r>
      <w:r>
        <w:rPr>
          <w:rFonts w:hint="eastAsia" w:ascii="宋体" w:hAnsi="宋体" w:eastAsia="宋体" w:cs="宋体"/>
          <w:b/>
          <w:color w:val="auto"/>
          <w:kern w:val="2"/>
          <w:sz w:val="21"/>
          <w:szCs w:val="21"/>
          <w:highlight w:val="none"/>
        </w:rPr>
        <w:t>标准）</w:t>
      </w:r>
      <w:r>
        <w:rPr>
          <w:rFonts w:hint="eastAsia" w:ascii="宋体" w:hAnsi="宋体" w:cs="宋体"/>
          <w:b/>
          <w:color w:val="auto"/>
          <w:kern w:val="2"/>
          <w:sz w:val="21"/>
          <w:szCs w:val="21"/>
          <w:highlight w:val="none"/>
          <w:lang w:eastAsia="zh-CN"/>
        </w:rPr>
        <w:t>（</w:t>
      </w:r>
      <w:r>
        <w:rPr>
          <w:rFonts w:hint="eastAsia" w:ascii="宋体" w:hAnsi="宋体" w:cs="宋体"/>
          <w:b/>
          <w:color w:val="auto"/>
          <w:kern w:val="2"/>
          <w:sz w:val="21"/>
          <w:szCs w:val="21"/>
          <w:highlight w:val="none"/>
          <w:lang w:val="en-US" w:eastAsia="zh-CN"/>
        </w:rPr>
        <w:t>在有效期内</w:t>
      </w:r>
      <w:r>
        <w:rPr>
          <w:rFonts w:hint="eastAsia" w:ascii="宋体" w:hAnsi="宋体" w:cs="宋体"/>
          <w:b/>
          <w:color w:val="auto"/>
          <w:kern w:val="2"/>
          <w:sz w:val="21"/>
          <w:szCs w:val="21"/>
          <w:highlight w:val="none"/>
          <w:lang w:eastAsia="zh-CN"/>
        </w:rPr>
        <w:t>）的</w:t>
      </w:r>
      <w:r>
        <w:rPr>
          <w:rFonts w:hint="eastAsia" w:ascii="宋体" w:hAnsi="宋体" w:cs="宋体"/>
          <w:b/>
          <w:color w:val="auto"/>
          <w:kern w:val="2"/>
          <w:sz w:val="21"/>
          <w:szCs w:val="21"/>
          <w:highlight w:val="none"/>
          <w:lang w:val="en-US" w:eastAsia="zh-CN"/>
        </w:rPr>
        <w:t>盐雾试验48小时报告。</w:t>
      </w:r>
    </w:p>
    <w:p>
      <w:pPr>
        <w:pStyle w:val="26"/>
        <w:spacing w:line="320" w:lineRule="exact"/>
        <w:rPr>
          <w:rFonts w:hint="eastAsia" w:ascii="宋体" w:hAnsi="宋体" w:cs="宋体"/>
          <w:b/>
          <w:color w:val="auto"/>
          <w:kern w:val="2"/>
          <w:sz w:val="21"/>
          <w:szCs w:val="21"/>
          <w:highlight w:val="none"/>
          <w:lang w:val="en-US" w:eastAsia="zh-CN"/>
        </w:rPr>
      </w:pPr>
      <w:r>
        <w:rPr>
          <w:rFonts w:hint="eastAsia" w:ascii="宋体" w:hAnsi="宋体" w:cs="宋体"/>
          <w:b/>
          <w:color w:val="auto"/>
          <w:kern w:val="2"/>
          <w:sz w:val="21"/>
          <w:szCs w:val="21"/>
          <w:highlight w:val="none"/>
          <w:lang w:val="en-US" w:eastAsia="zh-CN"/>
        </w:rPr>
        <w:t>4.</w:t>
      </w:r>
      <w:r>
        <w:rPr>
          <w:rFonts w:hint="eastAsia" w:ascii="宋体" w:hAnsi="宋体" w:eastAsia="宋体" w:cs="宋体"/>
          <w:b/>
          <w:color w:val="auto"/>
          <w:kern w:val="2"/>
          <w:sz w:val="21"/>
          <w:szCs w:val="21"/>
          <w:highlight w:val="none"/>
        </w:rPr>
        <w:t>304不锈钢板1.5mm、1.2mm、1.0mm</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304不锈钢</w:t>
      </w:r>
      <w:r>
        <w:rPr>
          <w:rFonts w:hint="eastAsia" w:ascii="宋体" w:hAnsi="宋体" w:eastAsia="宋体" w:cs="宋体"/>
          <w:b/>
          <w:color w:val="auto"/>
          <w:kern w:val="2"/>
          <w:sz w:val="21"/>
          <w:szCs w:val="21"/>
          <w:highlight w:val="none"/>
          <w:lang w:val="en-US" w:eastAsia="zh-CN"/>
        </w:rPr>
        <w:t>方</w:t>
      </w:r>
      <w:r>
        <w:rPr>
          <w:rFonts w:hint="eastAsia" w:ascii="宋体" w:hAnsi="宋体" w:eastAsia="宋体" w:cs="宋体"/>
          <w:b/>
          <w:color w:val="auto"/>
          <w:kern w:val="2"/>
          <w:sz w:val="21"/>
          <w:szCs w:val="21"/>
          <w:highlight w:val="none"/>
        </w:rPr>
        <w:t>管</w:t>
      </w:r>
      <w:r>
        <w:rPr>
          <w:rFonts w:hint="eastAsia" w:ascii="宋体" w:hAnsi="宋体" w:cs="宋体"/>
          <w:b/>
          <w:color w:val="auto"/>
          <w:kern w:val="2"/>
          <w:sz w:val="21"/>
          <w:szCs w:val="21"/>
          <w:highlight w:val="none"/>
          <w:lang w:val="en-US" w:eastAsia="zh-CN"/>
        </w:rPr>
        <w:t>30*30</w:t>
      </w:r>
      <w:r>
        <w:rPr>
          <w:rFonts w:hint="eastAsia" w:ascii="宋体" w:hAnsi="宋体" w:eastAsia="宋体" w:cs="宋体"/>
          <w:b/>
          <w:color w:val="auto"/>
          <w:kern w:val="2"/>
          <w:sz w:val="21"/>
          <w:szCs w:val="21"/>
          <w:highlight w:val="none"/>
        </w:rPr>
        <w:t>mm、</w:t>
      </w:r>
      <w:r>
        <w:rPr>
          <w:rFonts w:hint="eastAsia" w:ascii="宋体" w:hAnsi="宋体" w:eastAsia="宋体" w:cs="宋体"/>
          <w:b/>
          <w:color w:val="auto"/>
          <w:kern w:val="2"/>
          <w:sz w:val="21"/>
          <w:szCs w:val="21"/>
          <w:highlight w:val="none"/>
          <w:lang w:val="en-US" w:eastAsia="zh-CN"/>
        </w:rPr>
        <w:t>38*25mm，304不锈钢圆管</w:t>
      </w:r>
      <w:r>
        <w:rPr>
          <w:rFonts w:hint="eastAsia" w:ascii="宋体" w:hAnsi="宋体" w:eastAsia="宋体" w:cs="宋体"/>
          <w:b/>
          <w:color w:val="auto"/>
          <w:kern w:val="2"/>
          <w:sz w:val="21"/>
          <w:szCs w:val="21"/>
          <w:highlight w:val="none"/>
        </w:rPr>
        <w:t>φ38</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φ</w:t>
      </w:r>
      <w:r>
        <w:rPr>
          <w:rFonts w:hint="eastAsia" w:ascii="宋体" w:hAnsi="宋体" w:eastAsia="宋体" w:cs="宋体"/>
          <w:b/>
          <w:color w:val="auto"/>
          <w:kern w:val="2"/>
          <w:sz w:val="21"/>
          <w:szCs w:val="21"/>
          <w:highlight w:val="none"/>
          <w:lang w:val="en-US" w:eastAsia="zh-CN"/>
        </w:rPr>
        <w:t>25共</w:t>
      </w:r>
      <w:r>
        <w:rPr>
          <w:rFonts w:hint="eastAsia" w:ascii="宋体" w:hAnsi="宋体" w:cs="宋体"/>
          <w:b/>
          <w:color w:val="auto"/>
          <w:kern w:val="2"/>
          <w:sz w:val="21"/>
          <w:szCs w:val="21"/>
          <w:highlight w:val="none"/>
          <w:lang w:val="en-US" w:eastAsia="zh-CN"/>
        </w:rPr>
        <w:t>七种材料进场时需提供检测</w:t>
      </w:r>
      <w:r>
        <w:rPr>
          <w:rFonts w:hint="eastAsia" w:ascii="宋体" w:hAnsi="宋体" w:eastAsia="宋体" w:cs="宋体"/>
          <w:b/>
          <w:color w:val="auto"/>
          <w:kern w:val="2"/>
          <w:sz w:val="21"/>
          <w:szCs w:val="21"/>
          <w:highlight w:val="none"/>
        </w:rPr>
        <w:t>报告，报告符合GB/T 3280-2015(不锈钢冷轧钢板和钢带)、GB4806.9-2016(食品接触用金属材料及制品)、GB/T10125-20</w:t>
      </w:r>
      <w:r>
        <w:rPr>
          <w:rFonts w:hint="eastAsia" w:ascii="宋体" w:hAnsi="宋体" w:cs="宋体"/>
          <w:b/>
          <w:color w:val="auto"/>
          <w:kern w:val="2"/>
          <w:sz w:val="21"/>
          <w:szCs w:val="21"/>
          <w:highlight w:val="none"/>
          <w:lang w:val="en-US" w:eastAsia="zh-CN"/>
        </w:rPr>
        <w:t>21</w:t>
      </w:r>
      <w:r>
        <w:rPr>
          <w:rFonts w:hint="eastAsia" w:ascii="宋体" w:hAnsi="宋体" w:eastAsia="宋体" w:cs="宋体"/>
          <w:b/>
          <w:color w:val="auto"/>
          <w:kern w:val="2"/>
          <w:sz w:val="21"/>
          <w:szCs w:val="21"/>
          <w:highlight w:val="none"/>
        </w:rPr>
        <w:t>(人造气氛腐蚀试验、</w:t>
      </w:r>
      <w:r>
        <w:rPr>
          <w:rFonts w:hint="eastAsia" w:ascii="宋体" w:hAnsi="宋体" w:eastAsia="宋体" w:cs="宋体"/>
          <w:b/>
          <w:color w:val="auto"/>
          <w:kern w:val="2"/>
          <w:sz w:val="21"/>
          <w:szCs w:val="21"/>
          <w:highlight w:val="none"/>
          <w:lang w:val="en-US" w:eastAsia="zh-CN"/>
        </w:rPr>
        <w:t>盐雾试验</w:t>
      </w:r>
      <w:r>
        <w:rPr>
          <w:rFonts w:hint="eastAsia" w:ascii="宋体" w:hAnsi="宋体" w:eastAsia="宋体" w:cs="宋体"/>
          <w:b/>
          <w:color w:val="auto"/>
          <w:kern w:val="2"/>
          <w:sz w:val="21"/>
          <w:szCs w:val="21"/>
          <w:highlight w:val="none"/>
        </w:rPr>
        <w:t>标准）</w:t>
      </w:r>
      <w:r>
        <w:rPr>
          <w:rFonts w:hint="eastAsia" w:ascii="宋体" w:hAnsi="宋体" w:cs="宋体"/>
          <w:b/>
          <w:color w:val="auto"/>
          <w:kern w:val="2"/>
          <w:sz w:val="21"/>
          <w:szCs w:val="21"/>
          <w:highlight w:val="none"/>
          <w:lang w:val="en-US" w:eastAsia="zh-CN"/>
        </w:rPr>
        <w:t>或</w:t>
      </w:r>
      <w:r>
        <w:rPr>
          <w:rFonts w:hint="eastAsia" w:ascii="宋体" w:hAnsi="宋体" w:eastAsia="宋体" w:cs="宋体"/>
          <w:b/>
          <w:color w:val="auto"/>
          <w:kern w:val="2"/>
          <w:sz w:val="21"/>
          <w:szCs w:val="21"/>
          <w:highlight w:val="none"/>
        </w:rPr>
        <w:t>GB/T10125-20</w:t>
      </w:r>
      <w:r>
        <w:rPr>
          <w:rFonts w:hint="eastAsia" w:ascii="宋体" w:hAnsi="宋体" w:cs="宋体"/>
          <w:b/>
          <w:color w:val="auto"/>
          <w:kern w:val="2"/>
          <w:sz w:val="21"/>
          <w:szCs w:val="21"/>
          <w:highlight w:val="none"/>
          <w:lang w:val="en-US" w:eastAsia="zh-CN"/>
        </w:rPr>
        <w:t>12</w:t>
      </w:r>
      <w:r>
        <w:rPr>
          <w:rFonts w:hint="eastAsia" w:ascii="宋体" w:hAnsi="宋体" w:eastAsia="宋体" w:cs="宋体"/>
          <w:b/>
          <w:color w:val="auto"/>
          <w:kern w:val="2"/>
          <w:sz w:val="21"/>
          <w:szCs w:val="21"/>
          <w:highlight w:val="none"/>
        </w:rPr>
        <w:t>(人造气氛腐蚀试验、</w:t>
      </w:r>
      <w:r>
        <w:rPr>
          <w:rFonts w:hint="eastAsia" w:ascii="宋体" w:hAnsi="宋体" w:eastAsia="宋体" w:cs="宋体"/>
          <w:b/>
          <w:color w:val="auto"/>
          <w:kern w:val="2"/>
          <w:sz w:val="21"/>
          <w:szCs w:val="21"/>
          <w:highlight w:val="none"/>
          <w:lang w:val="en-US" w:eastAsia="zh-CN"/>
        </w:rPr>
        <w:t>盐雾试验</w:t>
      </w:r>
      <w:r>
        <w:rPr>
          <w:rFonts w:hint="eastAsia" w:ascii="宋体" w:hAnsi="宋体" w:eastAsia="宋体" w:cs="宋体"/>
          <w:b/>
          <w:color w:val="auto"/>
          <w:kern w:val="2"/>
          <w:sz w:val="21"/>
          <w:szCs w:val="21"/>
          <w:highlight w:val="none"/>
        </w:rPr>
        <w:t>标准）</w:t>
      </w:r>
      <w:r>
        <w:rPr>
          <w:rFonts w:hint="eastAsia" w:ascii="宋体" w:hAnsi="宋体" w:cs="宋体"/>
          <w:b/>
          <w:color w:val="auto"/>
          <w:kern w:val="2"/>
          <w:sz w:val="21"/>
          <w:szCs w:val="21"/>
          <w:highlight w:val="none"/>
          <w:lang w:eastAsia="zh-CN"/>
        </w:rPr>
        <w:t>（</w:t>
      </w:r>
      <w:r>
        <w:rPr>
          <w:rFonts w:hint="eastAsia" w:ascii="宋体" w:hAnsi="宋体" w:cs="宋体"/>
          <w:b/>
          <w:color w:val="auto"/>
          <w:kern w:val="2"/>
          <w:sz w:val="21"/>
          <w:szCs w:val="21"/>
          <w:highlight w:val="none"/>
          <w:lang w:val="en-US" w:eastAsia="zh-CN"/>
        </w:rPr>
        <w:t>在有效期内</w:t>
      </w:r>
      <w:r>
        <w:rPr>
          <w:rFonts w:hint="eastAsia" w:ascii="宋体" w:hAnsi="宋体" w:cs="宋体"/>
          <w:b/>
          <w:color w:val="auto"/>
          <w:kern w:val="2"/>
          <w:sz w:val="21"/>
          <w:szCs w:val="21"/>
          <w:highlight w:val="none"/>
          <w:lang w:eastAsia="zh-CN"/>
        </w:rPr>
        <w:t>）</w:t>
      </w:r>
      <w:r>
        <w:rPr>
          <w:rFonts w:hint="eastAsia" w:ascii="宋体" w:hAnsi="宋体" w:cs="宋体"/>
          <w:b/>
          <w:color w:val="auto"/>
          <w:kern w:val="2"/>
          <w:sz w:val="21"/>
          <w:szCs w:val="21"/>
          <w:highlight w:val="none"/>
          <w:lang w:val="en-US" w:eastAsia="zh-CN"/>
        </w:rPr>
        <w:t>的盐雾试验240小时报告。</w:t>
      </w:r>
    </w:p>
    <w:p>
      <w:pPr>
        <w:pStyle w:val="26"/>
        <w:spacing w:line="320" w:lineRule="exact"/>
        <w:rPr>
          <w:rFonts w:hint="eastAsia" w:ascii="宋体" w:hAnsi="宋体" w:cs="宋体"/>
          <w:b/>
          <w:color w:val="auto"/>
          <w:kern w:val="2"/>
          <w:sz w:val="21"/>
          <w:szCs w:val="21"/>
          <w:highlight w:val="none"/>
          <w:lang w:val="en-US" w:eastAsia="zh-CN"/>
        </w:rPr>
      </w:pPr>
      <w:r>
        <w:rPr>
          <w:rFonts w:hint="eastAsia" w:ascii="宋体" w:hAnsi="宋体" w:cs="宋体"/>
          <w:b/>
          <w:color w:val="auto"/>
          <w:kern w:val="2"/>
          <w:sz w:val="21"/>
          <w:szCs w:val="21"/>
          <w:highlight w:val="none"/>
          <w:lang w:val="en-US" w:eastAsia="zh-CN"/>
        </w:rPr>
        <w:t>5.除招标文件内列明需提供佐证资料的其余检测报告于产品验收时随设备提供。</w:t>
      </w:r>
    </w:p>
    <w:p>
      <w:pPr>
        <w:pStyle w:val="2"/>
        <w:rPr>
          <w:rFonts w:hint="eastAsia"/>
          <w:color w:val="auto"/>
          <w:highlight w:val="none"/>
          <w:lang w:val="en-US" w:eastAsia="zh-CN"/>
        </w:rPr>
      </w:pPr>
    </w:p>
    <w:p>
      <w:pPr>
        <w:adjustRightInd w:val="0"/>
        <w:snapToGrid w:val="0"/>
        <w:spacing w:line="320" w:lineRule="exact"/>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三、招标内容</w:t>
      </w:r>
    </w:p>
    <w:p>
      <w:pPr>
        <w:spacing w:line="320" w:lineRule="exact"/>
        <w:ind w:firstLine="420" w:firstLineChars="200"/>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投标人需按本技术规格书的要求完成设计出图、制造、运输、装卸、产品保护、安装、调试、配合验收、培训及售后服务等工作。按工作顺序提交所需的无论是否被明细列在合同文件中的所有资料。</w:t>
      </w:r>
    </w:p>
    <w:p>
      <w:pPr>
        <w:adjustRightInd w:val="0"/>
        <w:snapToGrid w:val="0"/>
        <w:spacing w:line="320" w:lineRule="exact"/>
        <w:ind w:firstLine="420" w:firstLineChars="200"/>
        <w:rPr>
          <w:rFonts w:hint="eastAsia" w:ascii="宋体" w:hAnsi="宋体" w:eastAsia="宋体" w:cs="宋体"/>
          <w:b/>
          <w:color w:val="auto"/>
          <w:kern w:val="2"/>
          <w:sz w:val="21"/>
          <w:szCs w:val="21"/>
          <w:highlight w:val="none"/>
        </w:rPr>
      </w:pPr>
      <w:r>
        <w:rPr>
          <w:rFonts w:hint="eastAsia" w:ascii="宋体" w:hAnsi="宋体" w:eastAsia="宋体" w:cs="宋体"/>
          <w:bCs/>
          <w:color w:val="auto"/>
          <w:kern w:val="2"/>
          <w:sz w:val="21"/>
          <w:szCs w:val="21"/>
          <w:highlight w:val="none"/>
        </w:rPr>
        <w:t>本技术要求是招标文件的一部分，包括所有条款的具体说明和要求，投标人需在各自技术和商务占优势的基础上按照招标设备清单要求的规格、数量对厨房设备全部项目投标报价。</w:t>
      </w:r>
    </w:p>
    <w:p>
      <w:pPr>
        <w:pStyle w:val="3"/>
        <w:rPr>
          <w:rFonts w:hint="eastAsia"/>
          <w:color w:val="auto"/>
          <w:highlight w:val="none"/>
          <w:lang w:val="en-US" w:eastAsia="zh-CN"/>
        </w:rPr>
        <w:sectPr>
          <w:pgSz w:w="16838" w:h="11905" w:orient="landscape"/>
          <w:pgMar w:top="1134" w:right="1417" w:bottom="1134" w:left="1417" w:header="680" w:footer="680" w:gutter="0"/>
          <w:pgBorders>
            <w:top w:val="none" w:sz="0" w:space="0"/>
            <w:left w:val="none" w:sz="0" w:space="0"/>
            <w:bottom w:val="none" w:sz="0" w:space="0"/>
            <w:right w:val="none" w:sz="0" w:space="0"/>
          </w:pgBorders>
          <w:cols w:space="0" w:num="1"/>
          <w:rtlGutter w:val="0"/>
          <w:docGrid w:linePitch="271" w:charSpace="0"/>
        </w:sectPr>
      </w:pPr>
    </w:p>
    <w:p>
      <w:pPr>
        <w:adjustRightInd w:val="0"/>
        <w:snapToGrid w:val="0"/>
        <w:spacing w:line="320" w:lineRule="exact"/>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四、工作范围</w:t>
      </w:r>
    </w:p>
    <w:p>
      <w:pPr>
        <w:adjustRightInd w:val="0"/>
        <w:snapToGrid w:val="0"/>
        <w:spacing w:line="320" w:lineRule="exact"/>
        <w:ind w:firstLine="420" w:firstLineChars="200"/>
        <w:textAlignment w:val="top"/>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1、投标人须完成下列项目：</w:t>
      </w:r>
    </w:p>
    <w:p>
      <w:pPr>
        <w:numPr>
          <w:ilvl w:val="0"/>
          <w:numId w:val="3"/>
        </w:numPr>
        <w:tabs>
          <w:tab w:val="left" w:pos="540"/>
          <w:tab w:val="left" w:pos="720"/>
        </w:tabs>
        <w:autoSpaceDE w:val="0"/>
        <w:autoSpaceDN w:val="0"/>
        <w:adjustRightInd w:val="0"/>
        <w:snapToGrid w:val="0"/>
        <w:spacing w:line="320" w:lineRule="exact"/>
        <w:ind w:left="0" w:firstLine="420" w:firstLineChars="200"/>
        <w:textAlignment w:val="bottom"/>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协助使用单位进行电气、暖通、给排水、装修等施工图的修改；</w:t>
      </w:r>
    </w:p>
    <w:p>
      <w:pPr>
        <w:numPr>
          <w:ilvl w:val="0"/>
          <w:numId w:val="3"/>
        </w:numPr>
        <w:tabs>
          <w:tab w:val="left" w:pos="540"/>
          <w:tab w:val="left" w:pos="720"/>
        </w:tabs>
        <w:autoSpaceDE w:val="0"/>
        <w:autoSpaceDN w:val="0"/>
        <w:adjustRightInd w:val="0"/>
        <w:snapToGrid w:val="0"/>
        <w:spacing w:line="320" w:lineRule="exact"/>
        <w:ind w:left="0" w:firstLine="420" w:firstLineChars="200"/>
        <w:textAlignment w:val="bottom"/>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提供厨房设备；</w:t>
      </w:r>
    </w:p>
    <w:p>
      <w:pPr>
        <w:numPr>
          <w:ilvl w:val="0"/>
          <w:numId w:val="3"/>
        </w:numPr>
        <w:tabs>
          <w:tab w:val="left" w:pos="540"/>
          <w:tab w:val="left" w:pos="720"/>
        </w:tabs>
        <w:autoSpaceDE w:val="0"/>
        <w:autoSpaceDN w:val="0"/>
        <w:adjustRightInd w:val="0"/>
        <w:snapToGrid w:val="0"/>
        <w:spacing w:line="320" w:lineRule="exact"/>
        <w:ind w:left="0" w:firstLine="420" w:firstLineChars="200"/>
        <w:textAlignment w:val="bottom"/>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设备的就位和安装（包括和外部系统的联接）施工。设备基础如有特殊工艺处理；制冷设备（室内外机）的安装和连接；各排烟罩至排烟道的工程量；各种水电汽管线的非埋墙埋地部分等；</w:t>
      </w:r>
    </w:p>
    <w:p>
      <w:pPr>
        <w:numPr>
          <w:ilvl w:val="0"/>
          <w:numId w:val="3"/>
        </w:numPr>
        <w:tabs>
          <w:tab w:val="left" w:pos="540"/>
          <w:tab w:val="left" w:pos="720"/>
        </w:tabs>
        <w:autoSpaceDE w:val="0"/>
        <w:autoSpaceDN w:val="0"/>
        <w:adjustRightInd w:val="0"/>
        <w:snapToGrid w:val="0"/>
        <w:spacing w:line="320" w:lineRule="exact"/>
        <w:ind w:left="0" w:firstLine="420" w:firstLineChars="200"/>
        <w:textAlignment w:val="bottom"/>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设备的检查、检验及测试；</w:t>
      </w:r>
    </w:p>
    <w:p>
      <w:pPr>
        <w:numPr>
          <w:ilvl w:val="0"/>
          <w:numId w:val="3"/>
        </w:numPr>
        <w:tabs>
          <w:tab w:val="left" w:pos="540"/>
          <w:tab w:val="left" w:pos="720"/>
        </w:tabs>
        <w:autoSpaceDE w:val="0"/>
        <w:autoSpaceDN w:val="0"/>
        <w:adjustRightInd w:val="0"/>
        <w:snapToGrid w:val="0"/>
        <w:spacing w:line="320" w:lineRule="exact"/>
        <w:ind w:left="0" w:firstLine="420" w:firstLineChars="200"/>
        <w:textAlignment w:val="bottom"/>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设备的电气线、上下水管、燃气蒸汽管、排烟通风管的安装、连接和检查；</w:t>
      </w:r>
    </w:p>
    <w:p>
      <w:pPr>
        <w:numPr>
          <w:ilvl w:val="0"/>
          <w:numId w:val="3"/>
        </w:numPr>
        <w:tabs>
          <w:tab w:val="left" w:pos="540"/>
          <w:tab w:val="left" w:pos="720"/>
        </w:tabs>
        <w:autoSpaceDE w:val="0"/>
        <w:autoSpaceDN w:val="0"/>
        <w:adjustRightInd w:val="0"/>
        <w:snapToGrid w:val="0"/>
        <w:spacing w:line="320" w:lineRule="exact"/>
        <w:ind w:left="0" w:firstLine="420" w:firstLineChars="200"/>
        <w:textAlignment w:val="bottom"/>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总体调试及工程验收（包括整体验收）；</w:t>
      </w:r>
    </w:p>
    <w:p>
      <w:pPr>
        <w:numPr>
          <w:ilvl w:val="0"/>
          <w:numId w:val="3"/>
        </w:numPr>
        <w:tabs>
          <w:tab w:val="left" w:pos="540"/>
          <w:tab w:val="left" w:pos="720"/>
        </w:tabs>
        <w:autoSpaceDE w:val="0"/>
        <w:autoSpaceDN w:val="0"/>
        <w:adjustRightInd w:val="0"/>
        <w:snapToGrid w:val="0"/>
        <w:spacing w:line="320" w:lineRule="exact"/>
        <w:ind w:left="0" w:firstLine="420" w:firstLineChars="200"/>
        <w:textAlignment w:val="bottom"/>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整改；</w:t>
      </w:r>
    </w:p>
    <w:p>
      <w:pPr>
        <w:numPr>
          <w:ilvl w:val="0"/>
          <w:numId w:val="3"/>
        </w:numPr>
        <w:tabs>
          <w:tab w:val="left" w:pos="540"/>
          <w:tab w:val="left" w:pos="720"/>
        </w:tabs>
        <w:autoSpaceDE w:val="0"/>
        <w:autoSpaceDN w:val="0"/>
        <w:adjustRightInd w:val="0"/>
        <w:snapToGrid w:val="0"/>
        <w:spacing w:line="320" w:lineRule="exact"/>
        <w:ind w:left="0" w:firstLine="420" w:firstLineChars="200"/>
        <w:textAlignment w:val="bottom"/>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设备及相关部分的维护、维修；</w:t>
      </w:r>
    </w:p>
    <w:p>
      <w:pPr>
        <w:numPr>
          <w:ilvl w:val="0"/>
          <w:numId w:val="3"/>
        </w:numPr>
        <w:tabs>
          <w:tab w:val="left" w:pos="540"/>
          <w:tab w:val="left" w:pos="720"/>
        </w:tabs>
        <w:autoSpaceDE w:val="0"/>
        <w:autoSpaceDN w:val="0"/>
        <w:adjustRightInd w:val="0"/>
        <w:snapToGrid w:val="0"/>
        <w:spacing w:line="320" w:lineRule="exact"/>
        <w:ind w:left="0" w:firstLine="420" w:firstLineChars="200"/>
        <w:textAlignment w:val="bottom"/>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售后服务，包括对甲方操作人员的使用及维护培训；</w:t>
      </w:r>
    </w:p>
    <w:p>
      <w:pPr>
        <w:numPr>
          <w:ilvl w:val="0"/>
          <w:numId w:val="3"/>
        </w:numPr>
        <w:tabs>
          <w:tab w:val="left" w:pos="540"/>
          <w:tab w:val="left" w:pos="720"/>
        </w:tabs>
        <w:autoSpaceDE w:val="0"/>
        <w:autoSpaceDN w:val="0"/>
        <w:adjustRightInd w:val="0"/>
        <w:snapToGrid w:val="0"/>
        <w:spacing w:line="320" w:lineRule="exact"/>
        <w:ind w:left="0" w:firstLine="422" w:firstLineChars="200"/>
        <w:textAlignment w:val="bottom"/>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工程实施过程中与其它协作方、总包方的协调和配合（中标方须服从工程总包方的安排，安全施工、实施材料堆放、现场运输、临时水电接通等事宜）。</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这份规格书只是对招标设备的一些基本的原则性规定，并不是详尽的要求，投标人有责任对厨房设备的设计符合技术规格书的要求负责，并向招标人提供使使用单位满意的产品。招标人提供的文件资料若有漏项或未明确的设备或工程量，而根据国家标准和相关规范或系统应有的设备或工程量，须包含在投标报价中。</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3、在投标之前，投标人须仔细阅读招标文件，如发现有任何疑问、冲突或技术问题，投标方须向招标代理机构咨询。</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4、投标人须对招标文件中涉及到的专利负责，并保证不伤害业主的利益。在法律范围内，所有文字、商标和技术侵权造成的相关费用，业主概不负责。</w:t>
      </w:r>
    </w:p>
    <w:p>
      <w:pPr>
        <w:adjustRightInd w:val="0"/>
        <w:snapToGrid w:val="0"/>
        <w:spacing w:line="320" w:lineRule="exact"/>
        <w:ind w:firstLine="422" w:firstLineChars="200"/>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rPr>
        <w:t>五、</w:t>
      </w:r>
      <w:r>
        <w:rPr>
          <w:rFonts w:hint="eastAsia" w:ascii="宋体" w:hAnsi="宋体" w:eastAsia="宋体" w:cs="宋体"/>
          <w:b/>
          <w:bCs/>
          <w:color w:val="auto"/>
          <w:kern w:val="2"/>
          <w:sz w:val="21"/>
          <w:szCs w:val="21"/>
          <w:highlight w:val="none"/>
          <w:lang w:val="en-US" w:eastAsia="zh-CN"/>
        </w:rPr>
        <w:t>A级食堂要求</w:t>
      </w:r>
    </w:p>
    <w:p>
      <w:pPr>
        <w:adjustRightInd/>
        <w:snapToGrid/>
        <w:spacing w:line="320" w:lineRule="exact"/>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sz w:val="21"/>
          <w:szCs w:val="21"/>
          <w:highlight w:val="none"/>
        </w:rPr>
        <w:t>布局流程符合要求、场所面积能满足经营需要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功能间（区）</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标识</w:t>
      </w:r>
      <w:r>
        <w:rPr>
          <w:rFonts w:hint="eastAsia" w:ascii="宋体" w:hAnsi="宋体" w:eastAsia="宋体" w:cs="宋体"/>
          <w:color w:val="auto"/>
          <w:sz w:val="21"/>
          <w:szCs w:val="21"/>
          <w:highlight w:val="none"/>
          <w:lang w:eastAsia="zh-CN"/>
        </w:rPr>
        <w:t>。</w:t>
      </w:r>
    </w:p>
    <w:p>
      <w:pPr>
        <w:adjustRightInd/>
        <w:snapToGrid/>
        <w:spacing w:line="320" w:lineRule="exact"/>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大型以上餐馆，供餐人数300人以上的学校（含托幼机构）食堂，供餐人数500人以上的单位食堂的粗加工、切配、烹饪、餐用具清洗消毒场所为独立隔间的场所</w:t>
      </w:r>
      <w:r>
        <w:rPr>
          <w:rFonts w:hint="eastAsia" w:ascii="宋体" w:hAnsi="宋体" w:eastAsia="宋体" w:cs="宋体"/>
          <w:color w:val="auto"/>
          <w:kern w:val="0"/>
          <w:sz w:val="21"/>
          <w:szCs w:val="21"/>
          <w:highlight w:val="none"/>
          <w:lang w:eastAsia="zh-CN"/>
        </w:rPr>
        <w:t>。</w:t>
      </w:r>
    </w:p>
    <w:p>
      <w:pPr>
        <w:spacing w:line="320" w:lineRule="exact"/>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更衣场所与加工场所在同一建筑物内</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并位于</w:t>
      </w:r>
      <w:r>
        <w:rPr>
          <w:rFonts w:hint="eastAsia" w:ascii="宋体" w:hAnsi="宋体" w:eastAsia="宋体" w:cs="宋体"/>
          <w:color w:val="auto"/>
          <w:kern w:val="0"/>
          <w:sz w:val="21"/>
          <w:szCs w:val="21"/>
          <w:highlight w:val="none"/>
        </w:rPr>
        <w:t>食品处理区入口处</w:t>
      </w:r>
      <w:r>
        <w:rPr>
          <w:rFonts w:hint="eastAsia" w:ascii="宋体" w:hAnsi="宋体" w:eastAsia="宋体" w:cs="宋体"/>
          <w:color w:val="auto"/>
          <w:kern w:val="0"/>
          <w:sz w:val="21"/>
          <w:szCs w:val="21"/>
          <w:highlight w:val="none"/>
          <w:lang w:eastAsia="zh-CN"/>
        </w:rPr>
        <w:t>。</w:t>
      </w:r>
    </w:p>
    <w:p>
      <w:pPr>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4.有</w:t>
      </w:r>
      <w:r>
        <w:rPr>
          <w:rFonts w:hint="eastAsia" w:ascii="宋体" w:hAnsi="宋体" w:eastAsia="宋体" w:cs="宋体"/>
          <w:color w:val="auto"/>
          <w:sz w:val="21"/>
          <w:szCs w:val="21"/>
          <w:highlight w:val="none"/>
        </w:rPr>
        <w:t>通风排烟设施；暴露食品正上方的灯具</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防护罩、冷藏库房</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防爆灯；</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防尘防鼠防虫害设施</w:t>
      </w:r>
      <w:r>
        <w:rPr>
          <w:rFonts w:hint="eastAsia" w:ascii="宋体" w:hAnsi="宋体" w:eastAsia="宋体" w:cs="宋体"/>
          <w:color w:val="auto"/>
          <w:sz w:val="21"/>
          <w:szCs w:val="21"/>
          <w:highlight w:val="none"/>
          <w:lang w:eastAsia="zh-CN"/>
        </w:rPr>
        <w:t>。</w:t>
      </w:r>
    </w:p>
    <w:p>
      <w:pPr>
        <w:spacing w:line="32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洗手消毒设施：</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洗手消毒设施</w:t>
      </w:r>
      <w:r>
        <w:rPr>
          <w:rFonts w:hint="eastAsia" w:ascii="宋体" w:hAnsi="宋体" w:eastAsia="宋体" w:cs="宋体"/>
          <w:color w:val="auto"/>
          <w:kern w:val="0"/>
          <w:sz w:val="21"/>
          <w:szCs w:val="21"/>
          <w:highlight w:val="none"/>
        </w:rPr>
        <w:t>。</w:t>
      </w:r>
    </w:p>
    <w:p>
      <w:pPr>
        <w:spacing w:line="320" w:lineRule="exact"/>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kern w:val="0"/>
          <w:sz w:val="21"/>
          <w:szCs w:val="21"/>
          <w:highlight w:val="none"/>
        </w:rPr>
        <w:t>动物类、植物类、水产品专用清洗水池</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按分类配置</w:t>
      </w:r>
      <w:r>
        <w:rPr>
          <w:rFonts w:hint="eastAsia" w:ascii="宋体" w:hAnsi="宋体" w:eastAsia="宋体" w:cs="宋体"/>
          <w:color w:val="auto"/>
          <w:sz w:val="21"/>
          <w:szCs w:val="21"/>
          <w:highlight w:val="none"/>
        </w:rPr>
        <w:t>专用切配工</w:t>
      </w:r>
      <w:r>
        <w:rPr>
          <w:rFonts w:hint="eastAsia" w:ascii="宋体" w:hAnsi="宋体" w:eastAsia="宋体" w:cs="宋体"/>
          <w:color w:val="auto"/>
          <w:sz w:val="21"/>
          <w:szCs w:val="21"/>
          <w:highlight w:val="none"/>
          <w:lang w:val="en-US" w:eastAsia="zh-CN"/>
        </w:rPr>
        <w:t>用具。</w:t>
      </w:r>
    </w:p>
    <w:p>
      <w:pPr>
        <w:spacing w:line="3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餐具、拖把、工用具专用清洗水池；</w:t>
      </w:r>
      <w:r>
        <w:rPr>
          <w:rFonts w:hint="eastAsia" w:ascii="宋体" w:hAnsi="宋体" w:eastAsia="宋体" w:cs="宋体"/>
          <w:color w:val="auto"/>
          <w:kern w:val="0"/>
          <w:sz w:val="21"/>
          <w:szCs w:val="21"/>
          <w:highlight w:val="none"/>
          <w:lang w:val="en-US" w:eastAsia="zh-CN"/>
        </w:rPr>
        <w:t>有</w:t>
      </w:r>
      <w:r>
        <w:rPr>
          <w:rFonts w:hint="eastAsia" w:ascii="宋体" w:hAnsi="宋体" w:eastAsia="宋体" w:cs="宋体"/>
          <w:color w:val="auto"/>
          <w:kern w:val="0"/>
          <w:sz w:val="21"/>
          <w:szCs w:val="21"/>
          <w:highlight w:val="none"/>
        </w:rPr>
        <w:t>餐具消毒和保洁设施，；</w:t>
      </w:r>
      <w:r>
        <w:rPr>
          <w:rFonts w:hint="eastAsia" w:ascii="宋体" w:hAnsi="宋体" w:eastAsia="宋体" w:cs="宋体"/>
          <w:color w:val="auto"/>
          <w:kern w:val="0"/>
          <w:sz w:val="21"/>
          <w:szCs w:val="21"/>
          <w:highlight w:val="none"/>
          <w:lang w:val="en-US" w:eastAsia="zh-CN"/>
        </w:rPr>
        <w:t>有</w:t>
      </w:r>
      <w:r>
        <w:rPr>
          <w:rFonts w:hint="eastAsia" w:ascii="宋体" w:hAnsi="宋体" w:eastAsia="宋体" w:cs="宋体"/>
          <w:color w:val="auto"/>
          <w:sz w:val="21"/>
          <w:szCs w:val="21"/>
          <w:highlight w:val="none"/>
        </w:rPr>
        <w:t>专用留样设施。</w:t>
      </w:r>
    </w:p>
    <w:p>
      <w:pPr>
        <w:spacing w:line="320" w:lineRule="exact"/>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洗手消毒设施、</w:t>
      </w:r>
      <w:r>
        <w:rPr>
          <w:rFonts w:hint="eastAsia" w:ascii="宋体" w:hAnsi="宋体" w:eastAsia="宋体" w:cs="宋体"/>
          <w:color w:val="auto"/>
          <w:kern w:val="0"/>
          <w:sz w:val="21"/>
          <w:szCs w:val="21"/>
          <w:highlight w:val="none"/>
        </w:rPr>
        <w:t>餐具消毒和保洁设施</w:t>
      </w:r>
      <w:r>
        <w:rPr>
          <w:rFonts w:hint="eastAsia" w:ascii="宋体" w:hAnsi="宋体" w:eastAsia="宋体" w:cs="宋体"/>
          <w:color w:val="auto"/>
          <w:sz w:val="21"/>
          <w:szCs w:val="21"/>
          <w:highlight w:val="none"/>
        </w:rPr>
        <w:t>符合要求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设施</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明显标识、</w:t>
      </w:r>
      <w:r>
        <w:rPr>
          <w:rFonts w:hint="eastAsia" w:ascii="宋体" w:hAnsi="宋体" w:eastAsia="宋体" w:cs="宋体"/>
          <w:color w:val="auto"/>
          <w:kern w:val="0"/>
          <w:sz w:val="21"/>
          <w:szCs w:val="21"/>
          <w:highlight w:val="none"/>
        </w:rPr>
        <w:t>数量能满足经营需要</w:t>
      </w:r>
      <w:r>
        <w:rPr>
          <w:rFonts w:hint="eastAsia" w:ascii="宋体" w:hAnsi="宋体" w:eastAsia="宋体" w:cs="宋体"/>
          <w:color w:val="auto"/>
          <w:kern w:val="0"/>
          <w:sz w:val="21"/>
          <w:szCs w:val="21"/>
          <w:highlight w:val="none"/>
          <w:lang w:eastAsia="zh-CN"/>
        </w:rPr>
        <w:t>。</w:t>
      </w:r>
    </w:p>
    <w:p>
      <w:pPr>
        <w:spacing w:line="3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加工动物性、植物性、水产品的工具和容器按标识分类使用设施设备</w:t>
      </w:r>
      <w:r>
        <w:rPr>
          <w:rFonts w:hint="eastAsia" w:ascii="宋体" w:hAnsi="宋体" w:eastAsia="宋体" w:cs="宋体"/>
          <w:color w:val="auto"/>
          <w:sz w:val="21"/>
          <w:szCs w:val="21"/>
          <w:highlight w:val="none"/>
          <w:lang w:eastAsia="zh-CN"/>
        </w:rPr>
        <w:t>。</w:t>
      </w:r>
    </w:p>
    <w:p>
      <w:pPr>
        <w:spacing w:line="320" w:lineRule="exact"/>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.专间区域：</w:t>
      </w:r>
      <w:r>
        <w:rPr>
          <w:rFonts w:hint="eastAsia" w:ascii="宋体" w:hAnsi="宋体" w:eastAsia="宋体" w:cs="宋体"/>
          <w:color w:val="auto"/>
          <w:kern w:val="0"/>
          <w:sz w:val="21"/>
          <w:szCs w:val="21"/>
          <w:highlight w:val="none"/>
        </w:rPr>
        <w:t>按要求设立预进间</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预进间</w:t>
      </w:r>
      <w:r>
        <w:rPr>
          <w:rFonts w:hint="eastAsia" w:ascii="宋体" w:hAnsi="宋体" w:eastAsia="宋体" w:cs="宋体"/>
          <w:color w:val="auto"/>
          <w:kern w:val="0"/>
          <w:sz w:val="21"/>
          <w:szCs w:val="21"/>
          <w:highlight w:val="none"/>
          <w:lang w:val="en-US" w:eastAsia="zh-CN"/>
        </w:rPr>
        <w:t>有</w:t>
      </w:r>
      <w:r>
        <w:rPr>
          <w:rFonts w:hint="eastAsia" w:ascii="宋体" w:hAnsi="宋体" w:eastAsia="宋体" w:cs="宋体"/>
          <w:color w:val="auto"/>
          <w:kern w:val="0"/>
          <w:sz w:val="21"/>
          <w:szCs w:val="21"/>
          <w:highlight w:val="none"/>
        </w:rPr>
        <w:t>非手动式水龙头开关、更衣设施</w:t>
      </w:r>
      <w:r>
        <w:rPr>
          <w:rFonts w:hint="eastAsia" w:ascii="宋体" w:hAnsi="宋体" w:eastAsia="宋体" w:cs="宋体"/>
          <w:color w:val="auto"/>
          <w:kern w:val="0"/>
          <w:sz w:val="21"/>
          <w:szCs w:val="21"/>
          <w:highlight w:val="none"/>
          <w:lang w:eastAsia="zh-CN"/>
        </w:rPr>
        <w:t>。</w:t>
      </w:r>
    </w:p>
    <w:p>
      <w:pPr>
        <w:spacing w:line="320" w:lineRule="exact"/>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t>11.有</w:t>
      </w:r>
      <w:r>
        <w:rPr>
          <w:rFonts w:hint="eastAsia" w:ascii="宋体" w:hAnsi="宋体" w:eastAsia="宋体" w:cs="宋体"/>
          <w:color w:val="auto"/>
          <w:sz w:val="21"/>
          <w:szCs w:val="21"/>
          <w:highlight w:val="none"/>
        </w:rPr>
        <w:t>检验室、开展检验；检验设备和设施与产品检验项目适应</w:t>
      </w:r>
      <w:r>
        <w:rPr>
          <w:rFonts w:hint="eastAsia" w:ascii="宋体" w:hAnsi="宋体" w:eastAsia="宋体" w:cs="宋体"/>
          <w:color w:val="auto"/>
          <w:sz w:val="21"/>
          <w:szCs w:val="21"/>
          <w:highlight w:val="none"/>
          <w:lang w:eastAsia="zh-CN"/>
        </w:rPr>
        <w:t>。</w:t>
      </w:r>
    </w:p>
    <w:p>
      <w:pPr>
        <w:adjustRightInd w:val="0"/>
        <w:snapToGrid w:val="0"/>
        <w:spacing w:line="320" w:lineRule="exact"/>
        <w:ind w:firstLine="422" w:firstLineChars="20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六、参照标准</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本项目设计制作、材料配件选配、施工安装、试运行、调试验收等须符合现行的国家标准、技术规范、行业标准等，国家实施强制性产品认证的产品须具有中国国家强制性产品认证证书（3C认证）；国家规定实行生产许可证管理的投标产品取得《全国工业产品生产许可证》。</w:t>
      </w:r>
    </w:p>
    <w:p>
      <w:pPr>
        <w:adjustRightInd w:val="0"/>
        <w:snapToGrid w:val="0"/>
        <w:spacing w:line="320" w:lineRule="exact"/>
        <w:ind w:firstLine="422" w:firstLineChars="20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七、材料设备</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材料及设备应是全新的、一流的、美观的。制造商应按技术规格书要求提供设备使甲方满意，此设备应易于检验、清洗及维修。</w:t>
      </w:r>
    </w:p>
    <w:p>
      <w:pPr>
        <w:adjustRightInd w:val="0"/>
        <w:snapToGrid w:val="0"/>
        <w:spacing w:line="320" w:lineRule="exact"/>
        <w:ind w:firstLine="422" w:firstLineChars="20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八、资料要求</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基本要求</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1、所有提交的图纸及技术文件应使用国际单位制。</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2、提交的图纸及文件应清楚、完整，否则，招标人将有权拒绝。</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3、招标人将不认可与招标要求不一致的图纸及技术文件。</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4、中标后合同签定前需提供的资料</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bCs/>
          <w:color w:val="auto"/>
          <w:kern w:val="2"/>
          <w:sz w:val="21"/>
          <w:szCs w:val="21"/>
          <w:highlight w:val="none"/>
        </w:rPr>
        <w:t>上下水接口位置及尺寸图、明沟位置及尺寸图、电气连接及功率图、排烟通风管的接管图及要求风量、燃油或燃气、蒸汽走向图、厨房隔墙图等技术资料。</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2）其他供货方认为可能需要的文件。</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上面所提到的资料都应在合同签订前提交，其他资料的提交请参照有关章节</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5、交货时需提供的资料</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（1）合格证</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（2）使用手册</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（3）厨房竣工图</w:t>
      </w:r>
    </w:p>
    <w:p>
      <w:pPr>
        <w:adjustRightInd w:val="0"/>
        <w:snapToGrid w:val="0"/>
        <w:spacing w:line="320" w:lineRule="exact"/>
        <w:ind w:firstLine="422" w:firstLineChars="20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九、设备制作（采购）及安装技术要求</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1．金属台面</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所有工作台、工作台面、泄水面、洗碟台面等都需要安装加强档。加强档安装在台面中央，离两边距离不能超过760毫米。所有不锈钢台面和平面应为单片焊接，用帽形槽加固于下侧，加固方式应为重焊螺丝固定并加垫片，重焊螺丝及加垫片应为不锈钢制造。由于单张尺寸的限制，或因设备尺寸和安装的要求而台不锈钢面进行的现场焊接部分除特别规定要求外，应打磨、整洁、牢固、无明显的接痕，打磨纹路应尽量与原板材保持一致。</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2．脚管支撑，支架及安装</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除特别注明、所有支撑脚通应用Φ38×1.</w:t>
      </w:r>
      <w:r>
        <w:rPr>
          <w:rFonts w:hint="eastAsia" w:ascii="宋体" w:hAnsi="宋体" w:eastAsia="宋体" w:cs="宋体"/>
          <w:color w:val="auto"/>
          <w:kern w:val="2"/>
          <w:sz w:val="21"/>
          <w:szCs w:val="21"/>
          <w:highlight w:val="none"/>
          <w:lang w:val="en-US" w:eastAsia="zh-CN"/>
        </w:rPr>
        <w:t>0</w:t>
      </w:r>
      <w:r>
        <w:rPr>
          <w:rFonts w:hint="eastAsia" w:ascii="宋体" w:hAnsi="宋体" w:eastAsia="宋体" w:cs="宋体"/>
          <w:color w:val="auto"/>
          <w:kern w:val="2"/>
          <w:sz w:val="21"/>
          <w:szCs w:val="21"/>
          <w:highlight w:val="none"/>
        </w:rPr>
        <w:t>毫米不锈钢制造，脚与脚之距离不能大于1800毫米。所有脚通都应统一规格。</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除特别注明外，所有脚管通支架应用Φ25×1.</w:t>
      </w:r>
      <w:r>
        <w:rPr>
          <w:rFonts w:hint="eastAsia" w:ascii="宋体" w:hAnsi="宋体" w:eastAsia="宋体" w:cs="宋体"/>
          <w:color w:val="auto"/>
          <w:kern w:val="2"/>
          <w:sz w:val="21"/>
          <w:szCs w:val="21"/>
          <w:highlight w:val="none"/>
          <w:lang w:val="en-US" w:eastAsia="zh-CN"/>
        </w:rPr>
        <w:t>0</w:t>
      </w:r>
      <w:r>
        <w:rPr>
          <w:rFonts w:hint="eastAsia" w:ascii="宋体" w:hAnsi="宋体" w:eastAsia="宋体" w:cs="宋体"/>
          <w:color w:val="auto"/>
          <w:kern w:val="2"/>
          <w:sz w:val="21"/>
          <w:szCs w:val="21"/>
          <w:highlight w:val="none"/>
        </w:rPr>
        <w:t>毫米厚不锈钢制造。横支架应与立脚管垂直并保持水平，焊接部分应采用满焊方式。除特别注明外，距地面为150毫米。</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脚管焊接在加强档上，脚管顶部要加上脚杯装饰。</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所有脚管应安装在不锈钢子弹脚调平螺丝上，调平螺丝可调节30毫米范围的高低。调平螺丝需要与脚管紧密连接。</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3．底层板</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当柜、台下面装有底层板时，底层板应是38毫米高，12毫米折边成为槽形，四角剪切至与脚管配合，层板下面安装25毫米×100毫米×25毫米的槽形加强档。</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活动式底层板与固定式层板材料相同。四面38毫米高，12毫米折边，成为槽形，四角亦需剪切至与脚管配合。每段层板下都需有加强档。</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4．封闭式台柜</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封闭式台柜底层应由钢板制成并用加强档加固以形成刚硬结构。侧板和隔板的前面应达到全封闭框前的合理宽度。侧板和后隔板之间由底板横条连接及在交叉处焊接。层板应是可活动式。</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5．洗盆及洗碟台</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如果其他设备与洗盆并排，背板则与其他设备一样。洗盆的折角均用25毫米半径圆形弯接。底部四角亦需作圆角处理。洗盆的底部需作斜向排水出口，洗盆龙头应安装在台面上洗盆和台面都作不锈钢表面处理。</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洗盆在台面上安装时，洗盆材料的厚度应与台面不锈钢厚度相同。洗盆周边应用氩弧焊接在台面的开口上。多余的填料则需磨平，使与台面平滑，台面上再开孔安装直径15毫米的水龙头。洗盆底部安装40/50毫米的排水配件。</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洗碟台与洗碟机连接的地方需往下折25—50毫米，勾在洗碟机上、与洗碟机紧密连接，使水不能溢出洗碟台及洗碟机。</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不锈钢台面应采用1.2毫米厚不锈钢制作。台面折成50毫米厚及12毫米边，成为槽形。如果台面是与墙或其他较高的设备并排时，台面需折起90度高150毫米的挡板，挡板厚38毫米，四边要密封。</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6．层板、拉门及挂门</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挂墙层层板前沿折38毫米边。层板用三角形支架，以膨胀螺拴方式安装在墙上。支架间距不应超过1500毫米。</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除注明外，工作柜及吊柜活动式层板底下安装加强档。暖柜的层板为多孔式活动层板。</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7．热汤池</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热汤池低于台面深300毫米。池底部安装浸水式电热发热管。设有一块多孔层板以保护发热元件。如安装电热管需要安装恒温式控制，且配有漏电保护装置，面板处应有手动开关及电源工作指示灯。安装蒸汽盘管则需要安装控制阀门、疏水器等。暖菜池亦需包括暖菜盛器，个数及尺寸将个别注明。</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8．推车</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所有小车轮需为胶制，最低负载100公斤，有刹车。</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9</w:t>
      </w:r>
      <w:r>
        <w:rPr>
          <w:rFonts w:hint="eastAsia" w:ascii="宋体" w:hAnsi="宋体" w:eastAsia="宋体" w:cs="宋体"/>
          <w:color w:val="auto"/>
          <w:kern w:val="2"/>
          <w:sz w:val="21"/>
          <w:szCs w:val="21"/>
          <w:highlight w:val="none"/>
        </w:rPr>
        <w:t>．焊接工艺</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A）焊接必须采用电熔焊、电弧焊或氩气弧焊，不允许采用其他焊接方式。焊接应透彻，焊条需与金属本身成分相同。焊缝必须完整、坚固及有韧性，多余的填料必须磨平及磨光以配焊接物本身表面。焊接处不得出现气孔、砂眼、裂缝等不完整的地方，并应与焊接物颜色一致。</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本规格规定所有焊接缝必须与金属本身成分相同，若因金属件尺寸而必需接缝，则必须焊接。所有焊接处理应尽量在工厂内进行，减少在工地焊接。除在工地焊接外，所有设备表面的焊接应采用连续焊接方式。所有需工地处理的接缝，必须紧密封接，并在工地焊接及按本规格“磨平、磨光、表面处理”一节的规定进行磨平磨光处理。设备表面应尽量预留长度，配合工厂焊接缝，可组合设备达原状，免却在工地焊接的需要。若焊缝底部表面存在未经磨平、磨光处理，则必须在工厂适当地涂以防锈涂料处理，以防焊接缝发生锈蚀。</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lang w:val="en-US" w:eastAsia="zh-CN"/>
        </w:rPr>
        <w:t>0</w:t>
      </w:r>
      <w:r>
        <w:rPr>
          <w:rFonts w:hint="eastAsia" w:ascii="宋体" w:hAnsi="宋体" w:eastAsia="宋体" w:cs="宋体"/>
          <w:color w:val="auto"/>
          <w:kern w:val="2"/>
          <w:sz w:val="21"/>
          <w:szCs w:val="21"/>
          <w:highlight w:val="none"/>
        </w:rPr>
        <w:t>．表面处理</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A）所有表面能看见的焊缝必须适当磨平、磨光及作表面处理，使与焊接物整齐一致。由于焊接处理令物料下沉凹陷，则必须适当锤平及敲平，使与相表面齐平，若有需要，可再磨平，避免出现高低点。所有磨平表面的工艺必须为高质量。在磨平时，应避免不锈钢过热而变色。在所有情况下的工序处理，都是先磨平，再磨光。最后表面纹理处理必须统一及圆滑，工艺质量良好。所有设备的处理都应属高水平。</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任何接缝都应紧密接合，不应以焊料作为填料。在任何情况下，锡焊都不应作为加强及固定接缝或设备本身的方式。若出现压弯情况，应尽量避免弯接过分突出，如对物料表面有造成任何损坏，应作磨平、磨光及表面处理地。若有锯齿边，斜接缝或外圆角等情况，都需要小心磨平、磨光圆滑，不得出现重叠现象。</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C）本技术指标要求高质量的打磨抛光，与高等级的制造工艺相一致。除进行更高规格的瑕疵抛精整的装饰之外，所有外露表面应为4号光洁度规格打磨。除了有别的具体说明的要求外，所有的柜、门、架，不论是柜体内或柜体外或外露与否，均应进行4号光洁度规格打磨。这规格适用于任何有门或无门柜体的内部打磨。“外露表面”应理解为移开门或拉开门时可看到的内表面。架子的下侧不需要4号光洁度规格的打磨，但至少相当于8号光洁度规格打磨精整。完工标记应与最后的精整相符合，否则当不可接受论。</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．电磁灶</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要求节能率高，低噪音，无污染、火力均匀；采用SUS304不锈钢板制造。符合《GB4706</w:t>
      </w:r>
      <w:r>
        <w:rPr>
          <w:rFonts w:hint="eastAsia" w:ascii="宋体" w:hAnsi="宋体" w:eastAsia="宋体" w:cs="宋体"/>
          <w:color w:val="auto"/>
          <w:kern w:val="2"/>
          <w:szCs w:val="21"/>
          <w:highlight w:val="none"/>
        </w:rPr>
        <w:fldChar w:fldCharType="begin"/>
      </w:r>
      <w:r>
        <w:rPr>
          <w:rFonts w:hint="eastAsia" w:ascii="宋体" w:hAnsi="宋体" w:eastAsia="宋体" w:cs="宋体"/>
          <w:color w:val="auto"/>
          <w:kern w:val="2"/>
          <w:szCs w:val="21"/>
          <w:highlight w:val="none"/>
        </w:rPr>
        <w:instrText xml:space="preserve"> HYPERLINK "http://www.baidu.com/link?url=ivLQECSVnp_M4rXwHiWJhp41FpPnGR1dKA1egGjxDvkYI2lhmR3-rQEDeh9YSv3c9VKTyteKCL3CtnU7nha80a" \t "https://www.baidu.com/_blank" </w:instrText>
      </w:r>
      <w:r>
        <w:rPr>
          <w:rFonts w:hint="eastAsia" w:ascii="宋体" w:hAnsi="宋体" w:eastAsia="宋体" w:cs="宋体"/>
          <w:color w:val="auto"/>
          <w:kern w:val="2"/>
          <w:szCs w:val="21"/>
          <w:highlight w:val="none"/>
        </w:rPr>
        <w:fldChar w:fldCharType="separate"/>
      </w:r>
      <w:r>
        <w:rPr>
          <w:rFonts w:hint="eastAsia" w:ascii="宋体" w:hAnsi="宋体" w:eastAsia="宋体" w:cs="宋体"/>
          <w:color w:val="auto"/>
          <w:kern w:val="2"/>
          <w:sz w:val="21"/>
          <w:szCs w:val="21"/>
          <w:highlight w:val="none"/>
        </w:rPr>
        <w:t> 家用和类似用途电器的安全</w:t>
      </w:r>
      <w:r>
        <w:rPr>
          <w:rFonts w:hint="eastAsia" w:ascii="宋体" w:hAnsi="宋体" w:eastAsia="宋体" w:cs="宋体"/>
          <w:color w:val="auto"/>
          <w:kern w:val="2"/>
          <w:sz w:val="21"/>
          <w:szCs w:val="21"/>
          <w:highlight w:val="none"/>
        </w:rPr>
        <w:fldChar w:fldCharType="end"/>
      </w:r>
      <w:r>
        <w:rPr>
          <w:rFonts w:hint="eastAsia" w:ascii="宋体" w:hAnsi="宋体" w:eastAsia="宋体" w:cs="宋体"/>
          <w:color w:val="auto"/>
          <w:kern w:val="2"/>
          <w:sz w:val="21"/>
          <w:szCs w:val="21"/>
          <w:highlight w:val="none"/>
        </w:rPr>
        <w:t>》、《CQC31-448184 商用电磁灶节能认证规则》、《EN 62233家用机类似电器用途的电磁辐射要求及测试方法》、《GB/T23128-2008电磁灶》等相关国家及行业标准。</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．电热类产品</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所有电线必须使用国家GB标准电线，如接驳口接近发热线时，必须采用高温纤维线；所有电热设备之电线应在其内部连接到衡温控制器和“开/关”指求灯上及安装在可拆除的不锈钢控制板上；所有电热设备必须为单220V/50Hz或三相380V/50Hz，配有零线及接地保护。</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所有电热设备都要有漏电保护装置。所有温式电热丝要安装在水平面以下，干式电热丝要有散热翅片。所有电热设备都要安装电源指示灯及工作指示灯，并配有衡温装置及手控开关。</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．层架</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所有四层组合层架为不锈钢层架，每层层架载重为150公斤。所有挂墙层板均为固定式，使用1.</w:t>
      </w:r>
      <w:r>
        <w:rPr>
          <w:rFonts w:hint="eastAsia" w:ascii="宋体" w:hAnsi="宋体" w:eastAsia="宋体" w:cs="宋体"/>
          <w:color w:val="auto"/>
          <w:kern w:val="2"/>
          <w:sz w:val="21"/>
          <w:szCs w:val="21"/>
          <w:highlight w:val="none"/>
          <w:lang w:val="en-US" w:eastAsia="zh-CN"/>
        </w:rPr>
        <w:t>0</w:t>
      </w:r>
      <w:r>
        <w:rPr>
          <w:rFonts w:hint="eastAsia" w:ascii="宋体" w:hAnsi="宋体" w:eastAsia="宋体" w:cs="宋体"/>
          <w:color w:val="auto"/>
          <w:kern w:val="2"/>
          <w:sz w:val="21"/>
          <w:szCs w:val="21"/>
          <w:highlight w:val="none"/>
        </w:rPr>
        <w:t>毫米厚不锈钢制作，边缘厚度应为40毫米。托盘架要有防滑凸筋，所有墙架支架间距最大不能超过1500毫米。</w:t>
      </w:r>
    </w:p>
    <w:p>
      <w:pPr>
        <w:numPr>
          <w:ilvl w:val="0"/>
          <w:numId w:val="4"/>
        </w:num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油网烟罩</w:t>
      </w:r>
    </w:p>
    <w:p>
      <w:pPr>
        <w:numPr>
          <w:ilvl w:val="0"/>
          <w:numId w:val="0"/>
        </w:num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采用SUS304不锈钢板制造</w:t>
      </w:r>
      <w:r>
        <w:rPr>
          <w:rFonts w:hint="eastAsia" w:ascii="宋体" w:hAnsi="宋体" w:eastAsia="宋体" w:cs="宋体"/>
          <w:color w:val="auto"/>
          <w:kern w:val="2"/>
          <w:sz w:val="21"/>
          <w:szCs w:val="21"/>
          <w:highlight w:val="none"/>
          <w:lang w:eastAsia="zh-CN"/>
        </w:rPr>
        <w:t>，厚度</w:t>
      </w:r>
      <w:r>
        <w:rPr>
          <w:rFonts w:hint="eastAsia" w:ascii="宋体" w:hAnsi="宋体" w:eastAsia="宋体" w:cs="宋体"/>
          <w:color w:val="auto"/>
          <w:kern w:val="2"/>
          <w:sz w:val="21"/>
          <w:szCs w:val="21"/>
          <w:highlight w:val="none"/>
        </w:rPr>
        <w:t>1.2</w:t>
      </w:r>
      <w:r>
        <w:rPr>
          <w:rFonts w:hint="eastAsia" w:ascii="宋体" w:hAnsi="宋体" w:eastAsia="宋体" w:cs="宋体"/>
          <w:color w:val="auto"/>
          <w:kern w:val="2"/>
          <w:sz w:val="21"/>
          <w:szCs w:val="21"/>
          <w:highlight w:val="none"/>
          <w:lang w:eastAsia="zh-CN"/>
        </w:rPr>
        <w:t>毫米，配积油杯，防爆灯，沥油槽</w:t>
      </w:r>
      <w:r>
        <w:rPr>
          <w:rFonts w:hint="eastAsia" w:ascii="宋体" w:hAnsi="宋体" w:eastAsia="宋体" w:cs="宋体"/>
          <w:color w:val="auto"/>
          <w:kern w:val="2"/>
          <w:sz w:val="21"/>
          <w:szCs w:val="21"/>
          <w:highlight w:val="none"/>
        </w:rPr>
        <w:t>。</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 冷柜</w:t>
      </w:r>
    </w:p>
    <w:p>
      <w:pPr>
        <w:tabs>
          <w:tab w:val="left" w:pos="1050"/>
        </w:tabs>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A.除项目规格另有说明外，所有冷冻/冷藏冰箱，均需用最少65毫米厚的聚氨基甲酸脂发泡胶隔冷。温度范围在项目规格列明要求。所有冰箱掩门装配磁性拉门，并四周有凝露管，防止跑冷。四周边装有一连续的磁性乙烯基门垫。</w:t>
      </w:r>
    </w:p>
    <w:p>
      <w:pPr>
        <w:tabs>
          <w:tab w:val="left" w:pos="1050"/>
        </w:tabs>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B.除项目规格另有注明外，冷冻制冷机组需隐藏于柜身上端或两侧，</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遮档板需活动以便于维修及更换机组。冷冻机组应提供标度温度计。</w:t>
      </w:r>
    </w:p>
    <w:p>
      <w:pPr>
        <w:tabs>
          <w:tab w:val="left" w:pos="1050"/>
        </w:tabs>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C.柜内应装有可承重活动网条层架，由活动式防锈蚀不锈钢壁柱及不锈钢钳夹支撑。</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D.雪柜内外壳体、门内外胆均为不锈钢制造，门为折边门。压缩机采用丹佛斯、恩布拉科或同档次及以上品牌，采用环保冷媒。严禁使用其他材料。</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E.雪柜开关为插入式安装，以便维修及更换，高身雪柜的温度显示</w:t>
      </w:r>
    </w:p>
    <w:p>
      <w:pPr>
        <w:autoSpaceDE w:val="0"/>
        <w:autoSpaceDN w:val="0"/>
        <w:adjustRightInd w:val="0"/>
        <w:snapToGrid w:val="0"/>
        <w:spacing w:line="320" w:lineRule="exact"/>
        <w:ind w:firstLine="420" w:firstLineChars="200"/>
        <w:textAlignment w:val="bottom"/>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为液晶指示。</w:t>
      </w:r>
    </w:p>
    <w:p>
      <w:pPr>
        <w:adjustRightInd w:val="0"/>
        <w:snapToGrid w:val="0"/>
        <w:spacing w:line="320" w:lineRule="exact"/>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十、工程实施要求</w:t>
      </w:r>
    </w:p>
    <w:p>
      <w:pPr>
        <w:tabs>
          <w:tab w:val="left" w:pos="1140"/>
        </w:tabs>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1、制造检验和试验</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（1）供货方在设备试验结束后应提交试验报告书。</w:t>
      </w:r>
    </w:p>
    <w:p>
      <w:pPr>
        <w:tabs>
          <w:tab w:val="left" w:pos="0"/>
        </w:tabs>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（2）根据合同条款要求,所有检验和试验等费用都被认为包括在合同总价中。</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2、设备的防护、包装及运输</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 设备的防护</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设备内、外表面应洁净。</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 所有设备应合理、有效地包装，以使其有效防止各种损坏。</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(3) 供货方应对设备的整个交货过程负责，包括运输、装卸及安全措施。 </w:t>
      </w:r>
    </w:p>
    <w:p>
      <w:pPr>
        <w:tabs>
          <w:tab w:val="left" w:pos="525"/>
        </w:tabs>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 随包装箱带的文件、资料应防潮密封，并放置在包装箱内明显的地方。</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3、交货验收</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供货方安装调试完毕后，甲方将按合同内容及要求进行清点验收。</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验收合格条件</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·设备数量及运行结果符合合同要求。</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·在进行测试、试运行及验收运行过程中发生的故障和发现的隐患已被排除并得到甲方的认可。</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·所有合同中规定的货物和资料都已提交。</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·厨房设备竣工图纸及技术文件都已提交并得到接受。</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4、技术培训</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供货方应对甲方工作人员提供现场操作及维修培训。</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5、售后服务</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（1）维修点</w:t>
      </w:r>
      <w:r>
        <w:rPr>
          <w:rFonts w:hint="eastAsia" w:ascii="宋体" w:hAnsi="宋体" w:cs="宋体"/>
          <w:color w:val="auto"/>
          <w:kern w:val="2"/>
          <w:sz w:val="21"/>
          <w:szCs w:val="21"/>
          <w:highlight w:val="none"/>
          <w:lang w:val="en-US" w:eastAsia="zh-CN"/>
        </w:rPr>
        <w:t>能够</w:t>
      </w:r>
      <w:r>
        <w:rPr>
          <w:rFonts w:hint="eastAsia" w:ascii="宋体" w:hAnsi="宋体" w:eastAsia="宋体" w:cs="宋体"/>
          <w:color w:val="auto"/>
          <w:kern w:val="2"/>
          <w:sz w:val="21"/>
          <w:szCs w:val="21"/>
          <w:highlight w:val="none"/>
        </w:rPr>
        <w:t>处理所有的维修服务，它需提供24小时服务，而且维修人员需在接到维修电话后2小时内赶到现场，处理问题。</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（2）供货方须对合同中规定的设备，提供经调试、试运行、验收合格后</w:t>
      </w:r>
      <w:r>
        <w:rPr>
          <w:rFonts w:hint="eastAsia" w:ascii="宋体" w:hAnsi="宋体" w:eastAsia="宋体" w:cs="宋体"/>
          <w:color w:val="auto"/>
          <w:kern w:val="2"/>
          <w:sz w:val="21"/>
          <w:szCs w:val="21"/>
          <w:highlight w:val="none"/>
          <w:lang w:val="en-US" w:eastAsia="zh-CN"/>
        </w:rPr>
        <w:t>按规定及承诺</w:t>
      </w:r>
      <w:r>
        <w:rPr>
          <w:rFonts w:hint="eastAsia" w:ascii="宋体" w:hAnsi="宋体" w:eastAsia="宋体" w:cs="宋体"/>
          <w:color w:val="auto"/>
          <w:kern w:val="2"/>
          <w:sz w:val="21"/>
          <w:szCs w:val="21"/>
          <w:highlight w:val="none"/>
        </w:rPr>
        <w:t>的质保期，在此期间，因产品制造质量不良而产生损坏或不能正常工作，供货方应免费维修和正常保养。</w:t>
      </w:r>
    </w:p>
    <w:p>
      <w:pPr>
        <w:widowControl w:val="0"/>
        <w:adjustRightInd w:val="0"/>
        <w:snapToGrid w:val="0"/>
        <w:spacing w:before="120" w:beforeLines="50" w:after="120" w:afterLines="50" w:line="320" w:lineRule="exact"/>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（3）在质保期内的工作应包括对所有设备常规检查、调整等。供货方须负责修理和更换任何由于设备自身的质量问题造成的损坏及故障。</w:t>
      </w:r>
    </w:p>
    <w:p>
      <w:pPr>
        <w:adjustRightInd w:val="0"/>
        <w:snapToGrid w:val="0"/>
        <w:spacing w:line="3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（4）质保期外更换零配件按成本价计。</w:t>
      </w:r>
    </w:p>
    <w:p>
      <w:pPr>
        <w:adjustRightInd w:val="0"/>
        <w:snapToGrid w:val="0"/>
        <w:spacing w:line="320" w:lineRule="exact"/>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十一、质保期（指免费保修期）</w:t>
      </w:r>
    </w:p>
    <w:p>
      <w:pPr>
        <w:spacing w:line="320" w:lineRule="exact"/>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质保期至少3</w:t>
      </w:r>
      <w:r>
        <w:rPr>
          <w:rFonts w:hint="eastAsia" w:ascii="宋体" w:hAnsi="宋体" w:eastAsia="宋体" w:cs="宋体"/>
          <w:color w:val="auto"/>
          <w:kern w:val="2"/>
          <w:sz w:val="21"/>
          <w:szCs w:val="21"/>
          <w:highlight w:val="none"/>
        </w:rPr>
        <w:t>年（</w:t>
      </w:r>
      <w:r>
        <w:rPr>
          <w:rFonts w:hint="eastAsia" w:ascii="宋体" w:hAnsi="宋体" w:eastAsia="宋体" w:cs="宋体"/>
          <w:color w:val="auto"/>
          <w:kern w:val="2"/>
          <w:sz w:val="21"/>
          <w:szCs w:val="21"/>
          <w:highlight w:val="none"/>
          <w:lang w:val="en-US" w:eastAsia="zh-CN"/>
        </w:rPr>
        <w:t>未包含延长的质保期优惠</w:t>
      </w:r>
      <w:r>
        <w:rPr>
          <w:rFonts w:hint="eastAsia" w:ascii="宋体" w:hAnsi="宋体" w:eastAsia="宋体" w:cs="宋体"/>
          <w:color w:val="auto"/>
          <w:kern w:val="2"/>
          <w:sz w:val="21"/>
          <w:szCs w:val="21"/>
          <w:highlight w:val="none"/>
        </w:rPr>
        <w:t>）。质保期自验收合格交付</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招标人使用之日起计算</w:t>
      </w:r>
      <w:r>
        <w:rPr>
          <w:rFonts w:hint="eastAsia" w:ascii="宋体" w:hAnsi="宋体" w:eastAsia="宋体" w:cs="宋体"/>
          <w:color w:val="auto"/>
          <w:kern w:val="2"/>
          <w:sz w:val="21"/>
          <w:szCs w:val="21"/>
          <w:highlight w:val="none"/>
          <w:lang w:eastAsia="zh-CN"/>
        </w:rPr>
        <w:t>。</w:t>
      </w:r>
    </w:p>
    <w:p>
      <w:pPr>
        <w:pStyle w:val="63"/>
        <w:adjustRightInd w:val="0"/>
        <w:snapToGrid w:val="0"/>
        <w:spacing w:before="0" w:line="400" w:lineRule="exact"/>
        <w:ind w:firstLine="0" w:firstLineChars="0"/>
        <w:rPr>
          <w:color w:val="auto"/>
          <w:sz w:val="21"/>
          <w:szCs w:val="21"/>
          <w:highlight w:val="none"/>
        </w:rPr>
      </w:pPr>
      <w:r>
        <w:rPr>
          <w:rFonts w:hint="eastAsia" w:ascii="宋体" w:hAnsi="宋体" w:eastAsia="宋体" w:cs="宋体"/>
          <w:b/>
          <w:color w:val="auto"/>
          <w:kern w:val="2"/>
          <w:sz w:val="21"/>
          <w:szCs w:val="21"/>
          <w:highlight w:val="none"/>
        </w:rPr>
        <w:t>十</w:t>
      </w:r>
      <w:r>
        <w:rPr>
          <w:rFonts w:hint="eastAsia" w:ascii="宋体" w:hAnsi="宋体" w:cs="宋体"/>
          <w:b/>
          <w:color w:val="auto"/>
          <w:kern w:val="2"/>
          <w:sz w:val="21"/>
          <w:szCs w:val="21"/>
          <w:highlight w:val="none"/>
          <w:lang w:val="en-US" w:eastAsia="zh-CN"/>
        </w:rPr>
        <w:t>二</w:t>
      </w:r>
      <w:r>
        <w:rPr>
          <w:rFonts w:hint="eastAsia" w:ascii="宋体" w:hAnsi="宋体" w:eastAsia="宋体" w:cs="宋体"/>
          <w:b/>
          <w:color w:val="auto"/>
          <w:kern w:val="2"/>
          <w:sz w:val="21"/>
          <w:szCs w:val="21"/>
          <w:highlight w:val="none"/>
        </w:rPr>
        <w:t>、</w:t>
      </w:r>
      <w:r>
        <w:rPr>
          <w:rFonts w:hint="eastAsia" w:ascii="宋体" w:hAnsi="宋体" w:cs="宋体"/>
          <w:b/>
          <w:color w:val="auto"/>
          <w:kern w:val="2"/>
          <w:sz w:val="21"/>
          <w:szCs w:val="21"/>
          <w:highlight w:val="none"/>
          <w:lang w:val="en-US" w:eastAsia="zh-CN"/>
        </w:rPr>
        <w:t>付款方式</w:t>
      </w:r>
      <w:r>
        <w:rPr>
          <w:rFonts w:hint="eastAsia"/>
          <w:color w:val="auto"/>
          <w:sz w:val="21"/>
          <w:szCs w:val="21"/>
          <w:highlight w:val="none"/>
        </w:rPr>
        <w:t>（1）预付款</w:t>
      </w:r>
      <w:r>
        <w:rPr>
          <w:rFonts w:hint="eastAsia"/>
          <w:color w:val="auto"/>
          <w:sz w:val="21"/>
          <w:szCs w:val="21"/>
          <w:highlight w:val="none"/>
          <w:lang w:val="en-US" w:eastAsia="zh-CN"/>
        </w:rPr>
        <w:t xml:space="preserve">  </w:t>
      </w:r>
      <w:r>
        <w:rPr>
          <w:rFonts w:hint="eastAsia"/>
          <w:color w:val="auto"/>
          <w:sz w:val="21"/>
          <w:szCs w:val="21"/>
          <w:highlight w:val="none"/>
        </w:rPr>
        <w:t>第1次付款：</w:t>
      </w:r>
      <w:r>
        <w:rPr>
          <w:rFonts w:hint="eastAsia" w:ascii="宋体" w:hAnsi="宋体"/>
          <w:color w:val="auto"/>
          <w:sz w:val="21"/>
          <w:szCs w:val="21"/>
          <w:highlight w:val="none"/>
        </w:rPr>
        <w:t>合同签订生效后，发包人向承包人支付合同总价的30</w:t>
      </w:r>
      <w:r>
        <w:rPr>
          <w:rFonts w:ascii="宋体" w:hAnsi="宋体"/>
          <w:color w:val="auto"/>
          <w:sz w:val="21"/>
          <w:szCs w:val="21"/>
          <w:highlight w:val="none"/>
        </w:rPr>
        <w:t>%的预付款。预付款与合同履行同步进行，预付款支付进程不得影响合同的履行</w:t>
      </w:r>
      <w:r>
        <w:rPr>
          <w:rFonts w:hint="eastAsia"/>
          <w:color w:val="auto"/>
          <w:sz w:val="21"/>
          <w:szCs w:val="21"/>
          <w:highlight w:val="none"/>
        </w:rPr>
        <w:t>，乙方不得以预付款支付问题停止合同的履行。</w:t>
      </w:r>
    </w:p>
    <w:p>
      <w:pPr>
        <w:pStyle w:val="63"/>
        <w:numPr>
          <w:ilvl w:val="0"/>
          <w:numId w:val="0"/>
        </w:numPr>
        <w:adjustRightInd w:val="0"/>
        <w:snapToGrid w:val="0"/>
        <w:spacing w:before="0" w:line="400" w:lineRule="exact"/>
        <w:ind w:firstLine="0" w:firstLineChars="0"/>
        <w:rPr>
          <w:rFonts w:ascii="宋体" w:hAnsi="宋体"/>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2</w:t>
      </w:r>
      <w:r>
        <w:rPr>
          <w:rFonts w:hint="eastAsia"/>
          <w:color w:val="auto"/>
          <w:sz w:val="21"/>
          <w:szCs w:val="21"/>
          <w:highlight w:val="none"/>
          <w:lang w:eastAsia="zh-CN"/>
        </w:rPr>
        <w:t>）</w:t>
      </w:r>
      <w:r>
        <w:rPr>
          <w:rFonts w:hint="eastAsia"/>
          <w:color w:val="auto"/>
          <w:sz w:val="21"/>
          <w:szCs w:val="21"/>
          <w:highlight w:val="none"/>
        </w:rPr>
        <w:t>货款支付</w:t>
      </w:r>
      <w:r>
        <w:rPr>
          <w:rFonts w:hint="eastAsia"/>
          <w:color w:val="auto"/>
          <w:sz w:val="21"/>
          <w:szCs w:val="21"/>
          <w:highlight w:val="none"/>
          <w:lang w:val="en-US" w:eastAsia="zh-CN"/>
        </w:rPr>
        <w:t xml:space="preserve"> </w:t>
      </w:r>
      <w:r>
        <w:rPr>
          <w:rFonts w:hint="eastAsia"/>
          <w:color w:val="auto"/>
          <w:sz w:val="21"/>
          <w:szCs w:val="21"/>
          <w:highlight w:val="none"/>
        </w:rPr>
        <w:t>第2次付款：主要设备到货并初验合格后，支付至签约合同价的60%</w:t>
      </w:r>
      <w:r>
        <w:rPr>
          <w:rFonts w:ascii="宋体" w:hAnsi="宋体"/>
          <w:color w:val="auto"/>
          <w:sz w:val="21"/>
          <w:szCs w:val="21"/>
          <w:highlight w:val="none"/>
        </w:rPr>
        <w:t>。</w:t>
      </w:r>
    </w:p>
    <w:p>
      <w:pPr>
        <w:pStyle w:val="63"/>
        <w:adjustRightInd w:val="0"/>
        <w:snapToGrid w:val="0"/>
        <w:spacing w:before="0" w:line="400" w:lineRule="exact"/>
        <w:ind w:firstLine="420"/>
        <w:rPr>
          <w:rFonts w:ascii="宋体" w:hAnsi="宋体"/>
          <w:color w:val="auto"/>
          <w:sz w:val="21"/>
          <w:szCs w:val="21"/>
          <w:highlight w:val="none"/>
        </w:rPr>
      </w:pPr>
      <w:r>
        <w:rPr>
          <w:rFonts w:hint="eastAsia" w:ascii="宋体" w:hAnsi="宋体"/>
          <w:color w:val="auto"/>
          <w:sz w:val="21"/>
          <w:szCs w:val="21"/>
          <w:highlight w:val="none"/>
        </w:rPr>
        <w:t>第3次付款：</w:t>
      </w:r>
      <w:r>
        <w:rPr>
          <w:rFonts w:hint="eastAsia" w:ascii="宋体" w:hAnsi="宋体"/>
          <w:b/>
          <w:color w:val="auto"/>
          <w:sz w:val="21"/>
          <w:szCs w:val="21"/>
          <w:highlight w:val="none"/>
        </w:rPr>
        <w:t>在所有设备安装、调试完成，经过试运行，通过验收并按买方要求移交所有资料后10个工作日内支付合同总价的85%，并退还履约保证金</w:t>
      </w:r>
      <w:r>
        <w:rPr>
          <w:rFonts w:ascii="宋体" w:hAnsi="宋体"/>
          <w:color w:val="auto"/>
          <w:sz w:val="21"/>
          <w:szCs w:val="21"/>
          <w:highlight w:val="none"/>
        </w:rPr>
        <w:t>。</w:t>
      </w:r>
    </w:p>
    <w:p>
      <w:pPr>
        <w:pStyle w:val="63"/>
        <w:adjustRightInd w:val="0"/>
        <w:snapToGrid w:val="0"/>
        <w:spacing w:before="0" w:line="400" w:lineRule="exact"/>
        <w:ind w:firstLine="420"/>
        <w:rPr>
          <w:rFonts w:ascii="宋体" w:hAnsi="宋体"/>
          <w:color w:val="auto"/>
          <w:sz w:val="21"/>
          <w:szCs w:val="21"/>
          <w:highlight w:val="none"/>
        </w:rPr>
      </w:pPr>
      <w:r>
        <w:rPr>
          <w:rFonts w:hint="eastAsia" w:ascii="宋体" w:hAnsi="宋体"/>
          <w:color w:val="auto"/>
          <w:sz w:val="21"/>
          <w:szCs w:val="21"/>
          <w:highlight w:val="none"/>
        </w:rPr>
        <w:t>第4次付款：</w:t>
      </w:r>
      <w:r>
        <w:rPr>
          <w:rFonts w:hint="eastAsia" w:ascii="宋体" w:hAnsi="宋体"/>
          <w:b/>
          <w:color w:val="auto"/>
          <w:sz w:val="21"/>
          <w:szCs w:val="21"/>
          <w:highlight w:val="none"/>
        </w:rPr>
        <w:t>通过验收并试运行二个月后10个工作日内支付至结算总价的97.5%，余款2.5%待质量保证期满无质量问题经买方确认后10工作日内付清（不计利息）</w:t>
      </w:r>
      <w:r>
        <w:rPr>
          <w:rFonts w:ascii="宋体" w:hAnsi="宋体"/>
          <w:color w:val="auto"/>
          <w:sz w:val="21"/>
          <w:szCs w:val="21"/>
          <w:highlight w:val="none"/>
        </w:rPr>
        <w:t>。</w:t>
      </w:r>
    </w:p>
    <w:p>
      <w:pPr>
        <w:pStyle w:val="63"/>
        <w:adjustRightInd w:val="0"/>
        <w:snapToGrid w:val="0"/>
        <w:spacing w:before="0" w:line="400" w:lineRule="exact"/>
        <w:ind w:firstLine="420"/>
        <w:rPr>
          <w:color w:val="auto"/>
          <w:sz w:val="21"/>
          <w:szCs w:val="21"/>
          <w:highlight w:val="none"/>
        </w:rPr>
      </w:pPr>
      <w:r>
        <w:rPr>
          <w:rFonts w:hint="eastAsia" w:ascii="宋体" w:hAnsi="宋体" w:cs="宋体"/>
          <w:color w:val="auto"/>
          <w:sz w:val="21"/>
          <w:szCs w:val="21"/>
          <w:highlight w:val="none"/>
        </w:rPr>
        <w:t>第5次付款：余款2.5%（不计利息）作为保修金，在保修期满后后15日内一次性付清</w:t>
      </w:r>
      <w:r>
        <w:rPr>
          <w:rFonts w:hint="eastAsia"/>
          <w:color w:val="auto"/>
          <w:sz w:val="21"/>
          <w:szCs w:val="21"/>
          <w:highlight w:val="none"/>
        </w:rPr>
        <w:t>。</w:t>
      </w:r>
    </w:p>
    <w:p>
      <w:pPr>
        <w:pStyle w:val="63"/>
        <w:adjustRightInd w:val="0"/>
        <w:snapToGrid w:val="0"/>
        <w:spacing w:before="0" w:line="400" w:lineRule="exact"/>
        <w:ind w:firstLine="420"/>
        <w:rPr>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3"/>
        <w:adjustRightInd w:val="0"/>
        <w:snapToGrid w:val="0"/>
        <w:spacing w:before="0" w:line="400" w:lineRule="exact"/>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3"/>
        <w:adjustRightInd w:val="0"/>
        <w:snapToGrid w:val="0"/>
        <w:spacing w:before="0" w:line="400" w:lineRule="exact"/>
        <w:ind w:firstLine="422"/>
        <w:rPr>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3"/>
        <w:adjustRightInd w:val="0"/>
        <w:snapToGrid w:val="0"/>
        <w:spacing w:before="0" w:line="400" w:lineRule="exact"/>
        <w:ind w:firstLine="422"/>
        <w:rPr>
          <w:b/>
          <w:strike/>
          <w:color w:val="auto"/>
          <w:sz w:val="21"/>
          <w:szCs w:val="21"/>
          <w:highlight w:val="none"/>
          <w:u w:val="single"/>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r>
        <w:rPr>
          <w:rFonts w:hint="eastAsia"/>
          <w:b/>
          <w:color w:val="auto"/>
          <w:sz w:val="21"/>
          <w:szCs w:val="21"/>
          <w:highlight w:val="none"/>
          <w:u w:val="single"/>
        </w:rPr>
        <w:t>。</w:t>
      </w:r>
    </w:p>
    <w:p>
      <w:pPr>
        <w:pStyle w:val="2"/>
        <w:rPr>
          <w:rFonts w:hint="eastAsia"/>
          <w:color w:val="auto"/>
          <w:highlight w:val="none"/>
        </w:rPr>
      </w:pPr>
    </w:p>
    <w:p>
      <w:pPr>
        <w:pStyle w:val="4"/>
        <w:spacing w:line="320" w:lineRule="exact"/>
        <w:rPr>
          <w:rFonts w:hint="eastAsia" w:ascii="宋体" w:hAnsi="宋体" w:eastAsia="宋体" w:cs="宋体"/>
          <w:color w:val="auto"/>
          <w:sz w:val="21"/>
          <w:szCs w:val="21"/>
          <w:highlight w:val="none"/>
        </w:rPr>
        <w:sectPr>
          <w:pgSz w:w="11905" w:h="16838"/>
          <w:pgMar w:top="1417" w:right="1134" w:bottom="1417" w:left="1134" w:header="680" w:footer="680" w:gutter="0"/>
          <w:pgBorders>
            <w:top w:val="none" w:sz="0" w:space="0"/>
            <w:left w:val="none" w:sz="0" w:space="0"/>
            <w:bottom w:val="none" w:sz="0" w:space="0"/>
            <w:right w:val="none" w:sz="0" w:space="0"/>
          </w:pgBorders>
          <w:cols w:space="0" w:num="1"/>
          <w:rtlGutter w:val="0"/>
          <w:docGrid w:linePitch="271" w:charSpace="0"/>
        </w:sectPr>
      </w:pPr>
    </w:p>
    <w:p>
      <w:pPr>
        <w:pStyle w:val="4"/>
        <w:rPr>
          <w:color w:val="auto"/>
          <w:highlight w:val="none"/>
        </w:rPr>
      </w:pPr>
    </w:p>
    <w:p>
      <w:pPr>
        <w:pStyle w:val="4"/>
        <w:rPr>
          <w:color w:val="auto"/>
          <w:highlight w:val="none"/>
        </w:rPr>
      </w:pPr>
      <w:r>
        <w:rPr>
          <w:rFonts w:hint="eastAsia"/>
          <w:color w:val="auto"/>
          <w:highlight w:val="none"/>
        </w:rPr>
        <w:t>第七章</w:t>
      </w:r>
      <w:r>
        <w:rPr>
          <w:color w:val="auto"/>
          <w:highlight w:val="none"/>
        </w:rPr>
        <w:t xml:space="preserve">  </w:t>
      </w:r>
      <w:r>
        <w:rPr>
          <w:rFonts w:hint="eastAsia"/>
          <w:color w:val="auto"/>
          <w:highlight w:val="none"/>
        </w:rPr>
        <w:t>投标文件格式</w:t>
      </w:r>
      <w:bookmarkEnd w:id="446"/>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加盖公章</w:t>
      </w:r>
      <w:r>
        <w:rPr>
          <w:rFonts w:hint="eastAsia" w:asciiTheme="minorEastAsia" w:hAnsiTheme="minorEastAsia" w:eastAsiaTheme="minorEastAsia" w:cstheme="minorEastAsia"/>
          <w:color w:val="auto"/>
          <w:sz w:val="28"/>
          <w:szCs w:val="28"/>
          <w:highlight w:val="none"/>
        </w:rPr>
        <w:t>）</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6"/>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rPr>
          <w:color w:val="auto"/>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1"/>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rPr>
          <w:rFonts w:asciiTheme="minorEastAsia" w:hAnsiTheme="minorEastAsia" w:eastAsiaTheme="minorEastAsia" w:cstheme="minorEastAsia"/>
          <w:b/>
          <w:bCs/>
          <w:color w:val="auto"/>
          <w:sz w:val="28"/>
          <w:szCs w:val="28"/>
          <w:highlight w:val="none"/>
        </w:rPr>
      </w:pP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1、企业法人营业执照复印件。</w:t>
      </w:r>
    </w:p>
    <w:p>
      <w:pPr>
        <w:pStyle w:val="10"/>
        <w:spacing w:line="360" w:lineRule="auto"/>
        <w:ind w:firstLine="240" w:firstLineChars="1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法定代表人授权书及法定代表人身份证明(格式</w:t>
      </w: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rPr>
        <w:t>、格式</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val="en-US" w:eastAsia="zh-CN" w:bidi="ar"/>
        </w:rPr>
        <w:t>3</w:t>
      </w:r>
      <w:r>
        <w:rPr>
          <w:rFonts w:asciiTheme="minorEastAsia" w:hAnsiTheme="minorEastAsia" w:eastAsiaTheme="minorEastAsia" w:cstheme="minorEastAsia"/>
          <w:color w:val="auto"/>
          <w:sz w:val="24"/>
          <w:szCs w:val="24"/>
          <w:highlight w:val="none"/>
          <w:lang w:bidi="ar"/>
        </w:rPr>
        <w:t>、</w:t>
      </w:r>
      <w:r>
        <w:rPr>
          <w:rFonts w:hint="default" w:asciiTheme="minorEastAsia" w:hAnsiTheme="minorEastAsia" w:eastAsiaTheme="minorEastAsia" w:cstheme="minorEastAsia"/>
          <w:b w:val="0"/>
          <w:iCs w:val="0"/>
          <w:color w:val="auto"/>
          <w:sz w:val="24"/>
          <w:szCs w:val="24"/>
          <w:highlight w:val="none"/>
          <w:u w:val="none"/>
          <w:lang w:bidi="ar"/>
        </w:rPr>
        <w:t>投标人具有自201</w:t>
      </w:r>
      <w:r>
        <w:rPr>
          <w:rFonts w:hint="default" w:asciiTheme="minorEastAsia" w:hAnsiTheme="minorEastAsia" w:eastAsiaTheme="minorEastAsia" w:cstheme="minorEastAsia"/>
          <w:b w:val="0"/>
          <w:iCs w:val="0"/>
          <w:color w:val="auto"/>
          <w:sz w:val="24"/>
          <w:szCs w:val="24"/>
          <w:highlight w:val="none"/>
          <w:u w:val="none"/>
          <w:lang w:val="en-US" w:eastAsia="zh-CN" w:bidi="ar"/>
        </w:rPr>
        <w:t>7</w:t>
      </w:r>
      <w:r>
        <w:rPr>
          <w:rFonts w:hint="default" w:asciiTheme="minorEastAsia" w:hAnsiTheme="minorEastAsia" w:eastAsiaTheme="minorEastAsia" w:cstheme="minorEastAsia"/>
          <w:b w:val="0"/>
          <w:iCs w:val="0"/>
          <w:color w:val="auto"/>
          <w:sz w:val="24"/>
          <w:szCs w:val="24"/>
          <w:highlight w:val="none"/>
          <w:u w:val="none"/>
          <w:lang w:bidi="ar"/>
        </w:rPr>
        <w:t>年1月1日至投标截止日止【以验收</w:t>
      </w:r>
      <w:r>
        <w:rPr>
          <w:rFonts w:hint="eastAsia" w:asciiTheme="minorEastAsia" w:hAnsiTheme="minorEastAsia" w:eastAsiaTheme="minorEastAsia" w:cstheme="minorEastAsia"/>
          <w:b w:val="0"/>
          <w:iCs w:val="0"/>
          <w:color w:val="auto"/>
          <w:sz w:val="24"/>
          <w:szCs w:val="24"/>
          <w:highlight w:val="none"/>
          <w:u w:val="none"/>
          <w:lang w:val="en-US" w:eastAsia="zh-CN" w:bidi="ar"/>
        </w:rPr>
        <w:t>证明</w:t>
      </w:r>
      <w:r>
        <w:rPr>
          <w:rFonts w:hint="default" w:asciiTheme="minorEastAsia" w:hAnsiTheme="minorEastAsia" w:eastAsiaTheme="minorEastAsia" w:cstheme="minorEastAsia"/>
          <w:b w:val="0"/>
          <w:iCs w:val="0"/>
          <w:color w:val="auto"/>
          <w:sz w:val="24"/>
          <w:szCs w:val="24"/>
          <w:highlight w:val="none"/>
          <w:u w:val="none"/>
          <w:lang w:bidi="ar"/>
        </w:rPr>
        <w:t>上的时间为准】，完成过</w:t>
      </w:r>
      <w:r>
        <w:rPr>
          <w:rFonts w:hint="default" w:asciiTheme="minorEastAsia" w:hAnsiTheme="minorEastAsia" w:eastAsiaTheme="minorEastAsia" w:cstheme="minorEastAsia"/>
          <w:color w:val="auto"/>
          <w:sz w:val="24"/>
          <w:szCs w:val="24"/>
          <w:highlight w:val="none"/>
          <w:lang w:bidi="ar"/>
        </w:rPr>
        <w:t>单项金额</w:t>
      </w:r>
      <w:r>
        <w:rPr>
          <w:rFonts w:hint="eastAsia" w:asciiTheme="minorEastAsia" w:hAnsiTheme="minorEastAsia" w:eastAsiaTheme="minorEastAsia" w:cstheme="minorEastAsia"/>
          <w:color w:val="auto"/>
          <w:sz w:val="24"/>
          <w:szCs w:val="24"/>
          <w:highlight w:val="none"/>
          <w:lang w:val="en-US" w:eastAsia="zh-CN" w:bidi="ar"/>
        </w:rPr>
        <w:t>25</w:t>
      </w:r>
      <w:r>
        <w:rPr>
          <w:rFonts w:hint="default" w:asciiTheme="minorEastAsia" w:hAnsiTheme="minorEastAsia" w:eastAsiaTheme="minorEastAsia" w:cstheme="minorEastAsia"/>
          <w:color w:val="auto"/>
          <w:sz w:val="24"/>
          <w:szCs w:val="24"/>
          <w:highlight w:val="none"/>
          <w:lang w:val="en-US" w:eastAsia="zh-CN" w:bidi="ar"/>
        </w:rPr>
        <w:t>0</w:t>
      </w:r>
      <w:r>
        <w:rPr>
          <w:rFonts w:hint="default" w:asciiTheme="minorEastAsia" w:hAnsiTheme="minorEastAsia" w:eastAsiaTheme="minorEastAsia" w:cstheme="minorEastAsia"/>
          <w:color w:val="auto"/>
          <w:sz w:val="24"/>
          <w:szCs w:val="24"/>
          <w:highlight w:val="none"/>
          <w:lang w:bidi="ar"/>
        </w:rPr>
        <w:t>万元及以上的类似</w:t>
      </w:r>
      <w:r>
        <w:rPr>
          <w:rFonts w:hint="default" w:asciiTheme="minorEastAsia" w:hAnsiTheme="minorEastAsia" w:eastAsiaTheme="minorEastAsia" w:cstheme="minorEastAsia"/>
          <w:color w:val="auto"/>
          <w:sz w:val="24"/>
          <w:szCs w:val="24"/>
          <w:highlight w:val="none"/>
          <w:lang w:val="en-US" w:eastAsia="zh-CN" w:bidi="ar"/>
        </w:rPr>
        <w:t>厨房设备</w:t>
      </w:r>
      <w:r>
        <w:rPr>
          <w:rFonts w:hint="eastAsia" w:asciiTheme="minorEastAsia" w:hAnsiTheme="minorEastAsia" w:eastAsiaTheme="minorEastAsia" w:cstheme="minorEastAsia"/>
          <w:color w:val="auto"/>
          <w:sz w:val="24"/>
          <w:szCs w:val="24"/>
          <w:highlight w:val="none"/>
          <w:lang w:val="en-US" w:eastAsia="zh-CN" w:bidi="ar"/>
        </w:rPr>
        <w:t>供货</w:t>
      </w:r>
      <w:r>
        <w:rPr>
          <w:rFonts w:hint="default" w:asciiTheme="minorEastAsia" w:hAnsiTheme="minorEastAsia" w:eastAsiaTheme="minorEastAsia" w:cstheme="minorEastAsia"/>
          <w:color w:val="auto"/>
          <w:sz w:val="24"/>
          <w:szCs w:val="24"/>
          <w:highlight w:val="none"/>
          <w:lang w:bidi="ar"/>
        </w:rPr>
        <w:t>业绩</w:t>
      </w:r>
      <w:r>
        <w:rPr>
          <w:rFonts w:hint="default" w:asciiTheme="minorEastAsia" w:hAnsiTheme="minorEastAsia" w:eastAsiaTheme="minorEastAsia" w:cstheme="minorEastAsia"/>
          <w:b w:val="0"/>
          <w:iCs w:val="0"/>
          <w:color w:val="auto"/>
          <w:sz w:val="24"/>
          <w:szCs w:val="24"/>
          <w:highlight w:val="none"/>
          <w:u w:val="none"/>
          <w:lang w:bidi="ar"/>
        </w:rPr>
        <w:t>。业绩证明材料为合同、</w:t>
      </w:r>
      <w:r>
        <w:rPr>
          <w:rFonts w:hint="eastAsia"/>
          <w:color w:val="auto"/>
          <w:sz w:val="24"/>
          <w:szCs w:val="24"/>
          <w:highlight w:val="none"/>
        </w:rPr>
        <w:t>单项或整体验收证明</w:t>
      </w:r>
      <w:r>
        <w:rPr>
          <w:rFonts w:hint="default" w:asciiTheme="minorEastAsia" w:hAnsiTheme="minorEastAsia" w:eastAsiaTheme="minorEastAsia" w:cstheme="minorEastAsia"/>
          <w:b w:val="0"/>
          <w:iCs w:val="0"/>
          <w:color w:val="auto"/>
          <w:sz w:val="24"/>
          <w:szCs w:val="24"/>
          <w:highlight w:val="none"/>
          <w:u w:val="none"/>
          <w:lang w:bidi="ar"/>
        </w:rPr>
        <w:t>的复印件</w:t>
      </w:r>
      <w:r>
        <w:rPr>
          <w:rFonts w:asciiTheme="minorEastAsia" w:hAnsiTheme="minorEastAsia" w:eastAsiaTheme="minorEastAsia" w:cstheme="minorEastAsia"/>
          <w:color w:val="auto"/>
          <w:sz w:val="24"/>
          <w:szCs w:val="24"/>
          <w:highlight w:val="none"/>
          <w:lang w:bidi="ar"/>
        </w:rPr>
        <w:t>。</w:t>
      </w:r>
    </w:p>
    <w:p>
      <w:pPr>
        <w:spacing w:line="360" w:lineRule="auto"/>
        <w:ind w:firstLine="21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val="en-US" w:eastAsia="zh-CN" w:bidi="ar"/>
        </w:rPr>
        <w:t>4</w:t>
      </w:r>
      <w:r>
        <w:rPr>
          <w:rFonts w:asciiTheme="minorEastAsia" w:hAnsiTheme="minorEastAsia" w:eastAsiaTheme="minorEastAsia" w:cstheme="minorEastAsia"/>
          <w:color w:val="auto"/>
          <w:sz w:val="24"/>
          <w:szCs w:val="24"/>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pStyle w:val="2"/>
        <w:rPr>
          <w:color w:val="auto"/>
          <w:highlight w:val="none"/>
        </w:rPr>
      </w:pPr>
    </w:p>
    <w:p>
      <w:pPr>
        <w:widowControl/>
        <w:spacing w:line="360" w:lineRule="auto"/>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注：不能提供上述</w:t>
      </w:r>
      <w:r>
        <w:rPr>
          <w:rFonts w:hint="eastAsia" w:ascii="宋体" w:hAnsi="宋体" w:cs="宋体"/>
          <w:color w:val="auto"/>
          <w:sz w:val="24"/>
          <w:szCs w:val="24"/>
          <w:highlight w:val="none"/>
          <w:lang w:bidi="ar"/>
        </w:rPr>
        <w:t>（1）～（</w:t>
      </w:r>
      <w:r>
        <w:rPr>
          <w:rFonts w:hint="eastAsia" w:ascii="宋体" w:hAnsi="宋体" w:cs="宋体"/>
          <w:color w:val="auto"/>
          <w:sz w:val="24"/>
          <w:szCs w:val="24"/>
          <w:highlight w:val="none"/>
          <w:lang w:val="en-US" w:eastAsia="zh-CN" w:bidi="ar"/>
        </w:rPr>
        <w:t>4</w:t>
      </w:r>
      <w:r>
        <w:rPr>
          <w:rFonts w:hint="eastAsia" w:ascii="宋体" w:hAnsi="宋体" w:cs="宋体"/>
          <w:color w:val="auto"/>
          <w:sz w:val="24"/>
          <w:szCs w:val="24"/>
          <w:highlight w:val="none"/>
          <w:lang w:bidi="ar"/>
        </w:rPr>
        <w:t>）</w:t>
      </w:r>
      <w:r>
        <w:rPr>
          <w:rFonts w:hint="eastAsia" w:ascii="宋体" w:hAnsi="宋体" w:cs="宋体"/>
          <w:b/>
          <w:bCs/>
          <w:color w:val="auto"/>
          <w:sz w:val="24"/>
          <w:szCs w:val="24"/>
          <w:highlight w:val="none"/>
          <w:lang w:bidi="ar"/>
        </w:rPr>
        <w:t>材料任何一项或不符合审查要求的投标人为资格审查不合格。</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color w:val="auto"/>
          <w:highlight w:val="none"/>
        </w:rPr>
      </w:pPr>
    </w:p>
    <w:p>
      <w:pPr>
        <w:pStyle w:val="4"/>
        <w:spacing w:before="120" w:after="120" w:line="400" w:lineRule="exact"/>
        <w:jc w:val="left"/>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格式</w:t>
      </w:r>
      <w:r>
        <w:rPr>
          <w:rFonts w:hint="eastAsia" w:asciiTheme="minorEastAsia" w:hAnsiTheme="minorEastAsia" w:eastAsiaTheme="minorEastAsia" w:cstheme="minorEastAsia"/>
          <w:b w:val="0"/>
          <w:bCs w:val="0"/>
          <w:color w:val="auto"/>
          <w:sz w:val="24"/>
          <w:szCs w:val="24"/>
          <w:highlight w:val="none"/>
          <w:lang w:val="en-US" w:eastAsia="zh-CN"/>
        </w:rPr>
        <w:t>一</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加盖公章</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7"/>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4"/>
        <w:spacing w:before="120" w:after="120" w:line="400" w:lineRule="exact"/>
        <w:ind w:firstLine="321"/>
        <w:jc w:val="left"/>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w:t>
      </w:r>
      <w:r>
        <w:rPr>
          <w:rFonts w:hint="eastAsia" w:asciiTheme="minorEastAsia" w:hAnsiTheme="minorEastAsia" w:eastAsiaTheme="minorEastAsia" w:cstheme="minorEastAsia"/>
          <w:b w:val="0"/>
          <w:bCs w:val="0"/>
          <w:color w:val="auto"/>
          <w:sz w:val="24"/>
          <w:szCs w:val="24"/>
          <w:highlight w:val="none"/>
          <w:lang w:val="en-US" w:eastAsia="zh-CN"/>
        </w:rPr>
        <w:t>二</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加盖公章</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7"/>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加盖公章</w:t>
      </w:r>
      <w:r>
        <w:rPr>
          <w:rFonts w:hint="eastAsia" w:asciiTheme="minorEastAsia" w:hAnsiTheme="minorEastAsia" w:eastAsiaTheme="minorEastAsia" w:cstheme="minorEastAsia"/>
          <w:color w:val="auto"/>
          <w:sz w:val="28"/>
          <w:szCs w:val="28"/>
          <w:highlight w:val="none"/>
        </w:rPr>
        <w:t>）</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6"/>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4"/>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加盖公章</w:t>
      </w:r>
      <w:r>
        <w:rPr>
          <w:rFonts w:hint="eastAsia" w:asciiTheme="minorEastAsia" w:hAnsiTheme="minorEastAsia" w:eastAsiaTheme="minorEastAsia" w:cstheme="minorEastAsia"/>
          <w:color w:val="auto"/>
          <w:sz w:val="24"/>
          <w:szCs w:val="24"/>
          <w:highlight w:val="none"/>
        </w:rPr>
        <w:t>）</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6"/>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6"/>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w:t>
      </w:r>
      <w:r>
        <w:rPr>
          <w:rFonts w:hint="eastAsia"/>
          <w:color w:val="auto"/>
          <w:szCs w:val="21"/>
          <w:highlight w:val="none"/>
          <w:lang w:val="en-US" w:eastAsia="zh-CN"/>
        </w:rPr>
        <w:t>加盖公章</w:t>
      </w:r>
      <w:r>
        <w:rPr>
          <w:rFonts w:hint="eastAsia"/>
          <w:color w:val="auto"/>
          <w:szCs w:val="21"/>
          <w:highlight w:val="none"/>
        </w:rPr>
        <w:t>）</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w:t>
      </w:r>
      <w:r>
        <w:rPr>
          <w:rFonts w:hint="eastAsia"/>
          <w:color w:val="auto"/>
          <w:szCs w:val="21"/>
          <w:highlight w:val="none"/>
          <w:lang w:val="en-US" w:eastAsia="zh-CN"/>
        </w:rPr>
        <w:t>加盖公章</w:t>
      </w:r>
      <w:r>
        <w:rPr>
          <w:rFonts w:hint="eastAsia"/>
          <w:color w:val="auto"/>
          <w:szCs w:val="21"/>
          <w:highlight w:val="none"/>
        </w:rPr>
        <w:t>）</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6"/>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加盖公章</w:t>
      </w:r>
      <w:r>
        <w:rPr>
          <w:rFonts w:hint="eastAsia" w:asciiTheme="minorEastAsia" w:hAnsiTheme="minorEastAsia" w:eastAsiaTheme="minorEastAsia" w:cstheme="minorEastAsia"/>
          <w:color w:val="auto"/>
          <w:sz w:val="28"/>
          <w:szCs w:val="28"/>
          <w:highlight w:val="none"/>
        </w:rPr>
        <w:t>）</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rPr>
        <w:t>)</w:t>
      </w: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w:t>
      </w:r>
      <w:r>
        <w:rPr>
          <w:rFonts w:hint="eastAsia" w:asciiTheme="minorEastAsia" w:hAnsiTheme="minorEastAsia" w:eastAsiaTheme="minorEastAsia" w:cstheme="minorEastAsia"/>
          <w:color w:val="auto"/>
          <w:sz w:val="24"/>
          <w:szCs w:val="24"/>
          <w:highlight w:val="none"/>
          <w:lang w:val="en-US" w:eastAsia="zh-CN"/>
        </w:rPr>
        <w:t>四</w:t>
      </w:r>
      <w:r>
        <w:rPr>
          <w:rFonts w:hint="eastAsia" w:asciiTheme="minorEastAsia" w:hAnsiTheme="minorEastAsia" w:eastAsiaTheme="minorEastAsia" w:cstheme="minorEastAsia"/>
          <w:color w:val="auto"/>
          <w:sz w:val="24"/>
          <w:szCs w:val="24"/>
          <w:highlight w:val="none"/>
        </w:rPr>
        <w:t>）</w:t>
      </w:r>
    </w:p>
    <w:p>
      <w:pPr>
        <w:pStyle w:val="10"/>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6"/>
        <w:ind w:firstLine="0" w:firstLineChars="0"/>
        <w:rPr>
          <w:color w:val="auto"/>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color w:val="auto"/>
          <w:highlight w:val="none"/>
        </w:rPr>
      </w:pPr>
    </w:p>
    <w:p>
      <w:pPr>
        <w:pStyle w:val="3"/>
        <w:rPr>
          <w:color w:val="auto"/>
          <w:highlight w:val="none"/>
        </w:rPr>
      </w:pPr>
    </w:p>
    <w:p>
      <w:pPr>
        <w:rPr>
          <w:color w:val="auto"/>
          <w:highlight w:val="none"/>
        </w:rPr>
      </w:pPr>
    </w:p>
    <w:p>
      <w:pPr>
        <w:rPr>
          <w:rFonts w:asciiTheme="minorEastAsia" w:hAnsiTheme="minorEastAsia" w:eastAsiaTheme="minorEastAsia" w:cstheme="minorEastAsia"/>
          <w:color w:val="auto"/>
          <w:sz w:val="24"/>
          <w:szCs w:val="24"/>
          <w:highlight w:val="none"/>
        </w:rPr>
      </w:pPr>
    </w:p>
    <w:p>
      <w:pPr>
        <w:spacing w:line="360" w:lineRule="auto"/>
        <w:ind w:firstLine="210"/>
        <w:rPr>
          <w:rFonts w:hint="eastAsia" w:asciiTheme="minorEastAsia" w:hAnsiTheme="minorEastAsia" w:eastAsiaTheme="minorEastAsia" w:cstheme="minorEastAsia"/>
          <w:color w:val="auto"/>
          <w:kern w:val="44"/>
          <w:sz w:val="24"/>
          <w:szCs w:val="24"/>
          <w:highlight w:val="none"/>
          <w:lang w:eastAsia="zh-CN"/>
        </w:rPr>
      </w:pPr>
      <w:r>
        <w:rPr>
          <w:rFonts w:hint="eastAsia" w:asciiTheme="minorEastAsia" w:hAnsiTheme="minorEastAsia" w:eastAsiaTheme="minorEastAsia" w:cstheme="minorEastAsia"/>
          <w:color w:val="auto"/>
          <w:kern w:val="44"/>
          <w:sz w:val="24"/>
          <w:szCs w:val="24"/>
          <w:highlight w:val="none"/>
        </w:rPr>
        <w:t>格式</w:t>
      </w:r>
      <w:r>
        <w:rPr>
          <w:rFonts w:hint="eastAsia" w:asciiTheme="minorEastAsia" w:hAnsiTheme="minorEastAsia" w:eastAsiaTheme="minorEastAsia" w:cstheme="minorEastAsia"/>
          <w:color w:val="auto"/>
          <w:kern w:val="44"/>
          <w:sz w:val="24"/>
          <w:szCs w:val="24"/>
          <w:highlight w:val="none"/>
          <w:lang w:val="en-US" w:eastAsia="zh-CN"/>
        </w:rPr>
        <w:t>三</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7" w:name="_Toc372212493"/>
      <w:bookmarkStart w:id="448" w:name="_Toc320271436"/>
      <w:bookmarkStart w:id="449"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7"/>
      <w:bookmarkEnd w:id="448"/>
      <w:r>
        <w:rPr>
          <w:rFonts w:hint="eastAsia" w:asciiTheme="minorEastAsia" w:hAnsiTheme="minorEastAsia" w:eastAsiaTheme="minorEastAsia" w:cstheme="minorEastAsia"/>
          <w:b/>
          <w:bCs/>
          <w:color w:val="auto"/>
          <w:sz w:val="24"/>
          <w:szCs w:val="24"/>
          <w:highlight w:val="none"/>
        </w:rPr>
        <w:t>函</w:t>
      </w:r>
      <w:bookmarkEnd w:id="449"/>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元，品牌___/_____，产地</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6"/>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加盖公章</w:t>
      </w:r>
      <w:r>
        <w:rPr>
          <w:rFonts w:hint="eastAsia" w:asciiTheme="minorEastAsia" w:hAnsiTheme="minorEastAsia" w:eastAsiaTheme="minorEastAsia" w:cstheme="minorEastAsia"/>
          <w:color w:val="auto"/>
          <w:sz w:val="24"/>
          <w:szCs w:val="24"/>
          <w:highlight w:val="none"/>
        </w:rPr>
        <w:t>）</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6"/>
        <w:ind w:firstLine="340"/>
        <w:rPr>
          <w:color w:val="auto"/>
          <w:highlight w:val="none"/>
        </w:rPr>
      </w:pPr>
    </w:p>
    <w:p>
      <w:pPr>
        <w:rPr>
          <w:color w:val="auto"/>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44"/>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26"/>
        <w:ind w:firstLine="340"/>
        <w:rPr>
          <w:rFonts w:ascii="宋体" w:hAnsi="宋体"/>
          <w:strike/>
          <w:color w:val="auto"/>
          <w:szCs w:val="21"/>
          <w:highlight w:val="none"/>
        </w:rPr>
      </w:pPr>
    </w:p>
    <w:p>
      <w:pPr>
        <w:rPr>
          <w:rFonts w:ascii="宋体" w:hAnsi="宋体"/>
          <w:strike/>
          <w:color w:val="auto"/>
          <w:szCs w:val="21"/>
          <w:highlight w:val="none"/>
        </w:rPr>
      </w:pPr>
    </w:p>
    <w:p>
      <w:pPr>
        <w:pStyle w:val="26"/>
        <w:ind w:firstLine="340"/>
        <w:rPr>
          <w:rFonts w:ascii="宋体" w:hAnsi="宋体"/>
          <w:strike/>
          <w:color w:val="auto"/>
          <w:szCs w:val="21"/>
          <w:highlight w:val="none"/>
        </w:rPr>
      </w:pPr>
    </w:p>
    <w:p>
      <w:pPr>
        <w:rPr>
          <w:rFonts w:ascii="宋体" w:hAnsi="宋体"/>
          <w:strike/>
          <w:color w:val="auto"/>
          <w:szCs w:val="21"/>
          <w:highlight w:val="none"/>
        </w:rPr>
      </w:pPr>
    </w:p>
    <w:p>
      <w:pPr>
        <w:pStyle w:val="26"/>
        <w:ind w:firstLine="340"/>
        <w:rPr>
          <w:rFonts w:ascii="宋体" w:hAnsi="宋体"/>
          <w:strike/>
          <w:color w:val="auto"/>
          <w:szCs w:val="21"/>
          <w:highlight w:val="none"/>
        </w:rPr>
        <w:sectPr>
          <w:pgSz w:w="11905" w:h="16838"/>
          <w:pgMar w:top="1417" w:right="1134" w:bottom="1417" w:left="1134" w:header="680" w:footer="680" w:gutter="0"/>
          <w:pgBorders>
            <w:top w:val="none" w:sz="0" w:space="0"/>
            <w:left w:val="none" w:sz="0" w:space="0"/>
            <w:bottom w:val="none" w:sz="0" w:space="0"/>
            <w:right w:val="none" w:sz="0" w:space="0"/>
          </w:pgBorders>
          <w:cols w:space="0" w:num="1"/>
          <w:rtlGutter w:val="0"/>
          <w:docGrid w:linePitch="271" w:charSpace="0"/>
        </w:sectPr>
      </w:pPr>
    </w:p>
    <w:p>
      <w:pPr>
        <w:pStyle w:val="4"/>
        <w:spacing w:before="120" w:after="120" w:line="400" w:lineRule="exact"/>
        <w:ind w:firstLine="280"/>
        <w:jc w:val="left"/>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格式</w:t>
      </w:r>
      <w:r>
        <w:rPr>
          <w:rFonts w:hint="eastAsia" w:asciiTheme="minorEastAsia" w:hAnsiTheme="minorEastAsia" w:eastAsiaTheme="minorEastAsia" w:cstheme="minorEastAsia"/>
          <w:b w:val="0"/>
          <w:bCs w:val="0"/>
          <w:color w:val="auto"/>
          <w:sz w:val="24"/>
          <w:szCs w:val="24"/>
          <w:highlight w:val="none"/>
          <w:lang w:val="en-US" w:eastAsia="zh-CN"/>
        </w:rPr>
        <w:t>四</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7"/>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总</w:t>
            </w:r>
            <w:r>
              <w:rPr>
                <w:rFonts w:hint="eastAsia" w:asciiTheme="minorEastAsia" w:hAnsiTheme="minorEastAsia" w:eastAsiaTheme="minorEastAsia" w:cstheme="minorEastAsia"/>
                <w:color w:val="auto"/>
                <w:sz w:val="24"/>
                <w:szCs w:val="24"/>
                <w:highlight w:val="none"/>
              </w:rPr>
              <w:t>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ascii="宋体" w:hAnsi="宋体" w:cs="宋体"/>
                <w:color w:val="auto"/>
                <w:sz w:val="20"/>
                <w:szCs w:val="20"/>
                <w:highlight w:val="none"/>
              </w:rPr>
              <w:t>3</w:t>
            </w:r>
            <w:r>
              <w:rPr>
                <w:rStyle w:val="40"/>
                <w:rFonts w:hint="eastAsia" w:ascii="宋体" w:hAnsi="宋体" w:cs="宋体"/>
                <w:color w:val="auto"/>
                <w:sz w:val="20"/>
                <w:szCs w:val="20"/>
                <w:highlight w:val="none"/>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40"/>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4"/>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72"/>
        <w:rPr>
          <w:rFonts w:ascii="宋体" w:hAnsi="宋体"/>
          <w:color w:val="auto"/>
          <w:sz w:val="20"/>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72"/>
        <w:adjustRightInd w:val="0"/>
        <w:snapToGrid w:val="0"/>
        <w:spacing w:line="312" w:lineRule="auto"/>
        <w:ind w:right="241" w:rightChars="115" w:firstLine="400" w:firstLineChars="200"/>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6"/>
        <w:ind w:firstLine="0" w:firstLineChars="0"/>
        <w:rPr>
          <w:color w:val="auto"/>
          <w:highlight w:val="none"/>
        </w:rPr>
      </w:pPr>
    </w:p>
    <w:p>
      <w:pPr>
        <w:rPr>
          <w:color w:val="auto"/>
          <w:highlight w:val="none"/>
        </w:rPr>
      </w:pPr>
    </w:p>
    <w:p>
      <w:pPr>
        <w:pStyle w:val="26"/>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加盖公章</w:t>
      </w:r>
      <w:r>
        <w:rPr>
          <w:rFonts w:hint="eastAsia" w:ascii="宋体" w:hAnsi="宋体"/>
          <w:color w:val="auto"/>
          <w:sz w:val="21"/>
          <w:szCs w:val="21"/>
          <w:highlight w:val="none"/>
        </w:rPr>
        <w:t>）</w:t>
      </w:r>
    </w:p>
    <w:p>
      <w:pPr>
        <w:rPr>
          <w:rFonts w:ascii="宋体" w:hAnsi="宋体"/>
          <w:color w:val="auto"/>
          <w:szCs w:val="21"/>
          <w:highlight w:val="none"/>
        </w:rPr>
      </w:pPr>
    </w:p>
    <w:p>
      <w:pPr>
        <w:pStyle w:val="26"/>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6"/>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6"/>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p>
      <w:pPr>
        <w:rPr>
          <w:color w:val="auto"/>
          <w:highlight w:val="none"/>
        </w:rPr>
      </w:pPr>
    </w:p>
    <w:sectPr>
      <w:pgSz w:w="16838" w:h="11905" w:orient="landscape"/>
      <w:pgMar w:top="1134" w:right="1417" w:bottom="1134" w:left="1417" w:header="680" w:footer="680" w:gutter="0"/>
      <w:pgBorders>
        <w:top w:val="none" w:sz="0" w:space="0"/>
        <w:left w:val="none" w:sz="0" w:space="0"/>
        <w:bottom w:val="none" w:sz="0" w:space="0"/>
        <w:right w:val="none" w:sz="0" w:space="0"/>
      </w:pgBorders>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28</w:t>
    </w:r>
    <w:r>
      <w:fldChar w:fldCharType="end"/>
    </w:r>
  </w:p>
  <w:p>
    <w:pPr>
      <w:pStyle w:val="17"/>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outside" w:y="1"/>
      <w:rPr>
        <w:rStyle w:val="31"/>
      </w:rPr>
    </w:pPr>
    <w:r>
      <w:fldChar w:fldCharType="begin"/>
    </w:r>
    <w:r>
      <w:rPr>
        <w:rStyle w:val="31"/>
      </w:rPr>
      <w:instrText xml:space="preserve">PAGE  </w:instrText>
    </w:r>
    <w:r>
      <w:fldChar w:fldCharType="separate"/>
    </w:r>
    <w:r>
      <w:rPr>
        <w:rStyle w:val="31"/>
      </w:rPr>
      <w:t>16</w:t>
    </w:r>
    <w:r>
      <w:fldChar w:fldCharType="end"/>
    </w:r>
  </w:p>
  <w:p>
    <w:pPr>
      <w:pStyle w:val="1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32</w:t>
    </w:r>
    <w:r>
      <w:fldChar w:fldCharType="end"/>
    </w:r>
  </w:p>
  <w:p>
    <w:pPr>
      <w:pStyle w:val="17"/>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w:t>
    </w:r>
    <w:r>
      <w:fldChar w:fldCharType="end"/>
    </w:r>
  </w:p>
  <w:p>
    <w:pPr>
      <w:pStyle w:val="17"/>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9A0DF"/>
    <w:multiLevelType w:val="singleLevel"/>
    <w:tmpl w:val="CF79A0DF"/>
    <w:lvl w:ilvl="0" w:tentative="0">
      <w:start w:val="9"/>
      <w:numFmt w:val="decimal"/>
      <w:suff w:val="nothing"/>
      <w:lvlText w:val="%1、"/>
      <w:lvlJc w:val="left"/>
    </w:lvl>
  </w:abstractNum>
  <w:abstractNum w:abstractNumId="1">
    <w:nsid w:val="634704D1"/>
    <w:multiLevelType w:val="singleLevel"/>
    <w:tmpl w:val="634704D1"/>
    <w:lvl w:ilvl="0" w:tentative="0">
      <w:start w:val="2"/>
      <w:numFmt w:val="decimal"/>
      <w:suff w:val="nothing"/>
      <w:lvlText w:val="（%1）"/>
      <w:lvlJc w:val="left"/>
    </w:lvl>
  </w:abstractNum>
  <w:abstractNum w:abstractNumId="2">
    <w:nsid w:val="737A47EA"/>
    <w:multiLevelType w:val="singleLevel"/>
    <w:tmpl w:val="737A47EA"/>
    <w:lvl w:ilvl="0" w:tentative="0">
      <w:start w:val="14"/>
      <w:numFmt w:val="decimal"/>
      <w:suff w:val="nothing"/>
      <w:lvlText w:val="%1．"/>
      <w:lvlJc w:val="left"/>
    </w:lvl>
  </w:abstractNum>
  <w:abstractNum w:abstractNumId="3">
    <w:nsid w:val="7D561F1E"/>
    <w:multiLevelType w:val="multilevel"/>
    <w:tmpl w:val="7D561F1E"/>
    <w:lvl w:ilvl="0" w:tentative="0">
      <w:start w:val="1"/>
      <w:numFmt w:val="decimal"/>
      <w:lvlText w:val="（%1）"/>
      <w:lvlJc w:val="left"/>
      <w:pPr>
        <w:tabs>
          <w:tab w:val="left" w:pos="660"/>
        </w:tabs>
        <w:ind w:left="660" w:hanging="420"/>
      </w:pPr>
      <w:rPr>
        <w:rFonts w:hint="eastAsia"/>
      </w:rPr>
    </w:lvl>
    <w:lvl w:ilvl="1" w:tentative="0">
      <w:start w:val="1"/>
      <w:numFmt w:val="lowerLetter"/>
      <w:lvlText w:val="%2)"/>
      <w:lvlJc w:val="left"/>
      <w:pPr>
        <w:tabs>
          <w:tab w:val="left" w:pos="870"/>
        </w:tabs>
        <w:ind w:left="870" w:hanging="420"/>
      </w:pPr>
    </w:lvl>
    <w:lvl w:ilvl="2" w:tentative="0">
      <w:start w:val="1"/>
      <w:numFmt w:val="lowerRoman"/>
      <w:lvlText w:val="%3."/>
      <w:lvlJc w:val="right"/>
      <w:pPr>
        <w:tabs>
          <w:tab w:val="left" w:pos="1290"/>
        </w:tabs>
        <w:ind w:left="1290" w:hanging="420"/>
      </w:pPr>
    </w:lvl>
    <w:lvl w:ilvl="3" w:tentative="0">
      <w:start w:val="1"/>
      <w:numFmt w:val="decimal"/>
      <w:lvlText w:val="%4."/>
      <w:lvlJc w:val="left"/>
      <w:pPr>
        <w:tabs>
          <w:tab w:val="left" w:pos="1710"/>
        </w:tabs>
        <w:ind w:left="1710" w:hanging="420"/>
      </w:pPr>
    </w:lvl>
    <w:lvl w:ilvl="4" w:tentative="0">
      <w:start w:val="1"/>
      <w:numFmt w:val="lowerLetter"/>
      <w:lvlText w:val="%5)"/>
      <w:lvlJc w:val="left"/>
      <w:pPr>
        <w:tabs>
          <w:tab w:val="left" w:pos="2130"/>
        </w:tabs>
        <w:ind w:left="2130" w:hanging="420"/>
      </w:pPr>
    </w:lvl>
    <w:lvl w:ilvl="5" w:tentative="0">
      <w:start w:val="1"/>
      <w:numFmt w:val="lowerRoman"/>
      <w:lvlText w:val="%6."/>
      <w:lvlJc w:val="right"/>
      <w:pPr>
        <w:tabs>
          <w:tab w:val="left" w:pos="2550"/>
        </w:tabs>
        <w:ind w:left="2550" w:hanging="420"/>
      </w:pPr>
    </w:lvl>
    <w:lvl w:ilvl="6" w:tentative="0">
      <w:start w:val="1"/>
      <w:numFmt w:val="decimal"/>
      <w:lvlText w:val="%7."/>
      <w:lvlJc w:val="left"/>
      <w:pPr>
        <w:tabs>
          <w:tab w:val="left" w:pos="2970"/>
        </w:tabs>
        <w:ind w:left="2970" w:hanging="420"/>
      </w:pPr>
    </w:lvl>
    <w:lvl w:ilvl="7" w:tentative="0">
      <w:start w:val="1"/>
      <w:numFmt w:val="lowerLetter"/>
      <w:lvlText w:val="%8)"/>
      <w:lvlJc w:val="left"/>
      <w:pPr>
        <w:tabs>
          <w:tab w:val="left" w:pos="3390"/>
        </w:tabs>
        <w:ind w:left="3390" w:hanging="420"/>
      </w:pPr>
    </w:lvl>
    <w:lvl w:ilvl="8" w:tentative="0">
      <w:start w:val="1"/>
      <w:numFmt w:val="lowerRoman"/>
      <w:lvlText w:val="%9."/>
      <w:lvlJc w:val="right"/>
      <w:pPr>
        <w:tabs>
          <w:tab w:val="left" w:pos="3810"/>
        </w:tabs>
        <w:ind w:left="381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3NGUzNTliNGZhODg5YmM4ODdiNGRjMDM0ZTQxZDIifQ=="/>
  </w:docVars>
  <w:rsids>
    <w:rsidRoot w:val="003F2ED6"/>
    <w:rsid w:val="00011ECD"/>
    <w:rsid w:val="0001292A"/>
    <w:rsid w:val="000421EA"/>
    <w:rsid w:val="00076221"/>
    <w:rsid w:val="000800D8"/>
    <w:rsid w:val="00092F51"/>
    <w:rsid w:val="000B18F0"/>
    <w:rsid w:val="000F1046"/>
    <w:rsid w:val="000F135C"/>
    <w:rsid w:val="00102ED9"/>
    <w:rsid w:val="001132C6"/>
    <w:rsid w:val="00157B73"/>
    <w:rsid w:val="00171641"/>
    <w:rsid w:val="00172A1E"/>
    <w:rsid w:val="001800FD"/>
    <w:rsid w:val="001B1DE3"/>
    <w:rsid w:val="001B3A70"/>
    <w:rsid w:val="001D5398"/>
    <w:rsid w:val="00216F1A"/>
    <w:rsid w:val="00223CBC"/>
    <w:rsid w:val="00234C1A"/>
    <w:rsid w:val="00252453"/>
    <w:rsid w:val="0026665C"/>
    <w:rsid w:val="0026717C"/>
    <w:rsid w:val="002926D1"/>
    <w:rsid w:val="002B53DD"/>
    <w:rsid w:val="00313D6F"/>
    <w:rsid w:val="00322C22"/>
    <w:rsid w:val="00324A78"/>
    <w:rsid w:val="00337C06"/>
    <w:rsid w:val="00347E38"/>
    <w:rsid w:val="0036349F"/>
    <w:rsid w:val="0038457F"/>
    <w:rsid w:val="00385320"/>
    <w:rsid w:val="003953E5"/>
    <w:rsid w:val="003B64EA"/>
    <w:rsid w:val="003D2A99"/>
    <w:rsid w:val="003F2ED6"/>
    <w:rsid w:val="00406F5D"/>
    <w:rsid w:val="00412BA6"/>
    <w:rsid w:val="00437458"/>
    <w:rsid w:val="00453FBC"/>
    <w:rsid w:val="00454987"/>
    <w:rsid w:val="004841B8"/>
    <w:rsid w:val="004A0F00"/>
    <w:rsid w:val="004F4D96"/>
    <w:rsid w:val="005109FB"/>
    <w:rsid w:val="00531609"/>
    <w:rsid w:val="0054531B"/>
    <w:rsid w:val="005867C8"/>
    <w:rsid w:val="00596BB3"/>
    <w:rsid w:val="005A51FE"/>
    <w:rsid w:val="005A7877"/>
    <w:rsid w:val="005B020B"/>
    <w:rsid w:val="005F1887"/>
    <w:rsid w:val="005F194D"/>
    <w:rsid w:val="00600C83"/>
    <w:rsid w:val="006156FB"/>
    <w:rsid w:val="00642511"/>
    <w:rsid w:val="00656AF2"/>
    <w:rsid w:val="00662032"/>
    <w:rsid w:val="006A5BF3"/>
    <w:rsid w:val="006D5299"/>
    <w:rsid w:val="006D55E9"/>
    <w:rsid w:val="007743CF"/>
    <w:rsid w:val="00796396"/>
    <w:rsid w:val="007D2D2E"/>
    <w:rsid w:val="007F2242"/>
    <w:rsid w:val="008021CD"/>
    <w:rsid w:val="00802517"/>
    <w:rsid w:val="00833E0B"/>
    <w:rsid w:val="0084105F"/>
    <w:rsid w:val="00850F37"/>
    <w:rsid w:val="00874A0D"/>
    <w:rsid w:val="00877D83"/>
    <w:rsid w:val="00890384"/>
    <w:rsid w:val="008944CE"/>
    <w:rsid w:val="008F3318"/>
    <w:rsid w:val="00941337"/>
    <w:rsid w:val="0094603E"/>
    <w:rsid w:val="009475ED"/>
    <w:rsid w:val="009618E5"/>
    <w:rsid w:val="00977D02"/>
    <w:rsid w:val="00984E24"/>
    <w:rsid w:val="00986EA5"/>
    <w:rsid w:val="00997E08"/>
    <w:rsid w:val="009B088D"/>
    <w:rsid w:val="009B1D96"/>
    <w:rsid w:val="009E4E44"/>
    <w:rsid w:val="009F2921"/>
    <w:rsid w:val="00A039F8"/>
    <w:rsid w:val="00A179E3"/>
    <w:rsid w:val="00A20975"/>
    <w:rsid w:val="00A43C5E"/>
    <w:rsid w:val="00AC21EA"/>
    <w:rsid w:val="00AC3A5D"/>
    <w:rsid w:val="00AE2AE1"/>
    <w:rsid w:val="00B16145"/>
    <w:rsid w:val="00B16EA5"/>
    <w:rsid w:val="00BB4C35"/>
    <w:rsid w:val="00C3308E"/>
    <w:rsid w:val="00C3736F"/>
    <w:rsid w:val="00C54E0F"/>
    <w:rsid w:val="00CA2EF8"/>
    <w:rsid w:val="00CC2CE2"/>
    <w:rsid w:val="00D04981"/>
    <w:rsid w:val="00D227D6"/>
    <w:rsid w:val="00D2563E"/>
    <w:rsid w:val="00D27D65"/>
    <w:rsid w:val="00D44CB4"/>
    <w:rsid w:val="00D50438"/>
    <w:rsid w:val="00D53EE8"/>
    <w:rsid w:val="00D64325"/>
    <w:rsid w:val="00D653B2"/>
    <w:rsid w:val="00D86692"/>
    <w:rsid w:val="00D904AE"/>
    <w:rsid w:val="00D94D68"/>
    <w:rsid w:val="00DF3E56"/>
    <w:rsid w:val="00DF3E74"/>
    <w:rsid w:val="00E3313B"/>
    <w:rsid w:val="00E418B9"/>
    <w:rsid w:val="00E70AEE"/>
    <w:rsid w:val="00E70CCA"/>
    <w:rsid w:val="00E77556"/>
    <w:rsid w:val="00E81341"/>
    <w:rsid w:val="00EA7B11"/>
    <w:rsid w:val="00EC4116"/>
    <w:rsid w:val="00EF6464"/>
    <w:rsid w:val="00F23F82"/>
    <w:rsid w:val="00F25F5D"/>
    <w:rsid w:val="00F33613"/>
    <w:rsid w:val="00F43AAA"/>
    <w:rsid w:val="00F5656F"/>
    <w:rsid w:val="00F63173"/>
    <w:rsid w:val="00FB197F"/>
    <w:rsid w:val="00FD0792"/>
    <w:rsid w:val="00FE21DA"/>
    <w:rsid w:val="010643D2"/>
    <w:rsid w:val="01170F7B"/>
    <w:rsid w:val="01252684"/>
    <w:rsid w:val="014C5E20"/>
    <w:rsid w:val="017B4D40"/>
    <w:rsid w:val="01D20119"/>
    <w:rsid w:val="01FE0316"/>
    <w:rsid w:val="020D203E"/>
    <w:rsid w:val="023031D7"/>
    <w:rsid w:val="02494A32"/>
    <w:rsid w:val="027345B1"/>
    <w:rsid w:val="02CD0E66"/>
    <w:rsid w:val="02D06F7F"/>
    <w:rsid w:val="02E446B6"/>
    <w:rsid w:val="032A4307"/>
    <w:rsid w:val="033D2B90"/>
    <w:rsid w:val="037C23D7"/>
    <w:rsid w:val="0381097B"/>
    <w:rsid w:val="03A04854"/>
    <w:rsid w:val="03B0513A"/>
    <w:rsid w:val="03D75229"/>
    <w:rsid w:val="04142316"/>
    <w:rsid w:val="042F2D99"/>
    <w:rsid w:val="04900C3F"/>
    <w:rsid w:val="04E0070D"/>
    <w:rsid w:val="053C5DED"/>
    <w:rsid w:val="055A6F90"/>
    <w:rsid w:val="057115C5"/>
    <w:rsid w:val="05AE265D"/>
    <w:rsid w:val="05B56F9D"/>
    <w:rsid w:val="05B80CDB"/>
    <w:rsid w:val="05C87598"/>
    <w:rsid w:val="05ED3A79"/>
    <w:rsid w:val="06142F84"/>
    <w:rsid w:val="06544D2A"/>
    <w:rsid w:val="069B1A69"/>
    <w:rsid w:val="069B2990"/>
    <w:rsid w:val="06E82513"/>
    <w:rsid w:val="06F3702C"/>
    <w:rsid w:val="075619C6"/>
    <w:rsid w:val="07563CE8"/>
    <w:rsid w:val="075B40DD"/>
    <w:rsid w:val="078779E0"/>
    <w:rsid w:val="07AF4972"/>
    <w:rsid w:val="07B92112"/>
    <w:rsid w:val="07E01420"/>
    <w:rsid w:val="07FC59BA"/>
    <w:rsid w:val="08554253"/>
    <w:rsid w:val="085E70A2"/>
    <w:rsid w:val="086F00C3"/>
    <w:rsid w:val="088834A8"/>
    <w:rsid w:val="08AA0FDD"/>
    <w:rsid w:val="09242F71"/>
    <w:rsid w:val="094E5EBE"/>
    <w:rsid w:val="095254AC"/>
    <w:rsid w:val="097C0220"/>
    <w:rsid w:val="098842ED"/>
    <w:rsid w:val="099361CD"/>
    <w:rsid w:val="09B345D8"/>
    <w:rsid w:val="0A17516A"/>
    <w:rsid w:val="0A203944"/>
    <w:rsid w:val="0A3648BE"/>
    <w:rsid w:val="0A6F2DDF"/>
    <w:rsid w:val="0A8964F9"/>
    <w:rsid w:val="0A9414BC"/>
    <w:rsid w:val="0ABF56E4"/>
    <w:rsid w:val="0AD57493"/>
    <w:rsid w:val="0AD95861"/>
    <w:rsid w:val="0AEB4A73"/>
    <w:rsid w:val="0B042481"/>
    <w:rsid w:val="0B205E71"/>
    <w:rsid w:val="0B4D030D"/>
    <w:rsid w:val="0B7011A9"/>
    <w:rsid w:val="0B8239E5"/>
    <w:rsid w:val="0B8E4CF6"/>
    <w:rsid w:val="0B9A49D7"/>
    <w:rsid w:val="0BB3356E"/>
    <w:rsid w:val="0BBD0AC7"/>
    <w:rsid w:val="0BC86A81"/>
    <w:rsid w:val="0BDA7E40"/>
    <w:rsid w:val="0C0A1E81"/>
    <w:rsid w:val="0C2C496A"/>
    <w:rsid w:val="0C2F0F17"/>
    <w:rsid w:val="0C620A55"/>
    <w:rsid w:val="0CB96C71"/>
    <w:rsid w:val="0CF1339B"/>
    <w:rsid w:val="0D3676C3"/>
    <w:rsid w:val="0D9C39C3"/>
    <w:rsid w:val="0DA07C55"/>
    <w:rsid w:val="0E103656"/>
    <w:rsid w:val="0E242653"/>
    <w:rsid w:val="0E2F73D1"/>
    <w:rsid w:val="0E2F75DE"/>
    <w:rsid w:val="0E483512"/>
    <w:rsid w:val="0E6F03C7"/>
    <w:rsid w:val="0E7A4BF5"/>
    <w:rsid w:val="0E7A69DB"/>
    <w:rsid w:val="0E977A54"/>
    <w:rsid w:val="0E9960EA"/>
    <w:rsid w:val="0EC7277B"/>
    <w:rsid w:val="0EDC350C"/>
    <w:rsid w:val="0EDD7DF7"/>
    <w:rsid w:val="0F02680A"/>
    <w:rsid w:val="0F095FAF"/>
    <w:rsid w:val="0F1E2E01"/>
    <w:rsid w:val="0F3D087B"/>
    <w:rsid w:val="0F7F0CD1"/>
    <w:rsid w:val="0F8D75C2"/>
    <w:rsid w:val="0FAE61D7"/>
    <w:rsid w:val="103129C3"/>
    <w:rsid w:val="107F2C59"/>
    <w:rsid w:val="10966690"/>
    <w:rsid w:val="10A25C3C"/>
    <w:rsid w:val="10AB6BD6"/>
    <w:rsid w:val="10B570E7"/>
    <w:rsid w:val="10BD5916"/>
    <w:rsid w:val="10D842E1"/>
    <w:rsid w:val="10F12720"/>
    <w:rsid w:val="11003F91"/>
    <w:rsid w:val="110A5051"/>
    <w:rsid w:val="11200E0E"/>
    <w:rsid w:val="115C0A93"/>
    <w:rsid w:val="119D6F55"/>
    <w:rsid w:val="11F73E3A"/>
    <w:rsid w:val="1231797F"/>
    <w:rsid w:val="12462C7B"/>
    <w:rsid w:val="126E08E5"/>
    <w:rsid w:val="12AF590A"/>
    <w:rsid w:val="12B87C38"/>
    <w:rsid w:val="12D90371"/>
    <w:rsid w:val="12DE2783"/>
    <w:rsid w:val="12EF4562"/>
    <w:rsid w:val="13096083"/>
    <w:rsid w:val="130C223A"/>
    <w:rsid w:val="13452433"/>
    <w:rsid w:val="135926DE"/>
    <w:rsid w:val="13946915"/>
    <w:rsid w:val="13E024F7"/>
    <w:rsid w:val="13E368A5"/>
    <w:rsid w:val="14131B76"/>
    <w:rsid w:val="142524E7"/>
    <w:rsid w:val="1470009E"/>
    <w:rsid w:val="147E1DF4"/>
    <w:rsid w:val="148E0DD7"/>
    <w:rsid w:val="14D8335A"/>
    <w:rsid w:val="1562509C"/>
    <w:rsid w:val="157037E5"/>
    <w:rsid w:val="15A611CC"/>
    <w:rsid w:val="161A5B51"/>
    <w:rsid w:val="162177B3"/>
    <w:rsid w:val="16754EC2"/>
    <w:rsid w:val="16A246B2"/>
    <w:rsid w:val="16BD34B9"/>
    <w:rsid w:val="16C82E1D"/>
    <w:rsid w:val="16F57468"/>
    <w:rsid w:val="17492CC0"/>
    <w:rsid w:val="174D6D27"/>
    <w:rsid w:val="175375A6"/>
    <w:rsid w:val="17557AAE"/>
    <w:rsid w:val="176A36CD"/>
    <w:rsid w:val="17743711"/>
    <w:rsid w:val="178B4EDF"/>
    <w:rsid w:val="179937AC"/>
    <w:rsid w:val="17ED2EC7"/>
    <w:rsid w:val="17F860F9"/>
    <w:rsid w:val="17F97067"/>
    <w:rsid w:val="181D2C0E"/>
    <w:rsid w:val="18207BC5"/>
    <w:rsid w:val="187622FC"/>
    <w:rsid w:val="18A813FE"/>
    <w:rsid w:val="18A8546E"/>
    <w:rsid w:val="18B07712"/>
    <w:rsid w:val="18C57276"/>
    <w:rsid w:val="18DD68BB"/>
    <w:rsid w:val="18E56FD1"/>
    <w:rsid w:val="19680F65"/>
    <w:rsid w:val="19C33636"/>
    <w:rsid w:val="19C370FB"/>
    <w:rsid w:val="19C374C4"/>
    <w:rsid w:val="1A1915F5"/>
    <w:rsid w:val="1A3E393E"/>
    <w:rsid w:val="1AC47160"/>
    <w:rsid w:val="1AFC45F8"/>
    <w:rsid w:val="1B3942C1"/>
    <w:rsid w:val="1B3E00A7"/>
    <w:rsid w:val="1B8A1693"/>
    <w:rsid w:val="1BA25287"/>
    <w:rsid w:val="1BA65996"/>
    <w:rsid w:val="1BBB7C8C"/>
    <w:rsid w:val="1BCD64E6"/>
    <w:rsid w:val="1BD0252A"/>
    <w:rsid w:val="1BDD2850"/>
    <w:rsid w:val="1BF7266A"/>
    <w:rsid w:val="1C350BE5"/>
    <w:rsid w:val="1C4E3218"/>
    <w:rsid w:val="1C5E01AD"/>
    <w:rsid w:val="1C6D1392"/>
    <w:rsid w:val="1CD96D90"/>
    <w:rsid w:val="1D246639"/>
    <w:rsid w:val="1D55328E"/>
    <w:rsid w:val="1D8A21D0"/>
    <w:rsid w:val="1DC10CEB"/>
    <w:rsid w:val="1DF03215"/>
    <w:rsid w:val="1E5B187C"/>
    <w:rsid w:val="1E8E20FF"/>
    <w:rsid w:val="1EAB6B2A"/>
    <w:rsid w:val="1F135922"/>
    <w:rsid w:val="1F222924"/>
    <w:rsid w:val="1F4544B4"/>
    <w:rsid w:val="1F654029"/>
    <w:rsid w:val="1F673EBF"/>
    <w:rsid w:val="1FB62E88"/>
    <w:rsid w:val="1FE02E2E"/>
    <w:rsid w:val="1FED383E"/>
    <w:rsid w:val="2015576A"/>
    <w:rsid w:val="20180053"/>
    <w:rsid w:val="20243093"/>
    <w:rsid w:val="20426CFD"/>
    <w:rsid w:val="20514B81"/>
    <w:rsid w:val="208F7D15"/>
    <w:rsid w:val="20D165E0"/>
    <w:rsid w:val="20D774E3"/>
    <w:rsid w:val="20F25CF1"/>
    <w:rsid w:val="21174A49"/>
    <w:rsid w:val="21594E27"/>
    <w:rsid w:val="217457EB"/>
    <w:rsid w:val="217541B0"/>
    <w:rsid w:val="21C21F40"/>
    <w:rsid w:val="21C727E1"/>
    <w:rsid w:val="21D07A25"/>
    <w:rsid w:val="223607E1"/>
    <w:rsid w:val="223D4D9F"/>
    <w:rsid w:val="22983CFE"/>
    <w:rsid w:val="229A3787"/>
    <w:rsid w:val="229B1334"/>
    <w:rsid w:val="22A63EC2"/>
    <w:rsid w:val="22C43B25"/>
    <w:rsid w:val="22EC55E4"/>
    <w:rsid w:val="22EE2A71"/>
    <w:rsid w:val="22F356B8"/>
    <w:rsid w:val="23112007"/>
    <w:rsid w:val="231A4985"/>
    <w:rsid w:val="23467533"/>
    <w:rsid w:val="23550B3D"/>
    <w:rsid w:val="235C032B"/>
    <w:rsid w:val="236F5DF6"/>
    <w:rsid w:val="23EC6B57"/>
    <w:rsid w:val="23F146DC"/>
    <w:rsid w:val="23FD212F"/>
    <w:rsid w:val="241A4A22"/>
    <w:rsid w:val="24397D4F"/>
    <w:rsid w:val="250324CC"/>
    <w:rsid w:val="25111399"/>
    <w:rsid w:val="251355E2"/>
    <w:rsid w:val="251D5245"/>
    <w:rsid w:val="252D3DA3"/>
    <w:rsid w:val="25673626"/>
    <w:rsid w:val="256C54BF"/>
    <w:rsid w:val="257C4F29"/>
    <w:rsid w:val="25C034EC"/>
    <w:rsid w:val="25C77AC0"/>
    <w:rsid w:val="26011784"/>
    <w:rsid w:val="260E0202"/>
    <w:rsid w:val="261A09DB"/>
    <w:rsid w:val="262904D7"/>
    <w:rsid w:val="262B621B"/>
    <w:rsid w:val="26513873"/>
    <w:rsid w:val="2651722C"/>
    <w:rsid w:val="265D7677"/>
    <w:rsid w:val="26876D94"/>
    <w:rsid w:val="269D06A3"/>
    <w:rsid w:val="269E7603"/>
    <w:rsid w:val="26AA1D61"/>
    <w:rsid w:val="26E3470F"/>
    <w:rsid w:val="27756113"/>
    <w:rsid w:val="279C2D6F"/>
    <w:rsid w:val="279D2A32"/>
    <w:rsid w:val="27BE3D78"/>
    <w:rsid w:val="27D04CE3"/>
    <w:rsid w:val="27DC55D7"/>
    <w:rsid w:val="27E22B6D"/>
    <w:rsid w:val="27F84584"/>
    <w:rsid w:val="28035A15"/>
    <w:rsid w:val="281F7E5B"/>
    <w:rsid w:val="28753FAD"/>
    <w:rsid w:val="287E155D"/>
    <w:rsid w:val="289135FD"/>
    <w:rsid w:val="289368F6"/>
    <w:rsid w:val="289C3902"/>
    <w:rsid w:val="28A013AD"/>
    <w:rsid w:val="29075A9B"/>
    <w:rsid w:val="2921753E"/>
    <w:rsid w:val="297909E4"/>
    <w:rsid w:val="297E1B4D"/>
    <w:rsid w:val="298365D8"/>
    <w:rsid w:val="298E7E6F"/>
    <w:rsid w:val="29C14A7E"/>
    <w:rsid w:val="29DB7157"/>
    <w:rsid w:val="2A0D4760"/>
    <w:rsid w:val="2A6C706D"/>
    <w:rsid w:val="2A910685"/>
    <w:rsid w:val="2AB204A5"/>
    <w:rsid w:val="2AC1476A"/>
    <w:rsid w:val="2ACB2EF2"/>
    <w:rsid w:val="2AF13BEE"/>
    <w:rsid w:val="2AF160F0"/>
    <w:rsid w:val="2AFE1262"/>
    <w:rsid w:val="2B455E55"/>
    <w:rsid w:val="2B511F09"/>
    <w:rsid w:val="2B5D2E86"/>
    <w:rsid w:val="2B7942DC"/>
    <w:rsid w:val="2B810B41"/>
    <w:rsid w:val="2BB3671D"/>
    <w:rsid w:val="2BE041B6"/>
    <w:rsid w:val="2BE21CDC"/>
    <w:rsid w:val="2C3447CC"/>
    <w:rsid w:val="2C373BB3"/>
    <w:rsid w:val="2C3B14B4"/>
    <w:rsid w:val="2C4F1FE4"/>
    <w:rsid w:val="2C5D68E8"/>
    <w:rsid w:val="2C5E53FF"/>
    <w:rsid w:val="2C706932"/>
    <w:rsid w:val="2CC55E62"/>
    <w:rsid w:val="2CC71F36"/>
    <w:rsid w:val="2CEA4300"/>
    <w:rsid w:val="2D853E99"/>
    <w:rsid w:val="2DA31DDE"/>
    <w:rsid w:val="2DA735D6"/>
    <w:rsid w:val="2DAE34B9"/>
    <w:rsid w:val="2DC12790"/>
    <w:rsid w:val="2DD66197"/>
    <w:rsid w:val="2DEE1B8F"/>
    <w:rsid w:val="2E2A3DA7"/>
    <w:rsid w:val="2E4A680D"/>
    <w:rsid w:val="2E69320E"/>
    <w:rsid w:val="2E7A6958"/>
    <w:rsid w:val="2EB11D5E"/>
    <w:rsid w:val="2EB23898"/>
    <w:rsid w:val="2EB75EBD"/>
    <w:rsid w:val="2EDA3FA8"/>
    <w:rsid w:val="2F0118B9"/>
    <w:rsid w:val="2F0272A3"/>
    <w:rsid w:val="2F0C452B"/>
    <w:rsid w:val="2F282B51"/>
    <w:rsid w:val="2F4221ED"/>
    <w:rsid w:val="2F4250B0"/>
    <w:rsid w:val="2F4B0F1F"/>
    <w:rsid w:val="2F6855EB"/>
    <w:rsid w:val="2FA1743D"/>
    <w:rsid w:val="2FB777B0"/>
    <w:rsid w:val="301803CA"/>
    <w:rsid w:val="3025582E"/>
    <w:rsid w:val="303D44B0"/>
    <w:rsid w:val="304C7FA9"/>
    <w:rsid w:val="304D3CBB"/>
    <w:rsid w:val="305C4AA8"/>
    <w:rsid w:val="306A0CFA"/>
    <w:rsid w:val="30A57859"/>
    <w:rsid w:val="30BA410F"/>
    <w:rsid w:val="30C64B11"/>
    <w:rsid w:val="31115D00"/>
    <w:rsid w:val="31431A75"/>
    <w:rsid w:val="315728F1"/>
    <w:rsid w:val="316623F4"/>
    <w:rsid w:val="316C33F5"/>
    <w:rsid w:val="31723D70"/>
    <w:rsid w:val="318225C0"/>
    <w:rsid w:val="31975317"/>
    <w:rsid w:val="319A66D0"/>
    <w:rsid w:val="31A96A1A"/>
    <w:rsid w:val="31C4442B"/>
    <w:rsid w:val="32011523"/>
    <w:rsid w:val="32153F73"/>
    <w:rsid w:val="32294E3B"/>
    <w:rsid w:val="32397FF3"/>
    <w:rsid w:val="32633A0A"/>
    <w:rsid w:val="327E1ACD"/>
    <w:rsid w:val="32862C04"/>
    <w:rsid w:val="32936AA7"/>
    <w:rsid w:val="32BA4853"/>
    <w:rsid w:val="32BB4EA5"/>
    <w:rsid w:val="33B42114"/>
    <w:rsid w:val="33F13E73"/>
    <w:rsid w:val="34094C1B"/>
    <w:rsid w:val="341157F3"/>
    <w:rsid w:val="34144B43"/>
    <w:rsid w:val="344F5AC7"/>
    <w:rsid w:val="34983B26"/>
    <w:rsid w:val="34DA4415"/>
    <w:rsid w:val="35116158"/>
    <w:rsid w:val="351505EF"/>
    <w:rsid w:val="35413416"/>
    <w:rsid w:val="354240BD"/>
    <w:rsid w:val="35555BDA"/>
    <w:rsid w:val="356D27E6"/>
    <w:rsid w:val="356D6A1F"/>
    <w:rsid w:val="358F6DAA"/>
    <w:rsid w:val="35971545"/>
    <w:rsid w:val="359C4D40"/>
    <w:rsid w:val="35B50EA1"/>
    <w:rsid w:val="363429C0"/>
    <w:rsid w:val="36654023"/>
    <w:rsid w:val="36A940AE"/>
    <w:rsid w:val="36B035BF"/>
    <w:rsid w:val="370A1DC3"/>
    <w:rsid w:val="371E68B3"/>
    <w:rsid w:val="37460005"/>
    <w:rsid w:val="37C25041"/>
    <w:rsid w:val="37C25352"/>
    <w:rsid w:val="3808139F"/>
    <w:rsid w:val="382F4529"/>
    <w:rsid w:val="3855766B"/>
    <w:rsid w:val="38711D48"/>
    <w:rsid w:val="38847FC2"/>
    <w:rsid w:val="38973FE4"/>
    <w:rsid w:val="38CB27DE"/>
    <w:rsid w:val="38FA4520"/>
    <w:rsid w:val="394B256B"/>
    <w:rsid w:val="396021F5"/>
    <w:rsid w:val="39CC54E4"/>
    <w:rsid w:val="3A003DB8"/>
    <w:rsid w:val="3A717C9C"/>
    <w:rsid w:val="3A76452D"/>
    <w:rsid w:val="3AD50AC5"/>
    <w:rsid w:val="3AEA0CC1"/>
    <w:rsid w:val="3AF90CBF"/>
    <w:rsid w:val="3B26040F"/>
    <w:rsid w:val="3B396A75"/>
    <w:rsid w:val="3B4221CE"/>
    <w:rsid w:val="3B5B7ABE"/>
    <w:rsid w:val="3BB30FE0"/>
    <w:rsid w:val="3BFF09AF"/>
    <w:rsid w:val="3C0156AC"/>
    <w:rsid w:val="3C1D5362"/>
    <w:rsid w:val="3C247ECB"/>
    <w:rsid w:val="3C4F6449"/>
    <w:rsid w:val="3C730543"/>
    <w:rsid w:val="3C90752D"/>
    <w:rsid w:val="3CBB2ADA"/>
    <w:rsid w:val="3CC46C20"/>
    <w:rsid w:val="3CDF0A6F"/>
    <w:rsid w:val="3D0714D7"/>
    <w:rsid w:val="3D8947BE"/>
    <w:rsid w:val="3DA365C7"/>
    <w:rsid w:val="3DDB222A"/>
    <w:rsid w:val="3DEE5DF9"/>
    <w:rsid w:val="3E1068C3"/>
    <w:rsid w:val="3E1115B5"/>
    <w:rsid w:val="3E400E82"/>
    <w:rsid w:val="3E506E48"/>
    <w:rsid w:val="3E522735"/>
    <w:rsid w:val="3E5A3F84"/>
    <w:rsid w:val="3E770936"/>
    <w:rsid w:val="3E7B4B61"/>
    <w:rsid w:val="3EB15A4F"/>
    <w:rsid w:val="3EC37D8E"/>
    <w:rsid w:val="3ED242F2"/>
    <w:rsid w:val="3EE06BC4"/>
    <w:rsid w:val="3EE558B5"/>
    <w:rsid w:val="3EF266A0"/>
    <w:rsid w:val="3EF637E1"/>
    <w:rsid w:val="3F5F5CF3"/>
    <w:rsid w:val="3F675346"/>
    <w:rsid w:val="3F7B0026"/>
    <w:rsid w:val="3FB05F21"/>
    <w:rsid w:val="3FC719B7"/>
    <w:rsid w:val="3FE34ECE"/>
    <w:rsid w:val="3FED117E"/>
    <w:rsid w:val="3FFC4B0C"/>
    <w:rsid w:val="408A6271"/>
    <w:rsid w:val="409D37F3"/>
    <w:rsid w:val="40D70CA4"/>
    <w:rsid w:val="411A4ED2"/>
    <w:rsid w:val="412218A0"/>
    <w:rsid w:val="416B2613"/>
    <w:rsid w:val="41A60B01"/>
    <w:rsid w:val="41DA140E"/>
    <w:rsid w:val="41F20501"/>
    <w:rsid w:val="42342DD3"/>
    <w:rsid w:val="424870E7"/>
    <w:rsid w:val="426F0CF6"/>
    <w:rsid w:val="428709CE"/>
    <w:rsid w:val="431A499C"/>
    <w:rsid w:val="43A766C9"/>
    <w:rsid w:val="43AA4B02"/>
    <w:rsid w:val="43B72A3A"/>
    <w:rsid w:val="43CF7D02"/>
    <w:rsid w:val="43D708A6"/>
    <w:rsid w:val="43EB0E95"/>
    <w:rsid w:val="443365B6"/>
    <w:rsid w:val="44475ABD"/>
    <w:rsid w:val="44602DE3"/>
    <w:rsid w:val="448A6328"/>
    <w:rsid w:val="44CE2877"/>
    <w:rsid w:val="44CE68FD"/>
    <w:rsid w:val="44D306F3"/>
    <w:rsid w:val="44DA2720"/>
    <w:rsid w:val="44DA50F5"/>
    <w:rsid w:val="44EF58FF"/>
    <w:rsid w:val="44F436F7"/>
    <w:rsid w:val="44F448E3"/>
    <w:rsid w:val="44F921B1"/>
    <w:rsid w:val="45321187"/>
    <w:rsid w:val="45417326"/>
    <w:rsid w:val="45487E01"/>
    <w:rsid w:val="455478B1"/>
    <w:rsid w:val="45684F75"/>
    <w:rsid w:val="45BE0E0D"/>
    <w:rsid w:val="45D66B07"/>
    <w:rsid w:val="460470A5"/>
    <w:rsid w:val="46241B9F"/>
    <w:rsid w:val="463260EC"/>
    <w:rsid w:val="46443ABC"/>
    <w:rsid w:val="464477F2"/>
    <w:rsid w:val="467B051F"/>
    <w:rsid w:val="468D6F55"/>
    <w:rsid w:val="46935C55"/>
    <w:rsid w:val="46C04A60"/>
    <w:rsid w:val="46D2691F"/>
    <w:rsid w:val="46D773E5"/>
    <w:rsid w:val="46F30B6A"/>
    <w:rsid w:val="46FA14EE"/>
    <w:rsid w:val="473A499B"/>
    <w:rsid w:val="475474CD"/>
    <w:rsid w:val="47580A11"/>
    <w:rsid w:val="476A452D"/>
    <w:rsid w:val="47827CE8"/>
    <w:rsid w:val="47AE1A11"/>
    <w:rsid w:val="47BE7472"/>
    <w:rsid w:val="47C00BA3"/>
    <w:rsid w:val="47F36EF7"/>
    <w:rsid w:val="48197EA8"/>
    <w:rsid w:val="48223734"/>
    <w:rsid w:val="48573328"/>
    <w:rsid w:val="48840398"/>
    <w:rsid w:val="48887142"/>
    <w:rsid w:val="488F1F8D"/>
    <w:rsid w:val="48CD316B"/>
    <w:rsid w:val="48E3419C"/>
    <w:rsid w:val="48F56F3A"/>
    <w:rsid w:val="49214A0A"/>
    <w:rsid w:val="49324F4C"/>
    <w:rsid w:val="493836DA"/>
    <w:rsid w:val="49C27385"/>
    <w:rsid w:val="49D15DE1"/>
    <w:rsid w:val="49DA3057"/>
    <w:rsid w:val="49E94521"/>
    <w:rsid w:val="49FC6E33"/>
    <w:rsid w:val="4A6A2B0D"/>
    <w:rsid w:val="4A717966"/>
    <w:rsid w:val="4A867777"/>
    <w:rsid w:val="4AEA4F86"/>
    <w:rsid w:val="4B7B063E"/>
    <w:rsid w:val="4BA9344A"/>
    <w:rsid w:val="4BAB2E26"/>
    <w:rsid w:val="4BAF1783"/>
    <w:rsid w:val="4BB74FCE"/>
    <w:rsid w:val="4BD151F4"/>
    <w:rsid w:val="4BD7189E"/>
    <w:rsid w:val="4BDA6084"/>
    <w:rsid w:val="4C173EE4"/>
    <w:rsid w:val="4C324008"/>
    <w:rsid w:val="4C477AD4"/>
    <w:rsid w:val="4C607139"/>
    <w:rsid w:val="4C6205A3"/>
    <w:rsid w:val="4CDF40DB"/>
    <w:rsid w:val="4CF5001D"/>
    <w:rsid w:val="4D036064"/>
    <w:rsid w:val="4D6233E2"/>
    <w:rsid w:val="4DBC6C66"/>
    <w:rsid w:val="4DDF3E9A"/>
    <w:rsid w:val="4DE52357"/>
    <w:rsid w:val="4DEC5E09"/>
    <w:rsid w:val="4E0D453F"/>
    <w:rsid w:val="4E471B2D"/>
    <w:rsid w:val="4E473390"/>
    <w:rsid w:val="4E4C74A7"/>
    <w:rsid w:val="4E5C0BD0"/>
    <w:rsid w:val="4E7B18EF"/>
    <w:rsid w:val="4E9C5BF5"/>
    <w:rsid w:val="4EA308CF"/>
    <w:rsid w:val="4EB361A2"/>
    <w:rsid w:val="4ED56B2B"/>
    <w:rsid w:val="4F0B2432"/>
    <w:rsid w:val="4F3B3E0A"/>
    <w:rsid w:val="4F437A8B"/>
    <w:rsid w:val="4F4E4AF1"/>
    <w:rsid w:val="4F823484"/>
    <w:rsid w:val="4FA21F5E"/>
    <w:rsid w:val="4FB37368"/>
    <w:rsid w:val="4FCC70FD"/>
    <w:rsid w:val="4FED6EE4"/>
    <w:rsid w:val="507F7EB0"/>
    <w:rsid w:val="50D90E3F"/>
    <w:rsid w:val="51057895"/>
    <w:rsid w:val="51455C9A"/>
    <w:rsid w:val="51585983"/>
    <w:rsid w:val="515944EC"/>
    <w:rsid w:val="51FA75DE"/>
    <w:rsid w:val="52027174"/>
    <w:rsid w:val="524C6173"/>
    <w:rsid w:val="525A7AB2"/>
    <w:rsid w:val="528C2675"/>
    <w:rsid w:val="5293143D"/>
    <w:rsid w:val="52936A04"/>
    <w:rsid w:val="52C77298"/>
    <w:rsid w:val="52CA4B93"/>
    <w:rsid w:val="530F1798"/>
    <w:rsid w:val="536A2D92"/>
    <w:rsid w:val="53FB0385"/>
    <w:rsid w:val="53FC3AC3"/>
    <w:rsid w:val="5459403E"/>
    <w:rsid w:val="54777D5C"/>
    <w:rsid w:val="548364B3"/>
    <w:rsid w:val="54851D9C"/>
    <w:rsid w:val="54D62F0C"/>
    <w:rsid w:val="54F845E6"/>
    <w:rsid w:val="551025A2"/>
    <w:rsid w:val="556912E1"/>
    <w:rsid w:val="55A03848"/>
    <w:rsid w:val="55C1444A"/>
    <w:rsid w:val="55C16192"/>
    <w:rsid w:val="55DA7AFC"/>
    <w:rsid w:val="55F85AD5"/>
    <w:rsid w:val="56013B27"/>
    <w:rsid w:val="562557A0"/>
    <w:rsid w:val="562F75FD"/>
    <w:rsid w:val="566A5479"/>
    <w:rsid w:val="567F1EA1"/>
    <w:rsid w:val="568702DB"/>
    <w:rsid w:val="56E542AB"/>
    <w:rsid w:val="56F5325E"/>
    <w:rsid w:val="57466ABB"/>
    <w:rsid w:val="577A7563"/>
    <w:rsid w:val="57C85437"/>
    <w:rsid w:val="57D97FF1"/>
    <w:rsid w:val="58027B27"/>
    <w:rsid w:val="581463B5"/>
    <w:rsid w:val="584379F8"/>
    <w:rsid w:val="584F1D18"/>
    <w:rsid w:val="585C2844"/>
    <w:rsid w:val="58705B93"/>
    <w:rsid w:val="587A4EC7"/>
    <w:rsid w:val="5888646B"/>
    <w:rsid w:val="589E4548"/>
    <w:rsid w:val="58A40081"/>
    <w:rsid w:val="58A6629F"/>
    <w:rsid w:val="58C20E22"/>
    <w:rsid w:val="58EB68FE"/>
    <w:rsid w:val="59051B84"/>
    <w:rsid w:val="590F4760"/>
    <w:rsid w:val="59C21B40"/>
    <w:rsid w:val="59CA5C05"/>
    <w:rsid w:val="59D7322F"/>
    <w:rsid w:val="59F91B3E"/>
    <w:rsid w:val="5A0D3557"/>
    <w:rsid w:val="5A3D258B"/>
    <w:rsid w:val="5A5A5AC3"/>
    <w:rsid w:val="5A5C39E2"/>
    <w:rsid w:val="5A8A4A8E"/>
    <w:rsid w:val="5A9F333F"/>
    <w:rsid w:val="5ABE5EBD"/>
    <w:rsid w:val="5B164CF7"/>
    <w:rsid w:val="5B7B1153"/>
    <w:rsid w:val="5B8D5D01"/>
    <w:rsid w:val="5BE7347F"/>
    <w:rsid w:val="5C270EC2"/>
    <w:rsid w:val="5C53230B"/>
    <w:rsid w:val="5C662E4C"/>
    <w:rsid w:val="5C9B0347"/>
    <w:rsid w:val="5CFA1D24"/>
    <w:rsid w:val="5D2E096D"/>
    <w:rsid w:val="5D37191C"/>
    <w:rsid w:val="5D461C17"/>
    <w:rsid w:val="5D546FD5"/>
    <w:rsid w:val="5D586CA2"/>
    <w:rsid w:val="5D614FDC"/>
    <w:rsid w:val="5D7921E8"/>
    <w:rsid w:val="5D882BE4"/>
    <w:rsid w:val="5D98205D"/>
    <w:rsid w:val="5DAB7FB5"/>
    <w:rsid w:val="5DB77C77"/>
    <w:rsid w:val="5DBD497D"/>
    <w:rsid w:val="5E706BEF"/>
    <w:rsid w:val="5E854E16"/>
    <w:rsid w:val="5E8661D8"/>
    <w:rsid w:val="5EA96B38"/>
    <w:rsid w:val="5ED92F78"/>
    <w:rsid w:val="5EEA0A39"/>
    <w:rsid w:val="5F076D7A"/>
    <w:rsid w:val="5F0C4E7C"/>
    <w:rsid w:val="5F1D035A"/>
    <w:rsid w:val="5F39299A"/>
    <w:rsid w:val="5F734CCA"/>
    <w:rsid w:val="5FDA0085"/>
    <w:rsid w:val="5FE45C59"/>
    <w:rsid w:val="5FEC6A29"/>
    <w:rsid w:val="5FF97043"/>
    <w:rsid w:val="600528DB"/>
    <w:rsid w:val="60104A1E"/>
    <w:rsid w:val="605E1DEA"/>
    <w:rsid w:val="606A37D3"/>
    <w:rsid w:val="60794BCD"/>
    <w:rsid w:val="607C00B6"/>
    <w:rsid w:val="607C0636"/>
    <w:rsid w:val="608929C5"/>
    <w:rsid w:val="609A57C2"/>
    <w:rsid w:val="611572FC"/>
    <w:rsid w:val="611643A1"/>
    <w:rsid w:val="61556D89"/>
    <w:rsid w:val="61697A7D"/>
    <w:rsid w:val="61D42936"/>
    <w:rsid w:val="61E51291"/>
    <w:rsid w:val="62661C82"/>
    <w:rsid w:val="62861EAA"/>
    <w:rsid w:val="62FB58AD"/>
    <w:rsid w:val="62FD659C"/>
    <w:rsid w:val="632B301C"/>
    <w:rsid w:val="633820A6"/>
    <w:rsid w:val="637162CF"/>
    <w:rsid w:val="637712D9"/>
    <w:rsid w:val="63C7008B"/>
    <w:rsid w:val="63D35687"/>
    <w:rsid w:val="63EE5991"/>
    <w:rsid w:val="63FB1578"/>
    <w:rsid w:val="6434736D"/>
    <w:rsid w:val="644E0A32"/>
    <w:rsid w:val="6454322B"/>
    <w:rsid w:val="649E3B5C"/>
    <w:rsid w:val="64B74DAD"/>
    <w:rsid w:val="656454BD"/>
    <w:rsid w:val="656753F5"/>
    <w:rsid w:val="65F11B35"/>
    <w:rsid w:val="66010AF6"/>
    <w:rsid w:val="663B294F"/>
    <w:rsid w:val="663F0724"/>
    <w:rsid w:val="669034B3"/>
    <w:rsid w:val="66A64486"/>
    <w:rsid w:val="66CA40B7"/>
    <w:rsid w:val="66D17145"/>
    <w:rsid w:val="66E3318D"/>
    <w:rsid w:val="66EA04A1"/>
    <w:rsid w:val="66F32F0E"/>
    <w:rsid w:val="671036AF"/>
    <w:rsid w:val="67107184"/>
    <w:rsid w:val="673B20F9"/>
    <w:rsid w:val="67423763"/>
    <w:rsid w:val="678A3144"/>
    <w:rsid w:val="679E402B"/>
    <w:rsid w:val="67B5204D"/>
    <w:rsid w:val="67BD2AF6"/>
    <w:rsid w:val="67E12090"/>
    <w:rsid w:val="67FC61B8"/>
    <w:rsid w:val="68086D13"/>
    <w:rsid w:val="682007BD"/>
    <w:rsid w:val="68615817"/>
    <w:rsid w:val="6876507C"/>
    <w:rsid w:val="68820673"/>
    <w:rsid w:val="68952359"/>
    <w:rsid w:val="68DB4AEF"/>
    <w:rsid w:val="68F717A9"/>
    <w:rsid w:val="694827ED"/>
    <w:rsid w:val="6969768F"/>
    <w:rsid w:val="697C2A11"/>
    <w:rsid w:val="69810B86"/>
    <w:rsid w:val="698A2A90"/>
    <w:rsid w:val="6995369E"/>
    <w:rsid w:val="69965724"/>
    <w:rsid w:val="6A177650"/>
    <w:rsid w:val="6A227B2A"/>
    <w:rsid w:val="6A355461"/>
    <w:rsid w:val="6A3811D8"/>
    <w:rsid w:val="6A4467AA"/>
    <w:rsid w:val="6A4D5549"/>
    <w:rsid w:val="6A6C17DD"/>
    <w:rsid w:val="6AAC7CE3"/>
    <w:rsid w:val="6ACC3EEB"/>
    <w:rsid w:val="6B0C26A0"/>
    <w:rsid w:val="6B112359"/>
    <w:rsid w:val="6B4A4470"/>
    <w:rsid w:val="6BA20799"/>
    <w:rsid w:val="6BBF10CF"/>
    <w:rsid w:val="6C52269B"/>
    <w:rsid w:val="6C6E3242"/>
    <w:rsid w:val="6CA91FA6"/>
    <w:rsid w:val="6CC9484C"/>
    <w:rsid w:val="6D1E00BF"/>
    <w:rsid w:val="6D3535AA"/>
    <w:rsid w:val="6D3951DB"/>
    <w:rsid w:val="6D3C3E6D"/>
    <w:rsid w:val="6D5E60AF"/>
    <w:rsid w:val="6D7F348E"/>
    <w:rsid w:val="6D8C3C43"/>
    <w:rsid w:val="6DAD24D7"/>
    <w:rsid w:val="6E042333"/>
    <w:rsid w:val="6E0D35CD"/>
    <w:rsid w:val="6E1845CD"/>
    <w:rsid w:val="6E60186F"/>
    <w:rsid w:val="6E8977BA"/>
    <w:rsid w:val="6ED72DF8"/>
    <w:rsid w:val="6ED91546"/>
    <w:rsid w:val="6F212E5D"/>
    <w:rsid w:val="6F234C60"/>
    <w:rsid w:val="6F272654"/>
    <w:rsid w:val="6F6748D6"/>
    <w:rsid w:val="6F676414"/>
    <w:rsid w:val="6FA748AA"/>
    <w:rsid w:val="6FA90132"/>
    <w:rsid w:val="6FBB2D96"/>
    <w:rsid w:val="6FED1AC4"/>
    <w:rsid w:val="6FF92610"/>
    <w:rsid w:val="704E7517"/>
    <w:rsid w:val="70624CFC"/>
    <w:rsid w:val="70761291"/>
    <w:rsid w:val="707725B8"/>
    <w:rsid w:val="70C57C29"/>
    <w:rsid w:val="70E02966"/>
    <w:rsid w:val="710B2708"/>
    <w:rsid w:val="711853A1"/>
    <w:rsid w:val="71583A76"/>
    <w:rsid w:val="71C865FF"/>
    <w:rsid w:val="71E00193"/>
    <w:rsid w:val="71F57801"/>
    <w:rsid w:val="71F675CF"/>
    <w:rsid w:val="72097667"/>
    <w:rsid w:val="72127EA5"/>
    <w:rsid w:val="721405BC"/>
    <w:rsid w:val="723E546F"/>
    <w:rsid w:val="725A7695"/>
    <w:rsid w:val="72802232"/>
    <w:rsid w:val="72991867"/>
    <w:rsid w:val="72A2470E"/>
    <w:rsid w:val="72AB48E6"/>
    <w:rsid w:val="72AB775A"/>
    <w:rsid w:val="72E851BF"/>
    <w:rsid w:val="72EB12A6"/>
    <w:rsid w:val="7317696F"/>
    <w:rsid w:val="739F52A5"/>
    <w:rsid w:val="73B66C1E"/>
    <w:rsid w:val="73BA3636"/>
    <w:rsid w:val="73C61BF7"/>
    <w:rsid w:val="74480ED8"/>
    <w:rsid w:val="7474148A"/>
    <w:rsid w:val="74755C01"/>
    <w:rsid w:val="74985E1F"/>
    <w:rsid w:val="74A262E2"/>
    <w:rsid w:val="74A26965"/>
    <w:rsid w:val="74A905A6"/>
    <w:rsid w:val="74AD5CC5"/>
    <w:rsid w:val="74B82059"/>
    <w:rsid w:val="74CA4688"/>
    <w:rsid w:val="74CE637B"/>
    <w:rsid w:val="74CF48DE"/>
    <w:rsid w:val="74DA2B1D"/>
    <w:rsid w:val="75371D1E"/>
    <w:rsid w:val="75397541"/>
    <w:rsid w:val="758D641A"/>
    <w:rsid w:val="75E707F7"/>
    <w:rsid w:val="76067942"/>
    <w:rsid w:val="760E7445"/>
    <w:rsid w:val="760F1667"/>
    <w:rsid w:val="760F25E5"/>
    <w:rsid w:val="7622537E"/>
    <w:rsid w:val="763E18BE"/>
    <w:rsid w:val="76853EFB"/>
    <w:rsid w:val="76953986"/>
    <w:rsid w:val="76B37FF5"/>
    <w:rsid w:val="76C52470"/>
    <w:rsid w:val="7726768C"/>
    <w:rsid w:val="7735228D"/>
    <w:rsid w:val="77485B4B"/>
    <w:rsid w:val="77654CBC"/>
    <w:rsid w:val="778925D9"/>
    <w:rsid w:val="779450E4"/>
    <w:rsid w:val="77B466DA"/>
    <w:rsid w:val="77D90BB8"/>
    <w:rsid w:val="77F502EB"/>
    <w:rsid w:val="77F9134D"/>
    <w:rsid w:val="782D3642"/>
    <w:rsid w:val="783B224C"/>
    <w:rsid w:val="78516088"/>
    <w:rsid w:val="78954C88"/>
    <w:rsid w:val="789F1CA2"/>
    <w:rsid w:val="78AE7851"/>
    <w:rsid w:val="796932FA"/>
    <w:rsid w:val="79873F55"/>
    <w:rsid w:val="79CE69C9"/>
    <w:rsid w:val="7A345BCB"/>
    <w:rsid w:val="7A575114"/>
    <w:rsid w:val="7A71774B"/>
    <w:rsid w:val="7A994AA6"/>
    <w:rsid w:val="7AAF12AF"/>
    <w:rsid w:val="7ABB0D0D"/>
    <w:rsid w:val="7AF93E7A"/>
    <w:rsid w:val="7B092148"/>
    <w:rsid w:val="7B405012"/>
    <w:rsid w:val="7B5176E8"/>
    <w:rsid w:val="7B5F5FCA"/>
    <w:rsid w:val="7B694BFB"/>
    <w:rsid w:val="7BEF445B"/>
    <w:rsid w:val="7BFC14BD"/>
    <w:rsid w:val="7C200772"/>
    <w:rsid w:val="7C27047F"/>
    <w:rsid w:val="7C59026E"/>
    <w:rsid w:val="7C8D66C7"/>
    <w:rsid w:val="7CBF7752"/>
    <w:rsid w:val="7CF30033"/>
    <w:rsid w:val="7D365589"/>
    <w:rsid w:val="7D6B357F"/>
    <w:rsid w:val="7D8A41F7"/>
    <w:rsid w:val="7DC2604E"/>
    <w:rsid w:val="7DCD0793"/>
    <w:rsid w:val="7DE16BA9"/>
    <w:rsid w:val="7E510D6E"/>
    <w:rsid w:val="7E6522A2"/>
    <w:rsid w:val="7E8D2941"/>
    <w:rsid w:val="7EA51F7C"/>
    <w:rsid w:val="7EB92F78"/>
    <w:rsid w:val="7EBC560B"/>
    <w:rsid w:val="7F0409C6"/>
    <w:rsid w:val="7F186A71"/>
    <w:rsid w:val="7F326B39"/>
    <w:rsid w:val="7F372864"/>
    <w:rsid w:val="7F4D0FEB"/>
    <w:rsid w:val="7F657A2F"/>
    <w:rsid w:val="7F6F0E94"/>
    <w:rsid w:val="7F8159B0"/>
    <w:rsid w:val="7F8D06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5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qFormat/>
    <w:uiPriority w:val="0"/>
    <w:pPr>
      <w:keepNext/>
      <w:keepLines/>
      <w:spacing w:before="280" w:after="290" w:line="372"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sz w:val="24"/>
      <w:szCs w:val="24"/>
    </w:rPr>
  </w:style>
  <w:style w:type="paragraph" w:styleId="3">
    <w:name w:val="toc 2"/>
    <w:basedOn w:val="1"/>
    <w:next w:val="1"/>
    <w:qFormat/>
    <w:uiPriority w:val="0"/>
    <w:pPr>
      <w:ind w:left="210"/>
    </w:pPr>
    <w:rPr>
      <w:rFonts w:ascii="Calibri" w:hAnsi="Calibri"/>
      <w:smallCaps/>
    </w:rPr>
  </w:style>
  <w:style w:type="paragraph" w:styleId="9">
    <w:name w:val="toc 7"/>
    <w:next w:val="1"/>
    <w:qFormat/>
    <w:uiPriority w:val="0"/>
    <w:pPr>
      <w:ind w:left="1260"/>
    </w:pPr>
    <w:rPr>
      <w:rFonts w:ascii="Calibri" w:hAnsi="Calibri" w:eastAsia="宋体" w:cs="Times New Roman"/>
      <w:sz w:val="18"/>
      <w:szCs w:val="18"/>
      <w:lang w:val="en-US" w:eastAsia="zh-CN" w:bidi="ar-SA"/>
    </w:rPr>
  </w:style>
  <w:style w:type="paragraph" w:styleId="10">
    <w:name w:val="Normal Indent"/>
    <w:basedOn w:val="1"/>
    <w:qFormat/>
    <w:uiPriority w:val="99"/>
    <w:pPr>
      <w:ind w:firstLine="420" w:firstLineChars="200"/>
    </w:pPr>
  </w:style>
  <w:style w:type="paragraph" w:styleId="11">
    <w:name w:val="annotation text"/>
    <w:basedOn w:val="1"/>
    <w:link w:val="76"/>
    <w:qFormat/>
    <w:uiPriority w:val="0"/>
    <w:pPr>
      <w:jc w:val="left"/>
    </w:pPr>
  </w:style>
  <w:style w:type="paragraph" w:styleId="12">
    <w:name w:val="toc 5"/>
    <w:next w:val="1"/>
    <w:qFormat/>
    <w:uiPriority w:val="0"/>
    <w:pPr>
      <w:ind w:left="840"/>
    </w:pPr>
    <w:rPr>
      <w:rFonts w:ascii="Calibri" w:hAnsi="Calibri" w:eastAsia="宋体" w:cs="Times New Roman"/>
      <w:sz w:val="18"/>
      <w:szCs w:val="18"/>
      <w:lang w:val="en-US" w:eastAsia="zh-CN" w:bidi="ar-SA"/>
    </w:rPr>
  </w:style>
  <w:style w:type="paragraph" w:styleId="13">
    <w:name w:val="toc 3"/>
    <w:next w:val="1"/>
    <w:qFormat/>
    <w:uiPriority w:val="0"/>
    <w:pPr>
      <w:ind w:left="420"/>
    </w:pPr>
    <w:rPr>
      <w:rFonts w:ascii="Calibri" w:hAnsi="Calibri" w:eastAsia="宋体" w:cs="Times New Roman"/>
      <w:i/>
      <w:iCs/>
      <w:lang w:val="en-US" w:eastAsia="zh-CN" w:bidi="ar-SA"/>
    </w:rPr>
  </w:style>
  <w:style w:type="paragraph" w:styleId="14">
    <w:name w:val="Plain Text"/>
    <w:basedOn w:val="1"/>
    <w:qFormat/>
    <w:uiPriority w:val="0"/>
    <w:rPr>
      <w:rFonts w:ascii="宋体" w:hAnsi="Courier New" w:cs="Courier New"/>
      <w:szCs w:val="21"/>
    </w:rPr>
  </w:style>
  <w:style w:type="paragraph" w:styleId="15">
    <w:name w:val="toc 8"/>
    <w:next w:val="1"/>
    <w:qFormat/>
    <w:uiPriority w:val="0"/>
    <w:pPr>
      <w:ind w:left="1470"/>
    </w:pPr>
    <w:rPr>
      <w:rFonts w:ascii="Calibri" w:hAnsi="Calibri" w:eastAsia="宋体" w:cs="Times New Roman"/>
      <w:sz w:val="18"/>
      <w:szCs w:val="18"/>
      <w:lang w:val="en-US" w:eastAsia="zh-CN" w:bidi="ar-SA"/>
    </w:rPr>
  </w:style>
  <w:style w:type="paragraph" w:styleId="16">
    <w:name w:val="Date"/>
    <w:basedOn w:val="1"/>
    <w:next w:val="1"/>
    <w:qFormat/>
    <w:uiPriority w:val="0"/>
    <w:rPr>
      <w:rFonts w:eastAsia="仿宋_GB2312"/>
      <w:sz w:val="28"/>
      <w:szCs w:val="20"/>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19">
    <w:name w:val="toc 1"/>
    <w:next w:val="1"/>
    <w:qFormat/>
    <w:uiPriority w:val="0"/>
    <w:pPr>
      <w:spacing w:beforeLines="38" w:afterLines="38"/>
    </w:pPr>
    <w:rPr>
      <w:rFonts w:ascii="Calibri" w:hAnsi="Calibri" w:eastAsia="宋体" w:cs="Times New Roman"/>
      <w:b/>
      <w:bCs/>
      <w:lang w:val="en-US" w:eastAsia="zh-CN" w:bidi="ar-SA"/>
    </w:rPr>
  </w:style>
  <w:style w:type="paragraph" w:styleId="20">
    <w:name w:val="toc 4"/>
    <w:next w:val="1"/>
    <w:qFormat/>
    <w:uiPriority w:val="0"/>
    <w:pPr>
      <w:ind w:left="630"/>
    </w:pPr>
    <w:rPr>
      <w:rFonts w:ascii="Calibri" w:hAnsi="Calibri" w:eastAsia="宋体" w:cs="Times New Roman"/>
      <w:sz w:val="18"/>
      <w:szCs w:val="18"/>
      <w:lang w:val="en-US" w:eastAsia="zh-CN" w:bidi="ar-SA"/>
    </w:rPr>
  </w:style>
  <w:style w:type="paragraph" w:styleId="21">
    <w:name w:val="toc 6"/>
    <w:next w:val="1"/>
    <w:qFormat/>
    <w:uiPriority w:val="0"/>
    <w:pPr>
      <w:ind w:left="1050"/>
    </w:pPr>
    <w:rPr>
      <w:rFonts w:ascii="Calibri" w:hAnsi="Calibri" w:eastAsia="宋体" w:cs="Times New Roman"/>
      <w:sz w:val="18"/>
      <w:szCs w:val="18"/>
      <w:lang w:val="en-US" w:eastAsia="zh-CN" w:bidi="ar-SA"/>
    </w:rPr>
  </w:style>
  <w:style w:type="paragraph" w:styleId="22">
    <w:name w:val="toc 9"/>
    <w:next w:val="1"/>
    <w:qFormat/>
    <w:uiPriority w:val="0"/>
    <w:pPr>
      <w:ind w:left="1680"/>
    </w:pPr>
    <w:rPr>
      <w:rFonts w:ascii="Calibri" w:hAnsi="Calibri" w:eastAsia="宋体" w:cs="Times New Roman"/>
      <w:sz w:val="18"/>
      <w:szCs w:val="18"/>
      <w:lang w:val="en-US" w:eastAsia="zh-CN" w:bidi="ar-SA"/>
    </w:rPr>
  </w:style>
  <w:style w:type="paragraph" w:styleId="23">
    <w:name w:val="Body Text 2"/>
    <w:basedOn w:val="1"/>
    <w:next w:val="2"/>
    <w:qFormat/>
    <w:uiPriority w:val="0"/>
    <w:pPr>
      <w:spacing w:line="480" w:lineRule="auto"/>
    </w:pPr>
  </w:style>
  <w:style w:type="paragraph" w:styleId="24">
    <w:name w:val="Normal (Web)"/>
    <w:basedOn w:val="1"/>
    <w:qFormat/>
    <w:uiPriority w:val="0"/>
    <w:pPr>
      <w:widowControl/>
      <w:spacing w:before="100" w:beforeAutospacing="1" w:after="100" w:afterAutospacing="1"/>
      <w:jc w:val="left"/>
    </w:pPr>
    <w:rPr>
      <w:sz w:val="24"/>
    </w:rPr>
  </w:style>
  <w:style w:type="paragraph" w:styleId="25">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6">
    <w:name w:val="Body Text First Indent"/>
    <w:basedOn w:val="2"/>
    <w:next w:val="1"/>
    <w:qFormat/>
    <w:uiPriority w:val="0"/>
    <w:pPr>
      <w:ind w:firstLine="420" w:firstLineChars="100"/>
    </w:pPr>
    <w:rPr>
      <w:sz w:val="34"/>
      <w:szCs w:val="20"/>
    </w:rPr>
  </w:style>
  <w:style w:type="table" w:styleId="28">
    <w:name w:val="Table Grid"/>
    <w:basedOn w:val="2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basedOn w:val="29"/>
    <w:qFormat/>
    <w:uiPriority w:val="0"/>
    <w:rPr>
      <w:color w:val="3F88BF"/>
      <w:u w:val="none"/>
    </w:rPr>
  </w:style>
  <w:style w:type="character" w:styleId="33">
    <w:name w:val="Emphasis"/>
    <w:basedOn w:val="29"/>
    <w:qFormat/>
    <w:uiPriority w:val="0"/>
  </w:style>
  <w:style w:type="character" w:styleId="34">
    <w:name w:val="HTML Definition"/>
    <w:basedOn w:val="29"/>
    <w:qFormat/>
    <w:uiPriority w:val="0"/>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qFormat/>
    <w:uiPriority w:val="0"/>
    <w:rPr>
      <w:color w:val="0000FF" w:themeColor="hyperlink"/>
      <w:u w:val="single"/>
      <w14:textFill>
        <w14:solidFill>
          <w14:schemeClr w14:val="hlink"/>
        </w14:solidFill>
      </w14:textFill>
    </w:rPr>
  </w:style>
  <w:style w:type="character" w:styleId="39">
    <w:name w:val="HTML Code"/>
    <w:basedOn w:val="29"/>
    <w:qFormat/>
    <w:uiPriority w:val="0"/>
    <w:rPr>
      <w:rFonts w:hint="eastAsia" w:ascii="微软雅黑" w:hAnsi="微软雅黑" w:eastAsia="微软雅黑" w:cs="微软雅黑"/>
      <w:sz w:val="20"/>
    </w:rPr>
  </w:style>
  <w:style w:type="character" w:styleId="40">
    <w:name w:val="annotation reference"/>
    <w:basedOn w:val="29"/>
    <w:qFormat/>
    <w:uiPriority w:val="0"/>
    <w:rPr>
      <w:sz w:val="21"/>
      <w:szCs w:val="21"/>
    </w:rPr>
  </w:style>
  <w:style w:type="character" w:styleId="41">
    <w:name w:val="HTML Cite"/>
    <w:basedOn w:val="29"/>
    <w:qFormat/>
    <w:uiPriority w:val="0"/>
  </w:style>
  <w:style w:type="character" w:styleId="42">
    <w:name w:val="HTML Keyboard"/>
    <w:basedOn w:val="29"/>
    <w:qFormat/>
    <w:uiPriority w:val="0"/>
    <w:rPr>
      <w:rFonts w:hint="eastAsia" w:ascii="微软雅黑" w:hAnsi="微软雅黑" w:eastAsia="微软雅黑" w:cs="微软雅黑"/>
      <w:color w:val="3F88BF"/>
      <w:sz w:val="20"/>
      <w:u w:val="none"/>
    </w:rPr>
  </w:style>
  <w:style w:type="character" w:styleId="43">
    <w:name w:val="HTML Sample"/>
    <w:basedOn w:val="29"/>
    <w:qFormat/>
    <w:uiPriority w:val="0"/>
    <w:rPr>
      <w:rFonts w:hint="eastAsia" w:ascii="微软雅黑" w:hAnsi="微软雅黑" w:eastAsia="微软雅黑" w:cs="微软雅黑"/>
    </w:rPr>
  </w:style>
  <w:style w:type="paragraph" w:customStyle="1" w:styleId="44">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45">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46">
    <w:name w:val="zbggmain style9"/>
    <w:basedOn w:val="29"/>
    <w:qFormat/>
    <w:uiPriority w:val="0"/>
  </w:style>
  <w:style w:type="paragraph" w:customStyle="1" w:styleId="47">
    <w:name w:val="p0"/>
    <w:basedOn w:val="1"/>
    <w:qFormat/>
    <w:uiPriority w:val="0"/>
    <w:pPr>
      <w:widowControl/>
      <w:spacing w:before="100" w:beforeAutospacing="1" w:after="100" w:afterAutospacing="1"/>
      <w:jc w:val="left"/>
    </w:pPr>
    <w:rPr>
      <w:rFonts w:ascii="宋体" w:hAnsi="宋体" w:cs="宋体"/>
      <w:sz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9">
    <w:name w:val="List Paragraph"/>
    <w:basedOn w:val="1"/>
    <w:qFormat/>
    <w:uiPriority w:val="99"/>
    <w:pPr>
      <w:ind w:firstLine="420" w:firstLineChars="200"/>
    </w:pPr>
  </w:style>
  <w:style w:type="character" w:customStyle="1" w:styleId="50">
    <w:name w:val="answer-title"/>
    <w:basedOn w:val="29"/>
    <w:qFormat/>
    <w:uiPriority w:val="0"/>
  </w:style>
  <w:style w:type="character" w:customStyle="1" w:styleId="51">
    <w:name w:val="num"/>
    <w:basedOn w:val="29"/>
    <w:qFormat/>
    <w:uiPriority w:val="0"/>
    <w:rPr>
      <w:b/>
      <w:color w:val="FF7800"/>
    </w:rPr>
  </w:style>
  <w:style w:type="character" w:customStyle="1" w:styleId="52">
    <w:name w:val="release-day"/>
    <w:basedOn w:val="29"/>
    <w:qFormat/>
    <w:uiPriority w:val="0"/>
    <w:rPr>
      <w:bdr w:val="single" w:color="BDEBB0" w:sz="6" w:space="0"/>
      <w:shd w:val="clear" w:color="auto" w:fill="F5FFF1"/>
    </w:rPr>
  </w:style>
  <w:style w:type="character" w:customStyle="1" w:styleId="53">
    <w:name w:val="num4"/>
    <w:basedOn w:val="29"/>
    <w:qFormat/>
    <w:uiPriority w:val="0"/>
    <w:rPr>
      <w:b/>
      <w:color w:val="FF7800"/>
    </w:rPr>
  </w:style>
  <w:style w:type="character" w:customStyle="1" w:styleId="54">
    <w:name w:val="answer-title8"/>
    <w:basedOn w:val="29"/>
    <w:qFormat/>
    <w:uiPriority w:val="0"/>
  </w:style>
  <w:style w:type="character" w:customStyle="1" w:styleId="55">
    <w:name w:val="页眉 字符"/>
    <w:basedOn w:val="29"/>
    <w:link w:val="18"/>
    <w:qFormat/>
    <w:uiPriority w:val="0"/>
    <w:rPr>
      <w:sz w:val="18"/>
      <w:szCs w:val="18"/>
    </w:rPr>
  </w:style>
  <w:style w:type="paragraph" w:customStyle="1" w:styleId="56">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7">
    <w:name w:val="标题 4 字符"/>
    <w:basedOn w:val="29"/>
    <w:link w:val="7"/>
    <w:semiHidden/>
    <w:qFormat/>
    <w:uiPriority w:val="0"/>
    <w:rPr>
      <w:rFonts w:asciiTheme="majorHAnsi" w:hAnsiTheme="majorHAnsi" w:eastAsiaTheme="majorEastAsia" w:cstheme="majorBidi"/>
      <w:b/>
      <w:bCs/>
      <w:sz w:val="28"/>
      <w:szCs w:val="28"/>
    </w:rPr>
  </w:style>
  <w:style w:type="paragraph" w:customStyle="1" w:styleId="58">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9">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Table Paragraph"/>
    <w:basedOn w:val="1"/>
    <w:qFormat/>
    <w:uiPriority w:val="1"/>
  </w:style>
  <w:style w:type="paragraph" w:customStyle="1" w:styleId="61">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3">
    <w:name w:val="正文2"/>
    <w:basedOn w:val="1"/>
    <w:qFormat/>
    <w:uiPriority w:val="0"/>
    <w:pPr>
      <w:spacing w:before="156" w:line="360" w:lineRule="auto"/>
      <w:ind w:firstLine="510" w:firstLineChars="200"/>
    </w:pPr>
    <w:rPr>
      <w:sz w:val="24"/>
      <w:szCs w:val="20"/>
    </w:rPr>
  </w:style>
  <w:style w:type="paragraph" w:customStyle="1" w:styleId="64">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5">
    <w:name w:val="font41"/>
    <w:qFormat/>
    <w:uiPriority w:val="0"/>
    <w:rPr>
      <w:rFonts w:hint="eastAsia" w:ascii="等线" w:hAnsi="等线" w:eastAsia="等线" w:cs="等线"/>
      <w:b/>
      <w:color w:val="000000"/>
      <w:sz w:val="22"/>
      <w:szCs w:val="22"/>
      <w:u w:val="none"/>
    </w:rPr>
  </w:style>
  <w:style w:type="character" w:customStyle="1" w:styleId="66">
    <w:name w:val="font61"/>
    <w:qFormat/>
    <w:uiPriority w:val="0"/>
    <w:rPr>
      <w:rFonts w:hint="default" w:ascii="Times New Roman" w:hAnsi="Times New Roman" w:cs="Times New Roman"/>
      <w:b/>
      <w:color w:val="000000"/>
      <w:sz w:val="22"/>
      <w:szCs w:val="22"/>
      <w:u w:val="none"/>
    </w:rPr>
  </w:style>
  <w:style w:type="character" w:customStyle="1" w:styleId="67">
    <w:name w:val="font31"/>
    <w:qFormat/>
    <w:uiPriority w:val="0"/>
    <w:rPr>
      <w:rFonts w:hint="eastAsia" w:ascii="宋体" w:hAnsi="宋体" w:eastAsia="宋体" w:cs="宋体"/>
      <w:color w:val="FF0000"/>
      <w:sz w:val="22"/>
      <w:szCs w:val="22"/>
      <w:u w:val="none"/>
    </w:rPr>
  </w:style>
  <w:style w:type="character" w:customStyle="1" w:styleId="68">
    <w:name w:val="font01"/>
    <w:qFormat/>
    <w:uiPriority w:val="0"/>
    <w:rPr>
      <w:rFonts w:hint="eastAsia" w:ascii="宋体" w:hAnsi="宋体" w:eastAsia="宋体" w:cs="宋体"/>
      <w:color w:val="000000"/>
      <w:sz w:val="18"/>
      <w:szCs w:val="18"/>
      <w:u w:val="none"/>
    </w:rPr>
  </w:style>
  <w:style w:type="character" w:customStyle="1" w:styleId="69">
    <w:name w:val="font11"/>
    <w:qFormat/>
    <w:uiPriority w:val="0"/>
    <w:rPr>
      <w:rFonts w:hint="eastAsia" w:ascii="宋体" w:hAnsi="宋体" w:eastAsia="宋体" w:cs="宋体"/>
      <w:color w:val="000000"/>
      <w:sz w:val="18"/>
      <w:szCs w:val="18"/>
      <w:u w:val="none"/>
    </w:rPr>
  </w:style>
  <w:style w:type="character" w:customStyle="1" w:styleId="70">
    <w:name w:val="font51"/>
    <w:qFormat/>
    <w:uiPriority w:val="0"/>
    <w:rPr>
      <w:rFonts w:hint="default" w:ascii="Times New Roman" w:hAnsi="Times New Roman" w:cs="Times New Roman"/>
      <w:b/>
      <w:color w:val="000000"/>
      <w:sz w:val="21"/>
      <w:szCs w:val="21"/>
      <w:u w:val="none"/>
    </w:rPr>
  </w:style>
  <w:style w:type="character" w:customStyle="1" w:styleId="71">
    <w:name w:val="font21"/>
    <w:qFormat/>
    <w:uiPriority w:val="0"/>
    <w:rPr>
      <w:rFonts w:hint="eastAsia" w:ascii="宋体" w:hAnsi="宋体" w:eastAsia="宋体" w:cs="宋体"/>
      <w:b/>
      <w:color w:val="000000"/>
      <w:sz w:val="21"/>
      <w:szCs w:val="21"/>
      <w:u w:val="none"/>
    </w:rPr>
  </w:style>
  <w:style w:type="paragraph" w:customStyle="1" w:styleId="72">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3">
    <w:name w:val="p12"/>
    <w:qFormat/>
    <w:uiPriority w:val="0"/>
  </w:style>
  <w:style w:type="paragraph" w:customStyle="1" w:styleId="74">
    <w:name w:val="首行缩进"/>
    <w:basedOn w:val="1"/>
    <w:qFormat/>
    <w:uiPriority w:val="99"/>
    <w:pPr>
      <w:spacing w:line="360" w:lineRule="auto"/>
      <w:ind w:firstLine="480" w:firstLineChars="200"/>
    </w:pPr>
    <w:rPr>
      <w:sz w:val="24"/>
      <w:lang w:val="zh-CN"/>
    </w:rPr>
  </w:style>
  <w:style w:type="paragraph" w:customStyle="1" w:styleId="75">
    <w:name w:val="_Style 2"/>
    <w:basedOn w:val="1"/>
    <w:qFormat/>
    <w:uiPriority w:val="0"/>
    <w:pPr>
      <w:ind w:firstLine="420" w:firstLineChars="200"/>
    </w:pPr>
    <w:rPr>
      <w:szCs w:val="20"/>
    </w:rPr>
  </w:style>
  <w:style w:type="character" w:customStyle="1" w:styleId="76">
    <w:name w:val="批注文字 字符"/>
    <w:link w:val="11"/>
    <w:qFormat/>
    <w:uiPriority w:val="0"/>
  </w:style>
  <w:style w:type="character" w:customStyle="1" w:styleId="77">
    <w:name w:val="font71"/>
    <w:basedOn w:val="29"/>
    <w:qFormat/>
    <w:uiPriority w:val="0"/>
    <w:rPr>
      <w:rFonts w:hint="eastAsia" w:ascii="宋体" w:hAnsi="宋体" w:eastAsia="宋体" w:cs="宋体"/>
      <w:b/>
      <w:bCs/>
      <w:color w:val="000000"/>
      <w:sz w:val="20"/>
      <w:szCs w:val="20"/>
      <w:u w:val="none"/>
    </w:rPr>
  </w:style>
  <w:style w:type="paragraph" w:customStyle="1" w:styleId="78">
    <w:name w:val="修订1"/>
    <w:hidden/>
    <w:semiHidden/>
    <w:qFormat/>
    <w:uiPriority w:val="99"/>
    <w:rPr>
      <w:rFonts w:ascii="Times New Roman" w:hAnsi="Times New Roman" w:eastAsia="宋体" w:cs="Times New Roman"/>
      <w:sz w:val="21"/>
      <w:szCs w:val="22"/>
      <w:lang w:val="en-US" w:eastAsia="zh-CN" w:bidi="ar-SA"/>
    </w:rPr>
  </w:style>
  <w:style w:type="paragraph" w:customStyle="1" w:styleId="79">
    <w:name w:val="修订2"/>
    <w:hidden/>
    <w:semiHidden/>
    <w:qFormat/>
    <w:uiPriority w:val="99"/>
    <w:rPr>
      <w:rFonts w:ascii="Times New Roman" w:hAnsi="Times New Roman" w:eastAsia="宋体" w:cs="Times New Roman"/>
      <w:sz w:val="21"/>
      <w:szCs w:val="22"/>
      <w:lang w:val="en-US" w:eastAsia="zh-CN" w:bidi="ar-SA"/>
    </w:rPr>
  </w:style>
  <w:style w:type="paragraph" w:customStyle="1" w:styleId="80">
    <w:name w:val="修订3"/>
    <w:hidden/>
    <w:semiHidden/>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98</Pages>
  <Words>61795</Words>
  <Characters>68821</Characters>
  <Lines>744</Lines>
  <Paragraphs>209</Paragraphs>
  <TotalTime>6</TotalTime>
  <ScaleCrop>false</ScaleCrop>
  <LinksUpToDate>false</LinksUpToDate>
  <CharactersWithSpaces>73822</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2022-06-20T00:53:00Z</cp:lastPrinted>
  <dcterms:modified xsi:type="dcterms:W3CDTF">2022-07-11T04:07:40Z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1307E8BED0F14C3EAFAD5BF2C4B9E537</vt:lpwstr>
  </property>
  <property fmtid="{D5CDD505-2E9C-101B-9397-08002B2CF9AE}" pid="4" name="commondata">
    <vt:lpwstr>eyJoZGlkIjoiMWU3NGUzNTliNGZhODg5YmM4ODdiNGRjMDM0ZTQxZDIifQ==</vt:lpwstr>
  </property>
</Properties>
</file>