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w:t>
      </w:r>
      <w:bookmarkStart w:id="449" w:name="_GoBack"/>
      <w:bookmarkEnd w:id="449"/>
      <w:r>
        <w:rPr>
          <w:rFonts w:hint="eastAsia" w:asciiTheme="minorEastAsia" w:hAnsiTheme="minorEastAsia" w:eastAsiaTheme="minorEastAsia" w:cstheme="minorEastAsia"/>
          <w:b/>
          <w:color w:val="auto"/>
          <w:sz w:val="36"/>
          <w:szCs w:val="36"/>
          <w:highlight w:val="none"/>
        </w:rPr>
        <w:t>）建设项目医用气体项目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2021年</w:t>
      </w:r>
      <w:r>
        <w:rPr>
          <w:rFonts w:hint="eastAsia" w:asciiTheme="minorEastAsia" w:hAnsiTheme="minorEastAsia" w:eastAsiaTheme="minorEastAsia" w:cstheme="minorEastAsia"/>
          <w:b/>
          <w:bCs/>
          <w:color w:val="auto"/>
          <w:sz w:val="28"/>
          <w:szCs w:val="28"/>
          <w:highlight w:val="none"/>
          <w:lang w:val="en-US" w:eastAsia="zh-CN"/>
        </w:rPr>
        <w:t>12</w:t>
      </w:r>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ind w:right="2279"/>
        <w:rPr>
          <w:b/>
          <w:color w:val="auto"/>
          <w:sz w:val="44"/>
          <w:highlight w:val="none"/>
        </w:rPr>
      </w:pPr>
    </w:p>
    <w:p>
      <w:pPr>
        <w:pStyle w:val="2"/>
        <w:ind w:firstLine="442"/>
        <w:rPr>
          <w:b/>
          <w:color w:val="auto"/>
          <w:sz w:val="44"/>
          <w:highlight w:val="none"/>
        </w:rPr>
      </w:pPr>
    </w:p>
    <w:p>
      <w:pPr>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绍兴市妇幼保健院（绍兴市儿童医院）建设项目医用气体项目（重新招标）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10" w:h="16840"/>
          <w:pgMar w:top="1580" w:right="540" w:bottom="280" w:left="1020" w:header="720" w:footer="720" w:gutter="0"/>
          <w:cols w:space="720" w:num="1"/>
        </w:sectPr>
      </w:pPr>
      <w:r>
        <w:rPr>
          <w:rFonts w:hint="eastAsia"/>
          <w:color w:val="auto"/>
          <w:sz w:val="28"/>
          <w:highlight w:val="none"/>
        </w:rPr>
        <w:t>备案日期：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5"/>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b/>
          <w:color w:val="auto"/>
          <w:sz w:val="32"/>
          <w:szCs w:val="32"/>
          <w:highlight w:val="none"/>
        </w:rPr>
      </w:pPr>
      <w:r>
        <w:rPr>
          <w:rFonts w:hint="eastAsia" w:ascii="宋体" w:hAnsi="宋体"/>
          <w:color w:val="auto"/>
          <w:sz w:val="30"/>
          <w:szCs w:val="30"/>
          <w:highlight w:val="none"/>
          <w:u w:val="single"/>
        </w:rPr>
        <w:t>绍兴市妇幼保健院（绍兴市儿童医院）建设项目医用气体项目（重新招标）</w:t>
      </w:r>
      <w:r>
        <w:rPr>
          <w:rFonts w:hint="eastAsia" w:ascii="宋体" w:hAnsi="宋体"/>
          <w:color w:val="auto"/>
          <w:sz w:val="30"/>
          <w:szCs w:val="30"/>
          <w:highlight w:val="none"/>
          <w:u w:val="single"/>
          <w:lang w:val="en-US" w:eastAsia="zh-CN"/>
        </w:rPr>
        <w:t xml:space="preserve"> </w:t>
      </w:r>
      <w:r>
        <w:rPr>
          <w:rFonts w:hint="eastAsia" w:ascii="宋体" w:hAnsi="宋体"/>
          <w:b/>
          <w:color w:val="auto"/>
          <w:sz w:val="32"/>
          <w:szCs w:val="32"/>
          <w:highlight w:val="none"/>
        </w:rPr>
        <w:t>招标公告</w:t>
      </w:r>
    </w:p>
    <w:p>
      <w:pPr>
        <w:spacing w:line="340" w:lineRule="exact"/>
        <w:ind w:firstLine="420" w:firstLineChars="200"/>
        <w:jc w:val="left"/>
        <w:rPr>
          <w:rFonts w:ascii="宋体" w:hAnsi="宋体"/>
          <w:color w:val="auto"/>
          <w:sz w:val="18"/>
          <w:szCs w:val="18"/>
          <w:highlight w:val="none"/>
          <w:u w:val="single"/>
        </w:rPr>
      </w:pPr>
      <w:r>
        <w:rPr>
          <w:rFonts w:hint="eastAsia" w:ascii="宋体" w:hAnsi="宋体" w:eastAsia="宋体" w:cs="宋体"/>
          <w:color w:val="auto"/>
          <w:sz w:val="21"/>
          <w:szCs w:val="21"/>
          <w:highlight w:val="none"/>
          <w:u w:val="none"/>
        </w:rPr>
        <w:t>绍兴市妇幼保健院（绍兴市儿童医院）建设项目</w:t>
      </w:r>
      <w:r>
        <w:rPr>
          <w:rFonts w:hint="eastAsia" w:ascii="宋体" w:hAnsi="宋体" w:cs="宋体"/>
          <w:color w:val="auto"/>
          <w:sz w:val="21"/>
          <w:szCs w:val="21"/>
          <w:highlight w:val="none"/>
          <w:u w:val="none"/>
        </w:rPr>
        <w:t>医用气体项目</w:t>
      </w:r>
      <w:r>
        <w:rPr>
          <w:rFonts w:hint="eastAsia" w:ascii="宋体" w:hAnsi="宋体" w:cs="宋体"/>
          <w:b w:val="0"/>
          <w:bCs w:val="0"/>
          <w:color w:val="auto"/>
          <w:szCs w:val="21"/>
          <w:highlight w:val="none"/>
        </w:rPr>
        <w:t>已于2021年</w:t>
      </w:r>
      <w:r>
        <w:rPr>
          <w:rFonts w:hint="eastAsia" w:ascii="宋体" w:hAnsi="宋体" w:cs="宋体"/>
          <w:b w:val="0"/>
          <w:bCs w:val="0"/>
          <w:color w:val="auto"/>
          <w:szCs w:val="21"/>
          <w:highlight w:val="none"/>
          <w:lang w:val="en-US" w:eastAsia="zh-CN"/>
        </w:rPr>
        <w:t>11</w:t>
      </w:r>
      <w:r>
        <w:rPr>
          <w:rFonts w:hint="eastAsia" w:ascii="宋体" w:hAnsi="宋体" w:cs="宋体"/>
          <w:b w:val="0"/>
          <w:bCs w:val="0"/>
          <w:color w:val="auto"/>
          <w:szCs w:val="21"/>
          <w:highlight w:val="none"/>
        </w:rPr>
        <w:t>月</w:t>
      </w:r>
      <w:r>
        <w:rPr>
          <w:rFonts w:hint="eastAsia" w:ascii="宋体" w:hAnsi="宋体" w:cs="宋体"/>
          <w:b w:val="0"/>
          <w:bCs w:val="0"/>
          <w:color w:val="auto"/>
          <w:szCs w:val="21"/>
          <w:highlight w:val="none"/>
          <w:lang w:val="en-US" w:eastAsia="zh-CN"/>
        </w:rPr>
        <w:t>05</w:t>
      </w:r>
      <w:r>
        <w:rPr>
          <w:rFonts w:hint="eastAsia" w:ascii="宋体" w:hAnsi="宋体" w:cs="宋体"/>
          <w:b w:val="0"/>
          <w:bCs w:val="0"/>
          <w:color w:val="auto"/>
          <w:szCs w:val="21"/>
          <w:highlight w:val="none"/>
        </w:rPr>
        <w:t>日在绍兴市公共资源交易中心网上发布招标信息，</w:t>
      </w:r>
      <w:r>
        <w:rPr>
          <w:rFonts w:hint="eastAsia" w:ascii="宋体" w:hAnsi="宋体" w:cs="宋体"/>
          <w:b w:val="0"/>
          <w:bCs w:val="0"/>
          <w:color w:val="auto"/>
          <w:szCs w:val="21"/>
          <w:highlight w:val="none"/>
          <w:lang w:val="en-US" w:eastAsia="zh-CN"/>
        </w:rPr>
        <w:t>至投标保证金缴纳截止时间</w:t>
      </w:r>
      <w:r>
        <w:rPr>
          <w:rFonts w:hint="eastAsia" w:ascii="宋体" w:hAnsi="宋体" w:cs="宋体"/>
          <w:b w:val="0"/>
          <w:bCs w:val="0"/>
          <w:color w:val="auto"/>
          <w:szCs w:val="21"/>
          <w:highlight w:val="none"/>
        </w:rPr>
        <w:t>2021年</w:t>
      </w:r>
      <w:r>
        <w:rPr>
          <w:rFonts w:hint="eastAsia" w:ascii="宋体" w:hAnsi="宋体" w:cs="宋体"/>
          <w:b w:val="0"/>
          <w:bCs w:val="0"/>
          <w:color w:val="auto"/>
          <w:szCs w:val="21"/>
          <w:highlight w:val="none"/>
          <w:lang w:val="en-US" w:eastAsia="zh-CN"/>
        </w:rPr>
        <w:t>12</w:t>
      </w:r>
      <w:r>
        <w:rPr>
          <w:rFonts w:hint="eastAsia" w:ascii="宋体" w:hAnsi="宋体" w:cs="宋体"/>
          <w:b w:val="0"/>
          <w:bCs w:val="0"/>
          <w:color w:val="auto"/>
          <w:szCs w:val="21"/>
          <w:highlight w:val="none"/>
        </w:rPr>
        <w:t>月</w:t>
      </w:r>
      <w:r>
        <w:rPr>
          <w:rFonts w:hint="eastAsia" w:ascii="宋体" w:hAnsi="宋体" w:cs="宋体"/>
          <w:b w:val="0"/>
          <w:bCs w:val="0"/>
          <w:color w:val="auto"/>
          <w:szCs w:val="21"/>
          <w:highlight w:val="none"/>
          <w:lang w:val="en-US" w:eastAsia="zh-CN"/>
        </w:rPr>
        <w:t>3</w:t>
      </w:r>
      <w:r>
        <w:rPr>
          <w:rFonts w:hint="eastAsia" w:ascii="宋体" w:hAnsi="宋体" w:cs="宋体"/>
          <w:b w:val="0"/>
          <w:bCs w:val="0"/>
          <w:color w:val="auto"/>
          <w:szCs w:val="21"/>
          <w:highlight w:val="none"/>
        </w:rPr>
        <w:t>日</w:t>
      </w:r>
      <w:r>
        <w:rPr>
          <w:rFonts w:hint="eastAsia" w:ascii="宋体" w:hAnsi="宋体" w:cs="宋体"/>
          <w:b w:val="0"/>
          <w:bCs w:val="0"/>
          <w:color w:val="auto"/>
          <w:szCs w:val="21"/>
          <w:highlight w:val="none"/>
          <w:lang w:val="en-US" w:eastAsia="zh-CN"/>
        </w:rPr>
        <w:t>17</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val="en-US" w:eastAsia="zh-CN"/>
        </w:rPr>
        <w:t>0</w:t>
      </w:r>
      <w:r>
        <w:rPr>
          <w:rFonts w:hint="eastAsia" w:ascii="宋体" w:hAnsi="宋体" w:cs="宋体"/>
          <w:b w:val="0"/>
          <w:bCs w:val="0"/>
          <w:color w:val="auto"/>
          <w:szCs w:val="21"/>
          <w:highlight w:val="none"/>
        </w:rPr>
        <w:t>0时</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缴纳投标保证金的单位</w:t>
      </w:r>
      <w:r>
        <w:rPr>
          <w:rFonts w:hint="eastAsia" w:ascii="宋体" w:hAnsi="宋体" w:cs="宋体"/>
          <w:b w:val="0"/>
          <w:bCs w:val="0"/>
          <w:color w:val="auto"/>
          <w:szCs w:val="21"/>
          <w:highlight w:val="none"/>
        </w:rPr>
        <w:t>不足3家。根据相关规定要求，重新发布招标信息，重新组织招标。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color w:val="auto"/>
          <w:kern w:val="58"/>
          <w:szCs w:val="21"/>
          <w:highlight w:val="none"/>
          <w:u w:val="single"/>
        </w:rPr>
        <w:t>医用气体</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6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color w:val="auto"/>
          <w:szCs w:val="21"/>
          <w:highlight w:val="none"/>
          <w:lang w:val="en-US" w:eastAsia="zh-CN"/>
        </w:rPr>
        <w:t>1150</w:t>
      </w:r>
      <w:r>
        <w:rPr>
          <w:rFonts w:ascii="宋体" w:hAnsi="宋体" w:cs="Arial"/>
          <w:color w:val="auto"/>
          <w:szCs w:val="21"/>
          <w:highlight w:val="none"/>
        </w:rPr>
        <w:t>万元。</w:t>
      </w:r>
    </w:p>
    <w:p>
      <w:pPr>
        <w:spacing w:line="360" w:lineRule="exact"/>
        <w:ind w:firstLine="420" w:firstLineChars="200"/>
        <w:rPr>
          <w:rFonts w:ascii="宋体" w:hAnsi="宋体"/>
          <w:color w:val="auto"/>
          <w:kern w:val="58"/>
          <w:szCs w:val="21"/>
          <w:highlight w:val="none"/>
        </w:rPr>
      </w:pPr>
      <w:r>
        <w:rPr>
          <w:rFonts w:ascii="宋体" w:hAnsi="宋体" w:cs="Arial"/>
          <w:color w:val="auto"/>
          <w:szCs w:val="21"/>
          <w:highlight w:val="none"/>
        </w:rPr>
        <w:t>2.3 招标范围：</w:t>
      </w:r>
      <w:r>
        <w:rPr>
          <w:rFonts w:hint="eastAsia" w:ascii="宋体" w:hAnsi="宋体"/>
          <w:color w:val="auto"/>
          <w:kern w:val="58"/>
          <w:szCs w:val="21"/>
          <w:highlight w:val="none"/>
        </w:rPr>
        <w:t>绍兴市妇幼保健院（绍兴市儿童医院）医疗专项工程医用气体项目，包括</w:t>
      </w:r>
      <w:r>
        <w:rPr>
          <w:rFonts w:hint="eastAsia" w:ascii="宋体" w:hAnsi="宋体" w:cs="宋体"/>
          <w:color w:val="auto"/>
          <w:szCs w:val="21"/>
          <w:highlight w:val="none"/>
        </w:rPr>
        <w:t>儿科住院楼、妇科住院楼、门医技保健楼</w:t>
      </w:r>
      <w:r>
        <w:rPr>
          <w:rFonts w:hint="eastAsia" w:ascii="宋体" w:hAnsi="宋体" w:cs="宋体"/>
          <w:color w:val="auto"/>
          <w:highlight w:val="none"/>
        </w:rPr>
        <w:t>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color w:val="auto"/>
          <w:kern w:val="58"/>
          <w:szCs w:val="21"/>
          <w:highlight w:val="none"/>
        </w:rPr>
        <w:t>，详见招标文件 “</w:t>
      </w:r>
      <w:r>
        <w:rPr>
          <w:rFonts w:hint="eastAsia"/>
          <w:color w:val="auto"/>
          <w:highlight w:val="none"/>
        </w:rPr>
        <w:t>技术标准和要求</w:t>
      </w:r>
      <w:r>
        <w:rPr>
          <w:rFonts w:hint="eastAsia" w:ascii="宋体" w:hAnsi="宋体"/>
          <w:color w:val="auto"/>
          <w:kern w:val="58"/>
          <w:szCs w:val="21"/>
          <w:highlight w:val="none"/>
        </w:rPr>
        <w:t>”。</w:t>
      </w:r>
    </w:p>
    <w:p>
      <w:pPr>
        <w:spacing w:line="36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招标人提供的医气系统设备采购及安装的图纸及</w:t>
      </w:r>
      <w:r>
        <w:rPr>
          <w:rFonts w:hint="eastAsia" w:ascii="宋体" w:hAnsi="宋体" w:cs="宋体"/>
          <w:color w:val="auto"/>
          <w:szCs w:val="21"/>
          <w:highlight w:val="none"/>
          <w:lang w:val="en-US" w:eastAsia="zh-CN"/>
        </w:rPr>
        <w:t>货物</w:t>
      </w:r>
      <w:r>
        <w:rPr>
          <w:rFonts w:hint="eastAsia" w:ascii="宋体" w:hAnsi="宋体" w:cs="宋体"/>
          <w:color w:val="auto"/>
          <w:szCs w:val="21"/>
          <w:highlight w:val="none"/>
        </w:rPr>
        <w:t>清单中的所有工程内容，包括医气系统设备采购及安装工程施工图的进一步深化设计、</w:t>
      </w:r>
      <w:bookmarkStart w:id="1" w:name="_Hlk68943777"/>
      <w:r>
        <w:rPr>
          <w:rFonts w:hint="eastAsia" w:ascii="宋体" w:hAnsi="宋体" w:cs="宋体"/>
          <w:color w:val="auto"/>
          <w:szCs w:val="21"/>
          <w:highlight w:val="none"/>
        </w:rPr>
        <w:t>现有建筑基础上的气体管道处的结构补强、</w:t>
      </w:r>
      <w:bookmarkEnd w:id="1"/>
      <w:r>
        <w:rPr>
          <w:rFonts w:hint="eastAsia" w:ascii="宋体" w:hAnsi="宋体" w:cs="宋体"/>
          <w:color w:val="auto"/>
          <w:szCs w:val="21"/>
          <w:highlight w:val="none"/>
        </w:rPr>
        <w:t>预留孔洞、设备基础、预埋铁构件、预埋管、套管及其封堵、设备材料供货、运输、卸货、保管、施工、安装、调试、检测、并最终通过验收，同时负责技术服务与培训，提交相关技术资料以及质保期内的维修保养等。</w:t>
      </w:r>
    </w:p>
    <w:p>
      <w:pPr>
        <w:spacing w:line="360" w:lineRule="exact"/>
        <w:ind w:firstLine="420" w:firstLineChars="200"/>
        <w:jc w:val="left"/>
        <w:rPr>
          <w:rFonts w:ascii="宋体" w:hAnsi="宋体" w:cs="宋体"/>
          <w:color w:val="auto"/>
          <w:szCs w:val="21"/>
          <w:highlight w:val="none"/>
          <w:lang w:val="zh-CN"/>
        </w:rPr>
      </w:pPr>
      <w:r>
        <w:rPr>
          <w:rFonts w:ascii="宋体" w:hAnsi="宋体" w:cs="宋体"/>
          <w:color w:val="auto"/>
          <w:szCs w:val="21"/>
          <w:highlight w:val="none"/>
        </w:rPr>
        <w:t>招标界面</w:t>
      </w:r>
      <w:r>
        <w:rPr>
          <w:rFonts w:hint="eastAsia" w:ascii="宋体" w:hAnsi="宋体" w:cs="宋体"/>
          <w:color w:val="auto"/>
          <w:szCs w:val="21"/>
          <w:highlight w:val="none"/>
        </w:rPr>
        <w:t>：</w:t>
      </w:r>
      <w:r>
        <w:rPr>
          <w:rFonts w:hint="eastAsia" w:ascii="宋体" w:hAnsi="宋体" w:cs="宋体"/>
          <w:color w:val="auto"/>
          <w:szCs w:val="21"/>
          <w:highlight w:val="none"/>
          <w:lang w:val="zh-CN"/>
        </w:rPr>
        <w:t>总承包单位负责气体工程所涉及到的防火围堰；但场外管道沟及其盖板、设备基础、设备预埋件、预埋工作均由医气专业单位负责完成。</w:t>
      </w:r>
    </w:p>
    <w:p>
      <w:pPr>
        <w:spacing w:line="360" w:lineRule="exact"/>
        <w:ind w:firstLine="420" w:firstLineChars="20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总承包单位负责从低配到气体站房内主电源柜上端头管线及医用设备带内的管线施工，其余气体站房内的主电源柜及其之后管线和医用设备带及床头灯、床头灯开关、设备带电源插座、漏电保护开关、铝合金装饰罩等均由医气专业单位负责供应安装。</w:t>
      </w:r>
    </w:p>
    <w:p>
      <w:pPr>
        <w:spacing w:line="360" w:lineRule="exact"/>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本项目釆用固定总价承包，工程量清单中的工程量、清单描述若与图纸及答疑不一致时，以图纸及答疑为准并须满足各专业的功能要求，由投标人自行复核计算，结算时总价不作调整。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工程量及各种相关一切费用不再增加。图纸中设备或材料若已有变更升级的相应设备或材料则需变更为升级后的设备或材料经使用人同意，费用也不再增加。使用人有权增减工作范围，该费用应予以增减。招标人所有的变更，必须经过使用人书面同意。</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b/>
          <w:bCs/>
          <w:color w:val="auto"/>
          <w:highlight w:val="none"/>
          <w:u w:val="single"/>
        </w:rPr>
        <w:t>以招标人发出的开工指令后210天内，完成设备及材料供货、安装、调试、试运行、独立第三方100%检测、验收及交付使用，具体应与工程施工总进度计划同步</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60" w:lineRule="exact"/>
        <w:rPr>
          <w:rFonts w:ascii="宋体" w:hAnsi="宋体"/>
          <w:color w:val="auto"/>
          <w:szCs w:val="21"/>
          <w:highlight w:val="none"/>
        </w:rPr>
      </w:pPr>
      <w:r>
        <w:rPr>
          <w:rFonts w:ascii="宋体" w:hAnsi="宋体" w:cs="Arial"/>
          <w:color w:val="auto"/>
          <w:szCs w:val="21"/>
          <w:highlight w:val="none"/>
        </w:rPr>
        <w:t>3.1 本次招标要求投标人具</w:t>
      </w:r>
      <w:r>
        <w:rPr>
          <w:rFonts w:hint="eastAsia" w:ascii="宋体" w:hAnsi="宋体" w:cs="Arial"/>
          <w:color w:val="auto"/>
          <w:szCs w:val="21"/>
          <w:highlight w:val="none"/>
        </w:rPr>
        <w:t>有①</w:t>
      </w:r>
      <w:r>
        <w:rPr>
          <w:rFonts w:hint="eastAsia" w:ascii="宋体" w:hAnsi="宋体"/>
          <w:color w:val="auto"/>
          <w:szCs w:val="21"/>
          <w:highlight w:val="none"/>
        </w:rPr>
        <w:t>建筑机电安装工程专业承包二级及以上资质，且具有企业安全生产许可证；</w:t>
      </w:r>
      <w:r>
        <w:rPr>
          <w:rFonts w:hint="eastAsia" w:ascii="宋体" w:hAnsi="宋体" w:cs="Arial"/>
          <w:color w:val="auto"/>
          <w:szCs w:val="21"/>
          <w:highlight w:val="none"/>
        </w:rPr>
        <w:t>②</w:t>
      </w:r>
      <w:r>
        <w:rPr>
          <w:rFonts w:hint="eastAsia" w:ascii="宋体" w:hAnsi="宋体"/>
          <w:color w:val="auto"/>
          <w:highlight w:val="none"/>
        </w:rPr>
        <w:t>第二类医疗器械经营备案凭证或者医疗器械生产许可证；</w:t>
      </w:r>
      <w:r>
        <w:rPr>
          <w:rFonts w:hint="eastAsia" w:ascii="宋体" w:hAnsi="宋体" w:cs="Arial"/>
          <w:color w:val="auto"/>
          <w:szCs w:val="21"/>
          <w:highlight w:val="none"/>
        </w:rPr>
        <w:t>③</w:t>
      </w:r>
      <w:r>
        <w:rPr>
          <w:rFonts w:hint="eastAsia" w:ascii="宋体" w:hAnsi="宋体" w:eastAsia="宋体" w:cs="宋体"/>
          <w:color w:val="auto"/>
          <w:sz w:val="21"/>
          <w:szCs w:val="21"/>
          <w:highlight w:val="none"/>
          <w:u w:val="single"/>
        </w:rPr>
        <w:t>发证日期为2019年5月31日之前的国家质量监督部门颁发的《特种设备安装改造维修许可证》（压力管道）GC2级或GC1级；或发证日期为2019年6月1日之后的《中华人民共和国特种设备生产许可证》（压力管道）GC2级或GC1级或GCD级</w:t>
      </w:r>
      <w:r>
        <w:rPr>
          <w:rFonts w:hint="eastAsia" w:ascii="宋体" w:hAnsi="宋体" w:eastAsia="宋体" w:cs="宋体"/>
          <w:color w:val="auto"/>
          <w:sz w:val="21"/>
          <w:szCs w:val="21"/>
          <w:highlight w:val="none"/>
        </w:rPr>
        <w:t>资质</w:t>
      </w:r>
      <w:r>
        <w:rPr>
          <w:rFonts w:hint="eastAsia" w:ascii="宋体" w:hAnsi="宋体" w:eastAsia="宋体" w:cs="宋体"/>
          <w:color w:val="auto"/>
          <w:sz w:val="21"/>
          <w:szCs w:val="21"/>
          <w:highlight w:val="none"/>
          <w:lang w:eastAsia="zh-CN"/>
        </w:rPr>
        <w:t>；</w:t>
      </w:r>
    </w:p>
    <w:p>
      <w:pPr>
        <w:widowControl/>
        <w:spacing w:line="360" w:lineRule="exact"/>
        <w:ind w:firstLine="422" w:firstLineChars="200"/>
        <w:rPr>
          <w:rFonts w:ascii="宋体" w:hAnsi="宋体" w:cs="Arial"/>
          <w:color w:val="auto"/>
          <w:szCs w:val="21"/>
          <w:highlight w:val="none"/>
        </w:rPr>
      </w:pPr>
      <w:r>
        <w:rPr>
          <w:rFonts w:hint="eastAsia" w:ascii="宋体" w:hAnsi="宋体"/>
          <w:b/>
          <w:bCs/>
          <w:color w:val="auto"/>
          <w:szCs w:val="21"/>
          <w:highlight w:val="none"/>
          <w:u w:val="single"/>
        </w:rPr>
        <w:t>项目负责人具有机电工程专业注册建造师二级及以上注册证书，具有安全生产考核合格证(B证)，且无在建工程，拟派项目负责人须为投标人在职职工（在职职工不包括离、退休返聘人员），以提供缴费期限包含202</w:t>
      </w:r>
      <w:r>
        <w:rPr>
          <w:rFonts w:ascii="宋体" w:hAnsi="宋体"/>
          <w:b/>
          <w:bCs/>
          <w:color w:val="auto"/>
          <w:szCs w:val="21"/>
          <w:highlight w:val="none"/>
          <w:u w:val="single"/>
        </w:rPr>
        <w:t>1</w:t>
      </w:r>
      <w:r>
        <w:rPr>
          <w:rFonts w:hint="eastAsia" w:ascii="宋体" w:hAnsi="宋体"/>
          <w:b/>
          <w:bCs/>
          <w:color w:val="auto"/>
          <w:szCs w:val="21"/>
          <w:highlight w:val="none"/>
          <w:u w:val="single"/>
        </w:rPr>
        <w:t>年</w:t>
      </w:r>
      <w:r>
        <w:rPr>
          <w:rFonts w:ascii="宋体" w:hAnsi="宋体"/>
          <w:b/>
          <w:bCs/>
          <w:color w:val="auto"/>
          <w:szCs w:val="21"/>
          <w:highlight w:val="none"/>
          <w:u w:val="single"/>
        </w:rPr>
        <w:t>0</w:t>
      </w:r>
      <w:r>
        <w:rPr>
          <w:rFonts w:hint="eastAsia" w:ascii="宋体" w:hAnsi="宋体"/>
          <w:b/>
          <w:bCs/>
          <w:color w:val="auto"/>
          <w:szCs w:val="21"/>
          <w:highlight w:val="none"/>
          <w:u w:val="single"/>
          <w:lang w:val="en-US" w:eastAsia="zh-CN"/>
        </w:rPr>
        <w:t>9</w:t>
      </w:r>
      <w:r>
        <w:rPr>
          <w:rFonts w:hint="eastAsia" w:ascii="宋体" w:hAnsi="宋体"/>
          <w:b/>
          <w:bCs/>
          <w:color w:val="auto"/>
          <w:szCs w:val="21"/>
          <w:highlight w:val="none"/>
          <w:u w:val="single"/>
        </w:rPr>
        <w:t>月至2021年</w:t>
      </w:r>
      <w:r>
        <w:rPr>
          <w:rFonts w:hint="eastAsia" w:ascii="宋体" w:hAnsi="宋体"/>
          <w:b/>
          <w:bCs/>
          <w:color w:val="auto"/>
          <w:szCs w:val="21"/>
          <w:highlight w:val="none"/>
          <w:u w:val="single"/>
          <w:lang w:val="en-US" w:eastAsia="zh-CN"/>
        </w:rPr>
        <w:t>11</w:t>
      </w:r>
      <w:r>
        <w:rPr>
          <w:rFonts w:hint="eastAsia" w:ascii="宋体" w:hAnsi="宋体"/>
          <w:b/>
          <w:bCs/>
          <w:color w:val="auto"/>
          <w:szCs w:val="21"/>
          <w:highlight w:val="none"/>
          <w:u w:val="single"/>
        </w:rPr>
        <w:t>月的投标人所属社保机构养老保险交纳清单或证明为准【缴费单位和投标单位名称必须一致，并加盖社保缴费证明专用章（或电子专用章）】。</w:t>
      </w:r>
    </w:p>
    <w:p>
      <w:pPr>
        <w:widowControl/>
        <w:spacing w:line="36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Arial"/>
          <w:b/>
          <w:color w:val="auto"/>
          <w:szCs w:val="21"/>
          <w:highlight w:val="none"/>
          <w:u w:val="single"/>
        </w:rPr>
        <w:t>2021</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60" w:lineRule="exact"/>
        <w:rPr>
          <w:rFonts w:hint="eastAsia" w:ascii="宋体" w:hAnsi="宋体" w:eastAsia="宋体" w:cs="Arial"/>
          <w:strike w:val="0"/>
          <w:dstrike w:val="0"/>
          <w:color w:val="auto"/>
          <w:szCs w:val="21"/>
          <w:highlight w:val="none"/>
          <w:lang w:eastAsia="zh-CN"/>
        </w:rPr>
      </w:pPr>
      <w:r>
        <w:rPr>
          <w:rFonts w:hint="eastAsia" w:ascii="宋体" w:hAnsi="宋体" w:cs="Arial"/>
          <w:strike w:val="0"/>
          <w:dstrike w:val="0"/>
          <w:color w:val="auto"/>
          <w:szCs w:val="21"/>
          <w:highlight w:val="none"/>
        </w:rPr>
        <w:t>3.3.2</w:t>
      </w:r>
      <w:r>
        <w:rPr>
          <w:rFonts w:hint="eastAsia" w:ascii="宋体" w:hAnsi="宋体" w:cs="Arial"/>
          <w:color w:val="auto"/>
          <w:szCs w:val="21"/>
          <w:highlight w:val="none"/>
        </w:rPr>
        <w:t>企业</w:t>
      </w:r>
      <w:r>
        <w:rPr>
          <w:rFonts w:hint="eastAsia" w:ascii="宋体" w:hAnsi="宋体" w:eastAsia="宋体" w:cs="Arial"/>
          <w:b w:val="0"/>
          <w:bCs w:val="0"/>
          <w:color w:val="auto"/>
          <w:sz w:val="21"/>
          <w:szCs w:val="21"/>
          <w:highlight w:val="none"/>
        </w:rPr>
        <w:t>需要</w:t>
      </w:r>
      <w:r>
        <w:rPr>
          <w:rFonts w:hint="eastAsia" w:ascii="宋体" w:hAnsi="宋体" w:eastAsia="宋体" w:cs="Arial"/>
          <w:b w:val="0"/>
          <w:bCs w:val="0"/>
          <w:color w:val="auto"/>
          <w:sz w:val="21"/>
          <w:szCs w:val="21"/>
          <w:highlight w:val="none"/>
          <w:u w:val="none"/>
        </w:rPr>
        <w:t>经浙江省住建厅备案（省内企业不作要求）（有效期内）</w:t>
      </w:r>
      <w:r>
        <w:rPr>
          <w:rFonts w:hint="eastAsia" w:ascii="宋体" w:hAnsi="宋体" w:eastAsia="宋体" w:cs="Arial"/>
          <w:b w:val="0"/>
          <w:bCs w:val="0"/>
          <w:color w:val="auto"/>
          <w:sz w:val="21"/>
          <w:szCs w:val="21"/>
          <w:highlight w:val="none"/>
        </w:rPr>
        <w:t>或“浙江省建筑市场监管公共服务系统”上审核通过的备案信息网页截图（浙江省内企业不作要求）</w:t>
      </w:r>
      <w:r>
        <w:rPr>
          <w:rFonts w:hint="eastAsia" w:ascii="宋体" w:hAnsi="宋体" w:cs="Arial"/>
          <w:strike w:val="0"/>
          <w:dstrike w:val="0"/>
          <w:color w:val="auto"/>
          <w:szCs w:val="21"/>
          <w:highlight w:val="none"/>
          <w:lang w:eastAsia="zh-CN"/>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6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6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贰拾</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Cs w:val="21"/>
          <w:highlight w:val="none"/>
          <w:u w:val="single"/>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Cs w:val="21"/>
          <w:highlight w:val="none"/>
          <w:u w:val="single"/>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35"/>
          <w:rFonts w:hint="eastAsia" w:ascii="宋体" w:hAnsi="宋体"/>
          <w:color w:val="auto"/>
          <w:szCs w:val="21"/>
          <w:highlight w:val="none"/>
        </w:rPr>
        <w:t>http://p.ggb.sx.gov.cn:6081/TPBidder/</w:t>
      </w:r>
      <w:r>
        <w:rPr>
          <w:rStyle w:val="35"/>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6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6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2021</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4"/>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4"/>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7.发布公告的媒介    </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6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6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360" w:lineRule="exact"/>
        <w:ind w:right="0" w:rightChars="0"/>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36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2021</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5"/>
        <w:rPr>
          <w:color w:val="auto"/>
          <w:highlight w:val="none"/>
        </w:rPr>
      </w:pPr>
      <w:r>
        <w:rPr>
          <w:rFonts w:hint="eastAsia" w:ascii="宋体" w:hAnsi="宋体"/>
          <w:color w:val="auto"/>
          <w:kern w:val="0"/>
          <w:szCs w:val="21"/>
          <w:highlight w:val="none"/>
        </w:rPr>
        <w:br w:type="page"/>
      </w:r>
      <w:bookmarkStart w:id="2"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2"/>
      <w:r>
        <w:rPr>
          <w:rFonts w:hint="eastAsia"/>
          <w:color w:val="auto"/>
          <w:highlight w:val="none"/>
        </w:rPr>
        <w:t>前附表</w:t>
      </w:r>
    </w:p>
    <w:tbl>
      <w:tblPr>
        <w:tblStyle w:val="27"/>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条款号</w:t>
            </w:r>
          </w:p>
        </w:tc>
        <w:tc>
          <w:tcPr>
            <w:tcW w:w="1560" w:type="dxa"/>
            <w:vAlign w:val="center"/>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条款名称</w:t>
            </w:r>
          </w:p>
        </w:tc>
        <w:tc>
          <w:tcPr>
            <w:tcW w:w="7447" w:type="dxa"/>
            <w:vAlign w:val="center"/>
          </w:tcPr>
          <w:p>
            <w:pPr>
              <w:jc w:val="center"/>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招标人</w:t>
            </w:r>
          </w:p>
        </w:tc>
        <w:tc>
          <w:tcPr>
            <w:tcW w:w="7447" w:type="dxa"/>
          </w:tcPr>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名称：浙江精工钢结构集团有限公司</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地址：绍兴市柯桥区柯桥经济开发区鉴湖路</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招标代理机构</w:t>
            </w:r>
          </w:p>
        </w:tc>
        <w:tc>
          <w:tcPr>
            <w:tcW w:w="7447" w:type="dxa"/>
          </w:tcPr>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名称：浙江明业项目管理有限公司</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地址：绍兴市解放大道111号中石化大楼7楼</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联系人：张雅美  电话：0575-85209901、</w:t>
            </w:r>
            <w:r>
              <w:rPr>
                <w:rFonts w:hint="eastAsia" w:ascii="宋体" w:hAnsi="宋体" w:eastAsia="宋体" w:cs="宋体"/>
                <w:color w:val="auto"/>
                <w:sz w:val="20"/>
                <w:szCs w:val="20"/>
                <w:highlight w:val="none"/>
                <w:u w:val="single"/>
              </w:rPr>
              <w:t>13957571013</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项目名称</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绍兴市妇幼保健院（绍兴市儿童医院）建设项目医用气体项目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建设地点</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出资比例</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资金落实情况</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招标范围</w:t>
            </w:r>
          </w:p>
        </w:tc>
        <w:tc>
          <w:tcPr>
            <w:tcW w:w="7447" w:type="dxa"/>
          </w:tcPr>
          <w:p>
            <w:pPr>
              <w:numPr>
                <w:ilvl w:val="0"/>
                <w:numId w:val="1"/>
              </w:numPr>
              <w:adjustRightInd w:val="0"/>
              <w:snapToGrid w:val="0"/>
              <w:spacing w:line="280" w:lineRule="exact"/>
              <w:ind w:firstLine="0" w:firstLineChars="0"/>
              <w:rPr>
                <w:rFonts w:hint="eastAsia" w:ascii="宋体" w:hAnsi="宋体" w:eastAsia="宋体" w:cs="宋体"/>
                <w:color w:val="auto"/>
                <w:kern w:val="58"/>
                <w:sz w:val="20"/>
                <w:szCs w:val="20"/>
                <w:highlight w:val="none"/>
              </w:rPr>
            </w:pPr>
            <w:r>
              <w:rPr>
                <w:rFonts w:hint="eastAsia" w:ascii="宋体" w:hAnsi="宋体" w:eastAsia="宋体" w:cs="宋体"/>
                <w:color w:val="auto"/>
                <w:sz w:val="20"/>
                <w:szCs w:val="20"/>
                <w:highlight w:val="none"/>
              </w:rPr>
              <w:t xml:space="preserve">本次招标项目的招标范围: </w:t>
            </w:r>
            <w:r>
              <w:rPr>
                <w:rFonts w:hint="eastAsia" w:ascii="宋体" w:hAnsi="宋体" w:eastAsia="宋体" w:cs="宋体"/>
                <w:color w:val="auto"/>
                <w:kern w:val="58"/>
                <w:sz w:val="20"/>
                <w:szCs w:val="20"/>
                <w:highlight w:val="none"/>
              </w:rPr>
              <w:t>绍兴市妇幼保健院（绍兴市儿童医院）医疗专项工程医用气体项目，包括</w:t>
            </w:r>
            <w:r>
              <w:rPr>
                <w:rFonts w:hint="eastAsia" w:ascii="宋体" w:hAnsi="宋体" w:eastAsia="宋体" w:cs="宋体"/>
                <w:color w:val="auto"/>
                <w:sz w:val="20"/>
                <w:szCs w:val="20"/>
                <w:highlight w:val="none"/>
              </w:rPr>
              <w:t>儿科住院楼、妇科住院楼、门医技保健楼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eastAsia="宋体" w:cs="宋体"/>
                <w:color w:val="auto"/>
                <w:kern w:val="58"/>
                <w:sz w:val="20"/>
                <w:szCs w:val="20"/>
                <w:highlight w:val="none"/>
              </w:rPr>
              <w:t>，详见招标文件 “</w:t>
            </w:r>
            <w:r>
              <w:rPr>
                <w:rFonts w:hint="eastAsia" w:ascii="宋体" w:hAnsi="宋体" w:eastAsia="宋体" w:cs="宋体"/>
                <w:color w:val="auto"/>
                <w:sz w:val="20"/>
                <w:szCs w:val="20"/>
                <w:highlight w:val="none"/>
              </w:rPr>
              <w:t>技术标准和要求</w:t>
            </w:r>
            <w:r>
              <w:rPr>
                <w:rFonts w:hint="eastAsia" w:ascii="宋体" w:hAnsi="宋体" w:eastAsia="宋体" w:cs="宋体"/>
                <w:color w:val="auto"/>
                <w:kern w:val="58"/>
                <w:sz w:val="20"/>
                <w:szCs w:val="20"/>
                <w:highlight w:val="none"/>
              </w:rPr>
              <w:t>”。</w:t>
            </w:r>
          </w:p>
          <w:p>
            <w:pPr>
              <w:numPr>
                <w:ilvl w:val="0"/>
                <w:numId w:val="0"/>
              </w:numPr>
              <w:adjustRightInd w:val="0"/>
              <w:snapToGrid w:val="0"/>
              <w:spacing w:line="280" w:lineRule="exact"/>
              <w:rPr>
                <w:rFonts w:hint="eastAsia" w:ascii="宋体" w:hAnsi="宋体" w:eastAsia="宋体" w:cs="宋体"/>
                <w:color w:val="auto"/>
                <w:sz w:val="20"/>
                <w:szCs w:val="20"/>
                <w:highlight w:val="none"/>
              </w:rPr>
            </w:pPr>
            <w:r>
              <w:rPr>
                <w:rFonts w:hint="eastAsia" w:ascii="宋体" w:hAnsi="宋体" w:eastAsia="宋体" w:cs="宋体"/>
                <w:color w:val="auto"/>
                <w:kern w:val="58"/>
                <w:sz w:val="20"/>
                <w:szCs w:val="20"/>
                <w:highlight w:val="none"/>
                <w:lang w:val="en-US" w:eastAsia="zh-CN"/>
              </w:rPr>
              <w:t>2、</w:t>
            </w:r>
            <w:r>
              <w:rPr>
                <w:rFonts w:hint="eastAsia" w:ascii="宋体" w:hAnsi="宋体" w:eastAsia="宋体" w:cs="宋体"/>
                <w:color w:val="auto"/>
                <w:sz w:val="20"/>
                <w:szCs w:val="20"/>
                <w:highlight w:val="none"/>
              </w:rPr>
              <w:t>本次招标内容:招标人提供的医气系统设备采购及安装的图纸及</w:t>
            </w:r>
            <w:r>
              <w:rPr>
                <w:rFonts w:hint="eastAsia" w:ascii="宋体" w:hAnsi="宋体" w:cs="宋体"/>
                <w:color w:val="auto"/>
                <w:sz w:val="20"/>
                <w:szCs w:val="20"/>
                <w:highlight w:val="none"/>
                <w:lang w:val="en-US" w:eastAsia="zh-CN"/>
              </w:rPr>
              <w:t>货物</w:t>
            </w:r>
            <w:r>
              <w:rPr>
                <w:rFonts w:hint="eastAsia" w:ascii="宋体" w:hAnsi="宋体" w:eastAsia="宋体" w:cs="宋体"/>
                <w:color w:val="auto"/>
                <w:sz w:val="20"/>
                <w:szCs w:val="20"/>
                <w:highlight w:val="none"/>
              </w:rPr>
              <w:t>清单中的所有工程内容，包括医气系统设备采购及安装工程施工图的进一步深化设计、现有建筑基础上的气体管道处的结构补强、预留孔洞、设备基础、预埋铁构件、预埋管、套管及其封堵、设备材料供货、运输、卸货、保管、施工、安装、调试、检测、并最终通过验收，同时负责技术服务与培训，提交相关技术资料以及质保期内的维修保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工期要求</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u w:val="single"/>
              </w:rPr>
              <w:t>以招标人发出的开工指令后210天内，完成设备及材料供货、安装、调试、试运行、独立第三方100%检测、验收及交付使用，具体应与工程施工总进度计划同步</w:t>
            </w:r>
            <w:r>
              <w:rPr>
                <w:rFonts w:hint="eastAsia" w:ascii="宋体" w:hAnsi="宋体" w:eastAsia="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1.3.3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质量要求</w:t>
            </w:r>
          </w:p>
        </w:tc>
        <w:tc>
          <w:tcPr>
            <w:tcW w:w="7447" w:type="dxa"/>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1.4.1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投标资格条件、要求</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1.4.2</w:t>
            </w:r>
          </w:p>
        </w:tc>
        <w:tc>
          <w:tcPr>
            <w:tcW w:w="1560" w:type="dxa"/>
            <w:vAlign w:val="center"/>
          </w:tcPr>
          <w:p>
            <w:pPr>
              <w:pStyle w:val="53"/>
              <w:adjustRightInd w:val="0"/>
              <w:snapToGrid w:val="0"/>
              <w:spacing w:line="0" w:lineRule="atLeast"/>
              <w:ind w:right="241" w:rightChars="115" w:firstLine="0" w:firstLineChars="0"/>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是否接受联合体投标</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1.9.1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踏勘现场</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投标预备会</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投标人提出问题的截止时间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2021年  月   日    </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"mailto:时前（北京时间），请将要求澄清内容加盖单位公章后将扫描件、WORD电子版发到229330322@qq.com。"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时前（北京时间），请将要求澄清内容加盖单位公章后将扫描件、WORD电子版发到229330322@qq.com。</w:t>
            </w:r>
            <w:r>
              <w:rPr>
                <w:rFonts w:hint="eastAsia" w:ascii="宋体" w:hAnsi="宋体" w:eastAsia="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招标文件的澄清、补充、修改的时间以及澄清、补充、修改文件的下载网址</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澄清、补充、修改的内容不影响投标文件编制的，将在投标文件递交截止时间7天前，以上款相同的形式发布。</w:t>
            </w:r>
          </w:p>
          <w:p>
            <w:pPr>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rPr>
              <w:t>下载网址： 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投标人须使用用户名和密码登录交易平台后下载相关文件。</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1.10.4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投标人确认收到澄清、补充、修改文件的时间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潜在投标人应自行关注绍兴公共资源交易网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的交易平台及短信通知</w:t>
            </w:r>
            <w:r>
              <w:rPr>
                <w:rFonts w:hint="eastAsia" w:ascii="宋体" w:hAnsi="宋体" w:eastAsia="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招标工程是否允许分包</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1.12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偏离</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cs="宋体"/>
                <w:color w:val="auto"/>
                <w:szCs w:val="21"/>
                <w:highlight w:val="none"/>
                <w:lang w:val="en-US" w:eastAsia="zh-CN"/>
              </w:rPr>
              <w:t>参照技术标评分标准</w:t>
            </w: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构成招标文件的其他资料</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投标人要求澄清招标文件的截止时间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投标截止时间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投标人确认收到招标文件澄清的时间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潜在投标人应自行关注绍兴公共资源交易网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的交易平台及短信通知</w:t>
            </w:r>
            <w:r>
              <w:rPr>
                <w:rFonts w:hint="eastAsia" w:ascii="宋体" w:hAnsi="宋体" w:eastAsia="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2.3.2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投标人确认收到招标文件修改的时间</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潜在投标人应自行关注绍兴公共资源交易网</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"http://www.zmctc.com/" \h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（http://ggb.sx.gov.cn/</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bidi="ar"/>
              </w:rPr>
              <w:t>的交易平台及短信通知</w:t>
            </w:r>
            <w:r>
              <w:rPr>
                <w:rFonts w:hint="eastAsia" w:ascii="宋体" w:hAnsi="宋体" w:eastAsia="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构成投标文件的其他资料</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最高投标限价或其计算方法</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本次招标最高投标限价为：</w:t>
            </w:r>
            <w:r>
              <w:rPr>
                <w:rFonts w:hint="eastAsia" w:ascii="宋体" w:hAnsi="宋体" w:eastAsia="宋体" w:cs="宋体"/>
                <w:color w:val="auto"/>
                <w:sz w:val="20"/>
                <w:szCs w:val="20"/>
                <w:highlight w:val="none"/>
                <w:lang w:val="en-US" w:eastAsia="zh-CN"/>
              </w:rPr>
              <w:t>1</w:t>
            </w:r>
            <w:r>
              <w:rPr>
                <w:rFonts w:hint="eastAsia" w:ascii="宋体" w:hAnsi="宋体" w:cs="宋体"/>
                <w:color w:val="auto"/>
                <w:sz w:val="20"/>
                <w:szCs w:val="20"/>
                <w:highlight w:val="none"/>
                <w:lang w:val="en-US" w:eastAsia="zh-CN"/>
              </w:rPr>
              <w:t>150</w:t>
            </w:r>
            <w:r>
              <w:rPr>
                <w:rFonts w:hint="eastAsia" w:ascii="宋体" w:hAnsi="宋体" w:eastAsia="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3.2.4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投标报价的其他要求</w:t>
            </w:r>
          </w:p>
        </w:tc>
        <w:tc>
          <w:tcPr>
            <w:tcW w:w="7447" w:type="dxa"/>
            <w:vAlign w:val="center"/>
          </w:tcPr>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 投标报价为投标人的投标文件中提出的各项支付金额的总和。</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 技术标中明确或招标文件、设计图纸确定的相应技术规范要求的费用应包括在投标报价中，否则视同投标优惠。</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 投标人应先到项目现场踏勘以充分了解现场位置、情况、道路、储存空间、装卸限制及任何其它足以影响报价的情况，任何因忽视或误解工地情况而导致的索赔或工期延长申请将不获批准；</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 招标人不接受低于成本的投标报价，也不接受招标项目范围内的捐赠。</w:t>
            </w:r>
          </w:p>
          <w:p>
            <w:pPr>
              <w:pStyle w:val="53"/>
              <w:adjustRightInd w:val="0"/>
              <w:snapToGrid w:val="0"/>
              <w:spacing w:line="0" w:lineRule="atLeast"/>
              <w:ind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7、投标人按照上述要求编制投标报价。一旦确认某一投标人中标，除合同规定的可调整内容外，中标人不得要求追加任何费用。</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①供应商进场后须与总包签订总包管理协议，服从总包管理要求。</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②供应商的安装进场时间不应晚于监理、业主审批的施工总进度计划进场时间。</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③供应商进场前，图纸须齐全，以免影响后续施工进度（供应商须对图纸进行深化设计）。</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④进入施工现场后，设备及材料堆放场地须按照总包要求进行布设，满足标准化工地要求。</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3"/>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3"/>
              <w:numPr>
                <w:ilvl w:val="0"/>
                <w:numId w:val="2"/>
              </w:numPr>
              <w:adjustRightInd w:val="0"/>
              <w:snapToGrid w:val="0"/>
              <w:spacing w:line="0" w:lineRule="atLeast"/>
              <w:ind w:firstLine="0" w:firstLineChars="0"/>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
              <w:ind w:firstLine="0" w:firstLineChars="0"/>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3.3.1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投标有效期</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3.4.1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投标保证金</w:t>
            </w:r>
          </w:p>
        </w:tc>
        <w:tc>
          <w:tcPr>
            <w:tcW w:w="7447" w:type="dxa"/>
            <w:vAlign w:val="center"/>
          </w:tcPr>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形式：见招标公告</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金额：见招标公告</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递交方式：见招标公告</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投标保证金不予退还的情形：</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1．投标人在投标有效期内撤销或修改其投标文件。</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2．中标人无正当理由不与招标人订立合同，或在签订合同时向招标人提出附加条件，或未按招标文件要求提交履约保证金的。</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3．经查实，投标人在投标过程中串通投标或弄虚作假的。</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3" w:name="_Hlk82006863"/>
            <w:r>
              <w:rPr>
                <w:rFonts w:hint="eastAsia" w:ascii="宋体" w:hAnsi="宋体" w:eastAsia="宋体" w:cs="宋体"/>
                <w:color w:val="auto"/>
                <w:szCs w:val="20"/>
                <w:highlight w:val="none"/>
              </w:rPr>
              <w:t>．</w:t>
            </w:r>
            <w:r>
              <w:rPr>
                <w:rFonts w:hint="eastAsia" w:hAnsi="宋体" w:cs="宋体"/>
                <w:color w:val="auto"/>
                <w:szCs w:val="20"/>
                <w:highlight w:val="none"/>
              </w:rPr>
              <w:t>存在违反《招标投标法》第三十二条、第三十三条规定的违法情形的。</w:t>
            </w:r>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hAnsi="宋体" w:cs="宋体"/>
                <w:color w:val="auto"/>
                <w:szCs w:val="20"/>
                <w:highlight w:val="none"/>
              </w:rPr>
              <w:t>5</w:t>
            </w:r>
            <w:r>
              <w:rPr>
                <w:rFonts w:hint="eastAsia" w:ascii="宋体" w:hAnsi="宋体" w:eastAsia="宋体" w:cs="宋体"/>
                <w:color w:val="auto"/>
                <w:szCs w:val="20"/>
                <w:highlight w:val="none"/>
              </w:rPr>
              <w:t>．</w:t>
            </w:r>
            <w:r>
              <w:rPr>
                <w:rFonts w:hint="eastAsia" w:hAnsi="宋体" w:cs="宋体"/>
                <w:color w:val="auto"/>
                <w:szCs w:val="20"/>
                <w:highlight w:val="none"/>
              </w:rPr>
              <w:t>招标文件等材料约定的不予退还的其他情形。</w:t>
            </w:r>
            <w:bookmarkEnd w:id="3"/>
          </w:p>
          <w:p>
            <w:pPr>
              <w:pStyle w:val="53"/>
              <w:adjustRightInd w:val="0"/>
              <w:snapToGrid w:val="0"/>
              <w:spacing w:line="0" w:lineRule="atLeast"/>
              <w:ind w:firstLine="0" w:firstLineChars="0"/>
              <w:rPr>
                <w:rFonts w:hint="eastAsia" w:ascii="宋体" w:hAnsi="宋体" w:eastAsia="宋体" w:cs="宋体"/>
                <w:color w:val="auto"/>
                <w:szCs w:val="20"/>
                <w:highlight w:val="none"/>
              </w:rPr>
            </w:pPr>
            <w:r>
              <w:rPr>
                <w:rFonts w:hint="eastAsia" w:hAnsi="宋体" w:cs="宋体"/>
                <w:color w:val="auto"/>
                <w:szCs w:val="20"/>
                <w:highlight w:val="none"/>
                <w:lang w:val="en-US" w:eastAsia="zh-CN"/>
              </w:rPr>
              <w:t>6</w:t>
            </w:r>
            <w:r>
              <w:rPr>
                <w:rFonts w:hint="eastAsia" w:ascii="宋体" w:hAnsi="宋体" w:eastAsia="宋体" w:cs="宋体"/>
                <w:color w:val="auto"/>
                <w:szCs w:val="20"/>
                <w:highlight w:val="none"/>
              </w:rPr>
              <w:t>．拟派项目负责人在投标截止日有在其他在建合同工程上担任项目负责人的情形。</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出现上述不予退还情形的，招标人告知交易中心登记后，平台将自动划转其投标保证金</w:t>
            </w:r>
            <w:r>
              <w:rPr>
                <w:rFonts w:hint="eastAsia" w:ascii="宋体" w:hAnsi="宋体" w:eastAsia="宋体" w:cs="宋体"/>
                <w:strike/>
                <w:color w:val="auto"/>
                <w:sz w:val="20"/>
                <w:szCs w:val="20"/>
                <w:highlight w:val="none"/>
              </w:rPr>
              <w:t>及银行同期存款利息至</w:t>
            </w:r>
            <w:r>
              <w:rPr>
                <w:rFonts w:hint="eastAsia" w:ascii="宋体" w:hAnsi="宋体" w:eastAsia="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0" w:hRule="atLeast"/>
        </w:trPr>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资格审查资料</w:t>
            </w:r>
          </w:p>
        </w:tc>
        <w:tc>
          <w:tcPr>
            <w:tcW w:w="7447" w:type="dxa"/>
            <w:vAlign w:val="center"/>
          </w:tcPr>
          <w:p>
            <w:pPr>
              <w:widowControl/>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1、企业法人营业执照复印件。</w:t>
            </w:r>
          </w:p>
          <w:p>
            <w:pPr>
              <w:widowControl/>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2、资质证书、安全生产许可证复印件。</w:t>
            </w:r>
          </w:p>
          <w:p>
            <w:pPr>
              <w:widowControl/>
              <w:jc w:val="left"/>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3、第二类医疗器械经营备案凭证或者医疗器械生产许可证复印件。</w:t>
            </w:r>
          </w:p>
          <w:p>
            <w:pPr>
              <w:widowControl/>
              <w:jc w:val="left"/>
              <w:rPr>
                <w:rFonts w:hint="default" w:eastAsia="宋体"/>
                <w:color w:val="auto"/>
                <w:highlight w:val="none"/>
                <w:lang w:val="en-US" w:eastAsia="zh-CN"/>
              </w:rPr>
            </w:pPr>
            <w:r>
              <w:rPr>
                <w:rFonts w:hint="eastAsia" w:ascii="宋体" w:hAnsi="宋体" w:cs="宋体"/>
                <w:color w:val="auto"/>
                <w:sz w:val="20"/>
                <w:szCs w:val="20"/>
                <w:highlight w:val="none"/>
                <w:lang w:val="en-US" w:eastAsia="zh-CN" w:bidi="ar"/>
              </w:rPr>
              <w:t>4、</w:t>
            </w:r>
            <w:r>
              <w:rPr>
                <w:rFonts w:hint="eastAsia" w:ascii="宋体" w:hAnsi="宋体" w:eastAsia="宋体" w:cs="宋体"/>
                <w:color w:val="auto"/>
                <w:sz w:val="20"/>
                <w:szCs w:val="20"/>
                <w:highlight w:val="none"/>
                <w:u w:val="none"/>
                <w:lang w:bidi="ar"/>
              </w:rPr>
              <w:t>发证日期为2019年5月31日之前的国家质量监督部门颁发的《特种设备安装改造维修许可证》（压力管道）GC2级或GC1级；或发证日期为2019年6月1日之后的《中华人民共和国特种设备生产许可证》（压力管道）GC2级或GC1级或GCD级资质</w:t>
            </w:r>
            <w:r>
              <w:rPr>
                <w:rFonts w:hint="eastAsia" w:ascii="宋体" w:hAnsi="宋体" w:cs="宋体"/>
                <w:color w:val="auto"/>
                <w:sz w:val="20"/>
                <w:szCs w:val="20"/>
                <w:highlight w:val="none"/>
                <w:u w:val="none"/>
                <w:lang w:val="en-US" w:eastAsia="zh-CN" w:bidi="ar"/>
              </w:rPr>
              <w:t>证书复印件。</w:t>
            </w:r>
          </w:p>
          <w:p>
            <w:pPr>
              <w:widowControl/>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5</w:t>
            </w:r>
            <w:r>
              <w:rPr>
                <w:rFonts w:hint="eastAsia" w:ascii="宋体" w:hAnsi="宋体" w:eastAsia="宋体" w:cs="宋体"/>
                <w:color w:val="auto"/>
                <w:sz w:val="20"/>
                <w:szCs w:val="20"/>
                <w:highlight w:val="none"/>
                <w:lang w:bidi="ar"/>
              </w:rPr>
              <w:t>、</w:t>
            </w:r>
            <w:r>
              <w:rPr>
                <w:rFonts w:hint="eastAsia" w:ascii="宋体" w:hAnsi="宋体" w:cs="宋体"/>
                <w:b w:val="0"/>
                <w:iCs w:val="0"/>
                <w:color w:val="auto"/>
                <w:sz w:val="20"/>
                <w:szCs w:val="20"/>
                <w:highlight w:val="none"/>
                <w:u w:val="none"/>
                <w:lang w:val="en-US" w:bidi="ar"/>
              </w:rPr>
              <w:t>浙江省外企业须</w:t>
            </w:r>
            <w:r>
              <w:rPr>
                <w:rFonts w:hint="eastAsia" w:ascii="宋体" w:hAnsi="宋体" w:cs="宋体"/>
                <w:b w:val="0"/>
                <w:iCs w:val="0"/>
                <w:color w:val="auto"/>
                <w:sz w:val="20"/>
                <w:szCs w:val="20"/>
                <w:highlight w:val="none"/>
                <w:u w:val="none"/>
                <w:lang w:val="en-US" w:eastAsia="zh-CN" w:bidi="ar"/>
              </w:rPr>
              <w:t>提供</w:t>
            </w:r>
            <w:r>
              <w:rPr>
                <w:rFonts w:hint="eastAsia" w:ascii="宋体" w:hAnsi="宋体" w:cs="宋体"/>
                <w:b w:val="0"/>
                <w:iCs w:val="0"/>
                <w:color w:val="auto"/>
                <w:sz w:val="20"/>
                <w:szCs w:val="20"/>
                <w:highlight w:val="none"/>
                <w:u w:val="none"/>
                <w:lang w:val="en-US" w:bidi="ar"/>
              </w:rPr>
              <w:t>浙江省住建厅备案</w:t>
            </w:r>
            <w:r>
              <w:rPr>
                <w:rFonts w:hint="eastAsia" w:ascii="宋体" w:hAnsi="宋体" w:cs="宋体"/>
                <w:b w:val="0"/>
                <w:iCs w:val="0"/>
                <w:color w:val="auto"/>
                <w:sz w:val="20"/>
                <w:szCs w:val="20"/>
                <w:highlight w:val="none"/>
                <w:u w:val="none"/>
                <w:lang w:val="en-US" w:eastAsia="zh-CN" w:bidi="ar"/>
              </w:rPr>
              <w:t>证明</w:t>
            </w:r>
            <w:r>
              <w:rPr>
                <w:rFonts w:hint="eastAsia" w:ascii="宋体" w:hAnsi="宋体" w:eastAsia="宋体" w:cs="Arial"/>
                <w:b w:val="0"/>
                <w:bCs w:val="0"/>
                <w:color w:val="auto"/>
                <w:sz w:val="21"/>
                <w:szCs w:val="21"/>
                <w:highlight w:val="none"/>
                <w:u w:val="none"/>
              </w:rPr>
              <w:t>（有效期内）</w:t>
            </w:r>
            <w:r>
              <w:rPr>
                <w:rFonts w:hint="eastAsia" w:ascii="宋体" w:hAnsi="宋体" w:cs="宋体"/>
                <w:b w:val="0"/>
                <w:iCs w:val="0"/>
                <w:color w:val="auto"/>
                <w:sz w:val="20"/>
                <w:szCs w:val="20"/>
                <w:highlight w:val="none"/>
                <w:u w:val="none"/>
                <w:lang w:val="en-US" w:bidi="ar"/>
              </w:rPr>
              <w:t>或提供在“浙江省建筑市场监管公共服务系统”企业信息备案通过的网页截图（浙江省内企业不作要求）</w:t>
            </w:r>
            <w:r>
              <w:rPr>
                <w:rFonts w:hint="eastAsia" w:ascii="宋体" w:hAnsi="宋体" w:cs="宋体"/>
                <w:b w:val="0"/>
                <w:iCs w:val="0"/>
                <w:color w:val="auto"/>
                <w:sz w:val="20"/>
                <w:szCs w:val="20"/>
                <w:highlight w:val="none"/>
                <w:u w:val="none"/>
                <w:lang w:val="en-US" w:eastAsia="zh-CN" w:bidi="ar"/>
              </w:rPr>
              <w:t>。</w:t>
            </w:r>
          </w:p>
          <w:p>
            <w:pPr>
              <w:widowControl/>
              <w:jc w:val="left"/>
              <w:rPr>
                <w:rFonts w:hint="eastAsia" w:ascii="宋体" w:hAnsi="宋体" w:eastAsia="宋体" w:cs="宋体"/>
                <w:color w:val="auto"/>
                <w:sz w:val="20"/>
                <w:szCs w:val="20"/>
                <w:highlight w:val="none"/>
                <w:lang w:bidi="ar"/>
              </w:rPr>
            </w:pPr>
            <w:r>
              <w:rPr>
                <w:rFonts w:hint="eastAsia" w:ascii="宋体" w:hAnsi="宋体" w:cs="宋体"/>
                <w:color w:val="auto"/>
                <w:sz w:val="20"/>
                <w:szCs w:val="20"/>
                <w:highlight w:val="none"/>
                <w:lang w:val="en-US" w:eastAsia="zh-CN" w:bidi="ar"/>
              </w:rPr>
              <w:t>6</w:t>
            </w:r>
            <w:r>
              <w:rPr>
                <w:rFonts w:hint="eastAsia" w:ascii="宋体" w:hAnsi="宋体" w:eastAsia="宋体" w:cs="宋体"/>
                <w:color w:val="auto"/>
                <w:sz w:val="20"/>
                <w:szCs w:val="20"/>
                <w:highlight w:val="none"/>
                <w:lang w:bidi="ar"/>
              </w:rPr>
              <w:t>、项目负责人注册证书、安全生产考核合格证、社保证明复印件。</w:t>
            </w:r>
          </w:p>
          <w:p>
            <w:pPr>
              <w:widowControl/>
              <w:jc w:val="left"/>
              <w:rPr>
                <w:rFonts w:hint="eastAsia" w:ascii="宋体" w:hAnsi="宋体" w:eastAsia="宋体" w:cs="宋体"/>
                <w:color w:val="auto"/>
                <w:sz w:val="20"/>
                <w:szCs w:val="20"/>
                <w:highlight w:val="none"/>
                <w:lang w:bidi="ar"/>
              </w:rPr>
            </w:pPr>
            <w:r>
              <w:rPr>
                <w:rFonts w:hint="eastAsia" w:ascii="宋体" w:hAnsi="宋体" w:cs="宋体"/>
                <w:color w:val="auto"/>
                <w:sz w:val="20"/>
                <w:szCs w:val="20"/>
                <w:highlight w:val="none"/>
                <w:lang w:val="en-US" w:eastAsia="zh-CN" w:bidi="ar"/>
              </w:rPr>
              <w:t>7</w:t>
            </w:r>
            <w:r>
              <w:rPr>
                <w:rFonts w:hint="eastAsia" w:ascii="宋体" w:hAnsi="宋体" w:eastAsia="宋体" w:cs="宋体"/>
                <w:color w:val="auto"/>
                <w:sz w:val="20"/>
                <w:szCs w:val="20"/>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jc w:val="left"/>
              <w:rPr>
                <w:rFonts w:hint="eastAsia" w:ascii="宋体" w:hAnsi="宋体" w:eastAsia="宋体" w:cs="宋体"/>
                <w:color w:val="auto"/>
                <w:sz w:val="20"/>
                <w:szCs w:val="20"/>
                <w:highlight w:val="none"/>
              </w:rPr>
            </w:pPr>
            <w:r>
              <w:rPr>
                <w:rFonts w:hint="eastAsia" w:ascii="宋体" w:hAnsi="宋体" w:cs="宋体"/>
                <w:b/>
                <w:bCs/>
                <w:color w:val="auto"/>
                <w:sz w:val="20"/>
                <w:szCs w:val="20"/>
                <w:highlight w:val="none"/>
                <w:lang w:bidi="ar"/>
              </w:rPr>
              <w:t>注：不能提供上述（1）～（</w:t>
            </w:r>
            <w:r>
              <w:rPr>
                <w:rFonts w:hint="eastAsia" w:ascii="宋体" w:hAnsi="宋体" w:cs="宋体"/>
                <w:b/>
                <w:bCs/>
                <w:color w:val="auto"/>
                <w:sz w:val="20"/>
                <w:szCs w:val="20"/>
                <w:highlight w:val="none"/>
                <w:lang w:eastAsia="zh-CN" w:bidi="ar"/>
              </w:rPr>
              <w:t>7</w:t>
            </w:r>
            <w:r>
              <w:rPr>
                <w:rFonts w:hint="eastAsia" w:ascii="宋体" w:hAnsi="宋体" w:cs="宋体"/>
                <w:b/>
                <w:bCs/>
                <w:color w:val="auto"/>
                <w:sz w:val="20"/>
                <w:szCs w:val="20"/>
                <w:highlight w:val="none"/>
                <w:lang w:bidi="ar"/>
              </w:rPr>
              <w:t>）材料任何一项或不符合审查要求的投标人为资格审查不合格。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近年财务状况的年份要求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近年完成的类似项目的年份要求</w:t>
            </w:r>
          </w:p>
        </w:tc>
        <w:tc>
          <w:tcPr>
            <w:tcW w:w="7447" w:type="dxa"/>
            <w:vAlign w:val="center"/>
          </w:tcPr>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3.5.5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近年发生的重大诉讼及仲裁情况的年份要求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3.6</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是否允许递交备选投标方案</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3.7.3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签字或盖章要求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3.7.4</w:t>
            </w:r>
          </w:p>
        </w:tc>
        <w:tc>
          <w:tcPr>
            <w:tcW w:w="1560" w:type="dxa"/>
            <w:vAlign w:val="center"/>
          </w:tcPr>
          <w:p>
            <w:pPr>
              <w:pStyle w:val="53"/>
              <w:adjustRightInd w:val="0"/>
              <w:snapToGrid w:val="0"/>
              <w:spacing w:line="0" w:lineRule="atLeast"/>
              <w:ind w:right="241" w:rightChars="115" w:firstLine="0" w:firstLineChars="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投标文件份数</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3.7.5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装订要求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bCs/>
                <w:iCs/>
                <w:color w:val="auto"/>
                <w:kern w:val="2"/>
                <w:sz w:val="20"/>
                <w:szCs w:val="20"/>
                <w:highlight w:val="none"/>
              </w:rPr>
              <w:t>投标文件的外包装和密封要求</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b/>
                <w:iCs/>
                <w:color w:val="auto"/>
                <w:kern w:val="2"/>
                <w:sz w:val="20"/>
                <w:szCs w:val="20"/>
                <w:highlight w:val="none"/>
              </w:rPr>
              <w:t>投标文件的正本副本统一包装在一个密封袋内，</w:t>
            </w:r>
            <w:r>
              <w:rPr>
                <w:rFonts w:hint="eastAsia" w:ascii="宋体" w:hAnsi="宋体" w:eastAsia="宋体" w:cs="宋体"/>
                <w:color w:val="auto"/>
                <w:sz w:val="20"/>
                <w:szCs w:val="20"/>
                <w:highlight w:val="none"/>
              </w:rPr>
              <w:t>资格审查资料、技术标、商务标分别密封包装，</w:t>
            </w:r>
            <w:r>
              <w:rPr>
                <w:rFonts w:hint="eastAsia" w:ascii="宋体" w:hAnsi="宋体" w:eastAsia="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4.1.2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封套上写明</w:t>
            </w:r>
          </w:p>
        </w:tc>
        <w:tc>
          <w:tcPr>
            <w:tcW w:w="7447" w:type="dxa"/>
            <w:vAlign w:val="center"/>
          </w:tcPr>
          <w:p>
            <w:pPr>
              <w:ind w:right="241"/>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招标人地址：</w:t>
            </w:r>
            <w:r>
              <w:rPr>
                <w:rFonts w:hint="eastAsia" w:ascii="宋体" w:hAnsi="宋体" w:eastAsia="宋体" w:cs="宋体"/>
                <w:b/>
                <w:color w:val="auto"/>
                <w:sz w:val="20"/>
                <w:szCs w:val="20"/>
                <w:highlight w:val="none"/>
                <w:u w:val="single"/>
              </w:rPr>
              <w:t>绍兴市柯桥区柯桥经济开发区鉴湖路</w:t>
            </w:r>
          </w:p>
          <w:p>
            <w:pPr>
              <w:ind w:right="241"/>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招标人名称：</w:t>
            </w:r>
            <w:r>
              <w:rPr>
                <w:rFonts w:hint="eastAsia" w:ascii="宋体" w:hAnsi="宋体" w:eastAsia="宋体" w:cs="宋体"/>
                <w:b/>
                <w:color w:val="auto"/>
                <w:sz w:val="20"/>
                <w:szCs w:val="20"/>
                <w:highlight w:val="none"/>
                <w:u w:val="single"/>
              </w:rPr>
              <w:t>浙江精工钢结构集团有限公司</w:t>
            </w:r>
          </w:p>
          <w:p>
            <w:pPr>
              <w:jc w:val="left"/>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u w:val="single"/>
              </w:rPr>
              <w:t>绍兴市妇幼保健院（绍兴市儿童医院）建设项目医用气体项目</w:t>
            </w:r>
            <w:r>
              <w:rPr>
                <w:rFonts w:hint="eastAsia" w:ascii="宋体" w:hAnsi="宋体" w:eastAsia="宋体" w:cs="宋体"/>
                <w:color w:val="auto"/>
                <w:sz w:val="20"/>
                <w:szCs w:val="20"/>
                <w:highlight w:val="none"/>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4.2.2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递交投标文件方式和地点</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本项目采用“不见面”开标方式，不强制要求投标人参加现场开标会。</w:t>
            </w:r>
          </w:p>
          <w:p>
            <w:pPr>
              <w:spacing w:line="240" w:lineRule="auto"/>
              <w:ind w:firstLine="0" w:firstLineChars="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本项目采用投标人现场递交或邮寄投标文件递交。采用现场递交的，将密封的投标文件在开标当日09:00时至09:30时递交至绍兴市公共资源交易中心四楼指定开标室，投标文件递交后即交即走。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hint="eastAsia" w:ascii="宋体" w:hAnsi="宋体" w:cs="宋体"/>
                <w:color w:val="auto"/>
                <w:sz w:val="20"/>
                <w:szCs w:val="20"/>
                <w:highlight w:val="none"/>
              </w:rPr>
            </w:pPr>
            <w:r>
              <w:rPr>
                <w:rFonts w:hint="eastAsia" w:ascii="宋体" w:hAnsi="宋体" w:eastAsia="宋体" w:cs="宋体"/>
                <w:color w:val="auto"/>
                <w:sz w:val="20"/>
                <w:szCs w:val="20"/>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spacing w:line="240" w:lineRule="auto"/>
              <w:ind w:firstLine="0" w:firstLineChars="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投标人的法定代表人或授权委托人、项目总监等均可不参加开标会议。若投标人法定代表人或授权委托人不在现场参加开标会议的，投标人需向招标代理机构人员告知联系方式，以备询标等事宜。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4.2.3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是否退还投标文件</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4.2.5</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投标文件的拒收情形</w:t>
            </w:r>
          </w:p>
        </w:tc>
        <w:tc>
          <w:tcPr>
            <w:tcW w:w="7447" w:type="dxa"/>
            <w:vAlign w:val="center"/>
          </w:tcPr>
          <w:p>
            <w:pPr>
              <w:pStyle w:val="53"/>
              <w:adjustRightInd w:val="0"/>
              <w:snapToGrid w:val="0"/>
              <w:spacing w:line="0" w:lineRule="atLeast"/>
              <w:ind w:right="241" w:rightChars="115" w:firstLine="0" w:firstLineChars="0"/>
              <w:rPr>
                <w:rFonts w:hint="eastAsia" w:ascii="宋体" w:hAnsi="宋体" w:eastAsia="宋体" w:cs="宋体"/>
                <w:color w:val="auto"/>
                <w:szCs w:val="20"/>
                <w:highlight w:val="none"/>
              </w:rPr>
            </w:pPr>
            <w:r>
              <w:rPr>
                <w:rFonts w:hint="eastAsia" w:ascii="宋体" w:hAnsi="宋体" w:eastAsia="宋体" w:cs="宋体"/>
                <w:color w:val="auto"/>
                <w:szCs w:val="20"/>
                <w:highlight w:val="none"/>
              </w:rPr>
              <w:t>一、未密封的投标文件。</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二、逾期送达的或者未送达指定地点的投标文件。</w:t>
            </w:r>
          </w:p>
          <w:p>
            <w:pPr>
              <w:pStyle w:val="53"/>
              <w:adjustRightInd w:val="0"/>
              <w:snapToGrid w:val="0"/>
              <w:spacing w:line="0" w:lineRule="atLeast"/>
              <w:ind w:right="241" w:rightChars="115" w:firstLine="0" w:firstLineChars="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三、</w:t>
            </w:r>
            <w:r>
              <w:rPr>
                <w:rFonts w:hint="eastAsia" w:hAnsi="宋体" w:cs="宋体"/>
                <w:color w:val="auto"/>
                <w:sz w:val="20"/>
                <w:szCs w:val="20"/>
                <w:highlight w:val="none"/>
                <w:lang w:val="en-US" w:eastAsia="zh-CN"/>
              </w:rPr>
              <w:t>投标</w:t>
            </w:r>
            <w:r>
              <w:rPr>
                <w:rFonts w:hint="eastAsia" w:ascii="宋体" w:hAnsi="宋体" w:eastAsia="宋体" w:cs="宋体"/>
                <w:color w:val="auto"/>
                <w:sz w:val="20"/>
                <w:szCs w:val="20"/>
                <w:highlight w:val="none"/>
              </w:rPr>
              <w:t>保证金未缴纳的。</w:t>
            </w:r>
          </w:p>
          <w:p>
            <w:pPr>
              <w:pStyle w:val="53"/>
              <w:adjustRightInd w:val="0"/>
              <w:snapToGrid w:val="0"/>
              <w:spacing w:line="0" w:lineRule="atLeast"/>
              <w:ind w:right="241" w:rightChars="115" w:firstLine="0" w:firstLineChars="0"/>
              <w:rPr>
                <w:rFonts w:hint="eastAsia" w:ascii="宋体" w:hAnsi="宋体" w:eastAsia="宋体" w:cs="宋体"/>
                <w:strike/>
                <w:color w:val="auto"/>
                <w:szCs w:val="20"/>
                <w:highlight w:val="none"/>
              </w:rPr>
            </w:pPr>
            <w:r>
              <w:rPr>
                <w:rFonts w:hint="eastAsia" w:ascii="宋体" w:hAnsi="宋体" w:eastAsia="宋体" w:cs="宋体"/>
                <w:strike/>
                <w:color w:val="auto"/>
                <w:szCs w:val="20"/>
                <w:highlight w:val="none"/>
              </w:rPr>
              <w:t>四、未按规定缴纳招标文件工本费的。</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开标时间、开标地点、参加开标会议的要求</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一、开标时间：同投标截止时间。</w:t>
            </w:r>
          </w:p>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二、开标地点：绍兴市公共资源交易中心指定开标室。</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开标</w:t>
            </w:r>
          </w:p>
        </w:tc>
        <w:tc>
          <w:tcPr>
            <w:tcW w:w="7447" w:type="dxa"/>
            <w:vAlign w:val="center"/>
          </w:tcPr>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一、密封情况检查：</w:t>
            </w:r>
            <w:r>
              <w:rPr>
                <w:rFonts w:hint="eastAsia" w:ascii="宋体" w:hAnsi="宋体" w:eastAsia="宋体" w:cs="宋体"/>
                <w:color w:val="auto"/>
                <w:sz w:val="20"/>
                <w:szCs w:val="20"/>
                <w:highlight w:val="none"/>
                <w:lang w:bidi="ar"/>
              </w:rPr>
              <w:t>由公证处公证人员检查。</w:t>
            </w:r>
          </w:p>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二、开标顺序：</w:t>
            </w:r>
            <w:r>
              <w:rPr>
                <w:rFonts w:hint="eastAsia" w:ascii="宋体" w:hAnsi="宋体" w:eastAsia="宋体" w:cs="宋体"/>
                <w:color w:val="auto"/>
                <w:sz w:val="20"/>
                <w:szCs w:val="20"/>
                <w:highlight w:val="none"/>
                <w:lang w:bidi="ar"/>
              </w:rPr>
              <w:t>按获取招标文件顺序依次开标。</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6.1.1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评标委员会的组建</w:t>
            </w:r>
          </w:p>
        </w:tc>
        <w:tc>
          <w:tcPr>
            <w:tcW w:w="7447" w:type="dxa"/>
            <w:vAlign w:val="center"/>
          </w:tcPr>
          <w:p>
            <w:pPr>
              <w:shd w:val="clear" w:color="auto" w:fill="FFFFFF"/>
              <w:spacing w:line="288"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评标委员会构成：</w:t>
            </w:r>
            <w:r>
              <w:rPr>
                <w:rFonts w:hint="eastAsia" w:ascii="宋体" w:hAnsi="宋体" w:eastAsia="宋体" w:cs="宋体"/>
                <w:color w:val="auto"/>
                <w:sz w:val="20"/>
                <w:szCs w:val="20"/>
                <w:highlight w:val="none"/>
                <w:u w:val="single"/>
              </w:rPr>
              <w:t xml:space="preserve">  按规定   </w:t>
            </w:r>
            <w:r>
              <w:rPr>
                <w:rFonts w:hint="eastAsia" w:ascii="宋体" w:hAnsi="宋体" w:eastAsia="宋体" w:cs="宋体"/>
                <w:color w:val="auto"/>
                <w:sz w:val="20"/>
                <w:szCs w:val="20"/>
                <w:highlight w:val="none"/>
              </w:rPr>
              <w:t>；</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评标专家确定方式：</w:t>
            </w:r>
            <w:r>
              <w:rPr>
                <w:rFonts w:hint="eastAsia" w:ascii="宋体" w:hAnsi="宋体" w:eastAsia="宋体" w:cs="宋体"/>
                <w:color w:val="auto"/>
                <w:sz w:val="20"/>
                <w:szCs w:val="20"/>
                <w:highlight w:val="none"/>
                <w:u w:val="single"/>
              </w:rPr>
              <w:t xml:space="preserve">  按规定   </w:t>
            </w:r>
            <w:r>
              <w:rPr>
                <w:rFonts w:hint="eastAsia" w:ascii="宋体" w:hAnsi="宋体" w:eastAsia="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评标方法</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综合评估法</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中标候选人公示</w:t>
            </w:r>
          </w:p>
        </w:tc>
        <w:tc>
          <w:tcPr>
            <w:tcW w:w="7447" w:type="dxa"/>
            <w:vAlign w:val="center"/>
          </w:tcPr>
          <w:p>
            <w:pPr>
              <w:widowControl/>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在 中 标 公 示 前 ， 招 标 人 通 过 中 国 裁 判 文 书 网 （ https ： </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是否授权评标委员会确定中标人</w:t>
            </w:r>
          </w:p>
        </w:tc>
        <w:tc>
          <w:tcPr>
            <w:tcW w:w="7447" w:type="dxa"/>
            <w:vAlign w:val="center"/>
          </w:tcPr>
          <w:p>
            <w:pPr>
              <w:adjustRightInd w:val="0"/>
              <w:snapToGrid w:val="0"/>
              <w:spacing w:line="360" w:lineRule="exact"/>
              <w:ind w:firstLine="0" w:firstLineChars="0"/>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hint="eastAsia" w:ascii="宋体" w:hAnsi="宋体" w:eastAsia="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7.3.1</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履约保证金</w:t>
            </w:r>
          </w:p>
        </w:tc>
        <w:tc>
          <w:tcPr>
            <w:tcW w:w="7447" w:type="dxa"/>
            <w:vAlign w:val="center"/>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履约保证金的形式：现金、银行保函、保险公司保函或融资担保公司保函。</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8.2</w:t>
            </w:r>
          </w:p>
        </w:tc>
        <w:tc>
          <w:tcPr>
            <w:tcW w:w="1560" w:type="dxa"/>
            <w:vAlign w:val="center"/>
          </w:tcPr>
          <w:p>
            <w:pPr>
              <w:pStyle w:val="53"/>
              <w:adjustRightInd w:val="0"/>
              <w:snapToGrid w:val="0"/>
              <w:spacing w:line="0" w:lineRule="atLeast"/>
              <w:ind w:firstLine="0" w:firstLineChars="0"/>
              <w:jc w:val="center"/>
              <w:rPr>
                <w:rFonts w:hint="eastAsia" w:ascii="宋体" w:hAnsi="宋体" w:eastAsia="宋体" w:cs="宋体"/>
                <w:color w:val="auto"/>
                <w:szCs w:val="20"/>
                <w:highlight w:val="none"/>
              </w:rPr>
            </w:pPr>
            <w:r>
              <w:rPr>
                <w:rFonts w:hint="eastAsia" w:ascii="宋体" w:hAnsi="宋体" w:eastAsia="宋体" w:cs="宋体"/>
                <w:color w:val="auto"/>
                <w:szCs w:val="20"/>
                <w:highlight w:val="none"/>
              </w:rPr>
              <w:t>不再招标的情形</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10.1</w:t>
            </w:r>
          </w:p>
        </w:tc>
        <w:tc>
          <w:tcPr>
            <w:tcW w:w="1560" w:type="dxa"/>
            <w:vAlign w:val="center"/>
          </w:tcPr>
          <w:p>
            <w:pPr>
              <w:spacing w:line="240" w:lineRule="exact"/>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否决投标的情形</w:t>
            </w:r>
          </w:p>
        </w:tc>
        <w:tc>
          <w:tcPr>
            <w:tcW w:w="7447" w:type="dxa"/>
            <w:vAlign w:val="center"/>
          </w:tcPr>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二、投标文件存在以下情形之一的，由评标委员会审核并经过询标程序，其投标文件将被否决：</w:t>
            </w:r>
          </w:p>
          <w:p>
            <w:pPr>
              <w:spacing w:line="280" w:lineRule="exact"/>
              <w:ind w:firstLine="0"/>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（一）资格审查符合性内容</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3.投标人存在招标文件投标人须知1.4.3规定的不得存在的情形之一的；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4.投标函</w:t>
            </w:r>
            <w:r>
              <w:rPr>
                <w:rFonts w:hint="eastAsia" w:ascii="宋体" w:hAnsi="宋体" w:eastAsia="宋体" w:cs="宋体"/>
                <w:strike/>
                <w:color w:val="auto"/>
                <w:sz w:val="20"/>
                <w:szCs w:val="20"/>
                <w:highlight w:val="none"/>
              </w:rPr>
              <w:t>及投标函附录</w:t>
            </w:r>
            <w:r>
              <w:rPr>
                <w:rFonts w:hint="eastAsia" w:ascii="宋体" w:hAnsi="宋体" w:eastAsia="宋体" w:cs="宋体"/>
                <w:color w:val="auto"/>
                <w:sz w:val="20"/>
                <w:szCs w:val="20"/>
                <w:highlight w:val="none"/>
              </w:rPr>
              <w:t>载明的交货期不响应招标文件要求的；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5.投标人不以自己的名义或未按招标文件要求提供投标保证金，或提供的投标保证金有缺陷而不能接受的；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6.投标报价高于招标文件设定的最高投标限价的；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7.改变招标人提供的</w:t>
            </w:r>
            <w:r>
              <w:rPr>
                <w:rFonts w:hint="eastAsia" w:ascii="宋体" w:hAnsi="宋体" w:cs="宋体"/>
                <w:color w:val="auto"/>
                <w:sz w:val="20"/>
                <w:szCs w:val="20"/>
                <w:highlight w:val="none"/>
                <w:lang w:val="en-US" w:eastAsia="zh-CN"/>
              </w:rPr>
              <w:t>货物</w:t>
            </w:r>
            <w:r>
              <w:rPr>
                <w:rFonts w:hint="eastAsia" w:ascii="宋体" w:hAnsi="宋体" w:eastAsia="宋体" w:cs="宋体"/>
                <w:color w:val="auto"/>
                <w:sz w:val="20"/>
                <w:szCs w:val="20"/>
                <w:highlight w:val="none"/>
              </w:rPr>
              <w:t>清单内容的（货物名称、单位、数量）；</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8. 投标人及其法定代表人控股的其他公司，不得同时参加同一标段投标。否则，均按否决投标处理；</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9.投标人在开标会议前系统中确定的项目负责人与投标文件中项目负责人不一致的；</w:t>
            </w:r>
          </w:p>
          <w:p>
            <w:pPr>
              <w:spacing w:line="280" w:lineRule="exact"/>
              <w:ind w:firstLine="0"/>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10.存在法律、法规、规章规定的其它无效投标情况的。</w:t>
            </w:r>
          </w:p>
          <w:p>
            <w:pPr>
              <w:spacing w:line="280" w:lineRule="exact"/>
              <w:ind w:firstLine="0"/>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（二）商务标符合性内容</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1.同一投标人提交两个以上不同的投标文件或者投标报价的；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2.报价评审时，投标人拒绝按以下条款修正的：</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3.评标委员会认为投标人需要修正的投标内容；</w:t>
            </w:r>
          </w:p>
          <w:p>
            <w:pPr>
              <w:spacing w:line="280" w:lineRule="exact"/>
              <w:ind w:firstLine="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4.投标函</w:t>
            </w:r>
            <w:r>
              <w:rPr>
                <w:rFonts w:hint="eastAsia" w:ascii="宋体" w:hAnsi="宋体" w:eastAsia="宋体" w:cs="宋体"/>
                <w:strike/>
                <w:color w:val="auto"/>
                <w:sz w:val="20"/>
                <w:szCs w:val="20"/>
                <w:highlight w:val="none"/>
              </w:rPr>
              <w:t>及投标函附录</w:t>
            </w:r>
            <w:r>
              <w:rPr>
                <w:rFonts w:hint="eastAsia" w:ascii="宋体" w:hAnsi="宋体" w:eastAsia="宋体" w:cs="宋体"/>
                <w:color w:val="auto"/>
                <w:sz w:val="20"/>
                <w:szCs w:val="20"/>
                <w:highlight w:val="none"/>
              </w:rPr>
              <w:t>载明的投标报价或其它关键内容字迹模糊或无法辨认的；</w:t>
            </w:r>
          </w:p>
          <w:p>
            <w:pPr>
              <w:spacing w:line="280" w:lineRule="exact"/>
              <w:ind w:firstLine="0"/>
              <w:rPr>
                <w:rFonts w:hint="eastAsia" w:ascii="宋体" w:hAnsi="宋体" w:eastAsia="宋体" w:cs="宋体"/>
                <w:b/>
                <w:bCs/>
                <w:color w:val="auto"/>
                <w:sz w:val="20"/>
                <w:szCs w:val="20"/>
                <w:highlight w:val="none"/>
                <w:shd w:val="clear" w:color="auto" w:fill="FFFFFF"/>
              </w:rPr>
            </w:pPr>
            <w:r>
              <w:rPr>
                <w:rFonts w:hint="eastAsia" w:ascii="宋体" w:hAnsi="宋体" w:eastAsia="宋体" w:cs="宋体"/>
                <w:b/>
                <w:bCs/>
                <w:color w:val="auto"/>
                <w:sz w:val="20"/>
                <w:szCs w:val="20"/>
                <w:highlight w:val="none"/>
                <w:shd w:val="clear" w:color="auto" w:fill="FFFFFF"/>
              </w:rPr>
              <w:t>（三）技术标符合性内容</w:t>
            </w:r>
          </w:p>
          <w:p>
            <w:pPr>
              <w:spacing w:line="280" w:lineRule="exact"/>
              <w:ind w:firstLine="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1.采用的验收标准和方法、主要技术指标达不到国家强制性标准的或要求的；</w:t>
            </w:r>
          </w:p>
          <w:p>
            <w:pPr>
              <w:spacing w:line="280" w:lineRule="exact"/>
              <w:ind w:firstLine="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2.不符合以下技术规格、标准或性能指标的（招标人认为需要增加的，无则删除本条）： 见招标文件</w:t>
            </w:r>
            <w:r>
              <w:rPr>
                <w:rFonts w:hint="eastAsia" w:ascii="宋体" w:hAnsi="宋体" w:cs="宋体"/>
                <w:color w:val="auto"/>
                <w:sz w:val="20"/>
                <w:szCs w:val="20"/>
                <w:highlight w:val="none"/>
                <w:shd w:val="clear" w:color="auto" w:fill="FFFFFF"/>
                <w:lang w:val="en-US" w:eastAsia="zh-CN"/>
              </w:rPr>
              <w:t>货物</w:t>
            </w:r>
            <w:r>
              <w:rPr>
                <w:rFonts w:hint="eastAsia" w:ascii="宋体" w:hAnsi="宋体" w:eastAsia="宋体" w:cs="宋体"/>
                <w:color w:val="auto"/>
                <w:sz w:val="20"/>
                <w:szCs w:val="20"/>
                <w:highlight w:val="none"/>
                <w:shd w:val="clear" w:color="auto" w:fill="FFFFFF"/>
              </w:rPr>
              <w:t xml:space="preserve">清单和第六章相关条款内容；            </w:t>
            </w:r>
          </w:p>
          <w:p>
            <w:pPr>
              <w:spacing w:line="2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10.2</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异议与投诉</w:t>
            </w:r>
          </w:p>
        </w:tc>
        <w:tc>
          <w:tcPr>
            <w:tcW w:w="7447" w:type="dxa"/>
            <w:vAlign w:val="center"/>
          </w:tcPr>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一、异议</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二、投诉</w:t>
            </w:r>
          </w:p>
          <w:p>
            <w:pPr>
              <w:ind w:right="174" w:rightChars="83" w:firstLine="280"/>
              <w:rPr>
                <w:rFonts w:hint="eastAsia" w:ascii="宋体" w:hAnsi="宋体" w:eastAsia="宋体" w:cs="宋体"/>
                <w:color w:val="auto"/>
                <w:sz w:val="20"/>
                <w:szCs w:val="20"/>
                <w:highlight w:val="none"/>
                <w:shd w:val="clear" w:color="auto" w:fill="FFFFFF"/>
              </w:rPr>
            </w:pPr>
            <w:r>
              <w:rPr>
                <w:rFonts w:hint="eastAsia" w:ascii="宋体" w:hAnsi="宋体" w:eastAsia="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10.3</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定标</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10.4</w:t>
            </w:r>
          </w:p>
        </w:tc>
        <w:tc>
          <w:tcPr>
            <w:tcW w:w="1560" w:type="dxa"/>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招标人补充的其他内容</w:t>
            </w:r>
          </w:p>
        </w:tc>
        <w:tc>
          <w:tcPr>
            <w:tcW w:w="7447" w:type="dxa"/>
            <w:vAlign w:val="center"/>
          </w:tcPr>
          <w:p>
            <w:pPr>
              <w:jc w:val="lef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shd w:val="clear" w:color="auto" w:fill="FFFFFF"/>
              </w:rPr>
              <w:t>本招标项目由</w:t>
            </w:r>
            <w:r>
              <w:rPr>
                <w:rFonts w:hint="eastAsia" w:ascii="宋体" w:hAnsi="宋体" w:eastAsia="宋体" w:cs="宋体"/>
                <w:b/>
                <w:bCs/>
                <w:color w:val="auto"/>
                <w:sz w:val="20"/>
                <w:szCs w:val="20"/>
                <w:highlight w:val="none"/>
                <w:u w:val="single"/>
                <w:shd w:val="clear" w:color="auto" w:fill="FFFFFF"/>
              </w:rPr>
              <w:t>绍兴市越城区公管办</w:t>
            </w:r>
            <w:r>
              <w:rPr>
                <w:rFonts w:hint="eastAsia" w:ascii="宋体" w:hAnsi="宋体" w:eastAsia="宋体" w:cs="宋体"/>
                <w:color w:val="auto"/>
                <w:sz w:val="20"/>
                <w:szCs w:val="20"/>
                <w:highlight w:val="none"/>
                <w:shd w:val="clear" w:color="auto" w:fill="FFFFFF"/>
              </w:rPr>
              <w:t>参与监督，并请</w:t>
            </w:r>
            <w:r>
              <w:rPr>
                <w:rFonts w:hint="eastAsia" w:ascii="宋体" w:hAnsi="宋体" w:eastAsia="宋体" w:cs="宋体"/>
                <w:b/>
                <w:bCs/>
                <w:color w:val="auto"/>
                <w:sz w:val="20"/>
                <w:szCs w:val="20"/>
                <w:highlight w:val="none"/>
                <w:u w:val="single"/>
                <w:shd w:val="clear" w:color="auto" w:fill="FFFFFF"/>
              </w:rPr>
              <w:t>绍兴市国信公证处</w:t>
            </w:r>
            <w:r>
              <w:rPr>
                <w:rFonts w:hint="eastAsia" w:ascii="宋体" w:hAnsi="宋体" w:eastAsia="宋体" w:cs="宋体"/>
                <w:color w:val="auto"/>
                <w:sz w:val="20"/>
                <w:szCs w:val="20"/>
                <w:highlight w:val="none"/>
                <w:shd w:val="clear" w:color="auto" w:fill="FFFFFF"/>
              </w:rPr>
              <w:t>予以公证。</w:t>
            </w:r>
          </w:p>
        </w:tc>
      </w:tr>
    </w:tbl>
    <w:p>
      <w:pPr>
        <w:rPr>
          <w:color w:val="auto"/>
          <w:highlight w:val="none"/>
        </w:rPr>
      </w:pPr>
    </w:p>
    <w:p>
      <w:pPr>
        <w:pStyle w:val="5"/>
        <w:rPr>
          <w:color w:val="auto"/>
          <w:highlight w:val="none"/>
        </w:rPr>
      </w:pPr>
      <w:bookmarkStart w:id="4"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4"/>
    </w:p>
    <w:p>
      <w:pPr>
        <w:pStyle w:val="41"/>
        <w:spacing w:line="440" w:lineRule="exact"/>
        <w:rPr>
          <w:rFonts w:asciiTheme="minorEastAsia" w:hAnsiTheme="minorEastAsia" w:eastAsiaTheme="minorEastAsia" w:cstheme="minorEastAsia"/>
          <w:color w:val="auto"/>
          <w:sz w:val="24"/>
          <w:szCs w:val="24"/>
          <w:highlight w:val="none"/>
        </w:rPr>
      </w:pPr>
      <w:bookmarkStart w:id="5" w:name="_Toc392345909"/>
      <w:bookmarkStart w:id="6" w:name="_Toc11269"/>
      <w:r>
        <w:rPr>
          <w:rFonts w:hint="eastAsia" w:asciiTheme="minorEastAsia" w:hAnsiTheme="minorEastAsia" w:eastAsiaTheme="minorEastAsia" w:cstheme="minorEastAsia"/>
          <w:color w:val="auto"/>
          <w:sz w:val="24"/>
          <w:szCs w:val="24"/>
          <w:highlight w:val="none"/>
        </w:rPr>
        <w:t>1. 总则</w:t>
      </w:r>
      <w:bookmarkEnd w:id="5"/>
      <w:bookmarkEnd w:id="6"/>
    </w:p>
    <w:p>
      <w:pPr>
        <w:pStyle w:val="42"/>
        <w:spacing w:line="440" w:lineRule="exact"/>
        <w:rPr>
          <w:rFonts w:asciiTheme="minorEastAsia" w:hAnsiTheme="minorEastAsia" w:eastAsiaTheme="minorEastAsia" w:cstheme="minorEastAsia"/>
          <w:b/>
          <w:color w:val="auto"/>
          <w:szCs w:val="24"/>
          <w:highlight w:val="none"/>
        </w:rPr>
      </w:pPr>
      <w:bookmarkStart w:id="7" w:name="_Toc152042306"/>
      <w:bookmarkStart w:id="8" w:name="_Toc392345910"/>
      <w:bookmarkStart w:id="9" w:name="_Toc9106"/>
      <w:bookmarkStart w:id="10" w:name="_Toc229646712"/>
      <w:bookmarkStart w:id="11" w:name="_Toc152045530"/>
      <w:bookmarkStart w:id="12" w:name="_Toc144974498"/>
      <w:r>
        <w:rPr>
          <w:rFonts w:hint="eastAsia" w:asciiTheme="minorEastAsia" w:hAnsiTheme="minorEastAsia" w:eastAsiaTheme="minorEastAsia" w:cstheme="minorEastAsia"/>
          <w:b/>
          <w:color w:val="auto"/>
          <w:szCs w:val="24"/>
          <w:highlight w:val="none"/>
        </w:rPr>
        <w:t>1.1 项目概况</w:t>
      </w:r>
      <w:bookmarkEnd w:id="7"/>
      <w:bookmarkEnd w:id="8"/>
      <w:bookmarkEnd w:id="9"/>
      <w:bookmarkEnd w:id="10"/>
      <w:bookmarkEnd w:id="11"/>
      <w:bookmarkEnd w:id="1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3" w:name="_Toc152045531"/>
      <w:bookmarkStart w:id="14" w:name="_Toc152042307"/>
      <w:bookmarkStart w:id="15" w:name="_Toc3629"/>
      <w:bookmarkStart w:id="16" w:name="_Toc229646713"/>
      <w:bookmarkStart w:id="17" w:name="_Toc392345911"/>
      <w:bookmarkStart w:id="18" w:name="_Toc144974499"/>
      <w:r>
        <w:rPr>
          <w:rFonts w:hint="eastAsia" w:asciiTheme="minorEastAsia" w:hAnsiTheme="minorEastAsia" w:eastAsiaTheme="minorEastAsia" w:cstheme="minorEastAsia"/>
          <w:b/>
          <w:color w:val="auto"/>
          <w:szCs w:val="24"/>
          <w:highlight w:val="none"/>
        </w:rPr>
        <w:t>1.2 资金来源和落实情况</w:t>
      </w:r>
      <w:bookmarkEnd w:id="13"/>
      <w:bookmarkEnd w:id="14"/>
      <w:bookmarkEnd w:id="15"/>
      <w:bookmarkEnd w:id="16"/>
      <w:bookmarkEnd w:id="17"/>
      <w:bookmarkEnd w:id="1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9" w:name="_Toc229646714"/>
      <w:bookmarkStart w:id="20" w:name="_Toc392345912"/>
      <w:bookmarkStart w:id="21" w:name="_Toc152042308"/>
      <w:bookmarkStart w:id="22" w:name="_Toc460"/>
      <w:bookmarkStart w:id="23" w:name="_Toc144974500"/>
      <w:bookmarkStart w:id="24" w:name="_Toc152045532"/>
      <w:r>
        <w:rPr>
          <w:rFonts w:hint="eastAsia" w:asciiTheme="minorEastAsia" w:hAnsiTheme="minorEastAsia" w:eastAsiaTheme="minorEastAsia" w:cstheme="minorEastAsia"/>
          <w:b/>
          <w:color w:val="auto"/>
          <w:szCs w:val="24"/>
          <w:highlight w:val="none"/>
        </w:rPr>
        <w:t>1.3 招标范围及计划服务期</w:t>
      </w:r>
      <w:bookmarkEnd w:id="19"/>
      <w:bookmarkEnd w:id="20"/>
      <w:bookmarkEnd w:id="21"/>
      <w:bookmarkEnd w:id="22"/>
      <w:bookmarkEnd w:id="23"/>
      <w:bookmarkEnd w:id="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5" w:name="_Toc152042310"/>
      <w:bookmarkStart w:id="26" w:name="_Toc152045534"/>
      <w:bookmarkStart w:id="27" w:name="_Toc144974502"/>
      <w:bookmarkStart w:id="28" w:name="_Toc22287"/>
      <w:bookmarkStart w:id="29" w:name="_Toc392345913"/>
      <w:bookmarkStart w:id="30" w:name="_Toc229646715"/>
      <w:r>
        <w:rPr>
          <w:rFonts w:hint="eastAsia" w:asciiTheme="minorEastAsia" w:hAnsiTheme="minorEastAsia" w:eastAsiaTheme="minorEastAsia" w:cstheme="minorEastAsia"/>
          <w:b/>
          <w:color w:val="auto"/>
          <w:szCs w:val="24"/>
          <w:highlight w:val="none"/>
        </w:rPr>
        <w:t>1.4 投标人资格要求</w:t>
      </w:r>
      <w:bookmarkEnd w:id="25"/>
      <w:bookmarkEnd w:id="26"/>
      <w:bookmarkEnd w:id="27"/>
      <w:bookmarkEnd w:id="28"/>
      <w:bookmarkEnd w:id="29"/>
      <w:bookmarkEnd w:id="3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1" w:name="_Toc144974503"/>
      <w:bookmarkStart w:id="32" w:name="_Toc152045535"/>
      <w:bookmarkStart w:id="33" w:name="_Toc229646716"/>
      <w:bookmarkStart w:id="34" w:name="_Toc152042311"/>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2"/>
        <w:spacing w:line="440" w:lineRule="exact"/>
        <w:rPr>
          <w:rFonts w:asciiTheme="minorEastAsia" w:hAnsiTheme="minorEastAsia" w:eastAsiaTheme="minorEastAsia" w:cstheme="minorEastAsia"/>
          <w:b/>
          <w:color w:val="auto"/>
          <w:szCs w:val="24"/>
          <w:highlight w:val="none"/>
        </w:rPr>
      </w:pPr>
      <w:bookmarkStart w:id="35" w:name="_Toc10130"/>
      <w:bookmarkStart w:id="36" w:name="_Toc392345914"/>
      <w:r>
        <w:rPr>
          <w:rFonts w:hint="eastAsia" w:asciiTheme="minorEastAsia" w:hAnsiTheme="minorEastAsia" w:eastAsiaTheme="minorEastAsia" w:cstheme="minorEastAsia"/>
          <w:b/>
          <w:color w:val="auto"/>
          <w:szCs w:val="24"/>
          <w:highlight w:val="none"/>
        </w:rPr>
        <w:t>1.5 费用承担</w:t>
      </w:r>
      <w:bookmarkEnd w:id="31"/>
      <w:bookmarkEnd w:id="32"/>
      <w:bookmarkEnd w:id="33"/>
      <w:bookmarkEnd w:id="34"/>
      <w:bookmarkEnd w:id="35"/>
      <w:bookmarkEnd w:id="3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2"/>
        <w:spacing w:line="440" w:lineRule="exact"/>
        <w:rPr>
          <w:rFonts w:asciiTheme="minorEastAsia" w:hAnsiTheme="minorEastAsia" w:eastAsiaTheme="minorEastAsia" w:cstheme="minorEastAsia"/>
          <w:b/>
          <w:color w:val="auto"/>
          <w:szCs w:val="24"/>
          <w:highlight w:val="none"/>
        </w:rPr>
      </w:pPr>
      <w:bookmarkStart w:id="37" w:name="_Toc319408072"/>
      <w:bookmarkStart w:id="38" w:name="_Toc319407837"/>
      <w:bookmarkStart w:id="39" w:name="_Toc245036603"/>
      <w:bookmarkStart w:id="40" w:name="_Toc152042312"/>
      <w:bookmarkStart w:id="41" w:name="_Toc392345915"/>
      <w:bookmarkStart w:id="42" w:name="_Toc322615398"/>
      <w:bookmarkStart w:id="43" w:name="_Toc144974504"/>
      <w:bookmarkStart w:id="44" w:name="_Toc323711750"/>
      <w:bookmarkStart w:id="45" w:name="_Toc152045536"/>
      <w:bookmarkStart w:id="46" w:name="_Toc25357"/>
      <w:bookmarkStart w:id="47" w:name="_Toc152042318"/>
      <w:bookmarkStart w:id="48" w:name="_Toc229646724"/>
      <w:bookmarkStart w:id="49" w:name="_Toc152045542"/>
      <w:bookmarkStart w:id="50" w:name="_Toc144974510"/>
      <w:r>
        <w:rPr>
          <w:rFonts w:hint="eastAsia" w:asciiTheme="minorEastAsia" w:hAnsiTheme="minorEastAsia" w:eastAsiaTheme="minorEastAsia" w:cstheme="minorEastAsia"/>
          <w:b/>
          <w:color w:val="auto"/>
          <w:szCs w:val="24"/>
          <w:highlight w:val="none"/>
        </w:rPr>
        <w:t>1.6 保密</w:t>
      </w:r>
      <w:bookmarkEnd w:id="37"/>
      <w:bookmarkEnd w:id="38"/>
      <w:bookmarkEnd w:id="39"/>
      <w:bookmarkEnd w:id="40"/>
      <w:bookmarkEnd w:id="41"/>
      <w:bookmarkEnd w:id="42"/>
      <w:bookmarkEnd w:id="43"/>
      <w:bookmarkEnd w:id="44"/>
      <w:bookmarkEnd w:id="45"/>
      <w:bookmarkEnd w:id="4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2"/>
        <w:spacing w:line="440" w:lineRule="exact"/>
        <w:rPr>
          <w:rFonts w:asciiTheme="minorEastAsia" w:hAnsiTheme="minorEastAsia" w:eastAsiaTheme="minorEastAsia" w:cstheme="minorEastAsia"/>
          <w:b/>
          <w:color w:val="auto"/>
          <w:szCs w:val="24"/>
          <w:highlight w:val="none"/>
        </w:rPr>
      </w:pPr>
      <w:bookmarkStart w:id="51" w:name="_Toc144974505"/>
      <w:bookmarkStart w:id="52" w:name="_Toc322615399"/>
      <w:bookmarkStart w:id="53" w:name="_Toc323711751"/>
      <w:bookmarkStart w:id="54" w:name="_Toc392345916"/>
      <w:bookmarkStart w:id="55" w:name="_Toc245036604"/>
      <w:bookmarkStart w:id="56" w:name="_Toc4033"/>
      <w:bookmarkStart w:id="57" w:name="_Toc152042313"/>
      <w:bookmarkStart w:id="58" w:name="_Toc319408073"/>
      <w:bookmarkStart w:id="59" w:name="_Toc152045537"/>
      <w:bookmarkStart w:id="60" w:name="_Toc319407838"/>
      <w:r>
        <w:rPr>
          <w:rFonts w:hint="eastAsia" w:asciiTheme="minorEastAsia" w:hAnsiTheme="minorEastAsia" w:eastAsiaTheme="minorEastAsia" w:cstheme="minorEastAsia"/>
          <w:b/>
          <w:color w:val="auto"/>
          <w:szCs w:val="24"/>
          <w:highlight w:val="none"/>
        </w:rPr>
        <w:t>1.7 语言</w:t>
      </w:r>
      <w:bookmarkEnd w:id="51"/>
      <w:r>
        <w:rPr>
          <w:rFonts w:hint="eastAsia" w:asciiTheme="minorEastAsia" w:hAnsiTheme="minorEastAsia" w:eastAsiaTheme="minorEastAsia" w:cstheme="minorEastAsia"/>
          <w:b/>
          <w:color w:val="auto"/>
          <w:szCs w:val="24"/>
          <w:highlight w:val="none"/>
        </w:rPr>
        <w:t>文字</w:t>
      </w:r>
      <w:bookmarkEnd w:id="52"/>
      <w:bookmarkEnd w:id="53"/>
      <w:bookmarkEnd w:id="54"/>
      <w:bookmarkEnd w:id="55"/>
      <w:bookmarkEnd w:id="56"/>
      <w:bookmarkEnd w:id="57"/>
      <w:bookmarkEnd w:id="58"/>
      <w:bookmarkEnd w:id="59"/>
      <w:bookmarkEnd w:id="6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2"/>
        <w:spacing w:line="440" w:lineRule="exact"/>
        <w:rPr>
          <w:rFonts w:asciiTheme="minorEastAsia" w:hAnsiTheme="minorEastAsia" w:eastAsiaTheme="minorEastAsia" w:cstheme="minorEastAsia"/>
          <w:b/>
          <w:color w:val="auto"/>
          <w:szCs w:val="24"/>
          <w:highlight w:val="none"/>
        </w:rPr>
      </w:pPr>
      <w:bookmarkStart w:id="61" w:name="_Toc152045538"/>
      <w:bookmarkStart w:id="62" w:name="_Toc319408074"/>
      <w:bookmarkStart w:id="63" w:name="_Toc323711752"/>
      <w:bookmarkStart w:id="64" w:name="_Toc392345917"/>
      <w:bookmarkStart w:id="65" w:name="_Toc152042314"/>
      <w:bookmarkStart w:id="66" w:name="_Toc319407839"/>
      <w:bookmarkStart w:id="67" w:name="_Toc144974506"/>
      <w:bookmarkStart w:id="68" w:name="_Toc245036605"/>
      <w:bookmarkStart w:id="69" w:name="_Toc322615400"/>
      <w:bookmarkStart w:id="70" w:name="_Toc31144"/>
      <w:r>
        <w:rPr>
          <w:rFonts w:hint="eastAsia" w:asciiTheme="minorEastAsia" w:hAnsiTheme="minorEastAsia" w:eastAsiaTheme="minorEastAsia" w:cstheme="minorEastAsia"/>
          <w:b/>
          <w:color w:val="auto"/>
          <w:szCs w:val="24"/>
          <w:highlight w:val="none"/>
        </w:rPr>
        <w:t>1.8 计量单位</w:t>
      </w:r>
      <w:bookmarkEnd w:id="61"/>
      <w:bookmarkEnd w:id="62"/>
      <w:bookmarkEnd w:id="63"/>
      <w:bookmarkEnd w:id="64"/>
      <w:bookmarkEnd w:id="65"/>
      <w:bookmarkEnd w:id="66"/>
      <w:bookmarkEnd w:id="67"/>
      <w:bookmarkEnd w:id="68"/>
      <w:bookmarkEnd w:id="69"/>
      <w:bookmarkEnd w:id="7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2"/>
        <w:spacing w:line="440" w:lineRule="exact"/>
        <w:rPr>
          <w:rFonts w:asciiTheme="minorEastAsia" w:hAnsiTheme="minorEastAsia" w:eastAsiaTheme="minorEastAsia" w:cstheme="minorEastAsia"/>
          <w:b/>
          <w:color w:val="auto"/>
          <w:szCs w:val="24"/>
          <w:highlight w:val="none"/>
        </w:rPr>
      </w:pPr>
      <w:bookmarkStart w:id="71" w:name="_Toc245036606"/>
      <w:bookmarkStart w:id="72" w:name="_Toc319408075"/>
      <w:bookmarkStart w:id="73" w:name="_Toc323711753"/>
      <w:bookmarkStart w:id="74" w:name="_Toc144974507"/>
      <w:bookmarkStart w:id="75" w:name="_Toc319407840"/>
      <w:bookmarkStart w:id="76" w:name="_Toc152045539"/>
      <w:bookmarkStart w:id="77" w:name="_Toc152042315"/>
      <w:bookmarkStart w:id="78" w:name="_Toc392345918"/>
      <w:bookmarkStart w:id="79" w:name="_Toc322615401"/>
      <w:bookmarkStart w:id="80" w:name="_Toc926"/>
      <w:r>
        <w:rPr>
          <w:rFonts w:hint="eastAsia" w:asciiTheme="minorEastAsia" w:hAnsiTheme="minorEastAsia" w:eastAsiaTheme="minorEastAsia" w:cstheme="minorEastAsia"/>
          <w:b/>
          <w:color w:val="auto"/>
          <w:szCs w:val="24"/>
          <w:highlight w:val="none"/>
        </w:rPr>
        <w:t>1.9 踏勘现场</w:t>
      </w:r>
      <w:bookmarkEnd w:id="71"/>
      <w:bookmarkEnd w:id="72"/>
      <w:bookmarkEnd w:id="73"/>
      <w:bookmarkEnd w:id="74"/>
      <w:bookmarkEnd w:id="75"/>
      <w:bookmarkEnd w:id="76"/>
      <w:bookmarkEnd w:id="77"/>
      <w:bookmarkEnd w:id="78"/>
      <w:bookmarkEnd w:id="79"/>
      <w:bookmarkEnd w:id="8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2"/>
        <w:spacing w:line="440" w:lineRule="exact"/>
        <w:rPr>
          <w:rFonts w:asciiTheme="minorEastAsia" w:hAnsiTheme="minorEastAsia" w:eastAsiaTheme="minorEastAsia" w:cstheme="minorEastAsia"/>
          <w:b/>
          <w:color w:val="auto"/>
          <w:szCs w:val="24"/>
          <w:highlight w:val="none"/>
        </w:rPr>
      </w:pPr>
      <w:bookmarkStart w:id="81" w:name="_Toc392345919"/>
      <w:bookmarkStart w:id="82" w:name="_Toc245036607"/>
      <w:bookmarkStart w:id="83" w:name="_Toc319407841"/>
      <w:bookmarkStart w:id="84" w:name="_Toc144974508"/>
      <w:bookmarkStart w:id="85" w:name="_Toc152045540"/>
      <w:bookmarkStart w:id="86" w:name="_Toc152042316"/>
      <w:bookmarkStart w:id="87" w:name="_Toc323711754"/>
      <w:bookmarkStart w:id="88" w:name="_Toc322615402"/>
      <w:bookmarkStart w:id="89" w:name="_Toc319408076"/>
      <w:bookmarkStart w:id="90" w:name="_Toc1967"/>
      <w:r>
        <w:rPr>
          <w:rFonts w:hint="eastAsia" w:asciiTheme="minorEastAsia" w:hAnsiTheme="minorEastAsia" w:eastAsiaTheme="minorEastAsia" w:cstheme="minorEastAsia"/>
          <w:b/>
          <w:color w:val="auto"/>
          <w:szCs w:val="24"/>
          <w:highlight w:val="none"/>
        </w:rPr>
        <w:t xml:space="preserve">1.10 </w:t>
      </w:r>
      <w:bookmarkEnd w:id="81"/>
      <w:bookmarkEnd w:id="82"/>
      <w:bookmarkEnd w:id="83"/>
      <w:bookmarkEnd w:id="84"/>
      <w:bookmarkEnd w:id="85"/>
      <w:bookmarkEnd w:id="86"/>
      <w:bookmarkEnd w:id="87"/>
      <w:bookmarkEnd w:id="88"/>
      <w:bookmarkEnd w:id="89"/>
      <w:r>
        <w:rPr>
          <w:rFonts w:hint="eastAsia" w:asciiTheme="minorEastAsia" w:hAnsiTheme="minorEastAsia" w:eastAsiaTheme="minorEastAsia" w:cstheme="minorEastAsia"/>
          <w:b/>
          <w:color w:val="auto"/>
          <w:szCs w:val="24"/>
          <w:highlight w:val="none"/>
        </w:rPr>
        <w:t>投标预备会</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91" w:name="_Toc27344"/>
      <w:r>
        <w:rPr>
          <w:rFonts w:hint="eastAsia" w:asciiTheme="minorEastAsia" w:hAnsiTheme="minorEastAsia" w:eastAsiaTheme="minorEastAsia" w:cstheme="minorEastAsia"/>
          <w:b/>
          <w:color w:val="auto"/>
          <w:szCs w:val="24"/>
          <w:highlight w:val="none"/>
        </w:rPr>
        <w:t>1.11分包</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2"/>
        <w:spacing w:line="440" w:lineRule="exact"/>
        <w:rPr>
          <w:rFonts w:asciiTheme="minorEastAsia" w:hAnsiTheme="minorEastAsia" w:eastAsiaTheme="minorEastAsia" w:cstheme="minorEastAsia"/>
          <w:b/>
          <w:color w:val="auto"/>
          <w:szCs w:val="24"/>
          <w:highlight w:val="none"/>
        </w:rPr>
      </w:pPr>
      <w:bookmarkStart w:id="92" w:name="_Toc13279"/>
      <w:r>
        <w:rPr>
          <w:rFonts w:hint="eastAsia" w:asciiTheme="minorEastAsia" w:hAnsiTheme="minorEastAsia" w:eastAsiaTheme="minorEastAsia" w:cstheme="minorEastAsia"/>
          <w:b/>
          <w:color w:val="auto"/>
          <w:szCs w:val="24"/>
          <w:highlight w:val="none"/>
        </w:rPr>
        <w:t>1.12偏离</w:t>
      </w:r>
      <w:bookmarkEnd w:id="9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投标人须知前附表允许投标文件偏离招标文件某些要求的，偏离应当符合招标文件规定的偏离范围和幅度。</w:t>
      </w:r>
    </w:p>
    <w:bookmarkEnd w:id="47"/>
    <w:bookmarkEnd w:id="48"/>
    <w:bookmarkEnd w:id="49"/>
    <w:bookmarkEnd w:id="50"/>
    <w:p>
      <w:pPr>
        <w:pStyle w:val="41"/>
        <w:spacing w:line="440" w:lineRule="exact"/>
        <w:rPr>
          <w:rFonts w:asciiTheme="minorEastAsia" w:hAnsiTheme="minorEastAsia" w:eastAsiaTheme="minorEastAsia" w:cstheme="minorEastAsia"/>
          <w:color w:val="auto"/>
          <w:sz w:val="24"/>
          <w:szCs w:val="24"/>
          <w:highlight w:val="none"/>
        </w:rPr>
      </w:pPr>
      <w:bookmarkStart w:id="93" w:name="_Toc392345920"/>
      <w:bookmarkStart w:id="94" w:name="_Toc323711757"/>
      <w:bookmarkStart w:id="95" w:name="_Toc17"/>
      <w:bookmarkStart w:id="96" w:name="_Toc245036610"/>
      <w:bookmarkStart w:id="97" w:name="_Toc144974514"/>
      <w:bookmarkStart w:id="98" w:name="_Toc229646728"/>
      <w:bookmarkStart w:id="99" w:name="_Toc152045546"/>
      <w:bookmarkStart w:id="100" w:name="_Toc152042322"/>
      <w:bookmarkStart w:id="101" w:name="_Toc144974516"/>
      <w:bookmarkStart w:id="102" w:name="_Toc152042324"/>
      <w:bookmarkStart w:id="103" w:name="_Toc229646730"/>
      <w:bookmarkStart w:id="104" w:name="_Toc152045548"/>
      <w:r>
        <w:rPr>
          <w:rFonts w:hint="eastAsia" w:asciiTheme="minorEastAsia" w:hAnsiTheme="minorEastAsia" w:eastAsiaTheme="minorEastAsia" w:cstheme="minorEastAsia"/>
          <w:color w:val="auto"/>
          <w:sz w:val="24"/>
          <w:szCs w:val="24"/>
          <w:highlight w:val="none"/>
        </w:rPr>
        <w:t>2. 招标文件</w:t>
      </w:r>
      <w:bookmarkEnd w:id="93"/>
      <w:bookmarkEnd w:id="94"/>
      <w:bookmarkEnd w:id="95"/>
      <w:bookmarkEnd w:id="96"/>
    </w:p>
    <w:p>
      <w:pPr>
        <w:pStyle w:val="42"/>
        <w:spacing w:line="440" w:lineRule="exact"/>
        <w:rPr>
          <w:rFonts w:asciiTheme="minorEastAsia" w:hAnsiTheme="minorEastAsia" w:eastAsiaTheme="minorEastAsia" w:cstheme="minorEastAsia"/>
          <w:b/>
          <w:color w:val="auto"/>
          <w:szCs w:val="24"/>
          <w:highlight w:val="none"/>
        </w:rPr>
      </w:pPr>
      <w:bookmarkStart w:id="105" w:name="_Toc144974511"/>
      <w:bookmarkStart w:id="106" w:name="_Toc152042319"/>
      <w:bookmarkStart w:id="107" w:name="_Toc319408080"/>
      <w:bookmarkStart w:id="108" w:name="_Toc319407845"/>
      <w:bookmarkStart w:id="109" w:name="_Toc26955"/>
      <w:bookmarkStart w:id="110" w:name="_Toc322615406"/>
      <w:bookmarkStart w:id="111" w:name="_Toc323711758"/>
      <w:bookmarkStart w:id="112" w:name="_Toc245036611"/>
      <w:bookmarkStart w:id="113" w:name="_Toc392345921"/>
      <w:bookmarkStart w:id="114" w:name="_Toc152045543"/>
      <w:r>
        <w:rPr>
          <w:rFonts w:hint="eastAsia" w:asciiTheme="minorEastAsia" w:hAnsiTheme="minorEastAsia" w:eastAsiaTheme="minorEastAsia" w:cstheme="minorEastAsia"/>
          <w:b/>
          <w:color w:val="auto"/>
          <w:szCs w:val="24"/>
          <w:highlight w:val="none"/>
        </w:rPr>
        <w:t>2.1 招标文件的组成</w:t>
      </w:r>
      <w:bookmarkEnd w:id="105"/>
      <w:bookmarkEnd w:id="106"/>
      <w:bookmarkEnd w:id="107"/>
      <w:bookmarkEnd w:id="108"/>
      <w:bookmarkEnd w:id="109"/>
      <w:bookmarkEnd w:id="110"/>
      <w:bookmarkEnd w:id="111"/>
      <w:bookmarkEnd w:id="112"/>
      <w:bookmarkEnd w:id="113"/>
      <w:bookmarkEnd w:id="1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2"/>
        <w:spacing w:line="440" w:lineRule="exact"/>
        <w:rPr>
          <w:rFonts w:asciiTheme="minorEastAsia" w:hAnsiTheme="minorEastAsia" w:eastAsiaTheme="minorEastAsia" w:cstheme="minorEastAsia"/>
          <w:b/>
          <w:color w:val="auto"/>
          <w:szCs w:val="24"/>
          <w:highlight w:val="none"/>
        </w:rPr>
      </w:pPr>
      <w:bookmarkStart w:id="115" w:name="_Toc152045544"/>
      <w:bookmarkStart w:id="116" w:name="_Toc323711759"/>
      <w:bookmarkStart w:id="117" w:name="_Toc319407846"/>
      <w:bookmarkStart w:id="118" w:name="_Toc245036612"/>
      <w:bookmarkStart w:id="119" w:name="_Toc14430"/>
      <w:bookmarkStart w:id="120" w:name="_Toc392345922"/>
      <w:bookmarkStart w:id="121" w:name="_Toc144974512"/>
      <w:bookmarkStart w:id="122" w:name="_Toc152042320"/>
      <w:bookmarkStart w:id="123" w:name="_Toc322615407"/>
      <w:bookmarkStart w:id="124" w:name="_Toc319408081"/>
      <w:r>
        <w:rPr>
          <w:rFonts w:hint="eastAsia" w:asciiTheme="minorEastAsia" w:hAnsiTheme="minorEastAsia" w:eastAsiaTheme="minorEastAsia" w:cstheme="minorEastAsia"/>
          <w:b/>
          <w:color w:val="auto"/>
          <w:szCs w:val="24"/>
          <w:highlight w:val="none"/>
        </w:rPr>
        <w:t>2.2 招标文件的澄清</w:t>
      </w:r>
      <w:bookmarkEnd w:id="115"/>
      <w:bookmarkEnd w:id="116"/>
      <w:bookmarkEnd w:id="117"/>
      <w:bookmarkEnd w:id="118"/>
      <w:bookmarkEnd w:id="119"/>
      <w:bookmarkEnd w:id="120"/>
      <w:bookmarkEnd w:id="121"/>
      <w:bookmarkEnd w:id="122"/>
      <w:bookmarkEnd w:id="123"/>
      <w:bookmarkEnd w:id="124"/>
      <w:r>
        <w:rPr>
          <w:rFonts w:hint="eastAsia" w:asciiTheme="minorEastAsia" w:hAnsiTheme="minorEastAsia" w:eastAsiaTheme="minorEastAsia" w:cstheme="minorEastAsia"/>
          <w:b/>
          <w:color w:val="auto"/>
          <w:sz w:val="24"/>
          <w:szCs w:val="24"/>
          <w:highlight w:val="none"/>
        </w:rPr>
        <w:t>和修改</w:t>
      </w:r>
    </w:p>
    <w:p>
      <w:pPr>
        <w:spacing w:line="360" w:lineRule="exact"/>
        <w:ind w:firstLine="480" w:firstLineChars="200"/>
        <w:rPr>
          <w:rFonts w:ascii="宋体" w:hAnsi="宋体"/>
          <w:color w:val="auto"/>
          <w:sz w:val="24"/>
          <w:szCs w:val="24"/>
          <w:highlight w:val="none"/>
        </w:rPr>
      </w:pPr>
      <w:bookmarkStart w:id="125" w:name="_Toc3662"/>
      <w:bookmarkStart w:id="126" w:name="_Toc392345924"/>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w:t>
      </w:r>
      <w:r>
        <w:rPr>
          <w:rFonts w:hint="eastAsia" w:ascii="宋体" w:hAnsi="宋体" w:cs="Times New Roman"/>
          <w:color w:val="auto"/>
          <w:sz w:val="24"/>
          <w:szCs w:val="24"/>
          <w:highlight w:val="none"/>
        </w:rPr>
        <w:t>、形式提交</w:t>
      </w:r>
      <w:r>
        <w:rPr>
          <w:rFonts w:hint="eastAsia" w:ascii="宋体" w:hAnsi="宋体"/>
          <w:color w:val="auto"/>
          <w:sz w:val="24"/>
          <w:szCs w:val="24"/>
          <w:highlight w:val="none"/>
        </w:rPr>
        <w:t>，要求招标人对招标文件予以澄清。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2.2.2 </w:t>
      </w:r>
      <w:r>
        <w:rPr>
          <w:rFonts w:hint="eastAsia" w:ascii="宋体" w:hAnsi="宋体" w:cs="Times New Roman"/>
          <w:color w:val="auto"/>
          <w:sz w:val="24"/>
          <w:szCs w:val="24"/>
          <w:highlight w:val="none"/>
        </w:rPr>
        <w:t>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r>
        <w:rPr>
          <w:rFonts w:hint="eastAsia" w:ascii="宋体" w:hAnsi="宋体"/>
          <w:color w:val="auto"/>
          <w:sz w:val="24"/>
          <w:szCs w:val="24"/>
          <w:highlight w:val="none"/>
        </w:rPr>
        <w:t>。</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 xml:space="preserve">2.2.3 </w:t>
      </w:r>
      <w:r>
        <w:rPr>
          <w:rFonts w:hint="eastAsia" w:ascii="宋体" w:hAnsi="宋体" w:cs="Times New Roman"/>
          <w:color w:val="auto"/>
          <w:sz w:val="24"/>
          <w:szCs w:val="24"/>
          <w:highlight w:val="none"/>
        </w:rPr>
        <w:t>投标人确认收到招标文件澄清和修改内容的时间：见投标人须知前附表</w:t>
      </w:r>
      <w:r>
        <w:rPr>
          <w:rFonts w:hint="eastAsia" w:ascii="宋体" w:hAnsi="宋体"/>
          <w:color w:val="auto"/>
          <w:sz w:val="24"/>
          <w:szCs w:val="24"/>
          <w:highlight w:val="none"/>
        </w:rPr>
        <w:t>。</w:t>
      </w:r>
    </w:p>
    <w:p>
      <w:pPr>
        <w:pStyle w:val="41"/>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7"/>
      <w:bookmarkEnd w:id="98"/>
      <w:bookmarkEnd w:id="99"/>
      <w:bookmarkEnd w:id="100"/>
      <w:bookmarkEnd w:id="125"/>
      <w:bookmarkEnd w:id="126"/>
    </w:p>
    <w:p>
      <w:pPr>
        <w:pStyle w:val="42"/>
        <w:spacing w:line="440" w:lineRule="exact"/>
        <w:rPr>
          <w:rFonts w:asciiTheme="minorEastAsia" w:hAnsiTheme="minorEastAsia" w:eastAsiaTheme="minorEastAsia" w:cstheme="minorEastAsia"/>
          <w:b/>
          <w:color w:val="auto"/>
          <w:szCs w:val="24"/>
          <w:highlight w:val="none"/>
        </w:rPr>
      </w:pPr>
      <w:bookmarkStart w:id="127" w:name="_Toc152045547"/>
      <w:bookmarkStart w:id="128" w:name="_Toc144974515"/>
      <w:bookmarkStart w:id="129" w:name="_Toc152042323"/>
      <w:bookmarkStart w:id="130" w:name="_Toc392345925"/>
      <w:bookmarkStart w:id="131" w:name="_Toc22707"/>
      <w:bookmarkStart w:id="132" w:name="_Toc229646729"/>
      <w:r>
        <w:rPr>
          <w:rFonts w:hint="eastAsia" w:asciiTheme="minorEastAsia" w:hAnsiTheme="minorEastAsia" w:eastAsiaTheme="minorEastAsia" w:cstheme="minorEastAsia"/>
          <w:b/>
          <w:color w:val="auto"/>
          <w:szCs w:val="24"/>
          <w:highlight w:val="none"/>
        </w:rPr>
        <w:t>3.1 投标文件的组成</w:t>
      </w:r>
      <w:bookmarkEnd w:id="127"/>
      <w:bookmarkEnd w:id="128"/>
      <w:bookmarkEnd w:id="129"/>
      <w:bookmarkEnd w:id="130"/>
      <w:bookmarkEnd w:id="131"/>
      <w:bookmarkEnd w:id="132"/>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10"/>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10"/>
        <w:ind w:firstLine="410" w:firstLineChars="171"/>
        <w:rPr>
          <w:rFonts w:asciiTheme="minorEastAsia" w:hAnsiTheme="minorEastAsia" w:eastAsiaTheme="minorEastAsia" w:cstheme="minorEastAsia"/>
          <w:strike w:val="0"/>
          <w:color w:val="auto"/>
          <w:sz w:val="24"/>
          <w:szCs w:val="24"/>
          <w:highlight w:val="none"/>
        </w:rPr>
      </w:pPr>
      <w:r>
        <w:rPr>
          <w:rFonts w:hint="eastAsia" w:asciiTheme="minorEastAsia" w:hAnsiTheme="minorEastAsia" w:eastAsiaTheme="minorEastAsia" w:cstheme="minorEastAsia"/>
          <w:strike w:val="0"/>
          <w:color w:val="auto"/>
          <w:sz w:val="24"/>
          <w:szCs w:val="24"/>
          <w:highlight w:val="none"/>
        </w:rPr>
        <w:t>☑（5）随机备品备件一览表（格式自拟）</w:t>
      </w:r>
    </w:p>
    <w:p>
      <w:pPr>
        <w:pStyle w:val="10"/>
        <w:ind w:firstLine="410" w:firstLineChars="171"/>
        <w:rPr>
          <w:rFonts w:asciiTheme="minorEastAsia" w:hAnsiTheme="minorEastAsia" w:eastAsiaTheme="minorEastAsia" w:cstheme="minorEastAsia"/>
          <w:strike w:val="0"/>
          <w:color w:val="auto"/>
          <w:sz w:val="24"/>
          <w:szCs w:val="24"/>
          <w:highlight w:val="none"/>
        </w:rPr>
      </w:pPr>
      <w:r>
        <w:rPr>
          <w:rFonts w:hint="eastAsia" w:asciiTheme="minorEastAsia" w:hAnsiTheme="minorEastAsia" w:eastAsiaTheme="minorEastAsia" w:cstheme="minorEastAsia"/>
          <w:strike w:val="0"/>
          <w:color w:val="auto"/>
          <w:sz w:val="24"/>
          <w:szCs w:val="24"/>
          <w:highlight w:val="none"/>
        </w:rPr>
        <w:t>☑（6）供招标人选购的备品备件一览表（格式自拟）</w:t>
      </w:r>
    </w:p>
    <w:p>
      <w:pPr>
        <w:pStyle w:val="10"/>
        <w:ind w:firstLine="410" w:firstLineChars="171"/>
        <w:rPr>
          <w:rFonts w:asciiTheme="minorEastAsia" w:hAnsiTheme="minorEastAsia" w:eastAsiaTheme="minorEastAsia" w:cstheme="minorEastAsia"/>
          <w:strike w:val="0"/>
          <w:color w:val="auto"/>
          <w:sz w:val="24"/>
          <w:szCs w:val="24"/>
          <w:highlight w:val="none"/>
        </w:rPr>
      </w:pPr>
      <w:r>
        <w:rPr>
          <w:rFonts w:hint="eastAsia" w:asciiTheme="minorEastAsia" w:hAnsiTheme="minorEastAsia" w:eastAsiaTheme="minorEastAsia" w:cstheme="minorEastAsia"/>
          <w:strike w:val="0"/>
          <w:color w:val="auto"/>
          <w:sz w:val="24"/>
          <w:szCs w:val="24"/>
          <w:highlight w:val="none"/>
        </w:rPr>
        <w:t>☑</w:t>
      </w:r>
      <w:r>
        <w:rPr>
          <w:rStyle w:val="43"/>
          <w:rFonts w:hint="eastAsia" w:asciiTheme="minorEastAsia" w:hAnsiTheme="minorEastAsia" w:eastAsiaTheme="minorEastAsia" w:cstheme="minorEastAsia"/>
          <w:strike w:val="0"/>
          <w:color w:val="auto"/>
          <w:sz w:val="24"/>
          <w:szCs w:val="24"/>
          <w:highlight w:val="none"/>
        </w:rPr>
        <w:t>（7）</w:t>
      </w:r>
      <w:r>
        <w:rPr>
          <w:rFonts w:hint="eastAsia" w:asciiTheme="minorEastAsia" w:hAnsiTheme="minorEastAsia" w:eastAsiaTheme="minorEastAsia" w:cstheme="minorEastAsia"/>
          <w:strike w:val="0"/>
          <w:color w:val="auto"/>
          <w:sz w:val="24"/>
          <w:szCs w:val="24"/>
          <w:highlight w:val="none"/>
        </w:rPr>
        <w:t>专用检测设备及专用维修工具一览表（格式自拟）</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10"/>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ind w:firstLine="410" w:firstLineChars="171"/>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☑（4）技术规格偏离表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10"/>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10"/>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10"/>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2"/>
        <w:spacing w:line="440" w:lineRule="exact"/>
        <w:rPr>
          <w:rFonts w:asciiTheme="minorEastAsia" w:hAnsiTheme="minorEastAsia" w:eastAsiaTheme="minorEastAsia" w:cstheme="minorEastAsia"/>
          <w:b/>
          <w:color w:val="auto"/>
          <w:szCs w:val="24"/>
          <w:highlight w:val="none"/>
        </w:rPr>
      </w:pPr>
      <w:bookmarkStart w:id="133" w:name="_Toc5081"/>
      <w:bookmarkStart w:id="134" w:name="_Toc392345926"/>
      <w:r>
        <w:rPr>
          <w:rFonts w:hint="eastAsia" w:asciiTheme="minorEastAsia" w:hAnsiTheme="minorEastAsia" w:eastAsiaTheme="minorEastAsia" w:cstheme="minorEastAsia"/>
          <w:b/>
          <w:color w:val="auto"/>
          <w:szCs w:val="24"/>
          <w:highlight w:val="none"/>
        </w:rPr>
        <w:t>3.2 投标报价</w:t>
      </w:r>
      <w:bookmarkEnd w:id="101"/>
      <w:bookmarkEnd w:id="102"/>
      <w:bookmarkEnd w:id="103"/>
      <w:bookmarkEnd w:id="104"/>
      <w:bookmarkEnd w:id="133"/>
      <w:bookmarkEnd w:id="134"/>
    </w:p>
    <w:p>
      <w:pPr>
        <w:ind w:firstLine="480" w:firstLineChars="200"/>
        <w:rPr>
          <w:rFonts w:asciiTheme="minorEastAsia" w:hAnsiTheme="minorEastAsia" w:eastAsiaTheme="minorEastAsia" w:cstheme="minorEastAsia"/>
          <w:color w:val="auto"/>
          <w:sz w:val="24"/>
          <w:szCs w:val="24"/>
          <w:highlight w:val="none"/>
        </w:rPr>
      </w:pPr>
      <w:bookmarkStart w:id="135" w:name="_Toc144974517"/>
      <w:bookmarkStart w:id="136" w:name="_Toc229646731"/>
      <w:bookmarkStart w:id="137" w:name="_Toc152045549"/>
      <w:bookmarkStart w:id="138" w:name="_Toc152042325"/>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39" w:name="_Toc22162"/>
      <w:bookmarkStart w:id="140" w:name="_Toc392345927"/>
      <w:r>
        <w:rPr>
          <w:rFonts w:hint="eastAsia" w:asciiTheme="minorEastAsia" w:hAnsiTheme="minorEastAsia" w:eastAsiaTheme="minorEastAsia" w:cstheme="minorEastAsia"/>
          <w:b/>
          <w:color w:val="auto"/>
          <w:szCs w:val="24"/>
          <w:highlight w:val="none"/>
        </w:rPr>
        <w:t>3.3 投标有效期</w:t>
      </w:r>
      <w:bookmarkEnd w:id="135"/>
      <w:bookmarkEnd w:id="136"/>
      <w:bookmarkEnd w:id="137"/>
      <w:bookmarkEnd w:id="138"/>
      <w:bookmarkEnd w:id="139"/>
      <w:bookmarkEnd w:id="140"/>
    </w:p>
    <w:p>
      <w:pPr>
        <w:ind w:firstLine="480" w:firstLineChars="200"/>
        <w:rPr>
          <w:rFonts w:asciiTheme="minorEastAsia" w:hAnsiTheme="minorEastAsia" w:eastAsiaTheme="minorEastAsia" w:cstheme="minorEastAsia"/>
          <w:color w:val="auto"/>
          <w:sz w:val="24"/>
          <w:szCs w:val="24"/>
          <w:highlight w:val="none"/>
        </w:rPr>
      </w:pPr>
      <w:bookmarkStart w:id="141" w:name="_Toc152042326"/>
      <w:bookmarkStart w:id="142" w:name="_Toc144974518"/>
      <w:bookmarkStart w:id="143" w:name="_Toc229646732"/>
      <w:bookmarkStart w:id="144" w:name="_Toc152045550"/>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2"/>
        <w:spacing w:line="440" w:lineRule="exact"/>
        <w:rPr>
          <w:rFonts w:asciiTheme="minorEastAsia" w:hAnsiTheme="minorEastAsia" w:eastAsiaTheme="minorEastAsia" w:cstheme="minorEastAsia"/>
          <w:b/>
          <w:color w:val="auto"/>
          <w:szCs w:val="24"/>
          <w:highlight w:val="none"/>
        </w:rPr>
      </w:pPr>
      <w:bookmarkStart w:id="145" w:name="_Toc392345928"/>
      <w:bookmarkStart w:id="146" w:name="_Toc10327"/>
      <w:r>
        <w:rPr>
          <w:rFonts w:hint="eastAsia" w:asciiTheme="minorEastAsia" w:hAnsiTheme="minorEastAsia" w:eastAsiaTheme="minorEastAsia" w:cstheme="minorEastAsia"/>
          <w:b/>
          <w:color w:val="auto"/>
          <w:szCs w:val="24"/>
          <w:highlight w:val="none"/>
        </w:rPr>
        <w:t>3.4 投标保证金</w:t>
      </w:r>
      <w:bookmarkEnd w:id="141"/>
      <w:bookmarkEnd w:id="142"/>
      <w:bookmarkEnd w:id="143"/>
      <w:bookmarkEnd w:id="144"/>
      <w:bookmarkEnd w:id="145"/>
      <w:bookmarkEnd w:id="146"/>
    </w:p>
    <w:p>
      <w:pPr>
        <w:ind w:firstLine="480" w:firstLineChars="200"/>
        <w:rPr>
          <w:rFonts w:asciiTheme="minorEastAsia" w:hAnsiTheme="minorEastAsia" w:eastAsiaTheme="minorEastAsia" w:cstheme="minorEastAsia"/>
          <w:color w:val="auto"/>
          <w:sz w:val="24"/>
          <w:szCs w:val="24"/>
          <w:highlight w:val="none"/>
        </w:rPr>
      </w:pPr>
      <w:bookmarkStart w:id="147" w:name="_Toc152042328"/>
      <w:bookmarkStart w:id="148" w:name="_Toc229646733"/>
      <w:bookmarkStart w:id="149" w:name="_Toc144974520"/>
      <w:bookmarkStart w:id="150" w:name="_Toc152045552"/>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hint="eastAsia" w:asciiTheme="minorEastAsia" w:hAnsiTheme="minorEastAsia" w:eastAsiaTheme="minorEastAsia" w:cstheme="minorEastAsia"/>
          <w:color w:val="auto"/>
          <w:sz w:val="24"/>
          <w:szCs w:val="24"/>
          <w:highlight w:val="none"/>
          <w:lang w:eastAsia="zh-CN" w:bidi="ar"/>
        </w:rPr>
        <w:t>；</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bidi="ar"/>
        </w:rPr>
        <w:t>)存在违反《招标投标法》第三十二条、第三十三条规定的违法情形的</w:t>
      </w:r>
      <w:r>
        <w:rPr>
          <w:rFonts w:hint="eastAsia" w:asciiTheme="minorEastAsia" w:hAnsiTheme="minorEastAsia" w:eastAsiaTheme="minorEastAsia" w:cstheme="minorEastAsia"/>
          <w:color w:val="auto"/>
          <w:sz w:val="24"/>
          <w:szCs w:val="24"/>
          <w:highlight w:val="none"/>
          <w:lang w:eastAsia="zh-CN" w:bidi="ar"/>
        </w:rPr>
        <w:t>；</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eastAsia="zh-CN"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)招标文件等材料约定的不予退还的其他情形</w:t>
      </w:r>
      <w:r>
        <w:rPr>
          <w:rFonts w:hint="eastAsia" w:asciiTheme="minorEastAsia" w:hAnsiTheme="minorEastAsia" w:eastAsiaTheme="minorEastAsia" w:cstheme="minorEastAsia"/>
          <w:color w:val="auto"/>
          <w:sz w:val="24"/>
          <w:szCs w:val="24"/>
          <w:highlight w:val="none"/>
          <w:lang w:eastAsia="zh-CN" w:bidi="ar"/>
        </w:rPr>
        <w:t>；</w:t>
      </w:r>
    </w:p>
    <w:p>
      <w:pPr>
        <w:widowControl/>
        <w:ind w:left="210" w:leftChars="100" w:firstLine="240" w:firstLineChars="1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5</w:t>
      </w:r>
      <w:r>
        <w:rPr>
          <w:rFonts w:hint="eastAsia" w:asciiTheme="minorEastAsia" w:hAnsiTheme="minorEastAsia" w:eastAsiaTheme="minorEastAsia" w:cstheme="minorEastAsia"/>
          <w:color w:val="auto"/>
          <w:sz w:val="24"/>
          <w:szCs w:val="24"/>
          <w:highlight w:val="none"/>
          <w:lang w:bidi="ar"/>
        </w:rPr>
        <w:t xml:space="preserve">）其他法律法规规定情形。 </w:t>
      </w:r>
    </w:p>
    <w:bookmarkEnd w:id="147"/>
    <w:bookmarkEnd w:id="148"/>
    <w:bookmarkEnd w:id="149"/>
    <w:bookmarkEnd w:id="150"/>
    <w:p>
      <w:pPr>
        <w:pStyle w:val="42"/>
        <w:spacing w:line="440" w:lineRule="exact"/>
        <w:rPr>
          <w:rFonts w:asciiTheme="minorEastAsia" w:hAnsiTheme="minorEastAsia" w:eastAsiaTheme="minorEastAsia" w:cstheme="minorEastAsia"/>
          <w:b/>
          <w:color w:val="auto"/>
          <w:szCs w:val="24"/>
          <w:highlight w:val="none"/>
        </w:rPr>
      </w:pPr>
      <w:bookmarkStart w:id="151" w:name="_Toc319408089"/>
      <w:bookmarkStart w:id="152" w:name="_Toc245036620"/>
      <w:bookmarkStart w:id="153" w:name="_Toc152042329"/>
      <w:bookmarkStart w:id="154" w:name="_Toc144974521"/>
      <w:bookmarkStart w:id="155" w:name="_Toc152045553"/>
      <w:bookmarkStart w:id="156" w:name="_Toc322615415"/>
      <w:bookmarkStart w:id="157" w:name="_Toc323711767"/>
      <w:bookmarkStart w:id="158" w:name="_Toc319407854"/>
      <w:bookmarkStart w:id="159" w:name="_Toc16875"/>
      <w:bookmarkStart w:id="160" w:name="_Toc392345930"/>
      <w:bookmarkStart w:id="161" w:name="_Toc152045559"/>
      <w:bookmarkStart w:id="162" w:name="_Toc152042335"/>
      <w:bookmarkStart w:id="163" w:name="_Toc229646740"/>
      <w:bookmarkStart w:id="164" w:name="_Toc144974527"/>
      <w:r>
        <w:rPr>
          <w:rFonts w:hint="eastAsia" w:asciiTheme="minorEastAsia" w:hAnsiTheme="minorEastAsia" w:eastAsiaTheme="minorEastAsia" w:cstheme="minorEastAsia"/>
          <w:b/>
          <w:color w:val="auto"/>
          <w:szCs w:val="24"/>
          <w:highlight w:val="none"/>
        </w:rPr>
        <w:t>3.</w:t>
      </w:r>
      <w:bookmarkEnd w:id="151"/>
      <w:bookmarkEnd w:id="152"/>
      <w:bookmarkEnd w:id="153"/>
      <w:bookmarkEnd w:id="154"/>
      <w:bookmarkEnd w:id="155"/>
      <w:bookmarkEnd w:id="156"/>
      <w:bookmarkEnd w:id="157"/>
      <w:bookmarkEnd w:id="158"/>
      <w:bookmarkStart w:id="165" w:name="_Toc319408090"/>
      <w:bookmarkStart w:id="166" w:name="_Toc319407855"/>
      <w:bookmarkStart w:id="167" w:name="_Toc323711768"/>
      <w:bookmarkStart w:id="168" w:name="_Toc245036621"/>
      <w:bookmarkStart w:id="169" w:name="_Toc322615416"/>
      <w:r>
        <w:rPr>
          <w:rFonts w:hint="eastAsia" w:asciiTheme="minorEastAsia" w:hAnsiTheme="minorEastAsia" w:eastAsiaTheme="minorEastAsia" w:cstheme="minorEastAsia"/>
          <w:b/>
          <w:color w:val="auto"/>
          <w:szCs w:val="24"/>
          <w:highlight w:val="none"/>
        </w:rPr>
        <w:t>5资格审查资料</w:t>
      </w:r>
      <w:bookmarkEnd w:id="159"/>
    </w:p>
    <w:p>
      <w:pPr>
        <w:ind w:firstLine="480" w:firstLineChars="200"/>
        <w:rPr>
          <w:rFonts w:asciiTheme="minorEastAsia" w:hAnsiTheme="minorEastAsia" w:eastAsiaTheme="minorEastAsia" w:cstheme="minorEastAsia"/>
          <w:strike/>
          <w:color w:val="auto"/>
          <w:sz w:val="24"/>
          <w:szCs w:val="24"/>
          <w:highlight w:val="none"/>
        </w:rPr>
      </w:pPr>
      <w:bookmarkStart w:id="170" w:name="_Toc247513977"/>
      <w:bookmarkStart w:id="171" w:name="_Toc144974522"/>
      <w:bookmarkStart w:id="172" w:name="_Toc152042330"/>
      <w:bookmarkStart w:id="173" w:name="_Toc229646735"/>
      <w:bookmarkStart w:id="174" w:name="_Toc247527578"/>
      <w:bookmarkStart w:id="175" w:name="_Toc300834974"/>
      <w:bookmarkStart w:id="176" w:name="_Toc152045554"/>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70"/>
    <w:bookmarkEnd w:id="171"/>
    <w:bookmarkEnd w:id="172"/>
    <w:bookmarkEnd w:id="173"/>
    <w:bookmarkEnd w:id="174"/>
    <w:bookmarkEnd w:id="175"/>
    <w:bookmarkEnd w:id="176"/>
    <w:p>
      <w:pPr>
        <w:pStyle w:val="42"/>
        <w:spacing w:line="440" w:lineRule="exact"/>
        <w:rPr>
          <w:rFonts w:asciiTheme="minorEastAsia" w:hAnsiTheme="minorEastAsia" w:eastAsiaTheme="minorEastAsia" w:cstheme="minorEastAsia"/>
          <w:b/>
          <w:strike/>
          <w:color w:val="auto"/>
          <w:szCs w:val="24"/>
          <w:highlight w:val="none"/>
        </w:rPr>
      </w:pPr>
      <w:bookmarkStart w:id="177" w:name="_Toc29305"/>
      <w:r>
        <w:rPr>
          <w:rFonts w:asciiTheme="minorEastAsia" w:hAnsiTheme="minorEastAsia" w:eastAsiaTheme="minorEastAsia" w:cstheme="minorEastAsia"/>
          <w:b/>
          <w:strike/>
          <w:color w:val="auto"/>
          <w:szCs w:val="24"/>
          <w:highlight w:val="none"/>
        </w:rPr>
        <w:t>3.6备选投标方案</w:t>
      </w:r>
      <w:bookmarkEnd w:id="177"/>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2"/>
        <w:spacing w:line="440" w:lineRule="exact"/>
        <w:rPr>
          <w:rFonts w:asciiTheme="minorEastAsia" w:hAnsiTheme="minorEastAsia" w:eastAsiaTheme="minorEastAsia" w:cstheme="minorEastAsia"/>
          <w:b/>
          <w:color w:val="auto"/>
          <w:szCs w:val="24"/>
          <w:highlight w:val="none"/>
        </w:rPr>
      </w:pPr>
      <w:bookmarkStart w:id="178" w:name="_Toc11039"/>
      <w:r>
        <w:rPr>
          <w:rFonts w:hint="eastAsia" w:asciiTheme="minorEastAsia" w:hAnsiTheme="minorEastAsia" w:eastAsiaTheme="minorEastAsia" w:cstheme="minorEastAsia"/>
          <w:b/>
          <w:color w:val="auto"/>
          <w:szCs w:val="24"/>
          <w:highlight w:val="none"/>
        </w:rPr>
        <w:t>3.7投标文件的编制</w:t>
      </w:r>
      <w:bookmarkEnd w:id="160"/>
      <w:bookmarkEnd w:id="165"/>
      <w:bookmarkEnd w:id="166"/>
      <w:bookmarkEnd w:id="167"/>
      <w:bookmarkEnd w:id="168"/>
      <w:bookmarkEnd w:id="169"/>
      <w:bookmarkEnd w:id="17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9" w:name="_Toc323711769"/>
      <w:bookmarkStart w:id="180" w:name="_Toc144974523"/>
      <w:bookmarkStart w:id="181" w:name="_Toc152045555"/>
      <w:bookmarkStart w:id="182" w:name="_Toc392345931"/>
      <w:bookmarkStart w:id="183" w:name="_Toc245036622"/>
      <w:bookmarkStart w:id="184" w:name="_Toc152042331"/>
      <w:r>
        <w:rPr>
          <w:rFonts w:hint="eastAsia" w:asciiTheme="minorEastAsia" w:hAnsiTheme="minorEastAsia" w:eastAsiaTheme="minorEastAsia" w:cstheme="minorEastAsia"/>
          <w:color w:val="auto"/>
          <w:sz w:val="24"/>
          <w:szCs w:val="24"/>
          <w:highlight w:val="none"/>
        </w:rPr>
        <w:t>具体装订要求见投标人须知前附表规定。</w:t>
      </w:r>
    </w:p>
    <w:p>
      <w:pPr>
        <w:pStyle w:val="41"/>
        <w:spacing w:line="440" w:lineRule="exact"/>
        <w:rPr>
          <w:rFonts w:asciiTheme="minorEastAsia" w:hAnsiTheme="minorEastAsia" w:eastAsiaTheme="minorEastAsia" w:cstheme="minorEastAsia"/>
          <w:color w:val="auto"/>
          <w:sz w:val="24"/>
          <w:szCs w:val="24"/>
          <w:highlight w:val="none"/>
        </w:rPr>
      </w:pPr>
      <w:bookmarkStart w:id="185" w:name="_Toc7085"/>
      <w:r>
        <w:rPr>
          <w:rFonts w:hint="eastAsia" w:asciiTheme="minorEastAsia" w:hAnsiTheme="minorEastAsia" w:eastAsiaTheme="minorEastAsia" w:cstheme="minorEastAsia"/>
          <w:color w:val="auto"/>
          <w:sz w:val="24"/>
          <w:szCs w:val="24"/>
          <w:highlight w:val="none"/>
        </w:rPr>
        <w:t>4. 投标</w:t>
      </w:r>
      <w:bookmarkEnd w:id="179"/>
      <w:bookmarkEnd w:id="180"/>
      <w:bookmarkEnd w:id="181"/>
      <w:bookmarkEnd w:id="182"/>
      <w:bookmarkEnd w:id="183"/>
      <w:bookmarkEnd w:id="184"/>
      <w:bookmarkEnd w:id="185"/>
    </w:p>
    <w:p>
      <w:pPr>
        <w:pStyle w:val="42"/>
        <w:spacing w:line="440" w:lineRule="exact"/>
        <w:rPr>
          <w:rFonts w:asciiTheme="minorEastAsia" w:hAnsiTheme="minorEastAsia" w:eastAsiaTheme="minorEastAsia" w:cstheme="minorEastAsia"/>
          <w:b/>
          <w:color w:val="auto"/>
          <w:szCs w:val="24"/>
          <w:highlight w:val="none"/>
        </w:rPr>
      </w:pPr>
      <w:bookmarkStart w:id="186" w:name="_Toc323711770"/>
      <w:bookmarkStart w:id="187" w:name="_Toc319407857"/>
      <w:bookmarkStart w:id="188" w:name="_Toc245036623"/>
      <w:bookmarkStart w:id="189" w:name="_Toc392345932"/>
      <w:bookmarkStart w:id="190" w:name="_Toc322615418"/>
      <w:bookmarkStart w:id="191" w:name="_Toc144974524"/>
      <w:bookmarkStart w:id="192" w:name="_Toc319408092"/>
      <w:bookmarkStart w:id="193" w:name="_Toc152042332"/>
      <w:bookmarkStart w:id="194" w:name="_Toc20016"/>
      <w:bookmarkStart w:id="195" w:name="_Toc152045556"/>
      <w:r>
        <w:rPr>
          <w:rFonts w:hint="eastAsia" w:asciiTheme="minorEastAsia" w:hAnsiTheme="minorEastAsia" w:eastAsiaTheme="minorEastAsia" w:cstheme="minorEastAsia"/>
          <w:b/>
          <w:color w:val="auto"/>
          <w:szCs w:val="24"/>
          <w:highlight w:val="none"/>
        </w:rPr>
        <w:t>4.1 投标文件的密封和标记</w:t>
      </w:r>
      <w:bookmarkEnd w:id="186"/>
      <w:bookmarkEnd w:id="187"/>
      <w:bookmarkEnd w:id="188"/>
      <w:bookmarkEnd w:id="189"/>
      <w:bookmarkEnd w:id="190"/>
      <w:bookmarkEnd w:id="191"/>
      <w:bookmarkEnd w:id="192"/>
      <w:bookmarkEnd w:id="193"/>
      <w:bookmarkEnd w:id="194"/>
      <w:bookmarkEnd w:id="1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96" w:name="_Toc319407858"/>
      <w:bookmarkStart w:id="197" w:name="_Toc152045557"/>
      <w:bookmarkStart w:id="198" w:name="_Toc144974525"/>
      <w:bookmarkStart w:id="199" w:name="_Toc319408093"/>
      <w:bookmarkStart w:id="200" w:name="_Toc322615419"/>
      <w:bookmarkStart w:id="201" w:name="_Toc323711771"/>
      <w:bookmarkStart w:id="202" w:name="_Toc28433"/>
      <w:bookmarkStart w:id="203" w:name="_Toc245036624"/>
      <w:bookmarkStart w:id="204" w:name="_Toc392345933"/>
      <w:bookmarkStart w:id="205" w:name="_Toc152042333"/>
      <w:r>
        <w:rPr>
          <w:rFonts w:hint="eastAsia" w:asciiTheme="minorEastAsia" w:hAnsiTheme="minorEastAsia" w:eastAsiaTheme="minorEastAsia" w:cstheme="minorEastAsia"/>
          <w:b/>
          <w:color w:val="auto"/>
          <w:szCs w:val="24"/>
          <w:highlight w:val="none"/>
        </w:rPr>
        <w:t>4.2 投标文件的递交</w:t>
      </w:r>
      <w:bookmarkEnd w:id="196"/>
      <w:bookmarkEnd w:id="197"/>
      <w:bookmarkEnd w:id="198"/>
      <w:bookmarkEnd w:id="199"/>
      <w:bookmarkEnd w:id="200"/>
      <w:bookmarkEnd w:id="201"/>
      <w:bookmarkEnd w:id="202"/>
      <w:bookmarkEnd w:id="203"/>
      <w:bookmarkEnd w:id="204"/>
      <w:bookmarkEnd w:id="2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2"/>
        <w:spacing w:line="440" w:lineRule="exact"/>
        <w:rPr>
          <w:rFonts w:asciiTheme="minorEastAsia" w:hAnsiTheme="minorEastAsia" w:eastAsiaTheme="minorEastAsia" w:cstheme="minorEastAsia"/>
          <w:b/>
          <w:color w:val="auto"/>
          <w:szCs w:val="24"/>
          <w:highlight w:val="none"/>
        </w:rPr>
      </w:pPr>
      <w:bookmarkStart w:id="206" w:name="_Toc245036625"/>
      <w:bookmarkStart w:id="207" w:name="_Toc392345934"/>
      <w:bookmarkStart w:id="208" w:name="_Toc144974526"/>
      <w:bookmarkStart w:id="209" w:name="_Toc21598"/>
      <w:bookmarkStart w:id="210" w:name="_Toc319407859"/>
      <w:bookmarkStart w:id="211" w:name="_Toc152045558"/>
      <w:bookmarkStart w:id="212" w:name="_Toc322615420"/>
      <w:bookmarkStart w:id="213" w:name="_Toc323711772"/>
      <w:bookmarkStart w:id="214" w:name="_Toc319408094"/>
      <w:bookmarkStart w:id="215" w:name="_Toc152042334"/>
      <w:r>
        <w:rPr>
          <w:rFonts w:hint="eastAsia" w:asciiTheme="minorEastAsia" w:hAnsiTheme="minorEastAsia" w:eastAsiaTheme="minorEastAsia" w:cstheme="minorEastAsia"/>
          <w:b/>
          <w:color w:val="auto"/>
          <w:szCs w:val="24"/>
          <w:highlight w:val="none"/>
        </w:rPr>
        <w:t>4.3 投标文件的修改与撤回</w:t>
      </w:r>
      <w:bookmarkEnd w:id="206"/>
      <w:bookmarkEnd w:id="207"/>
      <w:bookmarkEnd w:id="208"/>
      <w:bookmarkEnd w:id="209"/>
      <w:bookmarkEnd w:id="210"/>
      <w:bookmarkEnd w:id="211"/>
      <w:bookmarkEnd w:id="212"/>
      <w:bookmarkEnd w:id="213"/>
      <w:bookmarkEnd w:id="214"/>
      <w:bookmarkEnd w:id="21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2"/>
        <w:spacing w:line="440" w:lineRule="exact"/>
        <w:rPr>
          <w:rFonts w:asciiTheme="minorEastAsia" w:hAnsiTheme="minorEastAsia" w:eastAsiaTheme="minorEastAsia" w:cstheme="minorEastAsia"/>
          <w:b/>
          <w:color w:val="auto"/>
          <w:szCs w:val="24"/>
          <w:highlight w:val="none"/>
        </w:rPr>
      </w:pPr>
      <w:bookmarkStart w:id="216" w:name="_Toc14614"/>
      <w:bookmarkStart w:id="217" w:name="_Toc392345935"/>
      <w:r>
        <w:rPr>
          <w:rFonts w:hint="eastAsia" w:asciiTheme="minorEastAsia" w:hAnsiTheme="minorEastAsia" w:eastAsiaTheme="minorEastAsia" w:cstheme="minorEastAsia"/>
          <w:b/>
          <w:color w:val="auto"/>
          <w:szCs w:val="24"/>
          <w:highlight w:val="none"/>
        </w:rPr>
        <w:t>4.4投标文件的拒收情形</w:t>
      </w:r>
      <w:bookmarkEnd w:id="216"/>
      <w:bookmarkEnd w:id="2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1"/>
        <w:spacing w:line="440" w:lineRule="exact"/>
        <w:rPr>
          <w:rFonts w:asciiTheme="minorEastAsia" w:hAnsiTheme="minorEastAsia" w:eastAsiaTheme="minorEastAsia" w:cstheme="minorEastAsia"/>
          <w:color w:val="auto"/>
          <w:sz w:val="24"/>
          <w:szCs w:val="24"/>
          <w:highlight w:val="none"/>
        </w:rPr>
      </w:pPr>
      <w:bookmarkStart w:id="218" w:name="_Toc18369"/>
      <w:bookmarkStart w:id="219" w:name="_Toc392345936"/>
      <w:r>
        <w:rPr>
          <w:rFonts w:hint="eastAsia" w:asciiTheme="minorEastAsia" w:hAnsiTheme="minorEastAsia" w:eastAsiaTheme="minorEastAsia" w:cstheme="minorEastAsia"/>
          <w:color w:val="auto"/>
          <w:sz w:val="24"/>
          <w:szCs w:val="24"/>
          <w:highlight w:val="none"/>
        </w:rPr>
        <w:t>5. 开标</w:t>
      </w:r>
      <w:bookmarkEnd w:id="161"/>
      <w:bookmarkEnd w:id="162"/>
      <w:bookmarkEnd w:id="163"/>
      <w:bookmarkEnd w:id="164"/>
      <w:r>
        <w:rPr>
          <w:rFonts w:hint="eastAsia" w:asciiTheme="minorEastAsia" w:hAnsiTheme="minorEastAsia" w:eastAsiaTheme="minorEastAsia" w:cstheme="minorEastAsia"/>
          <w:color w:val="auto"/>
          <w:sz w:val="24"/>
          <w:szCs w:val="24"/>
          <w:highlight w:val="none"/>
        </w:rPr>
        <w:t>程序</w:t>
      </w:r>
      <w:bookmarkEnd w:id="218"/>
      <w:bookmarkEnd w:id="219"/>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2"/>
        <w:spacing w:line="440" w:lineRule="exact"/>
        <w:rPr>
          <w:rFonts w:asciiTheme="minorEastAsia" w:hAnsiTheme="minorEastAsia" w:eastAsiaTheme="minorEastAsia" w:cstheme="minorEastAsia"/>
          <w:b/>
          <w:color w:val="auto"/>
          <w:szCs w:val="24"/>
          <w:highlight w:val="none"/>
        </w:rPr>
      </w:pPr>
      <w:bookmarkStart w:id="220" w:name="_Toc229646741"/>
      <w:bookmarkStart w:id="221" w:name="_Toc152042336"/>
      <w:bookmarkStart w:id="222" w:name="_Toc392345937"/>
      <w:bookmarkStart w:id="223" w:name="_Toc152045560"/>
      <w:bookmarkStart w:id="224" w:name="_Toc144974528"/>
      <w:bookmarkStart w:id="225" w:name="_Toc13624"/>
      <w:r>
        <w:rPr>
          <w:rFonts w:hint="eastAsia" w:asciiTheme="minorEastAsia" w:hAnsiTheme="minorEastAsia" w:eastAsiaTheme="minorEastAsia" w:cstheme="minorEastAsia"/>
          <w:b/>
          <w:color w:val="auto"/>
          <w:szCs w:val="24"/>
          <w:highlight w:val="none"/>
        </w:rPr>
        <w:t>5.1 开标时间和地点</w:t>
      </w:r>
      <w:bookmarkEnd w:id="220"/>
      <w:bookmarkEnd w:id="221"/>
      <w:bookmarkEnd w:id="222"/>
      <w:bookmarkEnd w:id="223"/>
      <w:bookmarkEnd w:id="224"/>
      <w:r>
        <w:rPr>
          <w:rFonts w:hint="eastAsia" w:asciiTheme="minorEastAsia" w:hAnsiTheme="minorEastAsia" w:eastAsiaTheme="minorEastAsia" w:cstheme="minorEastAsia"/>
          <w:b/>
          <w:color w:val="auto"/>
          <w:szCs w:val="24"/>
          <w:highlight w:val="none"/>
        </w:rPr>
        <w:t>、参加开标会议的要求</w:t>
      </w:r>
      <w:bookmarkEnd w:id="22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26" w:name="_Toc152042337"/>
      <w:bookmarkStart w:id="227" w:name="_Toc152045561"/>
      <w:bookmarkStart w:id="228" w:name="_Toc229646742"/>
      <w:bookmarkStart w:id="229" w:name="_Toc28832"/>
      <w:bookmarkStart w:id="230" w:name="_Toc144974529"/>
      <w:bookmarkStart w:id="231" w:name="_Toc392345938"/>
      <w:r>
        <w:rPr>
          <w:rFonts w:hint="eastAsia" w:asciiTheme="minorEastAsia" w:hAnsiTheme="minorEastAsia" w:eastAsiaTheme="minorEastAsia" w:cstheme="minorEastAsia"/>
          <w:b/>
          <w:color w:val="auto"/>
          <w:szCs w:val="24"/>
          <w:highlight w:val="none"/>
        </w:rPr>
        <w:t>5.2开标</w:t>
      </w:r>
      <w:bookmarkEnd w:id="226"/>
      <w:bookmarkEnd w:id="227"/>
      <w:bookmarkEnd w:id="228"/>
      <w:bookmarkEnd w:id="229"/>
      <w:bookmarkEnd w:id="230"/>
      <w:bookmarkEnd w:id="231"/>
    </w:p>
    <w:p>
      <w:pPr>
        <w:ind w:firstLine="480" w:firstLineChars="200"/>
        <w:rPr>
          <w:rFonts w:asciiTheme="minorEastAsia" w:hAnsiTheme="minorEastAsia" w:eastAsiaTheme="minorEastAsia" w:cstheme="minorEastAsia"/>
          <w:color w:val="auto"/>
          <w:sz w:val="24"/>
          <w:szCs w:val="24"/>
          <w:highlight w:val="none"/>
        </w:rPr>
      </w:pPr>
      <w:bookmarkStart w:id="232" w:name="_Toc152045562"/>
      <w:bookmarkStart w:id="233" w:name="_Toc144974530"/>
      <w:bookmarkStart w:id="234" w:name="_Toc152042338"/>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5"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2"/>
        <w:spacing w:line="440" w:lineRule="exact"/>
        <w:rPr>
          <w:rFonts w:asciiTheme="minorEastAsia" w:hAnsiTheme="minorEastAsia" w:eastAsiaTheme="minorEastAsia" w:cstheme="minorEastAsia"/>
          <w:b/>
          <w:color w:val="auto"/>
          <w:szCs w:val="24"/>
          <w:highlight w:val="none"/>
        </w:rPr>
      </w:pPr>
      <w:bookmarkStart w:id="236" w:name="_Toc392345939"/>
      <w:bookmarkStart w:id="237" w:name="_Toc624"/>
      <w:r>
        <w:rPr>
          <w:rFonts w:hint="eastAsia" w:asciiTheme="minorEastAsia" w:hAnsiTheme="minorEastAsia" w:eastAsiaTheme="minorEastAsia" w:cstheme="minorEastAsia"/>
          <w:b/>
          <w:color w:val="auto"/>
          <w:szCs w:val="24"/>
          <w:highlight w:val="none"/>
        </w:rPr>
        <w:t>5.3 开标异议</w:t>
      </w:r>
      <w:bookmarkEnd w:id="235"/>
      <w:bookmarkEnd w:id="236"/>
      <w:bookmarkEnd w:id="237"/>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1"/>
        <w:spacing w:line="440" w:lineRule="exact"/>
        <w:rPr>
          <w:rFonts w:asciiTheme="minorEastAsia" w:hAnsiTheme="minorEastAsia" w:eastAsiaTheme="minorEastAsia" w:cstheme="minorEastAsia"/>
          <w:color w:val="auto"/>
          <w:sz w:val="24"/>
          <w:szCs w:val="24"/>
          <w:highlight w:val="none"/>
        </w:rPr>
      </w:pPr>
      <w:bookmarkStart w:id="238" w:name="_Toc392345940"/>
      <w:bookmarkStart w:id="239" w:name="_Toc229646744"/>
      <w:bookmarkStart w:id="240" w:name="_Toc21142"/>
      <w:r>
        <w:rPr>
          <w:rFonts w:hint="eastAsia" w:asciiTheme="minorEastAsia" w:hAnsiTheme="minorEastAsia" w:eastAsiaTheme="minorEastAsia" w:cstheme="minorEastAsia"/>
          <w:color w:val="auto"/>
          <w:sz w:val="24"/>
          <w:szCs w:val="24"/>
          <w:highlight w:val="none"/>
        </w:rPr>
        <w:t>6. 评标</w:t>
      </w:r>
      <w:bookmarkEnd w:id="232"/>
      <w:bookmarkEnd w:id="233"/>
      <w:bookmarkEnd w:id="234"/>
      <w:bookmarkEnd w:id="238"/>
      <w:bookmarkEnd w:id="239"/>
      <w:bookmarkEnd w:id="240"/>
    </w:p>
    <w:p>
      <w:pPr>
        <w:pStyle w:val="42"/>
        <w:spacing w:line="440" w:lineRule="exact"/>
        <w:rPr>
          <w:rFonts w:asciiTheme="minorEastAsia" w:hAnsiTheme="minorEastAsia" w:eastAsiaTheme="minorEastAsia" w:cstheme="minorEastAsia"/>
          <w:b/>
          <w:color w:val="auto"/>
          <w:szCs w:val="24"/>
          <w:highlight w:val="none"/>
        </w:rPr>
      </w:pPr>
      <w:bookmarkStart w:id="241" w:name="_Toc144974531"/>
      <w:bookmarkStart w:id="242" w:name="_Toc392345941"/>
      <w:bookmarkStart w:id="243" w:name="_Toc229646745"/>
      <w:bookmarkStart w:id="244" w:name="_Toc152045563"/>
      <w:bookmarkStart w:id="245" w:name="_Toc7251"/>
      <w:bookmarkStart w:id="246" w:name="_Toc152042339"/>
      <w:r>
        <w:rPr>
          <w:rFonts w:hint="eastAsia" w:asciiTheme="minorEastAsia" w:hAnsiTheme="minorEastAsia" w:eastAsiaTheme="minorEastAsia" w:cstheme="minorEastAsia"/>
          <w:b/>
          <w:color w:val="auto"/>
          <w:szCs w:val="24"/>
          <w:highlight w:val="none"/>
        </w:rPr>
        <w:t>6.1 评标委员会</w:t>
      </w:r>
      <w:bookmarkEnd w:id="241"/>
      <w:bookmarkEnd w:id="242"/>
      <w:bookmarkEnd w:id="243"/>
      <w:bookmarkEnd w:id="244"/>
      <w:bookmarkEnd w:id="245"/>
      <w:bookmarkEnd w:id="246"/>
    </w:p>
    <w:p>
      <w:pPr>
        <w:ind w:firstLine="480" w:firstLineChars="200"/>
        <w:rPr>
          <w:rFonts w:asciiTheme="minorEastAsia" w:hAnsiTheme="minorEastAsia" w:eastAsiaTheme="minorEastAsia" w:cstheme="minorEastAsia"/>
          <w:color w:val="auto"/>
          <w:sz w:val="24"/>
          <w:szCs w:val="24"/>
          <w:highlight w:val="none"/>
        </w:rPr>
      </w:pPr>
      <w:bookmarkStart w:id="247" w:name="_Toc152045564"/>
      <w:bookmarkStart w:id="248" w:name="_Toc144974532"/>
      <w:bookmarkStart w:id="249" w:name="_Toc152042340"/>
      <w:bookmarkStart w:id="250" w:name="_Toc229646746"/>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2"/>
        <w:tabs>
          <w:tab w:val="left" w:pos="2620"/>
        </w:tabs>
        <w:spacing w:line="440" w:lineRule="exact"/>
        <w:rPr>
          <w:rFonts w:asciiTheme="minorEastAsia" w:hAnsiTheme="minorEastAsia" w:eastAsiaTheme="minorEastAsia" w:cstheme="minorEastAsia"/>
          <w:b/>
          <w:color w:val="auto"/>
          <w:szCs w:val="24"/>
          <w:highlight w:val="none"/>
        </w:rPr>
      </w:pPr>
      <w:bookmarkStart w:id="251" w:name="_Toc392345942"/>
      <w:bookmarkStart w:id="252" w:name="_Toc28610"/>
      <w:r>
        <w:rPr>
          <w:rFonts w:hint="eastAsia" w:asciiTheme="minorEastAsia" w:hAnsiTheme="minorEastAsia" w:eastAsiaTheme="minorEastAsia" w:cstheme="minorEastAsia"/>
          <w:b/>
          <w:color w:val="auto"/>
          <w:szCs w:val="24"/>
          <w:highlight w:val="none"/>
        </w:rPr>
        <w:t>6.2 评标原则</w:t>
      </w:r>
      <w:bookmarkEnd w:id="247"/>
      <w:bookmarkEnd w:id="248"/>
      <w:bookmarkEnd w:id="249"/>
      <w:bookmarkEnd w:id="250"/>
      <w:bookmarkEnd w:id="251"/>
      <w:bookmarkEnd w:id="252"/>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2"/>
        <w:spacing w:line="440" w:lineRule="exact"/>
        <w:rPr>
          <w:rFonts w:asciiTheme="minorEastAsia" w:hAnsiTheme="minorEastAsia" w:eastAsiaTheme="minorEastAsia" w:cstheme="minorEastAsia"/>
          <w:b/>
          <w:color w:val="auto"/>
          <w:szCs w:val="24"/>
          <w:highlight w:val="none"/>
          <w:u w:val="single"/>
        </w:rPr>
      </w:pPr>
      <w:bookmarkStart w:id="253" w:name="_Toc144974533"/>
      <w:bookmarkStart w:id="254" w:name="_Toc1522"/>
      <w:bookmarkStart w:id="255" w:name="_Toc152042341"/>
      <w:bookmarkStart w:id="256" w:name="_Toc392345943"/>
      <w:bookmarkStart w:id="257" w:name="_Toc229646747"/>
      <w:bookmarkStart w:id="258" w:name="_Toc152045565"/>
      <w:r>
        <w:rPr>
          <w:rFonts w:hint="eastAsia" w:asciiTheme="minorEastAsia" w:hAnsiTheme="minorEastAsia" w:eastAsiaTheme="minorEastAsia" w:cstheme="minorEastAsia"/>
          <w:b/>
          <w:color w:val="auto"/>
          <w:szCs w:val="24"/>
          <w:highlight w:val="none"/>
        </w:rPr>
        <w:t>6.3 评标</w:t>
      </w:r>
      <w:bookmarkEnd w:id="253"/>
      <w:bookmarkEnd w:id="254"/>
      <w:bookmarkEnd w:id="255"/>
      <w:bookmarkEnd w:id="256"/>
      <w:bookmarkEnd w:id="257"/>
      <w:bookmarkEnd w:id="258"/>
    </w:p>
    <w:p>
      <w:pPr>
        <w:ind w:firstLine="480" w:firstLineChars="200"/>
        <w:rPr>
          <w:rFonts w:asciiTheme="minorEastAsia" w:hAnsiTheme="minorEastAsia" w:eastAsiaTheme="minorEastAsia" w:cstheme="minorEastAsia"/>
          <w:color w:val="auto"/>
          <w:sz w:val="24"/>
          <w:szCs w:val="24"/>
          <w:highlight w:val="none"/>
        </w:rPr>
      </w:pPr>
      <w:bookmarkStart w:id="259" w:name="_Toc152042342"/>
      <w:bookmarkStart w:id="260" w:name="_Toc144974534"/>
      <w:bookmarkStart w:id="261" w:name="_Toc152045566"/>
      <w:bookmarkStart w:id="262" w:name="_Toc229646748"/>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2"/>
        <w:spacing w:line="440" w:lineRule="exact"/>
        <w:rPr>
          <w:rFonts w:asciiTheme="minorEastAsia" w:hAnsiTheme="minorEastAsia" w:eastAsiaTheme="minorEastAsia" w:cstheme="minorEastAsia"/>
          <w:b/>
          <w:color w:val="auto"/>
          <w:szCs w:val="24"/>
          <w:highlight w:val="none"/>
        </w:rPr>
      </w:pPr>
      <w:bookmarkStart w:id="263" w:name="_Toc413488678"/>
      <w:bookmarkStart w:id="264" w:name="_Toc27286"/>
      <w:r>
        <w:rPr>
          <w:rFonts w:hint="eastAsia" w:asciiTheme="minorEastAsia" w:hAnsiTheme="minorEastAsia" w:eastAsiaTheme="minorEastAsia" w:cstheme="minorEastAsia"/>
          <w:b/>
          <w:color w:val="auto"/>
          <w:szCs w:val="24"/>
          <w:highlight w:val="none"/>
        </w:rPr>
        <w:t>6.4中标候选人公示媒介</w:t>
      </w:r>
      <w:bookmarkEnd w:id="263"/>
      <w:bookmarkEnd w:id="26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1"/>
        <w:spacing w:line="440" w:lineRule="exact"/>
        <w:rPr>
          <w:rFonts w:asciiTheme="minorEastAsia" w:hAnsiTheme="minorEastAsia" w:eastAsiaTheme="minorEastAsia" w:cstheme="minorEastAsia"/>
          <w:color w:val="auto"/>
          <w:sz w:val="24"/>
          <w:szCs w:val="24"/>
          <w:highlight w:val="none"/>
        </w:rPr>
      </w:pPr>
      <w:bookmarkStart w:id="265" w:name="_Toc31997"/>
      <w:bookmarkStart w:id="266" w:name="_Toc392345944"/>
      <w:r>
        <w:rPr>
          <w:rFonts w:hint="eastAsia" w:asciiTheme="minorEastAsia" w:hAnsiTheme="minorEastAsia" w:eastAsiaTheme="minorEastAsia" w:cstheme="minorEastAsia"/>
          <w:color w:val="auto"/>
          <w:sz w:val="24"/>
          <w:szCs w:val="24"/>
          <w:highlight w:val="none"/>
        </w:rPr>
        <w:t>7. 合同授予</w:t>
      </w:r>
      <w:bookmarkEnd w:id="259"/>
      <w:bookmarkEnd w:id="260"/>
      <w:bookmarkEnd w:id="261"/>
      <w:bookmarkEnd w:id="262"/>
      <w:bookmarkEnd w:id="265"/>
      <w:bookmarkEnd w:id="266"/>
    </w:p>
    <w:p>
      <w:pPr>
        <w:pStyle w:val="42"/>
        <w:spacing w:line="440" w:lineRule="exact"/>
        <w:rPr>
          <w:rFonts w:asciiTheme="minorEastAsia" w:hAnsiTheme="minorEastAsia" w:eastAsiaTheme="minorEastAsia" w:cstheme="minorEastAsia"/>
          <w:b/>
          <w:color w:val="auto"/>
          <w:szCs w:val="24"/>
          <w:highlight w:val="none"/>
        </w:rPr>
      </w:pPr>
      <w:bookmarkStart w:id="267" w:name="_Toc144974535"/>
      <w:bookmarkStart w:id="268" w:name="_Toc152042343"/>
      <w:bookmarkStart w:id="269" w:name="_Toc8962"/>
      <w:bookmarkStart w:id="270" w:name="_Toc392345945"/>
      <w:bookmarkStart w:id="271" w:name="_Toc229646749"/>
      <w:bookmarkStart w:id="272" w:name="_Toc152045567"/>
      <w:r>
        <w:rPr>
          <w:rFonts w:hint="eastAsia" w:asciiTheme="minorEastAsia" w:hAnsiTheme="minorEastAsia" w:eastAsiaTheme="minorEastAsia" w:cstheme="minorEastAsia"/>
          <w:b/>
          <w:color w:val="auto"/>
          <w:szCs w:val="24"/>
          <w:highlight w:val="none"/>
        </w:rPr>
        <w:t>7.1 定标方式</w:t>
      </w:r>
      <w:bookmarkEnd w:id="267"/>
      <w:bookmarkEnd w:id="268"/>
      <w:bookmarkEnd w:id="269"/>
      <w:bookmarkEnd w:id="270"/>
      <w:bookmarkEnd w:id="271"/>
      <w:bookmarkEnd w:id="272"/>
    </w:p>
    <w:p>
      <w:pPr>
        <w:ind w:firstLine="480" w:firstLineChars="200"/>
        <w:rPr>
          <w:rFonts w:asciiTheme="minorEastAsia" w:hAnsiTheme="minorEastAsia" w:eastAsiaTheme="minorEastAsia" w:cstheme="minorEastAsia"/>
          <w:color w:val="auto"/>
          <w:sz w:val="24"/>
          <w:szCs w:val="24"/>
          <w:highlight w:val="none"/>
        </w:rPr>
      </w:pPr>
      <w:bookmarkStart w:id="273" w:name="_Toc152045568"/>
      <w:bookmarkStart w:id="274" w:name="_Toc144974536"/>
      <w:bookmarkStart w:id="275" w:name="_Toc229646750"/>
      <w:bookmarkStart w:id="276" w:name="_Toc152042344"/>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77" w:name="_Toc392345946"/>
      <w:bookmarkStart w:id="278" w:name="_Toc32437"/>
      <w:r>
        <w:rPr>
          <w:rFonts w:hint="eastAsia" w:asciiTheme="minorEastAsia" w:hAnsiTheme="minorEastAsia" w:eastAsiaTheme="minorEastAsia" w:cstheme="minorEastAsia"/>
          <w:b/>
          <w:color w:val="auto"/>
          <w:szCs w:val="24"/>
          <w:highlight w:val="none"/>
        </w:rPr>
        <w:t>7.2中标公示</w:t>
      </w:r>
      <w:bookmarkEnd w:id="273"/>
      <w:bookmarkEnd w:id="274"/>
      <w:bookmarkEnd w:id="275"/>
      <w:bookmarkEnd w:id="276"/>
      <w:bookmarkEnd w:id="277"/>
      <w:bookmarkEnd w:id="278"/>
    </w:p>
    <w:p>
      <w:pPr>
        <w:ind w:firstLine="480" w:firstLineChars="200"/>
        <w:rPr>
          <w:rFonts w:asciiTheme="minorEastAsia" w:hAnsiTheme="minorEastAsia" w:eastAsiaTheme="minorEastAsia" w:cstheme="minorEastAsia"/>
          <w:color w:val="auto"/>
          <w:sz w:val="24"/>
          <w:szCs w:val="24"/>
          <w:highlight w:val="none"/>
        </w:rPr>
      </w:pPr>
      <w:bookmarkStart w:id="279" w:name="_Toc152045569"/>
      <w:bookmarkStart w:id="280" w:name="_Toc229646751"/>
      <w:bookmarkStart w:id="281" w:name="_Toc144974537"/>
      <w:bookmarkStart w:id="282" w:name="_Toc152042345"/>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9"/>
    <w:bookmarkEnd w:id="280"/>
    <w:bookmarkEnd w:id="281"/>
    <w:bookmarkEnd w:id="282"/>
    <w:p>
      <w:pPr>
        <w:pStyle w:val="42"/>
        <w:spacing w:line="440" w:lineRule="exact"/>
        <w:rPr>
          <w:rFonts w:asciiTheme="minorEastAsia" w:hAnsiTheme="minorEastAsia" w:eastAsiaTheme="minorEastAsia" w:cstheme="minorEastAsia"/>
          <w:b/>
          <w:color w:val="auto"/>
          <w:szCs w:val="24"/>
          <w:highlight w:val="none"/>
        </w:rPr>
      </w:pPr>
      <w:bookmarkStart w:id="283" w:name="_Toc296602458"/>
      <w:bookmarkStart w:id="284" w:name="_Toc246996955"/>
      <w:bookmarkStart w:id="285" w:name="_Toc247085726"/>
      <w:bookmarkStart w:id="286" w:name="_Toc179632586"/>
      <w:bookmarkStart w:id="287" w:name="_Toc4618"/>
      <w:bookmarkStart w:id="288" w:name="_Toc392345947"/>
      <w:bookmarkStart w:id="289" w:name="_Toc246996212"/>
      <w:r>
        <w:rPr>
          <w:rFonts w:hint="eastAsia" w:asciiTheme="minorEastAsia" w:hAnsiTheme="minorEastAsia" w:eastAsiaTheme="minorEastAsia" w:cstheme="minorEastAsia"/>
          <w:b/>
          <w:color w:val="auto"/>
          <w:szCs w:val="24"/>
          <w:highlight w:val="none"/>
        </w:rPr>
        <w:t>7.3 中标通知</w:t>
      </w:r>
      <w:bookmarkEnd w:id="283"/>
      <w:bookmarkEnd w:id="284"/>
      <w:bookmarkEnd w:id="285"/>
      <w:bookmarkEnd w:id="286"/>
      <w:bookmarkEnd w:id="287"/>
      <w:bookmarkEnd w:id="288"/>
      <w:bookmarkEnd w:id="289"/>
    </w:p>
    <w:p>
      <w:pPr>
        <w:pStyle w:val="10"/>
        <w:ind w:firstLine="480"/>
        <w:rPr>
          <w:rFonts w:asciiTheme="minorEastAsia" w:hAnsiTheme="minorEastAsia" w:eastAsiaTheme="minorEastAsia" w:cstheme="minorEastAsia"/>
          <w:color w:val="auto"/>
          <w:sz w:val="24"/>
          <w:szCs w:val="24"/>
          <w:highlight w:val="none"/>
        </w:rPr>
      </w:pPr>
      <w:bookmarkStart w:id="290" w:name="_Toc246996956"/>
      <w:bookmarkStart w:id="291" w:name="_Toc296602459"/>
      <w:bookmarkStart w:id="292" w:name="_Toc246996213"/>
      <w:bookmarkStart w:id="293" w:name="_Toc392345948"/>
      <w:bookmarkStart w:id="294" w:name="_Toc247085727"/>
      <w:bookmarkStart w:id="295" w:name="_Toc179632587"/>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10"/>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2"/>
        <w:spacing w:line="440" w:lineRule="exact"/>
        <w:rPr>
          <w:rFonts w:asciiTheme="minorEastAsia" w:hAnsiTheme="minorEastAsia" w:eastAsiaTheme="minorEastAsia" w:cstheme="minorEastAsia"/>
          <w:b/>
          <w:color w:val="auto"/>
          <w:szCs w:val="24"/>
          <w:highlight w:val="none"/>
        </w:rPr>
      </w:pPr>
      <w:bookmarkStart w:id="296" w:name="_Toc30125"/>
      <w:r>
        <w:rPr>
          <w:rFonts w:hint="eastAsia" w:asciiTheme="minorEastAsia" w:hAnsiTheme="minorEastAsia" w:eastAsiaTheme="minorEastAsia" w:cstheme="minorEastAsia"/>
          <w:b/>
          <w:color w:val="auto"/>
          <w:szCs w:val="24"/>
          <w:highlight w:val="none"/>
        </w:rPr>
        <w:t>7.4 履约担保</w:t>
      </w:r>
      <w:bookmarkEnd w:id="290"/>
      <w:bookmarkEnd w:id="291"/>
      <w:bookmarkEnd w:id="292"/>
      <w:bookmarkEnd w:id="293"/>
      <w:bookmarkEnd w:id="294"/>
      <w:bookmarkEnd w:id="295"/>
      <w:bookmarkEnd w:id="296"/>
    </w:p>
    <w:p>
      <w:pPr>
        <w:ind w:firstLine="480" w:firstLineChars="200"/>
        <w:rPr>
          <w:rFonts w:asciiTheme="minorEastAsia" w:hAnsiTheme="minorEastAsia" w:eastAsiaTheme="minorEastAsia" w:cstheme="minorEastAsia"/>
          <w:color w:val="auto"/>
          <w:sz w:val="24"/>
          <w:szCs w:val="24"/>
          <w:highlight w:val="none"/>
        </w:rPr>
      </w:pPr>
      <w:bookmarkStart w:id="297" w:name="_Toc179632588"/>
      <w:bookmarkStart w:id="298" w:name="_Toc144974538"/>
      <w:bookmarkStart w:id="299" w:name="_Toc152045570"/>
      <w:bookmarkStart w:id="300" w:name="_Toc296602460"/>
      <w:bookmarkStart w:id="301" w:name="_Toc247085728"/>
      <w:bookmarkStart w:id="302" w:name="_Toc246996957"/>
      <w:bookmarkStart w:id="303" w:name="_Toc246996214"/>
      <w:bookmarkStart w:id="304" w:name="_Toc152042346"/>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2"/>
        <w:spacing w:line="440" w:lineRule="exact"/>
        <w:rPr>
          <w:rFonts w:asciiTheme="minorEastAsia" w:hAnsiTheme="minorEastAsia" w:eastAsiaTheme="minorEastAsia" w:cstheme="minorEastAsia"/>
          <w:b/>
          <w:color w:val="auto"/>
          <w:szCs w:val="24"/>
          <w:highlight w:val="none"/>
        </w:rPr>
      </w:pPr>
      <w:bookmarkStart w:id="305" w:name="_Toc32528"/>
      <w:bookmarkStart w:id="306" w:name="_Toc392345949"/>
      <w:r>
        <w:rPr>
          <w:rFonts w:hint="eastAsia" w:asciiTheme="minorEastAsia" w:hAnsiTheme="minorEastAsia" w:eastAsiaTheme="minorEastAsia" w:cstheme="minorEastAsia"/>
          <w:b/>
          <w:color w:val="auto"/>
          <w:szCs w:val="24"/>
          <w:highlight w:val="none"/>
        </w:rPr>
        <w:t>7.5 签订合同</w:t>
      </w:r>
      <w:bookmarkEnd w:id="297"/>
      <w:bookmarkEnd w:id="298"/>
      <w:bookmarkEnd w:id="299"/>
      <w:bookmarkEnd w:id="300"/>
      <w:bookmarkEnd w:id="301"/>
      <w:bookmarkEnd w:id="302"/>
      <w:bookmarkEnd w:id="303"/>
      <w:bookmarkEnd w:id="304"/>
      <w:bookmarkEnd w:id="305"/>
      <w:bookmarkEnd w:id="30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1"/>
        <w:spacing w:line="440" w:lineRule="exact"/>
        <w:rPr>
          <w:rFonts w:asciiTheme="minorEastAsia" w:hAnsiTheme="minorEastAsia" w:eastAsiaTheme="minorEastAsia" w:cstheme="minorEastAsia"/>
          <w:color w:val="auto"/>
          <w:sz w:val="24"/>
          <w:szCs w:val="24"/>
          <w:highlight w:val="none"/>
        </w:rPr>
      </w:pPr>
      <w:bookmarkStart w:id="307" w:name="_Toc152045571"/>
      <w:bookmarkStart w:id="308" w:name="_Toc323711786"/>
      <w:bookmarkStart w:id="309" w:name="_Toc144974539"/>
      <w:bookmarkStart w:id="310" w:name="_Toc392345950"/>
      <w:bookmarkStart w:id="311" w:name="_Toc152042347"/>
      <w:bookmarkStart w:id="312" w:name="_Toc24179"/>
      <w:bookmarkStart w:id="313" w:name="_Toc245036638"/>
      <w:r>
        <w:rPr>
          <w:rFonts w:hint="eastAsia" w:asciiTheme="minorEastAsia" w:hAnsiTheme="minorEastAsia" w:eastAsiaTheme="minorEastAsia" w:cstheme="minorEastAsia"/>
          <w:color w:val="auto"/>
          <w:sz w:val="24"/>
          <w:szCs w:val="24"/>
          <w:highlight w:val="none"/>
        </w:rPr>
        <w:t>8. 重新招标和不再招标</w:t>
      </w:r>
      <w:bookmarkEnd w:id="307"/>
      <w:bookmarkEnd w:id="308"/>
      <w:bookmarkEnd w:id="309"/>
      <w:bookmarkEnd w:id="310"/>
      <w:bookmarkEnd w:id="311"/>
      <w:bookmarkEnd w:id="312"/>
      <w:bookmarkEnd w:id="313"/>
    </w:p>
    <w:p>
      <w:pPr>
        <w:pStyle w:val="42"/>
        <w:spacing w:line="440" w:lineRule="exact"/>
        <w:rPr>
          <w:rFonts w:asciiTheme="minorEastAsia" w:hAnsiTheme="minorEastAsia" w:eastAsiaTheme="minorEastAsia" w:cstheme="minorEastAsia"/>
          <w:b/>
          <w:color w:val="auto"/>
          <w:szCs w:val="24"/>
          <w:highlight w:val="none"/>
        </w:rPr>
      </w:pPr>
      <w:bookmarkStart w:id="314" w:name="_Toc322615435"/>
      <w:bookmarkStart w:id="315" w:name="_Toc152045572"/>
      <w:bookmarkStart w:id="316" w:name="_Toc17490"/>
      <w:bookmarkStart w:id="317" w:name="_Toc323711787"/>
      <w:bookmarkStart w:id="318" w:name="_Toc319407873"/>
      <w:bookmarkStart w:id="319" w:name="_Toc319408108"/>
      <w:bookmarkStart w:id="320" w:name="_Toc392345951"/>
      <w:bookmarkStart w:id="321" w:name="_Toc144974540"/>
      <w:bookmarkStart w:id="322" w:name="_Toc245036639"/>
      <w:bookmarkStart w:id="323" w:name="_Toc152042348"/>
      <w:r>
        <w:rPr>
          <w:rFonts w:hint="eastAsia" w:asciiTheme="minorEastAsia" w:hAnsiTheme="minorEastAsia" w:eastAsiaTheme="minorEastAsia" w:cstheme="minorEastAsia"/>
          <w:b/>
          <w:color w:val="auto"/>
          <w:szCs w:val="24"/>
          <w:highlight w:val="none"/>
        </w:rPr>
        <w:t>8.1 重新招标</w:t>
      </w:r>
      <w:bookmarkEnd w:id="314"/>
      <w:bookmarkEnd w:id="315"/>
      <w:bookmarkEnd w:id="316"/>
      <w:bookmarkEnd w:id="317"/>
      <w:bookmarkEnd w:id="318"/>
      <w:bookmarkEnd w:id="319"/>
      <w:bookmarkEnd w:id="320"/>
      <w:bookmarkEnd w:id="321"/>
      <w:bookmarkEnd w:id="322"/>
      <w:bookmarkEnd w:id="3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2"/>
        <w:spacing w:line="440" w:lineRule="exact"/>
        <w:rPr>
          <w:rFonts w:asciiTheme="minorEastAsia" w:hAnsiTheme="minorEastAsia" w:eastAsiaTheme="minorEastAsia" w:cstheme="minorEastAsia"/>
          <w:b/>
          <w:color w:val="auto"/>
          <w:szCs w:val="24"/>
          <w:highlight w:val="none"/>
        </w:rPr>
      </w:pPr>
      <w:bookmarkStart w:id="324" w:name="_Toc323711788"/>
      <w:bookmarkStart w:id="325" w:name="_Toc152045573"/>
      <w:bookmarkStart w:id="326" w:name="_Toc144974541"/>
      <w:bookmarkStart w:id="327" w:name="_Toc392345952"/>
      <w:bookmarkStart w:id="328" w:name="_Toc152042349"/>
      <w:bookmarkStart w:id="329" w:name="_Toc322615436"/>
      <w:bookmarkStart w:id="330" w:name="_Toc25234"/>
      <w:bookmarkStart w:id="331" w:name="_Toc319408109"/>
      <w:bookmarkStart w:id="332" w:name="_Toc319407874"/>
      <w:bookmarkStart w:id="333" w:name="_Toc245036640"/>
      <w:r>
        <w:rPr>
          <w:rFonts w:hint="eastAsia" w:asciiTheme="minorEastAsia" w:hAnsiTheme="minorEastAsia" w:eastAsiaTheme="minorEastAsia" w:cstheme="minorEastAsia"/>
          <w:b/>
          <w:color w:val="auto"/>
          <w:szCs w:val="24"/>
          <w:highlight w:val="none"/>
        </w:rPr>
        <w:t>8.2 不再招标</w:t>
      </w:r>
      <w:bookmarkEnd w:id="324"/>
      <w:bookmarkEnd w:id="325"/>
      <w:bookmarkEnd w:id="326"/>
      <w:bookmarkEnd w:id="327"/>
      <w:bookmarkEnd w:id="328"/>
      <w:bookmarkEnd w:id="329"/>
      <w:bookmarkEnd w:id="330"/>
      <w:bookmarkEnd w:id="331"/>
      <w:bookmarkEnd w:id="332"/>
      <w:bookmarkEnd w:id="33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1"/>
        <w:spacing w:line="440" w:lineRule="exact"/>
        <w:rPr>
          <w:rFonts w:asciiTheme="minorEastAsia" w:hAnsiTheme="minorEastAsia" w:eastAsiaTheme="minorEastAsia" w:cstheme="minorEastAsia"/>
          <w:color w:val="auto"/>
          <w:sz w:val="24"/>
          <w:szCs w:val="24"/>
          <w:highlight w:val="none"/>
        </w:rPr>
      </w:pPr>
      <w:bookmarkStart w:id="334" w:name="_Toc152042350"/>
      <w:bookmarkStart w:id="335" w:name="_Toc245036641"/>
      <w:bookmarkStart w:id="336" w:name="_Toc144974542"/>
      <w:bookmarkStart w:id="337" w:name="_Toc17513"/>
      <w:bookmarkStart w:id="338" w:name="_Toc392345953"/>
      <w:bookmarkStart w:id="339" w:name="_Toc323711789"/>
      <w:bookmarkStart w:id="340" w:name="_Toc152045574"/>
      <w:r>
        <w:rPr>
          <w:rFonts w:hint="eastAsia" w:asciiTheme="minorEastAsia" w:hAnsiTheme="minorEastAsia" w:eastAsiaTheme="minorEastAsia" w:cstheme="minorEastAsia"/>
          <w:color w:val="auto"/>
          <w:sz w:val="24"/>
          <w:szCs w:val="24"/>
          <w:highlight w:val="none"/>
        </w:rPr>
        <w:t>9. 纪律和监督</w:t>
      </w:r>
      <w:bookmarkEnd w:id="334"/>
      <w:bookmarkEnd w:id="335"/>
      <w:bookmarkEnd w:id="336"/>
      <w:bookmarkEnd w:id="337"/>
      <w:bookmarkEnd w:id="338"/>
      <w:bookmarkEnd w:id="339"/>
      <w:bookmarkEnd w:id="340"/>
    </w:p>
    <w:p>
      <w:pPr>
        <w:pStyle w:val="42"/>
        <w:spacing w:line="440" w:lineRule="exact"/>
        <w:rPr>
          <w:rFonts w:asciiTheme="minorEastAsia" w:hAnsiTheme="minorEastAsia" w:eastAsiaTheme="minorEastAsia" w:cstheme="minorEastAsia"/>
          <w:b/>
          <w:color w:val="auto"/>
          <w:szCs w:val="24"/>
          <w:highlight w:val="none"/>
        </w:rPr>
      </w:pPr>
      <w:bookmarkStart w:id="341" w:name="_Toc319408111"/>
      <w:bookmarkStart w:id="342" w:name="_Toc245036642"/>
      <w:bookmarkStart w:id="343" w:name="_Toc152045575"/>
      <w:bookmarkStart w:id="344" w:name="_Toc144974543"/>
      <w:bookmarkStart w:id="345" w:name="_Toc323711790"/>
      <w:bookmarkStart w:id="346" w:name="_Toc322615438"/>
      <w:bookmarkStart w:id="347" w:name="_Toc9358"/>
      <w:bookmarkStart w:id="348" w:name="_Toc152042351"/>
      <w:bookmarkStart w:id="349" w:name="_Toc392345954"/>
      <w:bookmarkStart w:id="350" w:name="_Toc319407876"/>
      <w:r>
        <w:rPr>
          <w:rFonts w:hint="eastAsia" w:asciiTheme="minorEastAsia" w:hAnsiTheme="minorEastAsia" w:eastAsiaTheme="minorEastAsia" w:cstheme="minorEastAsia"/>
          <w:b/>
          <w:color w:val="auto"/>
          <w:szCs w:val="24"/>
          <w:highlight w:val="none"/>
        </w:rPr>
        <w:t>9.1 对招标人的纪律要求</w:t>
      </w:r>
      <w:bookmarkEnd w:id="341"/>
      <w:bookmarkEnd w:id="342"/>
      <w:bookmarkEnd w:id="343"/>
      <w:bookmarkEnd w:id="344"/>
      <w:bookmarkEnd w:id="345"/>
      <w:bookmarkEnd w:id="346"/>
      <w:bookmarkEnd w:id="347"/>
      <w:bookmarkEnd w:id="348"/>
      <w:bookmarkEnd w:id="349"/>
      <w:bookmarkEnd w:id="35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2"/>
        <w:spacing w:line="440" w:lineRule="exact"/>
        <w:rPr>
          <w:rFonts w:asciiTheme="minorEastAsia" w:hAnsiTheme="minorEastAsia" w:eastAsiaTheme="minorEastAsia" w:cstheme="minorEastAsia"/>
          <w:b/>
          <w:color w:val="auto"/>
          <w:szCs w:val="24"/>
          <w:highlight w:val="none"/>
        </w:rPr>
      </w:pPr>
      <w:bookmarkStart w:id="351" w:name="_Toc392345955"/>
      <w:bookmarkStart w:id="352" w:name="_Toc245036643"/>
      <w:bookmarkStart w:id="353" w:name="_Toc144974544"/>
      <w:bookmarkStart w:id="354" w:name="_Toc319408112"/>
      <w:bookmarkStart w:id="355" w:name="_Toc323711791"/>
      <w:bookmarkStart w:id="356" w:name="_Toc152045576"/>
      <w:bookmarkStart w:id="357" w:name="_Toc214"/>
      <w:bookmarkStart w:id="358" w:name="_Toc322615439"/>
      <w:bookmarkStart w:id="359" w:name="_Toc152042352"/>
      <w:bookmarkStart w:id="360" w:name="_Toc319407877"/>
      <w:r>
        <w:rPr>
          <w:rFonts w:hint="eastAsia" w:asciiTheme="minorEastAsia" w:hAnsiTheme="minorEastAsia" w:eastAsiaTheme="minorEastAsia" w:cstheme="minorEastAsia"/>
          <w:b/>
          <w:color w:val="auto"/>
          <w:szCs w:val="24"/>
          <w:highlight w:val="none"/>
        </w:rPr>
        <w:t>9.2 对投标人的纪律要求</w:t>
      </w:r>
      <w:bookmarkEnd w:id="351"/>
      <w:bookmarkEnd w:id="352"/>
      <w:bookmarkEnd w:id="353"/>
      <w:bookmarkEnd w:id="354"/>
      <w:bookmarkEnd w:id="355"/>
      <w:bookmarkEnd w:id="356"/>
      <w:bookmarkEnd w:id="357"/>
      <w:bookmarkEnd w:id="358"/>
      <w:bookmarkEnd w:id="359"/>
      <w:bookmarkEnd w:id="36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2"/>
        <w:spacing w:line="440" w:lineRule="exact"/>
        <w:rPr>
          <w:rFonts w:asciiTheme="minorEastAsia" w:hAnsiTheme="minorEastAsia" w:eastAsiaTheme="minorEastAsia" w:cstheme="minorEastAsia"/>
          <w:b/>
          <w:color w:val="auto"/>
          <w:szCs w:val="24"/>
          <w:highlight w:val="none"/>
        </w:rPr>
      </w:pPr>
      <w:bookmarkStart w:id="361" w:name="_Toc152045577"/>
      <w:bookmarkStart w:id="362" w:name="_Toc245036644"/>
      <w:bookmarkStart w:id="363" w:name="_Toc319407878"/>
      <w:bookmarkStart w:id="364" w:name="_Toc152042353"/>
      <w:bookmarkStart w:id="365" w:name="_Toc322615440"/>
      <w:bookmarkStart w:id="366" w:name="_Toc3266"/>
      <w:bookmarkStart w:id="367" w:name="_Toc319408113"/>
      <w:bookmarkStart w:id="368" w:name="_Toc392345956"/>
      <w:bookmarkStart w:id="369" w:name="_Toc323711792"/>
      <w:bookmarkStart w:id="370" w:name="_Toc144974545"/>
      <w:r>
        <w:rPr>
          <w:rFonts w:hint="eastAsia" w:asciiTheme="minorEastAsia" w:hAnsiTheme="minorEastAsia" w:eastAsiaTheme="minorEastAsia" w:cstheme="minorEastAsia"/>
          <w:b/>
          <w:color w:val="auto"/>
          <w:szCs w:val="24"/>
          <w:highlight w:val="none"/>
        </w:rPr>
        <w:t>9.3 对评标委员会成员的纪律要求</w:t>
      </w:r>
      <w:bookmarkEnd w:id="361"/>
      <w:bookmarkEnd w:id="362"/>
      <w:bookmarkEnd w:id="363"/>
      <w:bookmarkEnd w:id="364"/>
      <w:bookmarkEnd w:id="365"/>
      <w:bookmarkEnd w:id="366"/>
      <w:bookmarkEnd w:id="367"/>
      <w:bookmarkEnd w:id="368"/>
      <w:bookmarkEnd w:id="369"/>
      <w:bookmarkEnd w:id="37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2"/>
        <w:spacing w:line="440" w:lineRule="exact"/>
        <w:rPr>
          <w:rFonts w:asciiTheme="minorEastAsia" w:hAnsiTheme="minorEastAsia" w:eastAsiaTheme="minorEastAsia" w:cstheme="minorEastAsia"/>
          <w:b/>
          <w:color w:val="auto"/>
          <w:szCs w:val="24"/>
          <w:highlight w:val="none"/>
        </w:rPr>
      </w:pPr>
      <w:bookmarkStart w:id="371" w:name="_Toc480"/>
      <w:bookmarkStart w:id="372" w:name="_Toc319407879"/>
      <w:bookmarkStart w:id="373" w:name="_Toc322615441"/>
      <w:bookmarkStart w:id="374" w:name="_Toc152045578"/>
      <w:bookmarkStart w:id="375" w:name="_Toc245036645"/>
      <w:bookmarkStart w:id="376" w:name="_Toc152042354"/>
      <w:bookmarkStart w:id="377" w:name="_Toc323711793"/>
      <w:bookmarkStart w:id="378" w:name="_Toc392345957"/>
      <w:bookmarkStart w:id="379" w:name="_Toc319408114"/>
      <w:bookmarkStart w:id="380"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1"/>
      <w:bookmarkEnd w:id="372"/>
      <w:bookmarkEnd w:id="373"/>
      <w:bookmarkEnd w:id="374"/>
      <w:bookmarkEnd w:id="375"/>
      <w:bookmarkEnd w:id="376"/>
      <w:bookmarkEnd w:id="377"/>
      <w:bookmarkEnd w:id="378"/>
      <w:bookmarkEnd w:id="379"/>
    </w:p>
    <w:p>
      <w:pPr>
        <w:ind w:firstLine="480" w:firstLineChars="200"/>
        <w:rPr>
          <w:rFonts w:asciiTheme="minorEastAsia" w:hAnsiTheme="minorEastAsia" w:eastAsiaTheme="minorEastAsia" w:cstheme="minorEastAsia"/>
          <w:color w:val="auto"/>
          <w:sz w:val="24"/>
          <w:szCs w:val="24"/>
          <w:highlight w:val="none"/>
        </w:rPr>
      </w:pPr>
      <w:bookmarkStart w:id="381"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1"/>
    </w:p>
    <w:p>
      <w:pPr>
        <w:pStyle w:val="42"/>
        <w:spacing w:line="440" w:lineRule="exact"/>
        <w:rPr>
          <w:rFonts w:asciiTheme="minorEastAsia" w:hAnsiTheme="minorEastAsia" w:eastAsiaTheme="minorEastAsia" w:cstheme="minorEastAsia"/>
          <w:b/>
          <w:color w:val="auto"/>
          <w:szCs w:val="24"/>
          <w:highlight w:val="none"/>
        </w:rPr>
      </w:pPr>
      <w:bookmarkStart w:id="382" w:name="_Toc152045579"/>
      <w:bookmarkStart w:id="383" w:name="_Toc322615442"/>
      <w:bookmarkStart w:id="384" w:name="_Toc319408115"/>
      <w:bookmarkStart w:id="385" w:name="_Toc245036646"/>
      <w:bookmarkStart w:id="386" w:name="_Toc152042356"/>
      <w:bookmarkStart w:id="387" w:name="_Toc392345958"/>
      <w:bookmarkStart w:id="388" w:name="_Toc319407880"/>
      <w:bookmarkStart w:id="389" w:name="_Toc323711794"/>
      <w:bookmarkStart w:id="390" w:name="_Toc9812"/>
      <w:r>
        <w:rPr>
          <w:rFonts w:hint="eastAsia" w:asciiTheme="minorEastAsia" w:hAnsiTheme="minorEastAsia" w:eastAsiaTheme="minorEastAsia" w:cstheme="minorEastAsia"/>
          <w:b/>
          <w:color w:val="auto"/>
          <w:szCs w:val="24"/>
          <w:highlight w:val="none"/>
        </w:rPr>
        <w:t>9.5</w:t>
      </w:r>
      <w:bookmarkEnd w:id="380"/>
      <w:bookmarkEnd w:id="382"/>
      <w:bookmarkEnd w:id="383"/>
      <w:bookmarkEnd w:id="384"/>
      <w:bookmarkEnd w:id="385"/>
      <w:bookmarkEnd w:id="386"/>
      <w:bookmarkEnd w:id="387"/>
      <w:bookmarkEnd w:id="388"/>
      <w:bookmarkEnd w:id="389"/>
      <w:bookmarkStart w:id="391" w:name="_Toc246996223"/>
      <w:bookmarkStart w:id="392" w:name="_Toc357955317"/>
      <w:bookmarkStart w:id="393" w:name="_Toc179632597"/>
      <w:bookmarkStart w:id="394" w:name="_Toc296602466"/>
      <w:bookmarkStart w:id="395" w:name="_Toc247085737"/>
      <w:bookmarkStart w:id="396" w:name="_Toc246996966"/>
      <w:bookmarkStart w:id="397" w:name="_Toc144974547"/>
      <w:bookmarkStart w:id="398" w:name="_Toc392345959"/>
      <w:bookmarkStart w:id="399" w:name="_Toc152042357"/>
      <w:bookmarkStart w:id="400" w:name="_Toc245036647"/>
      <w:bookmarkStart w:id="401" w:name="_Toc152045580"/>
      <w:bookmarkStart w:id="402" w:name="_Toc323711795"/>
      <w:r>
        <w:rPr>
          <w:rFonts w:hint="eastAsia" w:asciiTheme="minorEastAsia" w:hAnsiTheme="minorEastAsia" w:eastAsiaTheme="minorEastAsia" w:cstheme="minorEastAsia"/>
          <w:b/>
          <w:color w:val="auto"/>
          <w:szCs w:val="24"/>
          <w:highlight w:val="none"/>
        </w:rPr>
        <w:t>异议与投诉</w:t>
      </w:r>
      <w:bookmarkEnd w:id="390"/>
      <w:bookmarkEnd w:id="391"/>
      <w:bookmarkEnd w:id="392"/>
      <w:bookmarkEnd w:id="393"/>
      <w:bookmarkEnd w:id="394"/>
      <w:bookmarkEnd w:id="395"/>
      <w:bookmarkEnd w:id="39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2"/>
        <w:spacing w:line="440" w:lineRule="exact"/>
        <w:rPr>
          <w:rFonts w:asciiTheme="minorEastAsia" w:hAnsiTheme="minorEastAsia" w:eastAsiaTheme="minorEastAsia" w:cstheme="minorEastAsia"/>
          <w:color w:val="auto"/>
          <w:szCs w:val="24"/>
          <w:highlight w:val="none"/>
        </w:rPr>
      </w:pPr>
      <w:bookmarkStart w:id="403" w:name="_Toc576"/>
      <w:r>
        <w:rPr>
          <w:rFonts w:hint="eastAsia" w:asciiTheme="minorEastAsia" w:hAnsiTheme="minorEastAsia" w:eastAsiaTheme="minorEastAsia" w:cstheme="minorEastAsia"/>
          <w:color w:val="auto"/>
          <w:szCs w:val="24"/>
          <w:highlight w:val="none"/>
        </w:rPr>
        <w:t xml:space="preserve">10. </w:t>
      </w:r>
      <w:bookmarkEnd w:id="397"/>
      <w:bookmarkEnd w:id="398"/>
      <w:bookmarkEnd w:id="399"/>
      <w:bookmarkEnd w:id="400"/>
      <w:bookmarkEnd w:id="401"/>
      <w:bookmarkEnd w:id="402"/>
      <w:r>
        <w:rPr>
          <w:rFonts w:hint="eastAsia" w:asciiTheme="minorEastAsia" w:hAnsiTheme="minorEastAsia" w:eastAsiaTheme="minorEastAsia" w:cstheme="minorEastAsia"/>
          <w:color w:val="auto"/>
          <w:szCs w:val="24"/>
          <w:highlight w:val="none"/>
        </w:rPr>
        <w:t>需要补充的其他内容</w:t>
      </w:r>
      <w:bookmarkEnd w:id="403"/>
    </w:p>
    <w:p>
      <w:pPr>
        <w:ind w:firstLine="480" w:firstLineChars="200"/>
        <w:rPr>
          <w:rFonts w:asciiTheme="minorEastAsia" w:hAnsiTheme="minorEastAsia" w:eastAsiaTheme="minorEastAsia" w:cstheme="minorEastAsia"/>
          <w:color w:val="auto"/>
          <w:sz w:val="24"/>
          <w:szCs w:val="24"/>
          <w:highlight w:val="none"/>
        </w:rPr>
      </w:pPr>
      <w:bookmarkStart w:id="404" w:name="_Toc322615444"/>
      <w:bookmarkStart w:id="405" w:name="_Toc323711796"/>
      <w:r>
        <w:rPr>
          <w:rFonts w:hint="eastAsia" w:asciiTheme="minorEastAsia" w:hAnsiTheme="minorEastAsia" w:eastAsiaTheme="minorEastAsia" w:cstheme="minorEastAsia"/>
          <w:color w:val="auto"/>
          <w:sz w:val="24"/>
          <w:szCs w:val="24"/>
          <w:highlight w:val="none"/>
        </w:rPr>
        <w:t>10.1否决投标的情形</w:t>
      </w:r>
      <w:bookmarkEnd w:id="404"/>
      <w:bookmarkEnd w:id="405"/>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6" w:name="_Toc323711797"/>
      <w:bookmarkStart w:id="407" w:name="_Toc322615445"/>
      <w:r>
        <w:rPr>
          <w:rFonts w:hint="eastAsia" w:asciiTheme="minorEastAsia" w:hAnsiTheme="minorEastAsia" w:eastAsiaTheme="minorEastAsia" w:cstheme="minorEastAsia"/>
          <w:color w:val="auto"/>
          <w:sz w:val="24"/>
          <w:szCs w:val="24"/>
          <w:highlight w:val="none"/>
        </w:rPr>
        <w:t>10.2</w:t>
      </w:r>
      <w:bookmarkEnd w:id="406"/>
      <w:bookmarkEnd w:id="407"/>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7"/>
        <w:ind w:firstLine="482"/>
        <w:rPr>
          <w:rFonts w:asciiTheme="minorEastAsia" w:hAnsiTheme="minorEastAsia" w:eastAsiaTheme="minorEastAsia" w:cstheme="minorEastAsia"/>
          <w:color w:val="auto"/>
          <w:sz w:val="24"/>
          <w:szCs w:val="24"/>
          <w:highlight w:val="none"/>
        </w:rPr>
      </w:pPr>
      <w:bookmarkStart w:id="408" w:name="_Toc21652"/>
      <w:bookmarkStart w:id="409" w:name="_Toc413527432"/>
      <w:bookmarkStart w:id="410" w:name="_Toc184635081"/>
      <w:bookmarkStart w:id="411" w:name="_Toc323711800"/>
      <w:r>
        <w:rPr>
          <w:rFonts w:hint="eastAsia" w:asciiTheme="minorEastAsia" w:hAnsiTheme="minorEastAsia" w:eastAsiaTheme="minorEastAsia" w:cstheme="minorEastAsia"/>
          <w:color w:val="auto"/>
          <w:sz w:val="24"/>
          <w:szCs w:val="24"/>
          <w:highlight w:val="none"/>
        </w:rPr>
        <w:t>附表一：开标记录表</w:t>
      </w:r>
      <w:bookmarkEnd w:id="408"/>
      <w:r>
        <w:rPr>
          <w:rFonts w:hint="eastAsia" w:asciiTheme="minorEastAsia" w:hAnsiTheme="minorEastAsia" w:eastAsiaTheme="minorEastAsia" w:cstheme="minorEastAsia"/>
          <w:color w:val="auto"/>
          <w:sz w:val="24"/>
          <w:szCs w:val="24"/>
          <w:highlight w:val="none"/>
        </w:rPr>
        <w:t>（略）</w:t>
      </w:r>
    </w:p>
    <w:p>
      <w:pPr>
        <w:pStyle w:val="7"/>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6" w:h="16838"/>
          <w:pgMar w:top="1418" w:right="1134" w:bottom="1418" w:left="1134" w:header="851" w:footer="992" w:gutter="0"/>
          <w:cols w:space="720" w:num="1"/>
          <w:docGrid w:type="lines"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2" w:name="_Toc9597"/>
      <w:r>
        <w:rPr>
          <w:rFonts w:hint="eastAsia" w:asciiTheme="minorEastAsia" w:hAnsiTheme="minorEastAsia" w:eastAsiaTheme="minorEastAsia" w:cstheme="minorEastAsia"/>
          <w:color w:val="auto"/>
          <w:sz w:val="24"/>
          <w:szCs w:val="24"/>
          <w:highlight w:val="none"/>
        </w:rPr>
        <w:t>附表三：问题的澄清</w:t>
      </w:r>
      <w:bookmarkEnd w:id="412"/>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3" w:name="_Toc11393"/>
      <w:r>
        <w:rPr>
          <w:rFonts w:hint="eastAsia" w:asciiTheme="minorEastAsia" w:hAnsiTheme="minorEastAsia" w:eastAsiaTheme="minorEastAsia" w:cstheme="minorEastAsia"/>
          <w:color w:val="auto"/>
          <w:sz w:val="24"/>
          <w:szCs w:val="24"/>
          <w:highlight w:val="none"/>
        </w:rPr>
        <w:t>附表四：中标通知书</w:t>
      </w:r>
      <w:bookmarkEnd w:id="413"/>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w:t>
      </w:r>
      <w:r>
        <w:rPr>
          <w:rFonts w:hint="eastAsia" w:asciiTheme="minorEastAsia" w:hAnsiTheme="minorEastAsia" w:eastAsiaTheme="minorEastAsia" w:cstheme="minorEastAsia"/>
          <w:color w:val="auto"/>
          <w:sz w:val="24"/>
          <w:szCs w:val="24"/>
          <w:highlight w:val="none"/>
          <w:lang w:eastAsia="zh-CN"/>
        </w:rPr>
        <w:t>履约保证金为中标金额的</w:t>
      </w:r>
      <w:r>
        <w:rPr>
          <w:rFonts w:hint="eastAsia" w:asciiTheme="minorEastAsia" w:hAnsiTheme="minorEastAsia" w:eastAsiaTheme="minorEastAsia" w:cstheme="minorEastAsia"/>
          <w:color w:val="auto"/>
          <w:sz w:val="24"/>
          <w:szCs w:val="24"/>
          <w:highlight w:val="none"/>
          <w:lang w:val="en-US" w:eastAsia="zh-CN"/>
        </w:rPr>
        <w:t>2%，应在合同签订后15日内缴纳。</w:t>
      </w:r>
      <w:r>
        <w:rPr>
          <w:rFonts w:hint="eastAsia" w:asciiTheme="minorEastAsia" w:hAnsiTheme="minorEastAsia" w:eastAsiaTheme="minorEastAsia" w:cstheme="minorEastAsia"/>
          <w:color w:val="auto"/>
          <w:sz w:val="24"/>
          <w:szCs w:val="24"/>
          <w:highlight w:val="none"/>
        </w:rPr>
        <w:t>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6"/>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招标代理：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备案部门：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7"/>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4" w:name="_Toc30185"/>
      <w:r>
        <w:rPr>
          <w:rFonts w:hint="eastAsia" w:asciiTheme="minorEastAsia" w:hAnsiTheme="minorEastAsia" w:eastAsiaTheme="minorEastAsia" w:cstheme="minorEastAsia"/>
          <w:color w:val="auto"/>
          <w:sz w:val="24"/>
          <w:szCs w:val="24"/>
          <w:highlight w:val="none"/>
        </w:rPr>
        <w:t>附表五：中标结果通知书</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7"/>
        <w:ind w:firstLine="482"/>
        <w:rPr>
          <w:rFonts w:asciiTheme="minorEastAsia" w:hAnsiTheme="minorEastAsia" w:eastAsiaTheme="minorEastAsia" w:cstheme="minorEastAsia"/>
          <w:color w:val="auto"/>
          <w:sz w:val="24"/>
          <w:szCs w:val="24"/>
          <w:highlight w:val="none"/>
        </w:rPr>
      </w:pPr>
      <w:bookmarkStart w:id="415" w:name="_Toc23370"/>
      <w:r>
        <w:rPr>
          <w:rFonts w:hint="eastAsia" w:asciiTheme="minorEastAsia" w:hAnsiTheme="minorEastAsia" w:eastAsiaTheme="minorEastAsia" w:cstheme="minorEastAsia"/>
          <w:color w:val="auto"/>
          <w:sz w:val="24"/>
          <w:szCs w:val="24"/>
          <w:highlight w:val="none"/>
        </w:rPr>
        <w:t>附表六：确认通知</w:t>
      </w:r>
      <w:bookmarkEnd w:id="415"/>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9"/>
    <w:bookmarkEnd w:id="410"/>
    <w:bookmarkEnd w:id="411"/>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6" w:name="_Toc413527636"/>
      <w:bookmarkStart w:id="417" w:name="_Toc321687881"/>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5"/>
        <w:rPr>
          <w:color w:val="auto"/>
          <w:highlight w:val="none"/>
        </w:rPr>
      </w:pPr>
      <w:bookmarkStart w:id="418"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6"/>
      <w:bookmarkEnd w:id="417"/>
      <w:bookmarkEnd w:id="418"/>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6"/>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22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38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评分标准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（A=22分）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投标人资质（</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投标人具有IS09001质量管理体系认证、ISO14001环境管理体系认证、ISO45001职业健康安全管理体系认证、IS013485医疗器械质量管理体系认证。（体系认证覆盖：医疗相关认证证书）</w:t>
            </w:r>
            <w:r>
              <w:rPr>
                <w:rFonts w:hint="eastAsia" w:ascii="宋体" w:hAnsi="宋体" w:cs="宋体"/>
                <w:color w:val="auto"/>
                <w:sz w:val="24"/>
                <w:szCs w:val="24"/>
                <w:highlight w:val="none"/>
                <w:lang w:val="en-US" w:eastAsia="zh-CN"/>
              </w:rPr>
              <w:t>每个</w:t>
            </w:r>
            <w:r>
              <w:rPr>
                <w:rFonts w:hint="eastAsia" w:ascii="宋体" w:hAnsi="宋体" w:cs="宋体"/>
                <w:color w:val="auto"/>
                <w:sz w:val="24"/>
                <w:szCs w:val="24"/>
                <w:highlight w:val="none"/>
              </w:rPr>
              <w:t>得1分，共4分。若某个证书不在有效期内则该证书不得分，本项最高得4分。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成功案例及业绩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投标人自2016年1月1日至投标截止日止，完成过单项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金额600（含）-1000万元（不含）的同类项目业绩的，每项业绩得1分；完成过单项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金额1000万元及以上的同类项目业绩的，每项业绩得2分。本项最多提供3个业绩，最高得6分。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注：业绩证明材料必须同时提供合同和竣工报告（时间以验收</w:t>
            </w:r>
            <w:r>
              <w:rPr>
                <w:rFonts w:hint="eastAsia" w:ascii="宋体" w:hAnsi="宋体" w:cs="宋体"/>
                <w:b/>
                <w:bCs/>
                <w:color w:val="auto"/>
                <w:sz w:val="24"/>
                <w:szCs w:val="24"/>
                <w:highlight w:val="none"/>
                <w:lang w:val="en-US" w:eastAsia="zh-CN"/>
              </w:rPr>
              <w:t>证明</w:t>
            </w:r>
            <w:r>
              <w:rPr>
                <w:rFonts w:hint="eastAsia" w:ascii="宋体" w:hAnsi="宋体" w:cs="宋体"/>
                <w:b/>
                <w:bCs/>
                <w:color w:val="auto"/>
                <w:sz w:val="24"/>
                <w:szCs w:val="24"/>
                <w:highlight w:val="none"/>
              </w:rPr>
              <w:t>时间为准）的复印件加盖投标人公章，二者必须兼备，若缺其中任何一项则业绩不予认可。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项目负责人业绩（3分）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本项目拟派项目负责人自2016年1月1日至投标截止日止，完成过单项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金额600（含）-1000万元（不含）的同类项目业绩的，每项业绩得0.5分；完成过单项</w:t>
            </w:r>
            <w:r>
              <w:rPr>
                <w:rFonts w:hint="eastAsia" w:ascii="宋体" w:hAnsi="宋体" w:cs="宋体"/>
                <w:color w:val="auto"/>
                <w:sz w:val="24"/>
                <w:szCs w:val="24"/>
                <w:highlight w:val="none"/>
                <w:lang w:val="en-US" w:eastAsia="zh-CN"/>
              </w:rPr>
              <w:t>合同</w:t>
            </w:r>
            <w:r>
              <w:rPr>
                <w:rFonts w:hint="eastAsia" w:ascii="宋体" w:hAnsi="宋体" w:cs="宋体"/>
                <w:color w:val="auto"/>
                <w:sz w:val="24"/>
                <w:szCs w:val="24"/>
                <w:highlight w:val="none"/>
              </w:rPr>
              <w:t>金额1000万元及以上的同类项目业绩的，每项业绩得1.5分。本项最多提供2个业绩，最高得3分。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注：业绩证明材料必须同时提供中标通知书（或合同须体现项目负责人）和竣工报告（时间以验收</w:t>
            </w:r>
            <w:r>
              <w:rPr>
                <w:rFonts w:hint="eastAsia" w:ascii="宋体" w:hAnsi="宋体" w:cs="宋体"/>
                <w:b/>
                <w:bCs/>
                <w:color w:val="auto"/>
                <w:sz w:val="24"/>
                <w:szCs w:val="24"/>
                <w:highlight w:val="none"/>
                <w:lang w:val="en-US" w:eastAsia="zh-CN"/>
              </w:rPr>
              <w:t>证明</w:t>
            </w:r>
            <w:r>
              <w:rPr>
                <w:rFonts w:hint="eastAsia" w:ascii="宋体" w:hAnsi="宋体" w:cs="宋体"/>
                <w:b/>
                <w:bCs/>
                <w:color w:val="auto"/>
                <w:sz w:val="24"/>
                <w:szCs w:val="24"/>
                <w:highlight w:val="none"/>
              </w:rPr>
              <w:t>时间为准）的复印件加盖投标人公章，二者必须兼备，若缺其中任何一项则业绩不予认可。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项目人员配备（</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1、本项目拟派的项目负责人具备</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高级工程师及以上专业技术职称的或机电工程一级注册建造师证书的，得1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分；具备</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工程师专业技术职称的，得0.5分；其余不得分。本项最高得1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2、本项目拟派的技术负责人具有</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高级工程师及以上职称的或机电工程一级注册建造师证书的，得1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分；具有</w:t>
            </w:r>
            <w:r>
              <w:rPr>
                <w:rFonts w:hint="eastAsia" w:ascii="宋体" w:hAnsi="宋体" w:cs="宋体"/>
                <w:color w:val="auto"/>
                <w:sz w:val="24"/>
                <w:szCs w:val="24"/>
                <w:highlight w:val="none"/>
                <w:lang w:val="en-US" w:eastAsia="zh-CN"/>
              </w:rPr>
              <w:t>机电安装工程</w:t>
            </w:r>
            <w:r>
              <w:rPr>
                <w:rFonts w:hint="eastAsia" w:ascii="宋体" w:hAnsi="宋体" w:cs="宋体"/>
                <w:color w:val="auto"/>
                <w:sz w:val="24"/>
                <w:szCs w:val="24"/>
                <w:highlight w:val="none"/>
              </w:rPr>
              <w:t>工程师职称的或机电工程二级注册建造师证书的，得0.5分，其余均不得分。本项最高得1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kern w:val="2"/>
                <w:sz w:val="24"/>
                <w:szCs w:val="24"/>
                <w:highlight w:val="none"/>
              </w:rPr>
              <w:t xml:space="preserve">投标文件中提供证书复印件，同时须提供拟派项目负责人缴费期限包含 </w:t>
            </w:r>
            <w:r>
              <w:rPr>
                <w:rFonts w:hint="eastAsia" w:ascii="宋体" w:hAnsi="宋体" w:cs="宋体"/>
                <w:b/>
                <w:bCs/>
                <w:color w:val="auto"/>
                <w:kern w:val="2"/>
                <w:sz w:val="24"/>
                <w:szCs w:val="24"/>
                <w:highlight w:val="none"/>
              </w:rPr>
              <w:t>2021年0</w:t>
            </w:r>
            <w:r>
              <w:rPr>
                <w:rFonts w:hint="eastAsia" w:ascii="宋体" w:hAnsi="宋体" w:cs="宋体"/>
                <w:b/>
                <w:bCs/>
                <w:color w:val="auto"/>
                <w:kern w:val="2"/>
                <w:sz w:val="24"/>
                <w:szCs w:val="24"/>
                <w:highlight w:val="none"/>
                <w:lang w:val="en-US" w:eastAsia="zh-CN"/>
              </w:rPr>
              <w:t>9</w:t>
            </w:r>
            <w:r>
              <w:rPr>
                <w:rFonts w:hint="eastAsia" w:ascii="宋体" w:hAnsi="宋体" w:cs="宋体"/>
                <w:b/>
                <w:bCs/>
                <w:color w:val="auto"/>
                <w:kern w:val="2"/>
                <w:sz w:val="24"/>
                <w:szCs w:val="24"/>
                <w:highlight w:val="none"/>
              </w:rPr>
              <w:t xml:space="preserve">月至 2021年 </w:t>
            </w:r>
            <w:r>
              <w:rPr>
                <w:rFonts w:hint="eastAsia" w:ascii="宋体" w:hAnsi="宋体" w:cs="宋体"/>
                <w:b/>
                <w:bCs/>
                <w:color w:val="auto"/>
                <w:kern w:val="2"/>
                <w:sz w:val="24"/>
                <w:szCs w:val="24"/>
                <w:highlight w:val="none"/>
                <w:lang w:val="en-US" w:eastAsia="zh-CN"/>
              </w:rPr>
              <w:t>11</w:t>
            </w:r>
            <w:r>
              <w:rPr>
                <w:rFonts w:hint="eastAsia" w:ascii="宋体" w:hAnsi="宋体" w:cs="宋体"/>
                <w:b/>
                <w:bCs/>
                <w:color w:val="auto"/>
                <w:kern w:val="2"/>
                <w:sz w:val="24"/>
                <w:szCs w:val="24"/>
                <w:highlight w:val="none"/>
              </w:rPr>
              <w:t>月的投标人所属社保机构养老保险交纳清单或证明</w:t>
            </w:r>
            <w:r>
              <w:rPr>
                <w:rFonts w:hint="eastAsia" w:ascii="宋体" w:hAnsi="宋体" w:cs="宋体"/>
                <w:color w:val="auto"/>
                <w:kern w:val="2"/>
                <w:sz w:val="24"/>
                <w:szCs w:val="24"/>
                <w:highlight w:val="none"/>
              </w:rPr>
              <w:t>（缴费单位和投标单位名称必须一致，并加盖社保缴费证明专用章），否则不得分。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质保期期限（含符合驻场维保要求）仅满足招标文件规定的质保期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至少36个月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要求的得0分，质保期期限（含符合驻场维保要求）超过招标文件规定的质保期每12个月的得2分，最高得6分。</w:t>
            </w:r>
          </w:p>
          <w:p>
            <w:pPr>
              <w:pStyle w:val="2"/>
              <w:spacing w:line="360" w:lineRule="exact"/>
              <w:ind w:firstLine="0" w:firstLineChars="0"/>
              <w:rPr>
                <w:rFonts w:ascii="宋体" w:hAnsi="宋体" w:cs="宋体"/>
                <w:color w:val="auto"/>
                <w:sz w:val="24"/>
                <w:szCs w:val="24"/>
                <w:highlight w:val="none"/>
              </w:rPr>
            </w:pPr>
            <w:r>
              <w:rPr>
                <w:rFonts w:hint="eastAsia" w:ascii="宋体" w:hAnsi="宋体" w:cs="宋体"/>
                <w:b/>
                <w:bCs/>
                <w:color w:val="auto"/>
                <w:sz w:val="24"/>
                <w:szCs w:val="24"/>
                <w:highlight w:val="none"/>
              </w:rPr>
              <w:t>注：质保期优惠包含人工、差旅住宿费、材料及配件费等质保期间产生的一切费用</w:t>
            </w:r>
            <w:r>
              <w:rPr>
                <w:rFonts w:hint="eastAsia" w:ascii="宋体" w:hAnsi="宋体" w:cs="宋体"/>
                <w:b/>
                <w:bCs/>
                <w:color w:val="auto"/>
                <w:kern w:val="2"/>
                <w:sz w:val="24"/>
                <w:szCs w:val="24"/>
                <w:highlight w:val="none"/>
              </w:rPr>
              <w:t>。</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技术部分评分标准（B=38分）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投标人所投材料设备的品牌、质量档次、性能、先进性、稳定性、耐用性及可靠性等（18分）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根据所投产品的详细技术参数进行打分。招标文件技术参数要求提供证明资料的未能提供或提供的证明资料不符合要求的，则视为不满足。</w:t>
            </w:r>
          </w:p>
          <w:p>
            <w:pPr>
              <w:spacing w:line="3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根据各投标人所投设备性能以及技术参数和设备质量对招标文件各项基本要求（招标货物一览表及技术要求中具体技术要求细项条款）的逐项响应、承诺等方面情况由评委进行评议评分，投标人所投设备完全满足招标文件技术规范及要求的，得</w:t>
            </w:r>
            <w:r>
              <w:rPr>
                <w:rFonts w:hint="eastAsia" w:ascii="宋体" w:hAnsi="宋体" w:cs="宋体"/>
                <w:color w:val="auto"/>
                <w:sz w:val="24"/>
                <w:szCs w:val="24"/>
                <w:highlight w:val="none"/>
              </w:rPr>
              <w:t>18</w:t>
            </w:r>
            <w:r>
              <w:rPr>
                <w:rFonts w:hint="eastAsia" w:ascii="宋体" w:hAnsi="宋体" w:cs="宋体"/>
                <w:color w:val="auto"/>
                <w:sz w:val="24"/>
                <w:szCs w:val="24"/>
                <w:highlight w:val="none"/>
                <w:lang w:val="zh-CN"/>
              </w:rPr>
              <w:t xml:space="preserve">分。有负偏离情况的，评标委员会将根据该技术参数的负偏离对所投标设备的使用影响程度进行以下扣分： </w:t>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(1)技术参数中标注 “▲”号的指标，每负偏离一项扣2分； </w:t>
            </w:r>
            <w:r>
              <w:rPr>
                <w:rFonts w:hint="eastAsia" w:ascii="宋体" w:hAnsi="宋体" w:cs="宋体"/>
                <w:color w:val="auto"/>
                <w:sz w:val="24"/>
                <w:szCs w:val="24"/>
                <w:highlight w:val="none"/>
              </w:rPr>
              <w:t>其他指标，</w:t>
            </w:r>
            <w:r>
              <w:rPr>
                <w:rFonts w:hint="eastAsia" w:ascii="宋体" w:hAnsi="宋体" w:cs="宋体"/>
                <w:color w:val="auto"/>
                <w:sz w:val="24"/>
                <w:szCs w:val="24"/>
                <w:highlight w:val="none"/>
                <w:lang w:val="zh-CN"/>
              </w:rPr>
              <w:t>每负偏离一项扣</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分，扣完为止。</w:t>
            </w:r>
          </w:p>
          <w:p>
            <w:pPr>
              <w:spacing w:line="3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(2)正偏离不加分。</w:t>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w:t>
            </w:r>
            <w:r>
              <w:rPr>
                <w:rFonts w:hint="eastAsia" w:ascii="宋体" w:hAnsi="宋体" w:eastAsia="宋体" w:cs="宋体"/>
                <w:color w:val="auto"/>
                <w:sz w:val="24"/>
                <w:szCs w:val="24"/>
                <w:highlight w:val="none"/>
                <w:lang w:val="en-US" w:bidi="zh-CN"/>
              </w:rPr>
              <w:t>3</w:t>
            </w:r>
            <w:r>
              <w:rPr>
                <w:rFonts w:hint="eastAsia" w:ascii="宋体" w:hAnsi="宋体" w:eastAsia="宋体" w:cs="宋体"/>
                <w:color w:val="auto"/>
                <w:sz w:val="24"/>
                <w:szCs w:val="24"/>
                <w:highlight w:val="none"/>
                <w:lang w:val="zh-CN" w:bidi="zh-CN"/>
              </w:rPr>
              <w:t>）</w:t>
            </w:r>
            <w:r>
              <w:rPr>
                <w:rFonts w:hint="eastAsia" w:ascii="宋体" w:hAnsi="宋体" w:eastAsia="宋体" w:cs="宋体"/>
                <w:color w:val="auto"/>
                <w:sz w:val="24"/>
                <w:szCs w:val="24"/>
                <w:highlight w:val="none"/>
              </w:rPr>
              <w:t>实质性技术参数条款以“★”号标注，有一条负偏离即为无效标。</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color w:val="auto"/>
                <w:highlight w:val="none"/>
              </w:rPr>
            </w:pPr>
            <w:r>
              <w:rPr>
                <w:rFonts w:hint="eastAsia" w:ascii="宋体" w:hAnsi="宋体" w:cs="宋体"/>
                <w:color w:val="auto"/>
                <w:sz w:val="24"/>
                <w:szCs w:val="24"/>
                <w:highlight w:val="none"/>
              </w:rPr>
              <w:t>施工组织</w:t>
            </w:r>
            <w:r>
              <w:rPr>
                <w:rFonts w:hint="eastAsia" w:ascii="宋体" w:hAnsi="宋体" w:cs="宋体"/>
                <w:color w:val="auto"/>
                <w:sz w:val="24"/>
                <w:szCs w:val="24"/>
                <w:highlight w:val="none"/>
                <w:lang w:val="en-US" w:eastAsia="zh-CN"/>
              </w:rPr>
              <w:t>设计</w:t>
            </w:r>
            <w:r>
              <w:rPr>
                <w:rFonts w:hint="eastAsia" w:ascii="宋体" w:hAnsi="宋体" w:cs="宋体"/>
                <w:color w:val="auto"/>
                <w:sz w:val="24"/>
                <w:szCs w:val="24"/>
                <w:highlight w:val="none"/>
              </w:rPr>
              <w:t>（20分）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top"/>
          </w:tcPr>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（1）施工方案与技术措施；0～3分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优秀得3分、良好得2分、一般得1分。本小项最高得3分。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（2）质量管理体系与措施；0～3分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分、良好得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分、一般得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分。本小项最高得3分。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（3）工程进度计划与措施；0～1分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（4）安全、文明施工保证措施；0～1分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（5）劳动力安排计划与措施；0～1分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（6）材料供应保证措施；0～1分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（7）项目管理机构人员结构、设备配置情况；0～3分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分、良好得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分、一般得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分。本小项最高得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（8）针对本工程的创新技术应用。0～2分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优秀得2分、良好得1分、一般得0.5分。本小项最高得2分。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（9）针对本工程的合理化建议。0～1分</w:t>
            </w:r>
          </w:p>
          <w:p>
            <w:pPr>
              <w:spacing w:line="360" w:lineRule="exact"/>
              <w:rPr>
                <w:rFonts w:hAnsi="宋体" w:eastAsia="宋体"/>
                <w:color w:val="auto"/>
                <w:kern w:val="2"/>
                <w:highlight w:val="none"/>
              </w:rPr>
            </w:pPr>
            <w:r>
              <w:rPr>
                <w:rFonts w:hint="eastAsia" w:hAnsi="宋体" w:eastAsia="宋体"/>
                <w:color w:val="auto"/>
                <w:kern w:val="2"/>
                <w:highlight w:val="none"/>
              </w:rPr>
              <w:t>优秀得1分、良好得0.5分、一般0.25分。本小项最高得1分。</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（10）根据所投医用气体设备的品牌、质量档次、性能、先进性、稳定性、耐用性及可靠性、检测报告等综合评审。0～</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pPr>
              <w:spacing w:line="360" w:lineRule="exact"/>
              <w:rPr>
                <w:rFonts w:asciiTheme="minorEastAsia" w:hAnsiTheme="minorEastAsia" w:eastAsiaTheme="minorEastAsia" w:cstheme="minorEastAsia"/>
                <w:color w:val="auto"/>
                <w:highlight w:val="none"/>
              </w:rPr>
            </w:pPr>
            <w:r>
              <w:rPr>
                <w:rFonts w:hint="eastAsia" w:ascii="宋体" w:hAnsi="宋体" w:cs="宋体"/>
                <w:color w:val="auto"/>
                <w:sz w:val="24"/>
                <w:szCs w:val="24"/>
                <w:highlight w:val="none"/>
              </w:rPr>
              <w:t>优秀得4分、良好得3分、一般2分。本小项最高得4分。</w:t>
            </w:r>
          </w:p>
        </w:tc>
      </w:tr>
    </w:tbl>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4"/>
        <w:spacing w:before="0" w:beforeAutospacing="0" w:after="0" w:afterAutospacing="0" w:line="320" w:lineRule="exact"/>
        <w:ind w:firstLine="271" w:firstLineChars="113"/>
        <w:rPr>
          <w:rFonts w:asciiTheme="minorEastAsia" w:hAnsiTheme="minorEastAsia" w:eastAsiaTheme="minorEastAsia" w:cstheme="minorEastAsia"/>
          <w:strike/>
          <w:color w:val="auto"/>
          <w:kern w:val="2"/>
          <w:szCs w:val="24"/>
          <w:highlight w:val="none"/>
        </w:rPr>
      </w:pPr>
      <w:r>
        <w:rPr>
          <w:rFonts w:hint="eastAsia" w:asciiTheme="minorEastAsia" w:hAnsiTheme="minorEastAsia" w:eastAsiaTheme="minorEastAsia" w:cstheme="minorEastAsia"/>
          <w:strike/>
          <w:color w:val="auto"/>
          <w:kern w:val="2"/>
          <w:szCs w:val="24"/>
          <w:highlight w:val="none"/>
        </w:rPr>
        <w:t>注：业绩证明材料应提供合同复印件。</w:t>
      </w:r>
      <w:r>
        <w:rPr>
          <w:rFonts w:hint="eastAsia" w:asciiTheme="minorEastAsia" w:hAnsiTheme="minorEastAsia" w:eastAsiaTheme="minorEastAsia" w:cstheme="minorEastAsia"/>
          <w:i/>
          <w:strike/>
          <w:color w:val="auto"/>
          <w:kern w:val="2"/>
          <w:szCs w:val="24"/>
          <w:highlight w:val="none"/>
        </w:rPr>
        <w:t>投标资格证明中的业绩</w:t>
      </w:r>
      <w:r>
        <w:rPr>
          <w:rFonts w:hint="eastAsia" w:asciiTheme="minorEastAsia" w:hAnsiTheme="minorEastAsia" w:eastAsiaTheme="minorEastAsia" w:cstheme="minorEastAsia"/>
          <w:i/>
          <w:strike/>
          <w:color w:val="auto"/>
          <w:kern w:val="2"/>
          <w:szCs w:val="24"/>
          <w:highlight w:val="none"/>
          <w:u w:val="single"/>
        </w:rPr>
        <w:t>可以</w:t>
      </w:r>
      <w:r>
        <w:rPr>
          <w:rFonts w:hint="eastAsia" w:asciiTheme="minorEastAsia" w:hAnsiTheme="minorEastAsia" w:eastAsiaTheme="minorEastAsia" w:cstheme="minorEastAsia"/>
          <w:i/>
          <w:strike/>
          <w:color w:val="auto"/>
          <w:kern w:val="2"/>
          <w:szCs w:val="24"/>
          <w:highlight w:val="none"/>
        </w:rPr>
        <w:t>作为本项计分业绩。</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32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（40分）</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w:t>
      </w:r>
    </w:p>
    <w:p>
      <w:pPr>
        <w:adjustRightInd w:val="0"/>
        <w:snapToGrid w:val="0"/>
        <w:spacing w:line="32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320" w:lineRule="exact"/>
        <w:ind w:firstLine="480" w:firstLineChars="200"/>
        <w:jc w:val="left"/>
        <w:rPr>
          <w:color w:val="auto"/>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spacing w:line="320" w:lineRule="exact"/>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9" w:name="_Toc144974577"/>
      <w:bookmarkStart w:id="420" w:name="_Toc152045609"/>
      <w:bookmarkStart w:id="421" w:name="_Toc392345963"/>
      <w:bookmarkStart w:id="422" w:name="_Toc152042387"/>
      <w:bookmarkStart w:id="423" w:name="_Toc229646768"/>
    </w:p>
    <w:p>
      <w:pPr>
        <w:pStyle w:val="5"/>
        <w:rPr>
          <w:color w:val="auto"/>
          <w:highlight w:val="none"/>
        </w:rPr>
      </w:pPr>
      <w:bookmarkStart w:id="424"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9"/>
      <w:bookmarkEnd w:id="420"/>
      <w:bookmarkEnd w:id="421"/>
      <w:bookmarkEnd w:id="422"/>
      <w:bookmarkEnd w:id="423"/>
      <w:bookmarkEnd w:id="424"/>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5" w:name="_Toc406074420"/>
      <w:bookmarkStart w:id="426" w:name="_Toc18320"/>
      <w:bookmarkStart w:id="427" w:name="_Toc297017781"/>
      <w:r>
        <w:rPr>
          <w:rFonts w:hint="eastAsia" w:asciiTheme="minorEastAsia" w:hAnsiTheme="minorEastAsia" w:eastAsiaTheme="minorEastAsia" w:cstheme="minorEastAsia"/>
          <w:b/>
          <w:bCs/>
          <w:color w:val="auto"/>
          <w:sz w:val="24"/>
          <w:szCs w:val="24"/>
          <w:highlight w:val="none"/>
        </w:rPr>
        <w:t>一、合同协议书</w:t>
      </w:r>
      <w:bookmarkEnd w:id="425"/>
      <w:bookmarkEnd w:id="426"/>
      <w:bookmarkEnd w:id="427"/>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绍兴市妇幼保健院（绍兴市儿童医院）建设项目医用气体项目。</w:t>
      </w:r>
    </w:p>
    <w:p>
      <w:pPr>
        <w:pStyle w:val="2"/>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rFonts w:ascii="宋体" w:hAnsi="宋体"/>
          <w:color w:val="auto"/>
          <w:kern w:val="58"/>
          <w:szCs w:val="21"/>
          <w:highlight w:val="none"/>
        </w:rPr>
      </w:pPr>
      <w:r>
        <w:rPr>
          <w:rFonts w:hint="eastAsia"/>
          <w:color w:val="auto"/>
          <w:szCs w:val="21"/>
          <w:highlight w:val="none"/>
        </w:rPr>
        <w:t>3、项目内容：</w:t>
      </w:r>
      <w:r>
        <w:rPr>
          <w:rFonts w:hint="eastAsia" w:ascii="宋体" w:hAnsi="宋体"/>
          <w:color w:val="auto"/>
          <w:kern w:val="58"/>
          <w:szCs w:val="21"/>
          <w:highlight w:val="none"/>
        </w:rPr>
        <w:t>绍兴市妇幼保健院（绍兴市儿童医院）医疗专项工程医用气体项目，包括</w:t>
      </w:r>
      <w:r>
        <w:rPr>
          <w:rFonts w:hint="eastAsia" w:ascii="宋体" w:hAnsi="宋体" w:cs="宋体"/>
          <w:color w:val="auto"/>
          <w:szCs w:val="21"/>
          <w:highlight w:val="none"/>
        </w:rPr>
        <w:t>儿科住院楼、妇科住院楼、门医技保健楼</w:t>
      </w:r>
      <w:r>
        <w:rPr>
          <w:rFonts w:hint="eastAsia" w:ascii="宋体" w:hAnsi="宋体" w:cs="宋体"/>
          <w:color w:val="auto"/>
          <w:highlight w:val="none"/>
        </w:rPr>
        <w:t>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color w:val="auto"/>
          <w:kern w:val="58"/>
          <w:szCs w:val="21"/>
          <w:highlight w:val="none"/>
        </w:rPr>
        <w:t>，详见招标文件 “</w:t>
      </w:r>
      <w:r>
        <w:rPr>
          <w:rFonts w:hint="eastAsia"/>
          <w:color w:val="auto"/>
          <w:highlight w:val="none"/>
        </w:rPr>
        <w:t>技术标准和要求</w:t>
      </w:r>
      <w:r>
        <w:rPr>
          <w:rFonts w:hint="eastAsia" w:ascii="宋体" w:hAnsi="宋体"/>
          <w:color w:val="auto"/>
          <w:kern w:val="58"/>
          <w:szCs w:val="21"/>
          <w:highlight w:val="none"/>
        </w:rPr>
        <w:t>”。</w:t>
      </w:r>
    </w:p>
    <w:p>
      <w:pPr>
        <w:spacing w:line="360" w:lineRule="auto"/>
        <w:ind w:firstLine="420" w:firstLineChars="200"/>
        <w:rPr>
          <w:color w:val="auto"/>
          <w:szCs w:val="21"/>
          <w:highlight w:val="none"/>
          <w:u w:val="single"/>
        </w:rPr>
      </w:pPr>
      <w:r>
        <w:rPr>
          <w:rFonts w:hint="eastAsia" w:ascii="宋体" w:hAnsi="宋体" w:cs="宋体"/>
          <w:color w:val="auto"/>
          <w:szCs w:val="21"/>
          <w:highlight w:val="none"/>
        </w:rPr>
        <w:t>招标人提供的医气系统设备采购及安装的图纸</w:t>
      </w:r>
      <w:r>
        <w:rPr>
          <w:rFonts w:hint="eastAsia" w:ascii="宋体" w:hAnsi="宋体"/>
          <w:color w:val="auto"/>
          <w:szCs w:val="21"/>
          <w:highlight w:val="none"/>
        </w:rPr>
        <w:t>及</w:t>
      </w:r>
      <w:r>
        <w:rPr>
          <w:rFonts w:hint="eastAsia" w:ascii="宋体" w:hAnsi="宋体"/>
          <w:color w:val="auto"/>
          <w:szCs w:val="21"/>
          <w:highlight w:val="none"/>
          <w:lang w:val="en-US" w:eastAsia="zh-CN"/>
        </w:rPr>
        <w:t>货物</w:t>
      </w:r>
      <w:r>
        <w:rPr>
          <w:rFonts w:hint="eastAsia" w:ascii="宋体" w:hAnsi="宋体"/>
          <w:color w:val="auto"/>
          <w:szCs w:val="21"/>
          <w:highlight w:val="none"/>
        </w:rPr>
        <w:t>清单</w:t>
      </w:r>
      <w:r>
        <w:rPr>
          <w:rFonts w:hint="eastAsia" w:ascii="宋体" w:hAnsi="宋体" w:cs="宋体"/>
          <w:color w:val="auto"/>
          <w:szCs w:val="21"/>
          <w:highlight w:val="none"/>
        </w:rPr>
        <w:t>中的所有工程内容，包括医气系统设备采购及安装工程施工图的进一步深化设计、现有建筑基础上的气体管道处的结构补强、预留孔洞、设备基础、预埋铁构件、预埋管、套管及其封堵、设备材料供货、运输、卸货、保管、施工、安装、调试、检测、并最终通过验收，同时负责技术服务与培训，提交相关技术资料以及质保期内的维修保养等</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59"/>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59"/>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59"/>
        <w:spacing w:line="360" w:lineRule="auto"/>
        <w:ind w:firstLine="632" w:firstLineChars="300"/>
        <w:rPr>
          <w:rFonts w:ascii="宋体" w:hAnsi="宋体" w:cs="宋体"/>
          <w:color w:val="auto"/>
          <w:highlight w:val="none"/>
        </w:rPr>
      </w:pPr>
      <w:r>
        <w:rPr>
          <w:rFonts w:hint="eastAsia" w:ascii="宋体" w:hAnsi="宋体"/>
          <w:b/>
          <w:bCs/>
          <w:color w:val="auto"/>
          <w:highlight w:val="none"/>
          <w:u w:val="single"/>
        </w:rPr>
        <w:t>以招标人发出的开工指令后210天内，完成设备及材料供货、安装、调试、试运行、独立第三方100%检测、验收及交付使用，具体应与工程施工总进度计划同步</w:t>
      </w:r>
      <w:r>
        <w:rPr>
          <w:rFonts w:hint="eastAsia" w:ascii="宋体" w:hAnsi="宋体" w:cs="宋体"/>
          <w:color w:val="auto"/>
          <w:highlight w:val="none"/>
        </w:rPr>
        <w:t>。</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3"/>
        <w:spacing w:line="360" w:lineRule="auto"/>
        <w:ind w:firstLine="630" w:firstLineChars="300"/>
        <w:rPr>
          <w:color w:val="auto"/>
          <w:sz w:val="21"/>
          <w:szCs w:val="21"/>
          <w:highlight w:val="none"/>
        </w:rPr>
      </w:pPr>
      <w:r>
        <w:rPr>
          <w:rFonts w:hint="eastAsia"/>
          <w:color w:val="auto"/>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
        <w:spacing w:line="360" w:lineRule="auto"/>
        <w:ind w:firstLineChars="200"/>
        <w:rPr>
          <w:color w:val="auto"/>
          <w:sz w:val="21"/>
          <w:szCs w:val="21"/>
          <w:highlight w:val="none"/>
        </w:rPr>
      </w:pPr>
      <w:r>
        <w:rPr>
          <w:rFonts w:hint="eastAsia"/>
          <w:color w:val="auto"/>
          <w:sz w:val="21"/>
          <w:szCs w:val="21"/>
          <w:highlight w:val="none"/>
        </w:rPr>
        <w:t>本项目釆用固定总价承包，</w:t>
      </w:r>
      <w:r>
        <w:rPr>
          <w:rFonts w:hint="eastAsia"/>
          <w:color w:val="auto"/>
          <w:sz w:val="21"/>
          <w:szCs w:val="21"/>
          <w:highlight w:val="none"/>
          <w:lang w:val="en-US" w:eastAsia="zh-CN"/>
        </w:rPr>
        <w:t>货物</w:t>
      </w:r>
      <w:r>
        <w:rPr>
          <w:rFonts w:hint="eastAsia"/>
          <w:color w:val="auto"/>
          <w:sz w:val="21"/>
          <w:szCs w:val="21"/>
          <w:highlight w:val="none"/>
        </w:rPr>
        <w:t>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rFonts w:hint="eastAsia"/>
          <w:color w:val="auto"/>
          <w:szCs w:val="21"/>
          <w:highlight w:val="none"/>
          <w:u w:val="single"/>
        </w:rPr>
      </w:pPr>
      <w:r>
        <w:rPr>
          <w:rFonts w:hint="eastAsia"/>
          <w:color w:val="auto"/>
          <w:szCs w:val="21"/>
          <w:highlight w:val="none"/>
        </w:rPr>
        <w:t>甲方：                                                    乙方：</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ind w:firstLine="210"/>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
        <w:spacing w:line="360" w:lineRule="auto"/>
        <w:ind w:firstLine="210"/>
        <w:rPr>
          <w:color w:val="auto"/>
          <w:sz w:val="21"/>
          <w:szCs w:val="21"/>
          <w:highlight w:val="none"/>
          <w:u w:val="single"/>
        </w:rPr>
      </w:pPr>
    </w:p>
    <w:p>
      <w:pPr>
        <w:rPr>
          <w:color w:val="auto"/>
          <w:szCs w:val="21"/>
          <w:highlight w:val="none"/>
          <w:u w:val="single"/>
        </w:rPr>
      </w:pPr>
    </w:p>
    <w:p>
      <w:pPr>
        <w:pStyle w:val="2"/>
        <w:ind w:firstLine="210"/>
        <w:rPr>
          <w:color w:val="auto"/>
          <w:sz w:val="21"/>
          <w:szCs w:val="21"/>
          <w:highlight w:val="none"/>
          <w:u w:val="single"/>
        </w:rPr>
      </w:pPr>
    </w:p>
    <w:p>
      <w:pPr>
        <w:rPr>
          <w:color w:val="auto"/>
          <w:szCs w:val="21"/>
          <w:highlight w:val="none"/>
          <w:u w:val="single"/>
        </w:rPr>
      </w:pPr>
    </w:p>
    <w:p>
      <w:pPr>
        <w:pStyle w:val="2"/>
        <w:ind w:firstLine="210"/>
        <w:rPr>
          <w:color w:val="auto"/>
          <w:sz w:val="21"/>
          <w:szCs w:val="21"/>
          <w:highlight w:val="none"/>
          <w:u w:val="single"/>
        </w:rPr>
      </w:pPr>
    </w:p>
    <w:p>
      <w:pPr>
        <w:rPr>
          <w:color w:val="auto"/>
          <w:szCs w:val="21"/>
          <w:highlight w:val="none"/>
          <w:u w:val="single"/>
        </w:rPr>
      </w:pPr>
    </w:p>
    <w:p>
      <w:pPr>
        <w:spacing w:line="360" w:lineRule="auto"/>
        <w:jc w:val="center"/>
        <w:rPr>
          <w:b/>
          <w:color w:val="auto"/>
          <w:szCs w:val="21"/>
          <w:highlight w:val="none"/>
        </w:rPr>
      </w:pPr>
      <w:bookmarkStart w:id="428" w:name="_Toc297017782"/>
      <w:bookmarkStart w:id="429" w:name="_Toc406074421"/>
      <w:r>
        <w:rPr>
          <w:rFonts w:hint="eastAsia"/>
          <w:b/>
          <w:color w:val="auto"/>
          <w:szCs w:val="21"/>
          <w:highlight w:val="none"/>
        </w:rPr>
        <w:t>二、合同一般条款</w:t>
      </w:r>
      <w:bookmarkEnd w:id="428"/>
      <w:bookmarkEnd w:id="429"/>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30" w:name="_Toc28660"/>
      <w:r>
        <w:rPr>
          <w:rFonts w:hint="eastAsia"/>
          <w:color w:val="auto"/>
          <w:szCs w:val="21"/>
          <w:highlight w:val="none"/>
        </w:rPr>
        <w:t>2、产品的质量、技术标准</w:t>
      </w:r>
      <w:bookmarkEnd w:id="430"/>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1" w:name="_Toc23533"/>
      <w:r>
        <w:rPr>
          <w:rFonts w:hint="eastAsia"/>
          <w:color w:val="auto"/>
          <w:szCs w:val="21"/>
          <w:highlight w:val="none"/>
        </w:rPr>
        <w:t>4、质量保证期</w:t>
      </w:r>
      <w:bookmarkEnd w:id="431"/>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2" w:name="_Toc4104"/>
      <w:r>
        <w:rPr>
          <w:rFonts w:hint="eastAsia"/>
          <w:color w:val="auto"/>
          <w:szCs w:val="21"/>
          <w:highlight w:val="none"/>
        </w:rPr>
        <w:t>5、合同修改</w:t>
      </w:r>
      <w:bookmarkEnd w:id="432"/>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3" w:name="_Toc21842"/>
      <w:r>
        <w:rPr>
          <w:rFonts w:hint="eastAsia"/>
          <w:color w:val="auto"/>
          <w:szCs w:val="21"/>
          <w:highlight w:val="none"/>
        </w:rPr>
        <w:t>6、违约责任</w:t>
      </w:r>
      <w:bookmarkEnd w:id="433"/>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lang w:val="en-US" w:eastAsia="zh-CN"/>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w:t>
      </w:r>
      <w:r>
        <w:rPr>
          <w:rFonts w:hint="eastAsia"/>
          <w:color w:val="auto"/>
          <w:szCs w:val="21"/>
          <w:highlight w:val="none"/>
          <w:lang w:eastAsia="zh-CN"/>
        </w:rPr>
        <w:t>系统发生故障时，乙方驻场人员无法自行处理相应故障时，乙方需</w:t>
      </w:r>
      <w:r>
        <w:rPr>
          <w:rFonts w:hint="eastAsia"/>
          <w:color w:val="auto"/>
          <w:szCs w:val="21"/>
          <w:highlight w:val="none"/>
        </w:rPr>
        <w:t>2小时内派人赴现场处理设备质量问题。质保期内乙方须安排专业维保人员驻场，驻场人员数量及资质须满足甲方及丙、丁方需求并获得书面审批。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lang w:val="en-US" w:eastAsia="zh-CN"/>
        </w:rPr>
        <w:t>各</w:t>
      </w:r>
      <w:r>
        <w:rPr>
          <w:rFonts w:hint="eastAsia" w:ascii="宋体" w:hAnsi="宋体" w:cs="宋体"/>
          <w:color w:val="auto"/>
          <w:szCs w:val="21"/>
          <w:highlight w:val="none"/>
        </w:rPr>
        <w:t>方</w:t>
      </w:r>
      <w:r>
        <w:rPr>
          <w:rFonts w:hint="eastAsia"/>
          <w:color w:val="auto"/>
          <w:szCs w:val="21"/>
          <w:highlight w:val="none"/>
        </w:rPr>
        <w:t>应通过友好协商，妥善解决。如通过协商仍不能解决时，</w:t>
      </w:r>
      <w:r>
        <w:rPr>
          <w:rFonts w:hint="eastAsia" w:ascii="宋体" w:hAnsi="宋体" w:cs="宋体"/>
          <w:color w:val="auto"/>
          <w:szCs w:val="21"/>
          <w:highlight w:val="none"/>
        </w:rPr>
        <w:t>可向项目所在</w:t>
      </w:r>
      <w:r>
        <w:rPr>
          <w:rFonts w:hint="eastAsia" w:ascii="宋体" w:hAnsi="宋体" w:cs="宋体"/>
          <w:color w:val="auto"/>
          <w:szCs w:val="21"/>
          <w:highlight w:val="none"/>
          <w:lang w:val="en-US" w:eastAsia="zh-CN"/>
        </w:rPr>
        <w:t>人民</w:t>
      </w:r>
      <w:r>
        <w:rPr>
          <w:rFonts w:hint="eastAsia" w:ascii="宋体" w:hAnsi="宋体" w:cs="宋体"/>
          <w:color w:val="auto"/>
          <w:szCs w:val="21"/>
          <w:highlight w:val="none"/>
        </w:rPr>
        <w:t>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裁机构另有裁决外，由败诉方承担</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w:t>
      </w:r>
      <w:r>
        <w:rPr>
          <w:rFonts w:hint="eastAsia" w:ascii="宋体" w:hAnsi="宋体" w:cs="宋体"/>
          <w:color w:val="auto"/>
          <w:szCs w:val="21"/>
          <w:highlight w:val="none"/>
          <w:lang w:val="en-US" w:eastAsia="zh-CN"/>
        </w:rPr>
        <w:t>决</w:t>
      </w:r>
      <w:r>
        <w:rPr>
          <w:rFonts w:hint="eastAsia" w:ascii="宋体" w:hAnsi="宋体" w:cs="宋体"/>
          <w:color w:val="auto"/>
          <w:szCs w:val="21"/>
          <w:highlight w:val="none"/>
        </w:rPr>
        <w:t>裁期间</w:t>
      </w:r>
      <w:r>
        <w:rPr>
          <w:rFonts w:hint="eastAsia"/>
          <w:color w:val="auto"/>
          <w:szCs w:val="21"/>
          <w:highlight w:val="none"/>
        </w:rPr>
        <w:t>，除争议部分外，本合同其他部分应继续执行。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4" w:name="_Toc17297"/>
      <w:bookmarkStart w:id="435" w:name="_Toc406074422"/>
      <w:bookmarkStart w:id="436" w:name="_Toc297017783"/>
      <w:r>
        <w:rPr>
          <w:rFonts w:hint="eastAsia"/>
          <w:b/>
          <w:bCs/>
          <w:color w:val="auto"/>
          <w:szCs w:val="21"/>
          <w:highlight w:val="none"/>
        </w:rPr>
        <w:t>三、合同专用条款</w:t>
      </w:r>
      <w:bookmarkEnd w:id="434"/>
      <w:bookmarkEnd w:id="435"/>
      <w:bookmarkEnd w:id="436"/>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210 </w:t>
      </w:r>
      <w:r>
        <w:rPr>
          <w:rFonts w:hint="eastAsia"/>
          <w:color w:val="auto"/>
          <w:szCs w:val="21"/>
          <w:highlight w:val="none"/>
        </w:rPr>
        <w:t xml:space="preserve"> 天。其中深化设计</w:t>
      </w:r>
      <w:r>
        <w:rPr>
          <w:rFonts w:hint="eastAsia"/>
          <w:color w:val="auto"/>
          <w:szCs w:val="21"/>
          <w:highlight w:val="none"/>
          <w:u w:val="single"/>
        </w:rPr>
        <w:t xml:space="preserve">  20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50 </w:t>
      </w:r>
      <w:r>
        <w:rPr>
          <w:rFonts w:hint="eastAsia"/>
          <w:color w:val="auto"/>
          <w:szCs w:val="21"/>
          <w:highlight w:val="none"/>
        </w:rPr>
        <w:t>天，现场安装、调试、交验</w:t>
      </w:r>
      <w:r>
        <w:rPr>
          <w:rFonts w:hint="eastAsia"/>
          <w:color w:val="auto"/>
          <w:szCs w:val="21"/>
          <w:highlight w:val="none"/>
          <w:u w:val="single"/>
        </w:rPr>
        <w:t xml:space="preserve">  140   </w:t>
      </w:r>
      <w:r>
        <w:rPr>
          <w:rFonts w:hint="eastAsia"/>
          <w:color w:val="auto"/>
          <w:szCs w:val="21"/>
          <w:highlight w:val="none"/>
        </w:rPr>
        <w:t>天；</w:t>
      </w:r>
      <w:r>
        <w:rPr>
          <w:rFonts w:hint="eastAsia" w:ascii="宋体" w:hAnsi="宋体" w:cs="宋体"/>
          <w:color w:val="auto"/>
          <w:szCs w:val="21"/>
          <w:highlight w:val="none"/>
          <w:lang w:val="en-US" w:eastAsia="zh-CN"/>
        </w:rPr>
        <w:t>自</w:t>
      </w:r>
      <w:r>
        <w:rPr>
          <w:rFonts w:hint="eastAsia"/>
          <w:color w:val="auto"/>
          <w:szCs w:val="21"/>
          <w:highlight w:val="none"/>
        </w:rPr>
        <w:t>甲方及丙、丁方发出书面排产通知日开始计算工期。</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7" w:name="_Toc21937"/>
      <w:r>
        <w:rPr>
          <w:rFonts w:hint="eastAsia"/>
          <w:bCs/>
          <w:color w:val="auto"/>
          <w:szCs w:val="21"/>
          <w:highlight w:val="none"/>
        </w:rPr>
        <w:t>6、</w:t>
      </w:r>
      <w:r>
        <w:rPr>
          <w:rFonts w:hint="eastAsia"/>
          <w:color w:val="auto"/>
          <w:szCs w:val="21"/>
          <w:highlight w:val="none"/>
        </w:rPr>
        <w:t>付款方式</w:t>
      </w:r>
      <w:bookmarkEnd w:id="437"/>
    </w:p>
    <w:p>
      <w:pPr>
        <w:pStyle w:val="60"/>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第1次付款：合同签订生效后15日内，甲方向乙方支付合同总价的30%的预付款。预付款与合同履行同步进行，预付款支付进程不得影响合同的履行，乙方不得以预付款支付问题停止合同的履行。</w:t>
      </w:r>
    </w:p>
    <w:p>
      <w:pPr>
        <w:pStyle w:val="60"/>
        <w:numPr>
          <w:ilvl w:val="0"/>
          <w:numId w:val="3"/>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第2次付款：医用气体安装工程完成后15日内，支付至合同总价的50%。</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第3次付款：全部设备到货并初验合格后15日内，支付至合同总价的70%。</w:t>
      </w:r>
    </w:p>
    <w:p>
      <w:pPr>
        <w:pStyle w:val="60"/>
        <w:adjustRightInd w:val="0"/>
        <w:snapToGrid w:val="0"/>
        <w:spacing w:before="0"/>
        <w:ind w:firstLine="420"/>
        <w:rPr>
          <w:rFonts w:hint="eastAsia"/>
          <w:color w:val="auto"/>
          <w:sz w:val="21"/>
          <w:szCs w:val="21"/>
          <w:highlight w:val="none"/>
        </w:rPr>
      </w:pPr>
      <w:r>
        <w:rPr>
          <w:rFonts w:hint="eastAsia"/>
          <w:color w:val="auto"/>
          <w:sz w:val="21"/>
          <w:szCs w:val="21"/>
          <w:highlight w:val="none"/>
        </w:rPr>
        <w:t>第4次付款：</w:t>
      </w:r>
      <w:r>
        <w:rPr>
          <w:rFonts w:hint="eastAsia"/>
          <w:b w:val="0"/>
          <w:color w:val="auto"/>
          <w:sz w:val="21"/>
          <w:szCs w:val="21"/>
          <w:highlight w:val="none"/>
        </w:rPr>
        <w:t>工程全部完工、所有设备安装、调试完成，经过试运行，通过验收并按买方要求移交所有资料后15天内支付至合同总价的85%，并退还履约保证金</w:t>
      </w:r>
      <w:r>
        <w:rPr>
          <w:rFonts w:hint="eastAsia"/>
          <w:color w:val="auto"/>
          <w:sz w:val="21"/>
          <w:szCs w:val="21"/>
          <w:highlight w:val="none"/>
        </w:rPr>
        <w:t>。</w:t>
      </w:r>
    </w:p>
    <w:p>
      <w:pPr>
        <w:pStyle w:val="60"/>
        <w:adjustRightInd w:val="0"/>
        <w:snapToGrid w:val="0"/>
        <w:spacing w:before="0"/>
        <w:ind w:firstLine="420"/>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第5次付款：审计结算完成且资料齐全移交丙、丁方后</w:t>
      </w:r>
      <w:r>
        <w:rPr>
          <w:rFonts w:hint="eastAsia"/>
          <w:color w:val="auto"/>
          <w:sz w:val="21"/>
          <w:szCs w:val="21"/>
          <w:highlight w:val="none"/>
        </w:rPr>
        <w:t>15日内</w:t>
      </w:r>
      <w:r>
        <w:rPr>
          <w:rFonts w:hint="eastAsia" w:ascii="宋体" w:hAnsi="宋体" w:cs="宋体"/>
          <w:color w:val="auto"/>
          <w:sz w:val="21"/>
          <w:szCs w:val="21"/>
          <w:highlight w:val="none"/>
        </w:rPr>
        <w:t>，支付至结算价的97.5%</w:t>
      </w:r>
      <w:r>
        <w:rPr>
          <w:rFonts w:hint="eastAsia" w:ascii="宋体" w:hAnsi="宋体" w:cs="宋体"/>
          <w:color w:val="auto"/>
          <w:sz w:val="21"/>
          <w:szCs w:val="21"/>
          <w:highlight w:val="none"/>
          <w:lang w:eastAsia="zh-CN"/>
        </w:rPr>
        <w:t>。</w:t>
      </w:r>
    </w:p>
    <w:p>
      <w:pPr>
        <w:pStyle w:val="60"/>
        <w:adjustRightInd w:val="0"/>
        <w:snapToGrid w:val="0"/>
        <w:spacing w:before="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第</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次付款：余款2.5%（不计利息）作为保修金，在保修期满缺陷修复完成并经甲方及丙、丁方最终验收合格、甲乙方完成最终结算后28天内一次性付清经结算后的剩余尾款。</w:t>
      </w:r>
    </w:p>
    <w:p>
      <w:pPr>
        <w:pStyle w:val="60"/>
        <w:adjustRightInd w:val="0"/>
        <w:snapToGrid w:val="0"/>
        <w:spacing w:before="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0"/>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w:t>
      </w:r>
      <w:r>
        <w:rPr>
          <w:rFonts w:hint="eastAsia"/>
          <w:b/>
          <w:color w:val="auto"/>
          <w:sz w:val="21"/>
          <w:szCs w:val="21"/>
          <w:highlight w:val="none"/>
          <w:u w:val="single"/>
          <w:lang w:eastAsia="zh-CN"/>
        </w:rPr>
        <w:t>、</w:t>
      </w:r>
      <w:r>
        <w:rPr>
          <w:rFonts w:hint="eastAsia"/>
          <w:b/>
          <w:color w:val="auto"/>
          <w:sz w:val="21"/>
          <w:szCs w:val="21"/>
          <w:highlight w:val="none"/>
          <w:u w:val="single"/>
        </w:rPr>
        <w:t>总承包服务费3%</w:t>
      </w:r>
      <w:r>
        <w:rPr>
          <w:rFonts w:hint="eastAsia"/>
          <w:b/>
          <w:color w:val="auto"/>
          <w:sz w:val="21"/>
          <w:szCs w:val="21"/>
          <w:highlight w:val="none"/>
          <w:u w:val="single"/>
          <w:lang w:eastAsia="zh-CN"/>
        </w:rPr>
        <w:t>及招标相关费用</w:t>
      </w:r>
      <w:r>
        <w:rPr>
          <w:rFonts w:hint="eastAsia"/>
          <w:b/>
          <w:color w:val="auto"/>
          <w:sz w:val="21"/>
          <w:szCs w:val="21"/>
          <w:highlight w:val="none"/>
          <w:u w:val="single"/>
        </w:rPr>
        <w:t>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0"/>
        <w:adjustRightInd w:val="0"/>
        <w:snapToGrid w:val="0"/>
        <w:spacing w:before="0"/>
        <w:ind w:firstLine="422"/>
        <w:rPr>
          <w:b/>
          <w:strike/>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中标总价一次性包死，不再调整。丙、丁方有权增减工作范围，该费用应予以增减，在结算时按中标单价按实调整。</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1"/>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8" w:name="_Toc812"/>
      <w:r>
        <w:rPr>
          <w:rFonts w:hint="eastAsia"/>
          <w:b/>
          <w:color w:val="auto"/>
          <w:szCs w:val="21"/>
          <w:highlight w:val="none"/>
        </w:rPr>
        <w:t>12、设备的安装、调试</w:t>
      </w:r>
      <w:bookmarkEnd w:id="438"/>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9" w:name="_Toc8150"/>
      <w:r>
        <w:rPr>
          <w:rFonts w:hint="eastAsia"/>
          <w:b/>
          <w:color w:val="auto"/>
          <w:szCs w:val="21"/>
          <w:highlight w:val="none"/>
        </w:rPr>
        <w:t>14、质保及维修</w:t>
      </w:r>
      <w:bookmarkEnd w:id="439"/>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
          <w:color w:val="auto"/>
          <w:szCs w:val="21"/>
          <w:highlight w:val="none"/>
          <w:u w:val="single"/>
        </w:rPr>
        <w:t>36</w:t>
      </w:r>
      <w:r>
        <w:rPr>
          <w:rFonts w:hint="eastAsia"/>
          <w:bCs/>
          <w:color w:val="auto"/>
          <w:szCs w:val="21"/>
          <w:highlight w:val="none"/>
          <w:u w:val="single"/>
        </w:rPr>
        <w:t>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具体时间以投标文件为准</w:t>
      </w:r>
      <w:r>
        <w:rPr>
          <w:rFonts w:hint="eastAsia" w:ascii="宋体" w:hAnsi="宋体" w:cs="宋体"/>
          <w:b/>
          <w:bCs/>
          <w:color w:val="auto"/>
          <w:szCs w:val="21"/>
          <w:highlight w:val="none"/>
          <w:u w:val="single"/>
          <w:lang w:eastAsia="zh-CN"/>
        </w:rPr>
        <w:t>）</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1"/>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40" w:name="_Toc10358"/>
      <w:r>
        <w:rPr>
          <w:rFonts w:hint="eastAsia"/>
          <w:b/>
          <w:color w:val="auto"/>
          <w:szCs w:val="21"/>
          <w:highlight w:val="none"/>
        </w:rPr>
        <w:t>16、违约责任</w:t>
      </w:r>
      <w:bookmarkEnd w:id="440"/>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lang w:val="en-US" w:eastAsia="zh-CN"/>
        </w:rPr>
        <w:t>协商一致后</w:t>
      </w:r>
      <w:r>
        <w:rPr>
          <w:rFonts w:hint="eastAsia"/>
          <w:color w:val="auto"/>
          <w:szCs w:val="21"/>
          <w:highlight w:val="none"/>
        </w:rPr>
        <w:t>有权解除合同</w:t>
      </w:r>
      <w:r>
        <w:rPr>
          <w:color w:val="auto"/>
          <w:szCs w:val="21"/>
          <w:highlight w:val="none"/>
        </w:rPr>
        <w:t>、</w:t>
      </w:r>
      <w:r>
        <w:rPr>
          <w:rFonts w:hint="eastAsia" w:ascii="宋体" w:hAnsi="宋体" w:cs="宋体"/>
          <w:color w:val="auto"/>
          <w:szCs w:val="21"/>
          <w:highlight w:val="none"/>
          <w:lang w:val="en-US" w:eastAsia="zh-CN"/>
        </w:rPr>
        <w:t>甲</w:t>
      </w:r>
      <w:r>
        <w:rPr>
          <w:rFonts w:hint="eastAsia" w:ascii="宋体" w:hAnsi="宋体" w:cs="宋体"/>
          <w:color w:val="auto"/>
          <w:szCs w:val="21"/>
          <w:highlight w:val="none"/>
        </w:rPr>
        <w:t>方</w:t>
      </w:r>
      <w:r>
        <w:rPr>
          <w:rFonts w:hint="eastAsia"/>
          <w:color w:val="auto"/>
          <w:szCs w:val="21"/>
          <w:highlight w:val="none"/>
        </w:rPr>
        <w:t>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及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1" w:name="_Toc18664"/>
      <w:r>
        <w:rPr>
          <w:rFonts w:hint="eastAsia"/>
          <w:color w:val="auto"/>
          <w:szCs w:val="21"/>
          <w:highlight w:val="none"/>
        </w:rPr>
        <w:t>17、其他</w:t>
      </w:r>
      <w:bookmarkEnd w:id="441"/>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w:t>
      </w:r>
      <w:r>
        <w:rPr>
          <w:rFonts w:hint="eastAsia"/>
          <w:b/>
          <w:bCs/>
          <w:color w:val="auto"/>
          <w:sz w:val="21"/>
          <w:szCs w:val="21"/>
          <w:highlight w:val="none"/>
          <w:lang w:eastAsia="zh-CN"/>
        </w:rPr>
        <w:t>、</w:t>
      </w:r>
      <w:r>
        <w:rPr>
          <w:rFonts w:hint="eastAsia"/>
          <w:b/>
          <w:bCs/>
          <w:color w:val="auto"/>
          <w:sz w:val="21"/>
          <w:szCs w:val="21"/>
          <w:highlight w:val="none"/>
          <w:lang w:val="en-US" w:eastAsia="zh-CN"/>
        </w:rPr>
        <w:t>丁</w:t>
      </w:r>
      <w:r>
        <w:rPr>
          <w:rFonts w:hint="eastAsia"/>
          <w:b/>
          <w:bCs/>
          <w:color w:val="auto"/>
          <w:sz w:val="21"/>
          <w:szCs w:val="21"/>
          <w:highlight w:val="none"/>
        </w:rPr>
        <w:t>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w:t>
      </w:r>
      <w:r>
        <w:rPr>
          <w:rFonts w:hint="eastAsia"/>
          <w:color w:val="auto"/>
          <w:szCs w:val="21"/>
          <w:highlight w:val="none"/>
          <w:lang w:eastAsia="zh-CN"/>
        </w:rPr>
        <w:t>、乙方驻场人员无法</w:t>
      </w:r>
      <w:r>
        <w:rPr>
          <w:rFonts w:hint="eastAsia"/>
          <w:color w:val="auto"/>
          <w:szCs w:val="21"/>
          <w:highlight w:val="none"/>
        </w:rPr>
        <w:t>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2" w:name="OLE_LINK6"/>
      <w:r>
        <w:rPr>
          <w:rFonts w:hint="eastAsia"/>
          <w:color w:val="auto"/>
          <w:szCs w:val="21"/>
          <w:highlight w:val="none"/>
        </w:rPr>
        <w:t xml:space="preserve">  18.5</w:t>
      </w:r>
      <w:bookmarkEnd w:id="442"/>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19.医用气体设备供货内容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w:t>
      </w:r>
      <w:r>
        <w:rPr>
          <w:rFonts w:hint="eastAsia"/>
          <w:color w:val="auto"/>
          <w:szCs w:val="21"/>
          <w:highlight w:val="none"/>
          <w:lang w:val="en-US" w:eastAsia="zh-CN"/>
        </w:rPr>
        <w:t>货物</w:t>
      </w:r>
      <w:r>
        <w:rPr>
          <w:rFonts w:hint="eastAsia"/>
          <w:color w:val="auto"/>
          <w:szCs w:val="21"/>
          <w:highlight w:val="none"/>
        </w:rPr>
        <w:t>清单</w:t>
      </w:r>
    </w:p>
    <w:p>
      <w:pPr>
        <w:spacing w:line="360" w:lineRule="auto"/>
        <w:ind w:firstLine="210"/>
        <w:rPr>
          <w:color w:val="auto"/>
          <w:szCs w:val="21"/>
          <w:highlight w:val="none"/>
        </w:rPr>
      </w:pPr>
      <w:r>
        <w:rPr>
          <w:rFonts w:hint="eastAsia"/>
          <w:color w:val="auto"/>
          <w:szCs w:val="21"/>
          <w:highlight w:val="none"/>
        </w:rPr>
        <w:t xml:space="preserve">  19.2本合同价格包括医用气体设备的深化设计、制造、运输、安装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rPr>
          <w:color w:val="auto"/>
          <w:highlight w:val="none"/>
        </w:rPr>
      </w:pPr>
    </w:p>
    <w:p>
      <w:pPr>
        <w:pStyle w:val="7"/>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绍兴市妇幼保健院（绍兴市儿童医院）建设项目医用气体项目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 xml:space="preserve">法定代表人或                         </w:t>
      </w:r>
      <w:r>
        <w:rPr>
          <w:rFonts w:hint="eastAsia"/>
          <w:color w:val="auto"/>
          <w:szCs w:val="21"/>
          <w:highlight w:val="none"/>
          <w:lang w:val="en-US" w:eastAsia="zh-CN"/>
        </w:rPr>
        <w:t xml:space="preserve">                </w:t>
      </w:r>
      <w:r>
        <w:rPr>
          <w:rFonts w:hint="eastAsia"/>
          <w:color w:val="auto"/>
          <w:szCs w:val="21"/>
          <w:highlight w:val="none"/>
        </w:rPr>
        <w:t xml:space="preserve">  法定代表人或</w:t>
      </w:r>
    </w:p>
    <w:p>
      <w:pPr>
        <w:spacing w:line="360" w:lineRule="auto"/>
        <w:rPr>
          <w:color w:val="auto"/>
          <w:szCs w:val="21"/>
          <w:highlight w:val="none"/>
        </w:rPr>
      </w:pPr>
      <w:r>
        <w:rPr>
          <w:rFonts w:hint="eastAsia"/>
          <w:color w:val="auto"/>
          <w:szCs w:val="21"/>
          <w:highlight w:val="none"/>
        </w:rPr>
        <w:t xml:space="preserve">其委托代理人：（签字）                 </w:t>
      </w:r>
      <w:r>
        <w:rPr>
          <w:rFonts w:hint="eastAsia"/>
          <w:color w:val="auto"/>
          <w:szCs w:val="21"/>
          <w:highlight w:val="none"/>
          <w:lang w:val="en-US" w:eastAsia="zh-CN"/>
        </w:rPr>
        <w:t xml:space="preserve">     </w:t>
      </w:r>
      <w:r>
        <w:rPr>
          <w:rFonts w:hint="eastAsia"/>
          <w:color w:val="auto"/>
          <w:szCs w:val="21"/>
          <w:highlight w:val="none"/>
        </w:rPr>
        <w:t xml:space="preserve"> 其委托代理人：（签字）</w:t>
      </w:r>
    </w:p>
    <w:p>
      <w:pPr>
        <w:spacing w:line="360" w:lineRule="auto"/>
        <w:rPr>
          <w:color w:val="auto"/>
          <w:szCs w:val="21"/>
          <w:highlight w:val="none"/>
          <w:u w:val="single"/>
        </w:rPr>
      </w:pPr>
      <w:r>
        <w:rPr>
          <w:rFonts w:hint="eastAsia"/>
          <w:color w:val="auto"/>
          <w:szCs w:val="21"/>
          <w:highlight w:val="none"/>
        </w:rPr>
        <w:t xml:space="preserve">日期：      年     月     日           </w:t>
      </w:r>
      <w:r>
        <w:rPr>
          <w:rFonts w:hint="eastAsia"/>
          <w:color w:val="auto"/>
          <w:szCs w:val="21"/>
          <w:highlight w:val="none"/>
          <w:lang w:val="en-US" w:eastAsia="zh-CN"/>
        </w:rPr>
        <w:t xml:space="preserve">                </w:t>
      </w:r>
      <w:r>
        <w:rPr>
          <w:rFonts w:hint="eastAsia"/>
          <w:color w:val="auto"/>
          <w:szCs w:val="21"/>
          <w:highlight w:val="none"/>
        </w:rPr>
        <w:t>日期：     年     月       日</w:t>
      </w:r>
    </w:p>
    <w:p>
      <w:pPr>
        <w:spacing w:line="360" w:lineRule="auto"/>
        <w:rPr>
          <w:color w:val="auto"/>
          <w:szCs w:val="21"/>
          <w:highlight w:val="none"/>
        </w:rPr>
      </w:pPr>
      <w:r>
        <w:rPr>
          <w:rFonts w:hint="eastAsia"/>
          <w:color w:val="auto"/>
          <w:szCs w:val="21"/>
          <w:highlight w:val="none"/>
        </w:rPr>
        <w:br w:type="page"/>
      </w:r>
    </w:p>
    <w:p>
      <w:pPr>
        <w:pStyle w:val="7"/>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绍兴市妇幼保健院（绍兴市儿童医院）建设项目医用气体项目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spacing w:line="360" w:lineRule="auto"/>
        <w:rPr>
          <w:color w:val="auto"/>
          <w:szCs w:val="21"/>
          <w:highlight w:val="none"/>
        </w:rPr>
      </w:pPr>
    </w:p>
    <w:p>
      <w:pPr>
        <w:pStyle w:val="2"/>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1"/>
        <w:rPr>
          <w:b/>
          <w:color w:val="auto"/>
          <w:szCs w:val="21"/>
          <w:highlight w:val="none"/>
        </w:rPr>
      </w:pPr>
    </w:p>
    <w:p>
      <w:pPr>
        <w:rPr>
          <w:color w:val="auto"/>
          <w:highlight w:val="none"/>
        </w:rPr>
      </w:pPr>
    </w:p>
    <w:p>
      <w:pPr>
        <w:rPr>
          <w:b/>
          <w:color w:val="auto"/>
          <w:szCs w:val="21"/>
          <w:highlight w:val="none"/>
        </w:rPr>
      </w:pPr>
    </w:p>
    <w:p>
      <w:pPr>
        <w:pStyle w:val="2"/>
        <w:ind w:firstLine="341"/>
        <w:rPr>
          <w:b/>
          <w:color w:val="auto"/>
          <w:szCs w:val="21"/>
          <w:highlight w:val="none"/>
        </w:rPr>
      </w:pPr>
    </w:p>
    <w:p>
      <w:pPr>
        <w:rPr>
          <w:b/>
          <w:color w:val="auto"/>
          <w:szCs w:val="21"/>
          <w:highlight w:val="none"/>
        </w:rPr>
      </w:pPr>
    </w:p>
    <w:p>
      <w:pPr>
        <w:pStyle w:val="2"/>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3" w:name="_Toc30226"/>
      <w:r>
        <w:rPr>
          <w:rFonts w:hint="eastAsia" w:ascii="仿宋" w:hAnsi="仿宋" w:eastAsia="仿宋"/>
          <w:b/>
          <w:bCs/>
          <w:color w:val="auto"/>
          <w:szCs w:val="21"/>
          <w:highlight w:val="none"/>
        </w:rPr>
        <w:t>质 量 保 修 书</w:t>
      </w:r>
      <w:bookmarkEnd w:id="443"/>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4"/>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使用产品之日起算，质保期以招标、投标文件确定的为准。</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3"/>
        <w:rPr>
          <w:rFonts w:hint="eastAsia"/>
          <w:color w:val="auto"/>
          <w:highlight w:val="none"/>
        </w:rPr>
      </w:pPr>
      <w:r>
        <w:rPr>
          <w:rFonts w:hint="eastAsia"/>
          <w:color w:val="auto"/>
          <w:highlight w:val="none"/>
        </w:rPr>
        <w:t>甲方对乙方的保修义务对丙方承担连带责任。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招标人提供由深圳市建筑设计研究总院有限公司（及其医疗专项设计分包单位上海尧伟建设工程有限公司）提供的医用气体采购及安装工程施工图纸（电子版），请各投标人在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w:t>
      </w:r>
      <w:r>
        <w:rPr>
          <w:rFonts w:hint="default" w:asciiTheme="minorEastAsia" w:hAnsiTheme="minorEastAsia" w:eastAsiaTheme="minorEastAsia" w:cstheme="minorEastAsia"/>
          <w:color w:val="auto"/>
          <w:sz w:val="24"/>
          <w:szCs w:val="24"/>
          <w:highlight w:val="none"/>
          <w:lang w:val="en-US" w:bidi="ar"/>
        </w:rPr>
        <w:t>控制价文件</w:t>
      </w:r>
      <w:r>
        <w:rPr>
          <w:rFonts w:hint="eastAsia" w:asciiTheme="minorEastAsia" w:hAnsiTheme="minorEastAsia" w:eastAsiaTheme="minorEastAsia" w:cstheme="minorEastAsia"/>
          <w:color w:val="auto"/>
          <w:sz w:val="24"/>
          <w:szCs w:val="24"/>
          <w:highlight w:val="none"/>
          <w:lang w:bidi="ar"/>
        </w:rPr>
        <w:t>中</w:t>
      </w:r>
      <w:r>
        <w:rPr>
          <w:rFonts w:hint="default" w:asciiTheme="minorEastAsia" w:hAnsiTheme="minorEastAsia" w:eastAsiaTheme="minorEastAsia" w:cstheme="minorEastAsia"/>
          <w:color w:val="auto"/>
          <w:sz w:val="24"/>
          <w:szCs w:val="24"/>
          <w:highlight w:val="none"/>
          <w:lang w:val="en-US" w:bidi="ar"/>
        </w:rPr>
        <w:t>领取</w:t>
      </w:r>
      <w:r>
        <w:rPr>
          <w:rFonts w:hint="eastAsia" w:asciiTheme="minorEastAsia" w:hAnsiTheme="minorEastAsia" w:eastAsiaTheme="minorEastAsia" w:cstheme="minorEastAsia"/>
          <w:color w:val="auto"/>
          <w:sz w:val="24"/>
          <w:szCs w:val="24"/>
          <w:highlight w:val="none"/>
          <w:lang w:bidi="ar"/>
        </w:rPr>
        <w:t>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6"/>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5"/>
        <w:rPr>
          <w:color w:val="auto"/>
          <w:highlight w:val="none"/>
        </w:rPr>
      </w:pPr>
      <w:bookmarkStart w:id="444"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4"/>
    </w:p>
    <w:p>
      <w:pPr>
        <w:jc w:val="left"/>
        <w:rPr>
          <w:rStyle w:val="70"/>
          <w:b/>
          <w:bCs/>
          <w:color w:val="auto"/>
          <w:sz w:val="28"/>
          <w:szCs w:val="28"/>
          <w:highlight w:val="none"/>
        </w:rPr>
      </w:pPr>
      <w:r>
        <w:rPr>
          <w:rStyle w:val="70"/>
          <w:rFonts w:hint="eastAsia"/>
          <w:b/>
          <w:bCs/>
          <w:color w:val="auto"/>
          <w:sz w:val="28"/>
          <w:szCs w:val="28"/>
          <w:highlight w:val="none"/>
        </w:rPr>
        <w:t>一、总体技术要求</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总体原则是：配套设施完善，功能与设施先进完备。</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项目范围内施工工艺、设备及材料的选择都应具有先进性，满足现代化医院的使用要求。全部技术指标，包括设备、材料、包装、运输、安装、调试、维修等各项目技术参数，必须符合本招标文件及国家规范的相关要求。包括但不限于下列规范：</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《医用气体工程技术规范》GB50751-2012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《压力容器压力管道设计许可规则》TSG R1001-2008</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《压力管道安全管理与监察规定-工业管道》TSG D0001-2009</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《流体输送用不锈钢无缝钢管》GB/T 14976-2012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《工业金属管道工程施工规范》GB 50235-2010</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《工业金属管道工程施工质量验收规范》GB 50184-2011</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《现场设备、工业管道焊接工程施工规范》GB50236—2011</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《医用气体和真空用无缝铜管》YS/T650-2007</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《氧气站设计规范》GB 50030-2013</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《压缩空气站设计规范》GB 50029-2014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《安全阀标准》GB12241-12243 </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《爆破片安全装置》GB567-2012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《压力容器》GB150-2011</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《医用中心吸引系统通用技术条件》YY/T0186-94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《医用中心供氧系统通用技术条件》YY/T0187-94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《医用及航空呼吸用氧》GB8982-2009   </w:t>
      </w:r>
    </w:p>
    <w:p>
      <w:pPr>
        <w:widowControl/>
        <w:numPr>
          <w:ilvl w:val="0"/>
          <w:numId w:val="5"/>
        </w:numPr>
        <w:spacing w:line="360" w:lineRule="auto"/>
        <w:ind w:left="0" w:leftChars="0" w:firstLine="420" w:firstLineChars="200"/>
        <w:rPr>
          <w:rFonts w:ascii="宋体" w:hAnsi="宋体" w:cs="宋体"/>
          <w:color w:val="auto"/>
          <w:szCs w:val="21"/>
          <w:highlight w:val="none"/>
        </w:rPr>
      </w:pPr>
      <w:r>
        <w:rPr>
          <w:rFonts w:hint="eastAsia" w:ascii="宋体" w:hAnsi="宋体" w:cs="宋体"/>
          <w:color w:val="auto"/>
          <w:szCs w:val="21"/>
          <w:highlight w:val="none"/>
        </w:rPr>
        <w:t>《建筑电气工程施工质量验收规范》GB50303-2002</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《综合医院建筑设计规范》GB51039-2014</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《建筑设计防火规范》GB50016-2014(2018版)</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《建筑内部装修设计防火规范》GB50222-2017</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《医院消毒供应中心  第1部分管理规范》WS_310.1--2016</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《静脉用药集中调配质量管理规范》（卫办医发〔2010〕62号）</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《人类辅助生殖技术规范》 卫科教发〔2003〕176号</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《生物安全实验室建筑技术规范》 GB 50346-2011 </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《传染病医院建筑设计规范》</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"https://bbs.co188.com/thread-9140623-1-1.html" \o "求《传染病医院建筑设计规范》GB50849-2014"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GB50849-2014</w:t>
      </w:r>
      <w:r>
        <w:rPr>
          <w:rFonts w:hint="eastAsia" w:ascii="宋体" w:hAnsi="宋体" w:cs="宋体"/>
          <w:color w:val="auto"/>
          <w:szCs w:val="21"/>
          <w:highlight w:val="none"/>
        </w:rPr>
        <w:fldChar w:fldCharType="end"/>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《医院负压隔离病房环境控制要求》GB/T35428-2017</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《医院隔离技术规范 》WST 311-2009 </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《建筑照明设计标准》GB50034-2013</w:t>
      </w:r>
    </w:p>
    <w:p>
      <w:pPr>
        <w:widowControl/>
        <w:numPr>
          <w:ilvl w:val="0"/>
          <w:numId w:val="5"/>
        </w:num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《电力工程电缆设计规范》GB50217-2016   </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其它与本工程相关的技术规范。</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如果国家有新的行业标准公布，则按新标准执行。</w:t>
      </w:r>
    </w:p>
    <w:p>
      <w:pPr>
        <w:numPr>
          <w:ilvl w:val="0"/>
          <w:numId w:val="4"/>
        </w:numPr>
        <w:spacing w:line="360" w:lineRule="auto"/>
        <w:rPr>
          <w:color w:val="auto"/>
          <w:highlight w:val="none"/>
        </w:rPr>
      </w:pPr>
      <w:r>
        <w:rPr>
          <w:rFonts w:hint="eastAsia" w:ascii="宋体" w:hAnsi="宋体" w:cs="宋体"/>
          <w:color w:val="auto"/>
          <w:szCs w:val="21"/>
          <w:highlight w:val="none"/>
        </w:rPr>
        <w:t>材料设备品牌推荐表要求见本章附表。</w:t>
      </w:r>
    </w:p>
    <w:p>
      <w:pPr>
        <w:rPr>
          <w:color w:val="auto"/>
          <w:sz w:val="28"/>
          <w:szCs w:val="28"/>
          <w:highlight w:val="none"/>
        </w:rPr>
      </w:pPr>
      <w:r>
        <w:rPr>
          <w:rFonts w:hint="eastAsia"/>
          <w:color w:val="auto"/>
          <w:sz w:val="28"/>
          <w:szCs w:val="28"/>
          <w:highlight w:val="none"/>
        </w:rPr>
        <w:t>二、</w:t>
      </w:r>
      <w:r>
        <w:rPr>
          <w:rFonts w:hint="eastAsia" w:ascii="宋体" w:hAnsi="宋体"/>
          <w:b/>
          <w:color w:val="auto"/>
          <w:sz w:val="28"/>
          <w:szCs w:val="28"/>
          <w:highlight w:val="none"/>
        </w:rPr>
        <w:t>各系统技术要求及配置</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本专业招标范围包括儿科住院楼、妇科住院楼、门医技保健楼</w:t>
      </w:r>
      <w:r>
        <w:rPr>
          <w:rFonts w:hint="eastAsia" w:ascii="宋体" w:hAnsi="宋体" w:cs="宋体"/>
          <w:color w:val="auto"/>
          <w:highlight w:val="none"/>
        </w:rPr>
        <w:t>等的中心供氧系统、大楼中心吸引系统、大楼中心压缩空气系统、牙科专用吸引系统、牙科专用压缩空气系统、手术部汇流排系统、手术部麻醉废气排放系统、分子实验室汇流排系统、病房设备带及其附属设备、配套的站房及其管网末端工程（妇科三层生殖中心和地下室动物实验室的医气工程不计入）</w:t>
      </w:r>
      <w:r>
        <w:rPr>
          <w:rFonts w:hint="eastAsia" w:ascii="宋体" w:hAnsi="宋体" w:cs="宋体"/>
          <w:color w:val="auto"/>
          <w:szCs w:val="21"/>
          <w:highlight w:val="none"/>
        </w:rPr>
        <w:t>。</w:t>
      </w:r>
    </w:p>
    <w:p>
      <w:pPr>
        <w:pStyle w:val="2"/>
        <w:spacing w:line="360" w:lineRule="auto"/>
        <w:ind w:firstLineChars="200"/>
        <w:rPr>
          <w:color w:val="auto"/>
          <w:highlight w:val="none"/>
        </w:rPr>
      </w:pPr>
      <w:r>
        <w:rPr>
          <w:rFonts w:hint="eastAsia" w:hAnsi="宋体" w:cs="宋体"/>
          <w:color w:val="auto"/>
          <w:kern w:val="2"/>
          <w:sz w:val="21"/>
          <w:szCs w:val="22"/>
          <w:highlight w:val="none"/>
        </w:rPr>
        <w:t>中标人需对图纸进行二次深化工作（中标单位在中标之前，所发生的设计变更,</w:t>
      </w:r>
      <w:r>
        <w:rPr>
          <w:rFonts w:hint="eastAsia" w:hAnsi="宋体" w:cs="宋体"/>
          <w:color w:val="auto"/>
          <w:kern w:val="2"/>
          <w:sz w:val="21"/>
          <w:szCs w:val="22"/>
          <w:highlight w:val="none"/>
          <w:lang w:eastAsia="zh-CN"/>
        </w:rPr>
        <w:t>设计院</w:t>
      </w:r>
      <w:r>
        <w:rPr>
          <w:rFonts w:hint="eastAsia" w:hAnsi="宋体" w:cs="宋体"/>
          <w:color w:val="auto"/>
          <w:kern w:val="2"/>
          <w:sz w:val="21"/>
          <w:szCs w:val="22"/>
          <w:highlight w:val="none"/>
        </w:rPr>
        <w:t>未修改到位的，需由中标单位负责深化），要求二次深化图加盖相应资质的章，经深圳市建筑设计研究总院</w:t>
      </w:r>
      <w:r>
        <w:rPr>
          <w:rFonts w:hint="eastAsia" w:hAnsi="宋体" w:cs="宋体"/>
          <w:color w:val="auto"/>
          <w:kern w:val="2"/>
          <w:sz w:val="21"/>
          <w:szCs w:val="22"/>
          <w:highlight w:val="none"/>
          <w:lang w:eastAsia="zh-CN"/>
        </w:rPr>
        <w:t>（及其医疗专项分包单位）</w:t>
      </w:r>
      <w:r>
        <w:rPr>
          <w:rFonts w:hint="eastAsia" w:hAnsi="宋体" w:cs="宋体"/>
          <w:color w:val="auto"/>
          <w:kern w:val="2"/>
          <w:sz w:val="21"/>
          <w:szCs w:val="22"/>
          <w:highlight w:val="none"/>
        </w:rPr>
        <w:t>审核认可并盖章。</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一、</w:t>
      </w:r>
      <w:r>
        <w:rPr>
          <w:rFonts w:hint="eastAsia" w:ascii="宋体" w:hAnsi="宋体" w:cs="宋体"/>
          <w:b/>
          <w:bCs/>
          <w:color w:val="auto"/>
          <w:szCs w:val="21"/>
          <w:highlight w:val="none"/>
        </w:rPr>
        <w:t>大楼中心供氧系统</w:t>
      </w:r>
    </w:p>
    <w:p>
      <w:pPr>
        <w:numPr>
          <w:ilvl w:val="0"/>
          <w:numId w:val="6"/>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大楼中心供氧系统：采用液氧系统和应急氧气汇流排作为氧源；其中站房组成：4台液氧罐、4台汽化器、氧气减压装置、分气缸等设备与管道（两用两备，各液氧灌均能独立控制）；生命支持区域采用2*10瓶组氧气汇流排作为应急备用氧源，并保证其4h以上的用氧量。</w:t>
      </w:r>
    </w:p>
    <w:p>
      <w:pPr>
        <w:numPr>
          <w:ilvl w:val="0"/>
          <w:numId w:val="6"/>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氧气终端压力：所有终端压力不低于0.4MPa。</w:t>
      </w:r>
    </w:p>
    <w:p>
      <w:pPr>
        <w:numPr>
          <w:ilvl w:val="0"/>
          <w:numId w:val="6"/>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每楼层管道井处设置一只氧气二级稳压箱（稳压箱前后均设置截止阀），一只氧气流量仪，护士站设置区域报警器。</w:t>
      </w:r>
    </w:p>
    <w:p>
      <w:pPr>
        <w:pStyle w:val="2"/>
        <w:numPr>
          <w:ilvl w:val="0"/>
          <w:numId w:val="6"/>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气源报警器符合YY0505电磁兼容标准，投标人在施工阶段设备进场时需提供第三方检测报告进行证明。</w:t>
      </w:r>
    </w:p>
    <w:p>
      <w:pPr>
        <w:pStyle w:val="2"/>
        <w:numPr>
          <w:ilvl w:val="0"/>
          <w:numId w:val="6"/>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液氧贮槽设计使用寿命≥15年，提供质量证明书等相关材料证明。</w:t>
      </w:r>
    </w:p>
    <w:p>
      <w:pPr>
        <w:ind w:firstLine="420" w:firstLineChars="200"/>
        <w:rPr>
          <w:rFonts w:hint="eastAsia" w:eastAsia="宋体"/>
          <w:color w:val="auto"/>
          <w:highlight w:val="none"/>
          <w:lang w:val="en-US" w:eastAsia="zh-CN"/>
        </w:rPr>
      </w:pPr>
      <w:r>
        <w:rPr>
          <w:rFonts w:hint="eastAsia" w:ascii="宋体" w:hAnsi="宋体" w:cs="宋体"/>
          <w:color w:val="auto"/>
          <w:sz w:val="21"/>
          <w:szCs w:val="21"/>
          <w:highlight w:val="none"/>
        </w:rPr>
        <w:t>★</w:t>
      </w:r>
      <w:r>
        <w:rPr>
          <w:rFonts w:hint="eastAsia"/>
          <w:color w:val="auto"/>
          <w:highlight w:val="none"/>
          <w:lang w:val="en-US" w:eastAsia="zh-CN"/>
        </w:rPr>
        <w:t>6.提供</w:t>
      </w:r>
      <w:r>
        <w:rPr>
          <w:rFonts w:hint="eastAsia" w:ascii="宋体" w:hAnsi="宋体"/>
          <w:color w:val="auto"/>
          <w:szCs w:val="21"/>
          <w:highlight w:val="none"/>
        </w:rPr>
        <w:t>有效期内的“医用中心供氧系统”中华人民共和国医疗器械注册证书</w:t>
      </w:r>
      <w:r>
        <w:rPr>
          <w:rFonts w:hint="eastAsia" w:ascii="宋体" w:hAnsi="宋体"/>
          <w:color w:val="auto"/>
          <w:szCs w:val="21"/>
          <w:highlight w:val="none"/>
          <w:lang w:eastAsia="zh-CN"/>
        </w:rPr>
        <w:t>。</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二、</w:t>
      </w:r>
      <w:r>
        <w:rPr>
          <w:rFonts w:hint="eastAsia" w:ascii="宋体" w:hAnsi="宋体" w:cs="宋体"/>
          <w:b/>
          <w:bCs/>
          <w:color w:val="auto"/>
          <w:szCs w:val="21"/>
          <w:highlight w:val="none"/>
        </w:rPr>
        <w:t>大楼中心吸引系统</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大楼中心吸引系统：3台爪型干式真空泵两用一备，负压控制柜（带报警装置）、3只除菌过滤器（精度:0.01μm-0.2μm,并采取滤芯性能监测措施）、2只真空罐（3.0m3）、2只除污罐、1只分气气缸、管道、阀门等组成。吸引机组前端安装细菌过滤器、末端安装排气消毒灭菌装置 管道做好密封，管道泄露性试验。</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负压报警装置：当压力高于-0.03MPa或低于-0.07MPa时，有声光同时报警，报警压力误差≤3%。</w:t>
      </w:r>
    </w:p>
    <w:p>
      <w:pPr>
        <w:pStyle w:val="2"/>
        <w:numPr>
          <w:ilvl w:val="0"/>
          <w:numId w:val="7"/>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灭菌装置提供高温灭菌器符合杀灭率要求，投标人在施工阶段设备进场时需提供第三方检测报告进行证明</w:t>
      </w:r>
      <w:r>
        <w:rPr>
          <w:rFonts w:hint="eastAsia" w:hAnsi="宋体" w:cs="宋体"/>
          <w:color w:val="auto"/>
          <w:kern w:val="2"/>
          <w:sz w:val="21"/>
          <w:szCs w:val="21"/>
          <w:highlight w:val="none"/>
          <w:lang w:eastAsia="zh-CN"/>
        </w:rPr>
        <w:t>。</w:t>
      </w:r>
    </w:p>
    <w:p>
      <w:pPr>
        <w:pStyle w:val="2"/>
        <w:numPr>
          <w:ilvl w:val="0"/>
          <w:numId w:val="7"/>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灭菌装置提供高温消毒灭菌设备图片。</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负压控制系统：本系统采用PLC控制系统，能分别对真空泵机组进行手动和自动控制；当其中一台泵发生故障，自动从故障电机转到另一台泵工作，故障电机自动从系统中脱离；可实现多台真空泵的集中控制；PLC自动控制，留有与医院设备监控系统RS485通讯口。</w:t>
      </w:r>
    </w:p>
    <w:p>
      <w:pPr>
        <w:pStyle w:val="2"/>
        <w:numPr>
          <w:ilvl w:val="0"/>
          <w:numId w:val="7"/>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电控柜符合YY0505电磁兼容标准，投标人在施工阶段设备进场时需提供第三方检测报告进行证明</w:t>
      </w:r>
      <w:r>
        <w:rPr>
          <w:rFonts w:hint="eastAsia" w:hAnsi="宋体" w:cs="宋体"/>
          <w:color w:val="auto"/>
          <w:kern w:val="2"/>
          <w:sz w:val="21"/>
          <w:szCs w:val="21"/>
          <w:highlight w:val="none"/>
          <w:lang w:eastAsia="zh-CN"/>
        </w:rPr>
        <w:t>。</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吸引终端压力：-0.07MPa～-0.03MPa（可调）。</w:t>
      </w:r>
    </w:p>
    <w:p>
      <w:pPr>
        <w:numPr>
          <w:ilvl w:val="0"/>
          <w:numId w:val="7"/>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每层管道井处设置一只球阀，护士站设置区域报警器。</w:t>
      </w:r>
    </w:p>
    <w:p>
      <w:pPr>
        <w:adjustRightInd w:val="0"/>
        <w:snapToGrid w:val="0"/>
        <w:spacing w:line="360" w:lineRule="auto"/>
        <w:ind w:left="0" w:leftChars="0"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rPr>
        <w:t>★</w:t>
      </w:r>
      <w:r>
        <w:rPr>
          <w:rFonts w:hint="eastAsia" w:ascii="宋体" w:hAnsi="宋体" w:cs="宋体"/>
          <w:color w:val="auto"/>
          <w:szCs w:val="21"/>
          <w:highlight w:val="none"/>
          <w:lang w:val="en-US" w:eastAsia="zh-CN"/>
        </w:rPr>
        <w:t>9.提供</w:t>
      </w:r>
      <w:r>
        <w:rPr>
          <w:rFonts w:hint="eastAsia" w:ascii="宋体" w:hAnsi="宋体"/>
          <w:color w:val="auto"/>
          <w:szCs w:val="21"/>
          <w:highlight w:val="none"/>
        </w:rPr>
        <w:t>有效期内的“医用中心吸引系统”中华人民共和国医疗器械注册证书</w:t>
      </w:r>
      <w:r>
        <w:rPr>
          <w:rFonts w:hint="eastAsia" w:ascii="宋体" w:hAnsi="宋体"/>
          <w:color w:val="auto"/>
          <w:szCs w:val="21"/>
          <w:highlight w:val="none"/>
          <w:lang w:eastAsia="zh-CN"/>
        </w:rPr>
        <w:t>。</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三</w:t>
      </w:r>
      <w:r>
        <w:rPr>
          <w:rFonts w:hint="eastAsia" w:ascii="宋体" w:hAnsi="宋体" w:cs="宋体"/>
          <w:b/>
          <w:bCs/>
          <w:color w:val="auto"/>
          <w:szCs w:val="21"/>
          <w:highlight w:val="none"/>
        </w:rPr>
        <w:t>、大楼医用空气供应系统</w:t>
      </w:r>
    </w:p>
    <w:p>
      <w:pPr>
        <w:numPr>
          <w:ilvl w:val="0"/>
          <w:numId w:val="8"/>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医用空气供应系统：由3台无油涡旋空压机两用一备、3台吸附式干燥器、3套三级过滤器（精密过滤器、高效精密过滤器、除菌过滤器，过滤效率大于99.9%，并设置滤芯性能监视措施）、2只储气罐（2.0m3）、管道、阀门等组成。</w:t>
      </w:r>
    </w:p>
    <w:p>
      <w:pPr>
        <w:numPr>
          <w:ilvl w:val="0"/>
          <w:numId w:val="8"/>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空气终端压力：手术室、重症监护病房、产房(用于麻醉机、呼吸机、和相关医疗器械)的终端压力不低于0.4MPa。</w:t>
      </w:r>
    </w:p>
    <w:p>
      <w:pPr>
        <w:numPr>
          <w:ilvl w:val="0"/>
          <w:numId w:val="8"/>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每楼层管道井处设置一只空气二级稳压箱（稳压箱前后均设置截止阀），护士站设置区域报警器。</w:t>
      </w:r>
    </w:p>
    <w:p>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四、</w:t>
      </w:r>
      <w:r>
        <w:rPr>
          <w:rFonts w:hint="eastAsia" w:ascii="宋体" w:hAnsi="宋体" w:cs="宋体"/>
          <w:b/>
          <w:bCs/>
          <w:color w:val="auto"/>
          <w:szCs w:val="21"/>
          <w:highlight w:val="none"/>
        </w:rPr>
        <w:t>牙科系统</w:t>
      </w:r>
    </w:p>
    <w:p>
      <w:pPr>
        <w:numPr>
          <w:ilvl w:val="0"/>
          <w:numId w:val="9"/>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牙科专用吸引系统：采用一台牙科电动抽吸机；牙科电动抽吸机包含2台真空泵，1台气水分离器、1台除菌过滤器，1台电控柜，电磁阀管路及阀门等。</w:t>
      </w:r>
    </w:p>
    <w:p>
      <w:pPr>
        <w:numPr>
          <w:ilvl w:val="0"/>
          <w:numId w:val="9"/>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牙科专用压缩空气系统:采用一台牙科无油空压机组；牙科无油空压机组包含2台无油空压机机头、干燥剂、过滤器、储气罐等。</w:t>
      </w:r>
    </w:p>
    <w:p>
      <w:pPr>
        <w:pStyle w:val="2"/>
        <w:numPr>
          <w:ilvl w:val="0"/>
          <w:numId w:val="9"/>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无油空气压缩机在施工阶段设备进场时需提供无油认证证明</w:t>
      </w:r>
      <w:r>
        <w:rPr>
          <w:rFonts w:hint="eastAsia" w:hAnsi="宋体" w:cs="宋体"/>
          <w:color w:val="auto"/>
          <w:kern w:val="2"/>
          <w:sz w:val="21"/>
          <w:szCs w:val="21"/>
          <w:highlight w:val="none"/>
          <w:lang w:eastAsia="zh-CN"/>
        </w:rPr>
        <w:t>。</w:t>
      </w:r>
    </w:p>
    <w:p>
      <w:pPr>
        <w:numPr>
          <w:ilvl w:val="0"/>
          <w:numId w:val="10"/>
        </w:numPr>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汇流排及区域阀门箱系统</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手术部汇流排系统：采用二氧化碳4+4全自动汇流排设备及管道。</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手术部麻醉废气排放系统：麻醉废气采用引射式排放系统，采用医疗空气驱动引射器。</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分子实验室汇流排系统：采用二氧化碳、氮气2+2全自动汇流排设备及管道。</w:t>
      </w:r>
    </w:p>
    <w:p>
      <w:pPr>
        <w:numPr>
          <w:ilvl w:val="0"/>
          <w:numId w:val="11"/>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本项目采用双路设计的二级稳压箱，即箱体内设计2套减压阀设计，一路发生故障时，可自动切换到另一路应急备用；实现不停气维修，满足GB 50751-2012《医用气体工程技术规范》规定“单一故障下，能够实现连续供气”的要求。</w:t>
      </w:r>
    </w:p>
    <w:p>
      <w:pPr>
        <w:adjustRightInd w:val="0"/>
        <w:snapToGrid w:val="0"/>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七、病房设备带、气体终端及其附属设备</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病房设备带及其附属设备：采用病房铝合金设备带，采用模块化设计，确保安转维修方便，气体终端和电器等均采用嵌入式安装，包含设备带上的插座及床头灯系统；每个设备带中的每个系统的每个床位均需设置维修阀；设备带电源均需设置空气开关；</w:t>
      </w:r>
    </w:p>
    <w:p>
      <w:pPr>
        <w:pStyle w:val="2"/>
        <w:numPr>
          <w:ilvl w:val="0"/>
          <w:numId w:val="12"/>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医用设备带需符合GB9706标准、符合建筑电气安全防火要求，投标人在施工阶段设备进场时需提供第三方检测报告进行证明</w:t>
      </w:r>
      <w:r>
        <w:rPr>
          <w:rFonts w:hint="eastAsia" w:hAnsi="宋体" w:cs="宋体"/>
          <w:color w:val="auto"/>
          <w:kern w:val="2"/>
          <w:sz w:val="21"/>
          <w:szCs w:val="21"/>
          <w:highlight w:val="none"/>
          <w:lang w:eastAsia="zh-CN"/>
        </w:rPr>
        <w:t>。</w:t>
      </w:r>
    </w:p>
    <w:p>
      <w:pPr>
        <w:pStyle w:val="2"/>
        <w:numPr>
          <w:ilvl w:val="0"/>
          <w:numId w:val="12"/>
        </w:numPr>
        <w:spacing w:line="360" w:lineRule="auto"/>
        <w:ind w:firstLine="420" w:firstLineChars="200"/>
        <w:rPr>
          <w:rFonts w:hAnsi="宋体" w:cs="宋体"/>
          <w:strike/>
          <w:color w:val="auto"/>
          <w:kern w:val="2"/>
          <w:sz w:val="21"/>
          <w:szCs w:val="21"/>
          <w:highlight w:val="none"/>
        </w:rPr>
      </w:pPr>
      <w:r>
        <w:rPr>
          <w:rFonts w:hint="eastAsia" w:hAnsi="宋体" w:cs="宋体"/>
          <w:strike w:val="0"/>
          <w:color w:val="auto"/>
          <w:kern w:val="2"/>
          <w:sz w:val="21"/>
          <w:szCs w:val="21"/>
          <w:highlight w:val="none"/>
        </w:rPr>
        <w:t>医用设备带符合GB9706标准，</w:t>
      </w:r>
      <w:r>
        <w:rPr>
          <w:rFonts w:hint="eastAsia" w:hAnsi="宋体" w:cs="宋体"/>
          <w:color w:val="auto"/>
          <w:kern w:val="2"/>
          <w:sz w:val="21"/>
          <w:szCs w:val="21"/>
          <w:highlight w:val="none"/>
        </w:rPr>
        <w:t>，投标人在施工阶段设备进场时需提供第三方检测报告进行证明</w:t>
      </w:r>
      <w:r>
        <w:rPr>
          <w:rFonts w:hint="eastAsia" w:hAnsi="宋体" w:cs="宋体"/>
          <w:color w:val="auto"/>
          <w:kern w:val="2"/>
          <w:sz w:val="21"/>
          <w:szCs w:val="21"/>
          <w:highlight w:val="none"/>
          <w:lang w:eastAsia="zh-CN"/>
        </w:rPr>
        <w:t>。</w:t>
      </w:r>
    </w:p>
    <w:p>
      <w:pPr>
        <w:pStyle w:val="2"/>
        <w:numPr>
          <w:ilvl w:val="0"/>
          <w:numId w:val="12"/>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医用设备带表面</w:t>
      </w:r>
      <w:r>
        <w:rPr>
          <w:rFonts w:hint="eastAsia" w:hAnsi="宋体" w:cs="宋体"/>
          <w:strike/>
          <w:color w:val="auto"/>
          <w:kern w:val="2"/>
          <w:sz w:val="21"/>
          <w:szCs w:val="21"/>
          <w:highlight w:val="none"/>
        </w:rPr>
        <w:t>喷涂</w:t>
      </w:r>
      <w:r>
        <w:rPr>
          <w:rFonts w:hint="eastAsia" w:hAnsi="宋体" w:cs="宋体"/>
          <w:color w:val="auto"/>
          <w:kern w:val="2"/>
          <w:sz w:val="21"/>
          <w:szCs w:val="21"/>
          <w:highlight w:val="none"/>
        </w:rPr>
        <w:t>具备防锈、防腐性能，投标人在施工阶段设备进场时需提供第三方</w:t>
      </w:r>
      <w:r>
        <w:rPr>
          <w:rFonts w:hint="eastAsia" w:hAnsi="宋体" w:cs="宋体"/>
          <w:color w:val="auto"/>
          <w:kern w:val="2"/>
          <w:sz w:val="21"/>
          <w:szCs w:val="21"/>
          <w:highlight w:val="none"/>
          <w:lang w:eastAsia="zh-CN"/>
        </w:rPr>
        <w:t>盐雾</w:t>
      </w:r>
      <w:r>
        <w:rPr>
          <w:rFonts w:hint="eastAsia" w:hAnsi="宋体" w:cs="宋体"/>
          <w:color w:val="auto"/>
          <w:kern w:val="2"/>
          <w:sz w:val="21"/>
          <w:szCs w:val="21"/>
          <w:highlight w:val="none"/>
        </w:rPr>
        <w:t>检测报告进行证明</w:t>
      </w:r>
      <w:r>
        <w:rPr>
          <w:rFonts w:hint="eastAsia" w:hAnsi="宋体" w:cs="宋体"/>
          <w:color w:val="auto"/>
          <w:kern w:val="2"/>
          <w:sz w:val="21"/>
          <w:szCs w:val="21"/>
          <w:highlight w:val="none"/>
          <w:lang w:eastAsia="zh-CN"/>
        </w:rPr>
        <w:t>。</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氧气采用脱脂铜管，其余气体采用304不锈钢管，废气排放采用PVC管。</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为保证病人的使用安全和设备带的质量，本项目的设备带强电、弱电、气体根据分槽安装。</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hAnsi="宋体" w:cs="宋体"/>
          <w:color w:val="auto"/>
          <w:kern w:val="2"/>
          <w:szCs w:val="21"/>
          <w:highlight w:val="none"/>
        </w:rPr>
        <w:t>▲</w:t>
      </w:r>
      <w:r>
        <w:rPr>
          <w:rFonts w:hint="eastAsia" w:ascii="宋体" w:hAnsi="宋体" w:cs="宋体"/>
          <w:color w:val="auto"/>
          <w:szCs w:val="21"/>
          <w:highlight w:val="none"/>
        </w:rPr>
        <w:t>气体终端插头采用德标自封闭快速插座（插拔次数在两万次以上），采用ISO32颜色标准识别气体，具有防错接装置，使用寿命大于10年，采用优质标准，具有带气维修功能，终端维修部分可快速拆卸，无需打开设备带操作面板，可在操作面板上直接带气维修。</w:t>
      </w:r>
    </w:p>
    <w:p>
      <w:pPr>
        <w:pStyle w:val="2"/>
        <w:numPr>
          <w:ilvl w:val="0"/>
          <w:numId w:val="12"/>
        </w:numPr>
        <w:spacing w:line="360" w:lineRule="auto"/>
        <w:ind w:firstLine="420" w:firstLineChars="200"/>
        <w:rPr>
          <w:rFonts w:hAnsi="宋体" w:cs="宋体"/>
          <w:color w:val="auto"/>
          <w:kern w:val="2"/>
          <w:sz w:val="21"/>
          <w:szCs w:val="21"/>
          <w:highlight w:val="none"/>
        </w:rPr>
      </w:pPr>
      <w:r>
        <w:rPr>
          <w:rFonts w:hint="eastAsia" w:hAnsi="宋体" w:cs="宋体"/>
          <w:color w:val="auto"/>
          <w:kern w:val="2"/>
          <w:sz w:val="21"/>
          <w:szCs w:val="21"/>
          <w:highlight w:val="none"/>
        </w:rPr>
        <w:t>医用气体终端符合YY0801.1-2010《医用气体管道系统终端 第1部分：用于压缩医用气体和真空的终端》标准要求，投标人在施工阶段设备进场时需提供第三方检测报告进行证明</w:t>
      </w:r>
      <w:r>
        <w:rPr>
          <w:rFonts w:hint="eastAsia" w:hAnsi="宋体" w:cs="宋体"/>
          <w:color w:val="auto"/>
          <w:kern w:val="2"/>
          <w:sz w:val="21"/>
          <w:szCs w:val="21"/>
          <w:highlight w:val="none"/>
          <w:lang w:eastAsia="zh-CN"/>
        </w:rPr>
        <w:t>。</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hAnsi="宋体" w:cs="宋体"/>
          <w:color w:val="auto"/>
          <w:kern w:val="2"/>
          <w:szCs w:val="21"/>
          <w:highlight w:val="none"/>
        </w:rPr>
        <w:t>▲</w:t>
      </w:r>
      <w:r>
        <w:rPr>
          <w:rFonts w:hint="eastAsia" w:ascii="宋体" w:hAnsi="宋体" w:cs="宋体"/>
          <w:color w:val="auto"/>
          <w:szCs w:val="21"/>
          <w:highlight w:val="none"/>
        </w:rPr>
        <w:t>气体管道的暗管，应优化设计，保证后期维护、维修方便，同时气源要足量配置，必须设置减压防护和稳定安全措施。</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eastAsia="zh-CN"/>
        </w:rPr>
        <w:t>妇科住院楼四层</w:t>
      </w:r>
      <w:r>
        <w:rPr>
          <w:rFonts w:hint="eastAsia" w:ascii="宋体" w:hAnsi="宋体" w:cs="宋体"/>
          <w:color w:val="auto"/>
          <w:szCs w:val="21"/>
          <w:highlight w:val="none"/>
          <w:lang w:val="en-US" w:eastAsia="zh-CN"/>
        </w:rPr>
        <w:t>VIP产房</w:t>
      </w:r>
      <w:r>
        <w:rPr>
          <w:rFonts w:hint="eastAsia" w:ascii="宋体" w:hAnsi="宋体" w:cs="宋体"/>
          <w:color w:val="auto"/>
          <w:szCs w:val="21"/>
          <w:highlight w:val="none"/>
          <w:lang w:eastAsia="zh-CN"/>
        </w:rPr>
        <w:t>、八层</w:t>
      </w:r>
      <w:r>
        <w:rPr>
          <w:rFonts w:hint="eastAsia" w:ascii="宋体" w:hAnsi="宋体" w:cs="宋体"/>
          <w:color w:val="auto"/>
          <w:szCs w:val="21"/>
          <w:highlight w:val="none"/>
          <w:lang w:val="en-US" w:eastAsia="zh-CN"/>
        </w:rPr>
        <w:t>VIP套间，设备带需要做嵌入式样式，具体样式由中标单位进行二次深化，方案需由业主确认；</w:t>
      </w:r>
    </w:p>
    <w:p>
      <w:pPr>
        <w:numPr>
          <w:ilvl w:val="0"/>
          <w:numId w:val="12"/>
        </w:num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做好与吊塔施工单位的配合工作：所有安装吊塔位置的床单元，气体终端由吊塔厂家负责安装，但管道井至吊塔的管线由医用气体中标单位负责安装。</w:t>
      </w:r>
    </w:p>
    <w:p>
      <w:pPr>
        <w:numPr>
          <w:ilvl w:val="0"/>
          <w:numId w:val="10"/>
        </w:numPr>
        <w:adjustRightInd w:val="0"/>
        <w:snapToGrid w:val="0"/>
        <w:spacing w:line="360" w:lineRule="auto"/>
        <w:ind w:firstLine="422" w:firstLineChars="200"/>
        <w:rPr>
          <w:rFonts w:ascii="宋体" w:hAnsi="宋体" w:cs="宋体"/>
          <w:b/>
          <w:bCs/>
          <w:color w:val="auto"/>
          <w:szCs w:val="21"/>
          <w:highlight w:val="none"/>
        </w:rPr>
      </w:pPr>
      <w:r>
        <w:rPr>
          <w:rFonts w:ascii="宋体" w:hAnsi="宋体" w:cs="宋体"/>
          <w:b/>
          <w:bCs/>
          <w:color w:val="auto"/>
          <w:szCs w:val="21"/>
          <w:highlight w:val="none"/>
        </w:rPr>
        <w:t>其他</w:t>
      </w:r>
      <w:r>
        <w:rPr>
          <w:rFonts w:hint="eastAsia" w:ascii="宋体" w:hAnsi="宋体" w:cs="宋体"/>
          <w:b/>
          <w:bCs/>
          <w:color w:val="auto"/>
          <w:szCs w:val="21"/>
          <w:highlight w:val="none"/>
        </w:rPr>
        <w:t>证件及检测报告要求</w:t>
      </w:r>
    </w:p>
    <w:p>
      <w:pPr>
        <w:pStyle w:val="2"/>
        <w:numPr>
          <w:ilvl w:val="-1"/>
          <w:numId w:val="0"/>
        </w:numPr>
        <w:adjustRightInd w:val="0"/>
        <w:snapToGrid w:val="0"/>
        <w:spacing w:line="360" w:lineRule="auto"/>
        <w:ind w:left="420" w:leftChars="200" w:firstLine="0" w:firstLineChars="0"/>
        <w:rPr>
          <w:rFonts w:ascii="宋体" w:hAnsi="宋体" w:cs="宋体"/>
          <w:color w:val="auto"/>
          <w:szCs w:val="21"/>
          <w:highlight w:val="none"/>
        </w:rPr>
      </w:pPr>
      <w:r>
        <w:rPr>
          <w:rFonts w:hint="eastAsia" w:hAnsi="宋体" w:cs="宋体"/>
          <w:color w:val="auto"/>
          <w:kern w:val="2"/>
          <w:sz w:val="21"/>
          <w:szCs w:val="21"/>
          <w:highlight w:val="none"/>
        </w:rPr>
        <w:t>1.氧气二级减压箱、医用气体终端、气源报警箱、区域阀门箱、医用设备带材质不具有害物质（不含铅、镉、汞、六价铬）四项重金属成份，投标人在施工阶段设备进场时需提供第三方检测报告进行证明</w:t>
      </w:r>
      <w:r>
        <w:rPr>
          <w:rFonts w:hint="eastAsia" w:hAnsi="宋体" w:cs="宋体"/>
          <w:color w:val="auto"/>
          <w:kern w:val="2"/>
          <w:sz w:val="21"/>
          <w:szCs w:val="21"/>
          <w:highlight w:val="none"/>
          <w:lang w:eastAsia="zh-CN"/>
        </w:rPr>
        <w:t>。</w:t>
      </w:r>
    </w:p>
    <w:p>
      <w:pPr>
        <w:numPr>
          <w:ilvl w:val="0"/>
          <w:numId w:val="10"/>
        </w:numPr>
        <w:adjustRightInd w:val="0"/>
        <w:snapToGrid w:val="0"/>
        <w:spacing w:line="360" w:lineRule="auto"/>
        <w:ind w:firstLine="422" w:firstLineChars="200"/>
        <w:rPr>
          <w:rFonts w:ascii="宋体" w:hAnsi="宋体" w:cs="宋体"/>
          <w:b/>
          <w:bCs/>
          <w:color w:val="auto"/>
          <w:szCs w:val="21"/>
          <w:highlight w:val="none"/>
        </w:rPr>
      </w:pPr>
      <w:r>
        <w:rPr>
          <w:rFonts w:ascii="宋体" w:hAnsi="宋体" w:cs="宋体"/>
          <w:b/>
          <w:bCs/>
          <w:color w:val="auto"/>
          <w:szCs w:val="21"/>
          <w:highlight w:val="none"/>
        </w:rPr>
        <w:t>其他技术要求</w:t>
      </w:r>
      <w:r>
        <w:rPr>
          <w:rFonts w:hint="eastAsia" w:ascii="宋体" w:hAnsi="宋体" w:cs="宋体"/>
          <w:b/>
          <w:bCs/>
          <w:color w:val="auto"/>
          <w:szCs w:val="21"/>
          <w:highlight w:val="none"/>
        </w:rPr>
        <w:t>（含驻场维保要求）</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1. 负责医院医用气体工程供应系统及医用液氧气化站、中心吸引泵站、中心空压站与三气瓶组站四大站</w:t>
      </w:r>
      <w:r>
        <w:rPr>
          <w:rFonts w:hint="eastAsia" w:hAnsi="宋体" w:cs="宋体"/>
          <w:color w:val="auto"/>
          <w:kern w:val="2"/>
          <w:sz w:val="21"/>
          <w:szCs w:val="21"/>
          <w:highlight w:val="none"/>
          <w:lang w:eastAsia="zh-CN"/>
        </w:rPr>
        <w:t>及医院其他汇流排</w:t>
      </w:r>
      <w:r>
        <w:rPr>
          <w:rFonts w:hint="eastAsia" w:hAnsi="宋体" w:cs="宋体"/>
          <w:color w:val="auto"/>
          <w:kern w:val="2"/>
          <w:sz w:val="21"/>
          <w:szCs w:val="21"/>
          <w:highlight w:val="none"/>
        </w:rPr>
        <w:t xml:space="preserve">，床单元吸引，吸氧终端，24小时*365天安全运行管理及维护保养和检测。   </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2.负责医院各病区每月一次定期巡检及维修保养；手术室,NICU、ICU、PICU及急诊科每月二次定期巡检及维修保养。填写巡检维保清单，经使用科室签字确认，相关职能依据巡检，保养，服务情况进行综合考核。   </w:t>
      </w:r>
    </w:p>
    <w:p>
      <w:pPr>
        <w:spacing w:after="120" w:line="360" w:lineRule="auto"/>
        <w:ind w:left="420" w:leftChars="200"/>
        <w:rPr>
          <w:rFonts w:ascii="宋体" w:hAnsi="宋体" w:cs="宋体"/>
          <w:color w:val="auto"/>
          <w:kern w:val="2"/>
          <w:szCs w:val="21"/>
          <w:highlight w:val="none"/>
        </w:rPr>
      </w:pPr>
      <w:r>
        <w:rPr>
          <w:rFonts w:hint="eastAsia" w:ascii="宋体" w:hAnsi="宋体" w:cs="宋体"/>
          <w:color w:val="auto"/>
          <w:kern w:val="2"/>
          <w:szCs w:val="21"/>
          <w:highlight w:val="none"/>
        </w:rPr>
        <w:t>3. 负责医院医用气体工程四大站及供应系统，床单元吸引，吸氧终端及传呼系统，基本维修保养；</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4.</w:t>
      </w:r>
      <w:r>
        <w:rPr>
          <w:rFonts w:hint="eastAsia" w:hAnsi="宋体" w:cs="宋体"/>
          <w:color w:val="auto"/>
          <w:sz w:val="21"/>
          <w:szCs w:val="21"/>
          <w:highlight w:val="none"/>
        </w:rPr>
        <w:t>免费提供医院所需医用气体工程四大站及供应系统的大中项目维修保养所需配件</w:t>
      </w:r>
      <w:r>
        <w:rPr>
          <w:rFonts w:hint="eastAsia" w:hAnsi="宋体" w:cs="宋体"/>
          <w:color w:val="auto"/>
          <w:kern w:val="2"/>
          <w:sz w:val="21"/>
          <w:szCs w:val="21"/>
          <w:highlight w:val="none"/>
        </w:rPr>
        <w:t xml:space="preserve">；免费提供医用气体工程供应系统维保所需的电、水及辅助设施。   </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5.承担中心医用液氧站、中心吸引泵站、中心空压站的主机周期例行维修保养任务和委托管理，但空压站维修、主机法定检验或六年周期大中修项目及其相关费用由乙方支付。   </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6.免费承担医用液氧气化站、中心吸引泵站、中心空压站与三气瓶组站四大站及各楼层减压箱压力表，安全阀等相关安全附件检测及其费用，检测期间备用压力表及安全阀由乙方承担，检测报告交院方存档。简单压力容器安全附件纳入同质化检测，确保各类检测在有效期内，并纳入综合考核范围。   </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 xml:space="preserve">7.免费提供医用气体工程供应系统和床头设备带等中心供氧、吸引系统终端附件配件（不含吊塔设备），及时承担终端维修保养，以保证工作顺利。   </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8.</w:t>
      </w:r>
      <w:r>
        <w:rPr>
          <w:rFonts w:hint="eastAsia" w:ascii="Times New Roman" w:hAnsi="宋体" w:eastAsia="宋体" w:cs="宋体"/>
          <w:b w:val="0"/>
          <w:bCs w:val="0"/>
          <w:color w:val="auto"/>
          <w:kern w:val="2"/>
          <w:sz w:val="21"/>
          <w:szCs w:val="21"/>
          <w:highlight w:val="none"/>
          <w:lang w:val="en-US" w:eastAsia="zh-CN" w:bidi="ar-SA"/>
        </w:rPr>
        <w:t>提供每天24小时专人专职在岗日常运行管理及医用气体工程四大站及供应系统，床单元吸引，吸氧终端及传呼系统维修保养的人员清单，保证15分钟内到现场维保（维保人员需持有R1特种设备岗位资格证书）</w:t>
      </w:r>
      <w:r>
        <w:rPr>
          <w:rFonts w:hint="eastAsia" w:hAnsi="宋体" w:cs="宋体"/>
          <w:color w:val="auto"/>
          <w:kern w:val="2"/>
          <w:sz w:val="21"/>
          <w:szCs w:val="21"/>
          <w:highlight w:val="none"/>
        </w:rPr>
        <w:t xml:space="preserve">。    </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lang w:val="en-US" w:eastAsia="zh-CN"/>
        </w:rPr>
        <w:t>9</w:t>
      </w:r>
      <w:r>
        <w:rPr>
          <w:rFonts w:hint="eastAsia" w:hAnsi="宋体" w:cs="宋体"/>
          <w:color w:val="auto"/>
          <w:kern w:val="2"/>
          <w:sz w:val="21"/>
          <w:szCs w:val="21"/>
          <w:highlight w:val="none"/>
        </w:rPr>
        <w:t xml:space="preserve">.及时提出本院医用气体工程四大站及供应系统存在安全隐患问题和持续改进建设性意见方案，医院承诺医用气体工程四大站按国家技术规范要求及时更换，供应系统保证十二年周期或按需进行一次维修保养更新。   </w:t>
      </w:r>
    </w:p>
    <w:p>
      <w:pPr>
        <w:pStyle w:val="2"/>
        <w:spacing w:line="360" w:lineRule="auto"/>
        <w:ind w:left="420" w:leftChars="200" w:firstLine="0" w:firstLineChars="0"/>
        <w:rPr>
          <w:rFonts w:hAnsi="宋体" w:cs="宋体"/>
          <w:color w:val="auto"/>
          <w:kern w:val="2"/>
          <w:sz w:val="21"/>
          <w:szCs w:val="21"/>
          <w:highlight w:val="none"/>
        </w:rPr>
      </w:pPr>
      <w:r>
        <w:rPr>
          <w:rFonts w:hint="eastAsia" w:hAnsi="宋体" w:cs="宋体"/>
          <w:color w:val="auto"/>
          <w:kern w:val="2"/>
          <w:sz w:val="21"/>
          <w:szCs w:val="21"/>
          <w:highlight w:val="none"/>
        </w:rPr>
        <w:t>1</w:t>
      </w:r>
      <w:r>
        <w:rPr>
          <w:rFonts w:hint="eastAsia" w:hAnsi="宋体" w:cs="宋体"/>
          <w:color w:val="auto"/>
          <w:kern w:val="2"/>
          <w:sz w:val="21"/>
          <w:szCs w:val="21"/>
          <w:highlight w:val="none"/>
          <w:lang w:val="en-US" w:eastAsia="zh-CN"/>
        </w:rPr>
        <w:t>0.</w:t>
      </w:r>
      <w:r>
        <w:rPr>
          <w:rFonts w:hint="eastAsia" w:hAnsi="宋体" w:cs="宋体"/>
          <w:color w:val="auto"/>
          <w:kern w:val="2"/>
          <w:sz w:val="21"/>
          <w:szCs w:val="21"/>
          <w:highlight w:val="none"/>
        </w:rPr>
        <w:t xml:space="preserve">积极配合医院做好三级甲等医院换证复查、各级卫生系统年度安全检查或创建高等级医院所涉及医用气体工程四大站及供应系统的服务质量工作。     </w:t>
      </w:r>
    </w:p>
    <w:p>
      <w:pPr>
        <w:pStyle w:val="2"/>
        <w:numPr>
          <w:ilvl w:val="-1"/>
          <w:numId w:val="0"/>
        </w:numPr>
        <w:adjustRightInd w:val="0"/>
        <w:snapToGrid w:val="0"/>
        <w:spacing w:line="360" w:lineRule="auto"/>
        <w:ind w:left="420" w:leftChars="200" w:firstLine="0" w:firstLineChars="0"/>
        <w:rPr>
          <w:rFonts w:hint="eastAsia" w:ascii="Times New Roman" w:hAnsi="宋体" w:cs="宋体"/>
          <w:color w:val="auto"/>
          <w:kern w:val="2"/>
          <w:sz w:val="21"/>
          <w:szCs w:val="21"/>
          <w:highlight w:val="none"/>
        </w:rPr>
      </w:pPr>
      <w:r>
        <w:rPr>
          <w:rFonts w:hint="eastAsia" w:hAnsi="宋体" w:cs="宋体"/>
          <w:color w:val="auto"/>
          <w:kern w:val="2"/>
          <w:sz w:val="21"/>
          <w:szCs w:val="21"/>
          <w:highlight w:val="none"/>
          <w:lang w:val="en-US" w:eastAsia="zh-CN"/>
        </w:rPr>
        <w:t>11.</w:t>
      </w:r>
      <w:r>
        <w:rPr>
          <w:rFonts w:hint="eastAsia" w:ascii="Times New Roman" w:hAnsi="宋体" w:cs="宋体"/>
          <w:color w:val="auto"/>
          <w:kern w:val="2"/>
          <w:sz w:val="21"/>
          <w:szCs w:val="21"/>
          <w:highlight w:val="none"/>
        </w:rPr>
        <w:t>.根据医用气体工程供应系统及医用液氧气化站、中心吸引泵站、中心空压站指定操作规程和故障应急预案并上墙，每年按规定完成两次医用气体供气故障和液氧泄露的演练。</w:t>
      </w:r>
    </w:p>
    <w:p>
      <w:pPr>
        <w:pStyle w:val="2"/>
        <w:numPr>
          <w:ilvl w:val="0"/>
          <w:numId w:val="0"/>
        </w:numPr>
        <w:adjustRightInd w:val="0"/>
        <w:snapToGrid w:val="0"/>
        <w:spacing w:line="360" w:lineRule="auto"/>
        <w:ind w:left="420" w:leftChars="200" w:firstLine="0" w:firstLineChars="0"/>
        <w:rPr>
          <w:rFonts w:hint="eastAsia" w:ascii="Times New Roman" w:hAnsi="宋体" w:cs="宋体"/>
          <w:color w:val="auto"/>
          <w:kern w:val="2"/>
          <w:sz w:val="21"/>
          <w:szCs w:val="21"/>
          <w:highlight w:val="none"/>
        </w:rPr>
      </w:pPr>
      <w:r>
        <w:rPr>
          <w:rFonts w:hint="eastAsia" w:hAnsi="宋体" w:cs="宋体"/>
          <w:color w:val="auto"/>
          <w:kern w:val="2"/>
          <w:sz w:val="21"/>
          <w:szCs w:val="21"/>
          <w:highlight w:val="none"/>
          <w:lang w:val="en-US" w:eastAsia="zh-CN"/>
        </w:rPr>
        <w:t>12.</w:t>
      </w:r>
      <w:r>
        <w:rPr>
          <w:rFonts w:hint="eastAsia" w:ascii="Times New Roman" w:hAnsi="宋体" w:cs="宋体"/>
          <w:color w:val="auto"/>
          <w:kern w:val="2"/>
          <w:sz w:val="21"/>
          <w:szCs w:val="21"/>
          <w:highlight w:val="none"/>
        </w:rPr>
        <w:t>各种产品在施工前需提供样品及施工工艺由业主方确认。</w:t>
      </w:r>
    </w:p>
    <w:p>
      <w:pPr>
        <w:rPr>
          <w:color w:val="auto"/>
          <w:highlight w:val="none"/>
        </w:rPr>
      </w:pPr>
      <w:r>
        <w:rPr>
          <w:rFonts w:hint="eastAsia"/>
          <w:b/>
          <w:bCs/>
          <w:color w:val="auto"/>
          <w:sz w:val="28"/>
          <w:szCs w:val="28"/>
          <w:highlight w:val="none"/>
        </w:rPr>
        <w:t>三、主要设备材料品牌推荐表</w:t>
      </w:r>
    </w:p>
    <w:tbl>
      <w:tblPr>
        <w:tblStyle w:val="26"/>
        <w:tblW w:w="7796"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896"/>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序号</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ascii="宋体" w:hAnsi="宋体"/>
                <w:b/>
                <w:color w:val="auto"/>
                <w:szCs w:val="21"/>
                <w:highlight w:val="none"/>
              </w:rPr>
              <w:t>产品</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lang w:val="en-US" w:eastAsia="zh-CN"/>
              </w:rPr>
              <w:t>参考</w:t>
            </w:r>
            <w:r>
              <w:rPr>
                <w:rFonts w:hint="eastAsia"/>
                <w:color w:val="auto"/>
                <w:szCs w:val="21"/>
                <w:highlight w:val="none"/>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 w:val="18"/>
                <w:szCs w:val="18"/>
                <w:highlight w:val="none"/>
              </w:rPr>
            </w:pPr>
            <w:r>
              <w:rPr>
                <w:rFonts w:hint="eastAsia"/>
                <w:color w:val="auto"/>
                <w:sz w:val="18"/>
                <w:szCs w:val="18"/>
                <w:highlight w:val="none"/>
              </w:rPr>
              <w:t>1</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立式低温液氧贮槽</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空分、宁波明欣、圣达因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2</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温空式汽化器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空分、宁波明欣、圣达因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3</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空气压缩机</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4</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空压机（牙科）</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5</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干燥机</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6</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压缩空气过滤器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阿特拉斯、英格索兰、伯格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7</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真空泵</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普旭、里其乐、贝克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8</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二级稳压箱</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9</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区域阀门箱</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10</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全自动汇流排</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捷工、超捷、捷锐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11</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气体终端</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bCs/>
                <w:color w:val="auto"/>
                <w:sz w:val="18"/>
                <w:szCs w:val="18"/>
                <w:highlight w:val="none"/>
              </w:rPr>
            </w:pPr>
            <w:r>
              <w:rPr>
                <w:rFonts w:hint="eastAsia" w:ascii="宋体" w:hAnsi="宋体" w:cs="宋体"/>
                <w:color w:val="auto"/>
                <w:sz w:val="18"/>
                <w:szCs w:val="18"/>
                <w:highlight w:val="none"/>
                <w:lang w:bidi="ar"/>
              </w:rPr>
              <w:t>德尔格（德国）、格尔森（德国）、必康美德（英国）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12</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牙科电动抽吸机</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eastAsia="宋体" w:cs="宋体"/>
                <w:color w:val="0000FF"/>
                <w:sz w:val="18"/>
                <w:szCs w:val="18"/>
                <w:highlight w:val="none"/>
                <w:u w:val="none"/>
                <w:lang w:val="en-US" w:eastAsia="zh-CN" w:bidi="ar"/>
              </w:rPr>
              <w:t>卡塔尼、MGF、迪尔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13</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脱脂紫铜管</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海亮、宁波永享、美乐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14</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304不锈钢管</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浙江益宏、义乌永生、浙江永上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15</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医用设备带</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吴江东方铝业、栋梁铝业、大洋铝业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16</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color w:val="auto"/>
                <w:sz w:val="18"/>
                <w:szCs w:val="18"/>
                <w:highlight w:val="none"/>
              </w:rPr>
              <w:t xml:space="preserve">灯具 </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浙江阳光、TCL、欧普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17</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 w:val="18"/>
                <w:szCs w:val="18"/>
                <w:highlight w:val="none"/>
              </w:rPr>
            </w:pPr>
            <w:r>
              <w:rPr>
                <w:rFonts w:hint="eastAsia" w:ascii="宋体" w:hAnsi="宋体" w:cs="宋体"/>
                <w:color w:val="auto"/>
                <w:sz w:val="18"/>
                <w:szCs w:val="18"/>
                <w:highlight w:val="none"/>
                <w:lang w:bidi="ar"/>
              </w:rPr>
              <w:t>插座</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18</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配电箱</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配电箱、柜内元器件 西门子、施耐德、ABB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rPr>
            </w:pPr>
            <w:r>
              <w:rPr>
                <w:rFonts w:hint="eastAsia" w:ascii="宋体" w:hAnsi="宋体" w:cs="宋体"/>
                <w:color w:val="auto"/>
                <w:sz w:val="18"/>
                <w:szCs w:val="18"/>
                <w:highlight w:val="none"/>
              </w:rPr>
              <w:t>19</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压力表及真空表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余姚南方、上海仪川、西安自动化</w:t>
            </w:r>
          </w:p>
        </w:tc>
      </w:tr>
    </w:tbl>
    <w:p>
      <w:pPr>
        <w:pStyle w:val="3"/>
        <w:spacing w:line="360" w:lineRule="auto"/>
        <w:rPr>
          <w:color w:val="auto"/>
          <w:sz w:val="21"/>
          <w:szCs w:val="21"/>
          <w:highlight w:val="none"/>
        </w:rPr>
        <w:sectPr>
          <w:pgSz w:w="11906" w:h="16838"/>
          <w:pgMar w:top="1440" w:right="1803" w:bottom="1440" w:left="1803" w:header="851" w:footer="992" w:gutter="0"/>
          <w:cols w:space="720" w:num="1"/>
          <w:docGrid w:type="lines" w:linePitch="312" w:charSpace="0"/>
        </w:sectPr>
      </w:pPr>
      <w:r>
        <w:rPr>
          <w:rFonts w:hint="eastAsia"/>
          <w:color w:val="auto"/>
          <w:sz w:val="21"/>
          <w:szCs w:val="21"/>
          <w:highlight w:val="none"/>
        </w:rPr>
        <w:t>说明：此品牌选择表仅作为投标方报价的参考，投标方可以提供不低于表格中品牌档次的其他品牌产品。所提供的所有设备材料品牌与型号，均需通过甲方同意。</w:t>
      </w:r>
    </w:p>
    <w:p>
      <w:pPr>
        <w:pStyle w:val="3"/>
        <w:numPr>
          <w:ilvl w:val="0"/>
          <w:numId w:val="13"/>
        </w:numPr>
        <w:rPr>
          <w:rFonts w:hint="eastAsia"/>
          <w:b/>
          <w:bCs/>
          <w:color w:val="auto"/>
          <w:sz w:val="28"/>
          <w:szCs w:val="28"/>
          <w:highlight w:val="none"/>
        </w:rPr>
      </w:pPr>
      <w:r>
        <w:rPr>
          <w:rFonts w:hint="eastAsia"/>
          <w:b/>
          <w:bCs/>
          <w:color w:val="auto"/>
          <w:sz w:val="28"/>
          <w:szCs w:val="28"/>
          <w:highlight w:val="none"/>
          <w:lang w:val="en-US" w:eastAsia="zh-CN"/>
        </w:rPr>
        <w:t>货物</w:t>
      </w:r>
      <w:r>
        <w:rPr>
          <w:rFonts w:hint="eastAsia"/>
          <w:b/>
          <w:bCs/>
          <w:color w:val="auto"/>
          <w:sz w:val="28"/>
          <w:szCs w:val="28"/>
          <w:highlight w:val="none"/>
        </w:rPr>
        <w:t>清单</w:t>
      </w:r>
    </w:p>
    <w:tbl>
      <w:tblPr>
        <w:tblStyle w:val="26"/>
        <w:tblW w:w="14880" w:type="dxa"/>
        <w:tblInd w:w="96" w:type="dxa"/>
        <w:shd w:val="clear" w:color="auto" w:fill="auto"/>
        <w:tblLayout w:type="autofit"/>
        <w:tblCellMar>
          <w:top w:w="0" w:type="dxa"/>
          <w:left w:w="108" w:type="dxa"/>
          <w:bottom w:w="0" w:type="dxa"/>
          <w:right w:w="108" w:type="dxa"/>
        </w:tblCellMar>
      </w:tblPr>
      <w:tblGrid>
        <w:gridCol w:w="695"/>
        <w:gridCol w:w="2466"/>
        <w:gridCol w:w="4689"/>
        <w:gridCol w:w="3022"/>
        <w:gridCol w:w="684"/>
        <w:gridCol w:w="1044"/>
        <w:gridCol w:w="1248"/>
        <w:gridCol w:w="1032"/>
      </w:tblGrid>
      <w:tr>
        <w:tblPrEx>
          <w:shd w:val="clear" w:color="auto" w:fill="auto"/>
          <w:tblCellMar>
            <w:top w:w="0" w:type="dxa"/>
            <w:left w:w="108" w:type="dxa"/>
            <w:bottom w:w="0" w:type="dxa"/>
            <w:right w:w="108" w:type="dxa"/>
          </w:tblCellMar>
        </w:tblPrEx>
        <w:trPr>
          <w:trHeight w:val="288" w:hRule="atLeast"/>
        </w:trPr>
        <w:tc>
          <w:tcPr>
            <w:tcW w:w="6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24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名称</w:t>
            </w:r>
          </w:p>
        </w:tc>
        <w:tc>
          <w:tcPr>
            <w:tcW w:w="4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auto"/>
                <w:sz w:val="18"/>
                <w:szCs w:val="18"/>
                <w:highlight w:val="none"/>
                <w:u w:val="none"/>
                <w:lang w:val="en-US"/>
              </w:rPr>
            </w:pPr>
            <w:r>
              <w:rPr>
                <w:rFonts w:hint="eastAsia" w:ascii="宋体" w:hAnsi="宋体" w:cs="宋体"/>
                <w:b/>
                <w:bCs/>
                <w:i w:val="0"/>
                <w:iCs w:val="0"/>
                <w:color w:val="auto"/>
                <w:kern w:val="0"/>
                <w:sz w:val="18"/>
                <w:szCs w:val="18"/>
                <w:highlight w:val="none"/>
                <w:u w:val="none"/>
                <w:lang w:val="en-US" w:eastAsia="zh-CN" w:bidi="ar"/>
              </w:rPr>
              <w:t>型号规格</w:t>
            </w:r>
          </w:p>
        </w:tc>
        <w:tc>
          <w:tcPr>
            <w:tcW w:w="30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cs="宋体"/>
                <w:b/>
                <w:bCs/>
                <w:i w:val="0"/>
                <w:iCs w:val="0"/>
                <w:color w:val="auto"/>
                <w:kern w:val="0"/>
                <w:sz w:val="18"/>
                <w:szCs w:val="18"/>
                <w:highlight w:val="none"/>
                <w:u w:val="none"/>
                <w:lang w:val="en-US" w:eastAsia="zh-CN" w:bidi="ar"/>
              </w:rPr>
              <w:t>参考</w:t>
            </w:r>
            <w:r>
              <w:rPr>
                <w:rFonts w:hint="eastAsia" w:ascii="宋体" w:hAnsi="宋体" w:eastAsia="宋体" w:cs="宋体"/>
                <w:b/>
                <w:bCs/>
                <w:i w:val="0"/>
                <w:iCs w:val="0"/>
                <w:color w:val="auto"/>
                <w:kern w:val="0"/>
                <w:sz w:val="18"/>
                <w:szCs w:val="18"/>
                <w:highlight w:val="none"/>
                <w:u w:val="none"/>
                <w:lang w:val="en-US" w:eastAsia="zh-CN" w:bidi="ar"/>
              </w:rPr>
              <w:t>品牌</w:t>
            </w:r>
          </w:p>
        </w:tc>
        <w:tc>
          <w:tcPr>
            <w:tcW w:w="6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单位</w:t>
            </w:r>
          </w:p>
        </w:tc>
        <w:tc>
          <w:tcPr>
            <w:tcW w:w="10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数量</w:t>
            </w:r>
          </w:p>
        </w:tc>
        <w:tc>
          <w:tcPr>
            <w:tcW w:w="124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auto"/>
                <w:kern w:val="0"/>
                <w:sz w:val="18"/>
                <w:szCs w:val="18"/>
                <w:highlight w:val="none"/>
                <w:u w:val="none"/>
                <w:lang w:val="en-US" w:eastAsia="zh-CN" w:bidi="ar"/>
              </w:rPr>
            </w:pPr>
            <w:r>
              <w:rPr>
                <w:rFonts w:hint="eastAsia" w:ascii="黑体" w:hAnsi="宋体" w:eastAsia="黑体" w:cs="黑体"/>
                <w:b/>
                <w:bCs/>
                <w:i w:val="0"/>
                <w:iCs w:val="0"/>
                <w:color w:val="auto"/>
                <w:kern w:val="0"/>
                <w:sz w:val="18"/>
                <w:szCs w:val="18"/>
                <w:highlight w:val="none"/>
                <w:u w:val="none"/>
                <w:lang w:val="en-US" w:eastAsia="zh-CN" w:bidi="ar"/>
              </w:rPr>
              <w:t>含税</w:t>
            </w:r>
          </w:p>
          <w:p>
            <w:pPr>
              <w:keepNext w:val="0"/>
              <w:keepLines w:val="0"/>
              <w:widowControl/>
              <w:suppressLineNumbers w:val="0"/>
              <w:jc w:val="center"/>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综合单价</w:t>
            </w:r>
          </w:p>
        </w:tc>
        <w:tc>
          <w:tcPr>
            <w:tcW w:w="103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181" w:firstLineChars="100"/>
              <w:jc w:val="both"/>
              <w:textAlignment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kern w:val="0"/>
                <w:sz w:val="18"/>
                <w:szCs w:val="18"/>
                <w:highlight w:val="none"/>
                <w:u w:val="none"/>
                <w:lang w:val="en-US" w:eastAsia="zh-CN" w:bidi="ar"/>
              </w:rPr>
              <w:t>合价</w:t>
            </w:r>
          </w:p>
        </w:tc>
      </w:tr>
      <w:tr>
        <w:tblPrEx>
          <w:shd w:val="clear" w:color="auto" w:fill="auto"/>
          <w:tblCellMar>
            <w:top w:w="0" w:type="dxa"/>
            <w:left w:w="108" w:type="dxa"/>
            <w:bottom w:w="0" w:type="dxa"/>
            <w:right w:w="108" w:type="dxa"/>
          </w:tblCellMar>
        </w:tblPrEx>
        <w:trPr>
          <w:trHeight w:val="288" w:hRule="atLeast"/>
        </w:trPr>
        <w:tc>
          <w:tcPr>
            <w:tcW w:w="6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24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4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30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6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auto"/>
                <w:sz w:val="18"/>
                <w:szCs w:val="18"/>
                <w:highlight w:val="none"/>
                <w:u w:val="none"/>
              </w:rPr>
            </w:pPr>
          </w:p>
        </w:tc>
        <w:tc>
          <w:tcPr>
            <w:tcW w:w="124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auto"/>
                <w:sz w:val="18"/>
                <w:szCs w:val="18"/>
                <w:highlight w:val="none"/>
                <w:u w:val="none"/>
              </w:rPr>
            </w:pPr>
          </w:p>
        </w:tc>
        <w:tc>
          <w:tcPr>
            <w:tcW w:w="103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黑体" w:hAnsi="宋体" w:eastAsia="黑体" w:cs="黑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6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一</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室外液氧站及医技楼氧气汇流排间</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b/>
                <w:bCs/>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液氧贮槽（立式）</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V=5m3;放置方式:立式;工作压力0.8MPa，</w:t>
            </w:r>
          </w:p>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含液氧罐本体设置标识和警示标志,周围设置安全标识，配套阀门，接地，设备基础、预埋铁构件、减震垫等。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空分、宁波明欣、圣达因</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空温式汽化器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输出流量≥250Nm3/h;最高工作压力:1.6MPa，设备基础、预埋铁构件、减震垫</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空分、宁波明欣、圣达因</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氧气减压装置</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b w:val="0"/>
                <w:bCs w:val="0"/>
                <w:color w:val="auto"/>
                <w:kern w:val="0"/>
                <w:sz w:val="18"/>
                <w:szCs w:val="18"/>
                <w:highlight w:val="none"/>
                <w:u w:val="none"/>
                <w:lang w:val="en-US" w:eastAsia="zh-CN" w:bidi="ar"/>
              </w:rPr>
              <w:t>大流量双回路结构设计;具有减压功能，汽化器汽化量250Nm3/h配套的减压流量，含相应的阀门、压力表及其之间的管道管件，接地措施等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0000FF"/>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氧气分气缸</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材质:不锈钢;接口:满足设计和使用要求配套,含配套阀门;连接方式:法兰连接、基础</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2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气瓶架</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用于氧气汇流排，每组10个</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氧气汇流排</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10+10，全自动汇流排,具有手动或自动切换功能，接地</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高压金属软管及接嘴</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用于氧气汇流排的连接</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减压切换装置</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含减压出口配置的安全阀及放散管，接地等一起辅件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医用中心供氧系统报警器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门诊保健楼一楼氧气汇流排间（医用气体起源站、医用气体储存库的房间内的气体浓度报警装置）</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氧气浓度报警仪</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1.测氧范围:0-4.99%,5-50.0% 2.分辨力:0.01%,0.1% 3.显示方法:3位LED</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二</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负压吸引站房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包括负压站房到屋顶的废气排放立管</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爪式式真空泵</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7.5KW,320m3/h，两用一备，含设备机座平台（机组底座垫10mm胶皮,用作减噪减震），接地措施，设备基础、预埋铁构件、减震垫等。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普旭、里其乐、贝克</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6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真空罐</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容积:3.0m3，0.1MPa,Q235材质，含自带的压力表及排气球阀，设备基础、预埋铁构件、减震垫等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0000FF"/>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64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医用细菌过滤器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精度:0.01μm~0.2μm，并采取滤芯性能监测措施，外壳采用不锈钢设计</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普旭、里其乐、贝克</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不锈钢集污罐</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体积50L，带有液位计及观察窗，带有排污收集瓶及手阀，设备基础、预埋铁构件、减震垫</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吸引分气缸</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两进六出，含配套阀门、基础</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电接点真空表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‘-0.1~1.0MPa</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余姚南方、上海仪川、西安自动化</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0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负压电控柜(机组配套)</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PLC控制,可报警,手动自动双控,可实现声光报警，含进出配套的管线等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配电箱、柜内元器件 西门子、施耐德、ABB</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133，壁厚3.0mm，氩弧焊焊接，（采用直流正接法）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DN50，含排放口且要符合医院卫生标准要求,并设置有害气体警示标识、管件、热浸锌吊支架等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镀锌钢管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DN80，含排放口且要符合医院卫生标准要求,并设置有害气体警示标识、管件、热浸锌吊支架等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DN100，焊接连接，含配件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排污阀（真空罐、集污罐上的）</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DN25</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软连接</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灭菌装置</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kern w:val="0"/>
                <w:sz w:val="18"/>
                <w:szCs w:val="18"/>
                <w:highlight w:val="none"/>
                <w:u w:val="none"/>
                <w:lang w:bidi="ar"/>
              </w:rPr>
              <w:t>一用一备，采用高温、杀灭，温度≥200℃，功率＜</w:t>
            </w:r>
            <w:r>
              <w:rPr>
                <w:rFonts w:hint="eastAsia" w:ascii="宋体" w:hAnsi="宋体" w:eastAsia="宋体" w:cs="宋体"/>
                <w:color w:val="auto"/>
                <w:kern w:val="0"/>
                <w:sz w:val="18"/>
                <w:szCs w:val="18"/>
                <w:highlight w:val="none"/>
                <w:u w:val="none"/>
                <w:lang w:val="en-US" w:eastAsia="zh-CN" w:bidi="ar"/>
              </w:rPr>
              <w:t>3.5</w:t>
            </w:r>
            <w:r>
              <w:rPr>
                <w:rFonts w:hint="eastAsia" w:ascii="宋体" w:hAnsi="宋体" w:eastAsia="宋体" w:cs="宋体"/>
                <w:color w:val="auto"/>
                <w:kern w:val="0"/>
                <w:sz w:val="18"/>
                <w:szCs w:val="18"/>
                <w:highlight w:val="none"/>
                <w:u w:val="none"/>
                <w:lang w:bidi="ar"/>
              </w:rPr>
              <w:t>kw</w:t>
            </w:r>
            <w:r>
              <w:rPr>
                <w:rFonts w:hint="eastAsia" w:ascii="宋体" w:hAnsi="宋体" w:eastAsia="宋体" w:cs="宋体"/>
                <w:color w:val="auto"/>
                <w:kern w:val="0"/>
                <w:sz w:val="18"/>
                <w:szCs w:val="18"/>
                <w:highlight w:val="none"/>
                <w:u w:val="none"/>
                <w:lang w:eastAsia="zh-CN" w:bidi="ar"/>
              </w:rPr>
              <w:t>，</w:t>
            </w:r>
            <w:r>
              <w:rPr>
                <w:rFonts w:hint="eastAsia" w:ascii="宋体" w:hAnsi="宋体" w:eastAsia="宋体" w:cs="宋体"/>
                <w:color w:val="auto"/>
                <w:kern w:val="0"/>
                <w:sz w:val="18"/>
                <w:szCs w:val="18"/>
                <w:highlight w:val="none"/>
                <w:u w:val="none"/>
                <w:lang w:val="en-US" w:eastAsia="zh-CN" w:bidi="ar"/>
              </w:rPr>
              <w:t>处理风量</w:t>
            </w:r>
            <w:r>
              <w:rPr>
                <w:rFonts w:hint="eastAsia" w:ascii="宋体" w:hAnsi="宋体" w:eastAsia="宋体" w:cs="宋体"/>
                <w:color w:val="auto"/>
                <w:kern w:val="0"/>
                <w:sz w:val="18"/>
                <w:szCs w:val="18"/>
                <w:highlight w:val="none"/>
                <w:u w:val="none"/>
                <w:lang w:eastAsia="zh-CN" w:bidi="ar"/>
              </w:rPr>
              <w:t>800m3/h</w:t>
            </w:r>
            <w:r>
              <w:rPr>
                <w:rFonts w:hint="eastAsia" w:ascii="宋体" w:hAnsi="宋体" w:eastAsia="宋体" w:cs="宋体"/>
                <w:color w:val="auto"/>
                <w:kern w:val="0"/>
                <w:sz w:val="18"/>
                <w:szCs w:val="18"/>
                <w:highlight w:val="none"/>
                <w:u w:val="none"/>
                <w:lang w:bidi="ar"/>
              </w:rPr>
              <w:t>，杀灭率＞99.99%，杀灭对数值＞3</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三</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压缩空气站房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8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无油涡旋空气压缩机</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功率:22KW,产气量:3.8m3/min 两用一备，含设备机座平台及传感器和检测仪、接地、设备基础、预埋铁构件、减震垫等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储气罐（带手动排水阀）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容积:2m3,工作压力:1.0MPa</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0000FF"/>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无热吸附式干燥器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精密过滤器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流量:3.8m3/min,过滤器精度1μm,残余含油量1ppm</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高效精密过滤器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流量:3.8m3/min,过滤器精度0.01μm,残余含油量0.003ppm</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除菌过滤器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流量:3.8m3/min,过滤器精度0.01μm</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压缩空气分气缸</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三进七出，含配套阀门</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0000FF"/>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减压箱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0.8/0.4MPa,双回路</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0000FF"/>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压力表</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Y-100 0-1.6MPa</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余姚南方、上海仪川、西安自动化</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7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空气配电柜</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含电源空气开关,其容量为120A及其配套的YJV16mm2*3+6mm2*2电力电缆及管道</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配电箱、柜内元器件 西门子、施耐德、ABB</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DN80，焊接连接，含配件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手动排水阀（储气罐上的）</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DN25</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取样口</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DN80</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四</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牙科压缩空气站房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牙科无油空压机组</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单台排气量:200L/min,功率:2.5KW，含2台无油空压机机头、干燥剂、过滤器、储气罐,1台电控柜及其进出管、接地、设备基础、预埋铁构件、减震垫等等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阿特拉斯、英格索兰、伯格</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0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φ10,壁厚1.0mm，氩弧焊焊接，（采用直流正接法）含管道及其管件、套管、开孔、保温、各类试验、射线照相检测、惰性气体保护、接地、热浸锌吊支架、绝缘、地面开槽等满足设计要求的一切工序及辅件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0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φ18,壁厚1.2mm，氩弧焊焊接，（采用直流正接法）含管道及其管件、套管、开孔、保温、各类试验、射线照相检测、惰性气体保护、接地、热浸锌吊支架、绝缘等满足设计要求的一切工序及辅件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DN10，焊接连接，含配件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五</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牙科负压站房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宋体" w:hAnsi="宋体" w:eastAsia="宋体" w:cs="宋体"/>
                <w:i w:val="0"/>
                <w:iCs w:val="0"/>
                <w:color w:val="auto"/>
                <w:sz w:val="18"/>
                <w:szCs w:val="18"/>
                <w:highlight w:val="none"/>
                <w:u w:val="none"/>
              </w:rPr>
            </w:pP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3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牙科电动抽吸机</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规格：104m3/h 2.9KW</w:t>
            </w:r>
          </w:p>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参数：含2台真空泵,1台气水分离器、1台除菌过滤器,1台电控柜,电磁阀管路及阀门、接地、废气管（废气排放,接至室外安全处,符合GB50751-2012第4.4.4条的要求）、设备基础、预埋铁构件、减震垫等等</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0000FF"/>
                <w:sz w:val="18"/>
                <w:szCs w:val="18"/>
                <w:highlight w:val="none"/>
                <w:u w:val="none"/>
                <w:lang w:val="en-US" w:eastAsia="zh-CN" w:bidi="ar"/>
              </w:rPr>
              <w:t>卡塔尼、MGF、迪尔</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φ25,壁厚1.5mm，氩弧焊焊接，（采用直流正接法）含管道及其管件、套管、开孔、保温、各类试验、射线照相检测、惰性气体保护、接地、热浸锌吊支架、绝缘、地面开槽等满足设计要求的一切工序及辅件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六</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站房到病房楼水平干管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地下室一层站房外的管道及场外至地下室管道</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φ22*1.2，钎基银焊焊接（氧乙炔焊），含管道及其管件、套管、开孔、保温、各类试验、管道吹扫、脱脂、焊缝间的射线照相检测、惰性气体保护、接地、热浸锌吊支架、绝缘等满足设计要求的一切工序及辅件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φ28*1.5，钎基银焊焊接（氧乙炔焊），含管道及其管件、套管、开孔、保温、各类试验、管道吹扫、脱脂、焊缝间的射线照相检测、惰性气体保护、接地、热浸锌吊支架、绝缘等满足设计要求的一切工序及辅件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1135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1033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0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364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φ25，壁厚1.5mm，氩弧焊焊接，（采用直流正接法）含管道及其管件、套管、开孔、保温、各类试验、射线照相检测、惰性气体保护、接地、热浸锌吊支架、绝缘等满足设计要求的一切工序及辅件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445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762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830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112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φ108，壁厚3.0mm，氩弧焊焊接，（采用直流正接法）含管道及其管件、套管、开孔、保温、各类试验、射线照相检测、惰性气体保护、接地、热浸锌吊支架、绝缘等满足设计要求的一切工序及辅件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金属波纹管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长度及尺寸根据现场实际综合考虑，采用弹簧支吊架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钢套管保护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D40*3（回填沙中保护管）</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648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地沟挖填土</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人工及机械挖填土，土质综合考虑，含土方外运</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m³</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293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地沟中砂回填</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中砂回填</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m³</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钢筋混凝土盖板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钢筋混凝土盖板,详05R410,P53</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m3</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管道防腐</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涂刷环氧煤沥青漆四遍;粘贴中碱无腊玻纤布三层等设计要求的防腐做法及标志带供应施工</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七</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大楼医气系统</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发热门诊综合楼、门诊楼、医技楼、住院楼</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氧气二级减压箱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含安全阀的氧气双回路减压装置</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压缩空气二级减压箱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含安全阀的空气双回路减压装置</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医用氧气流量仪</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带阀门及其之间管道</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bidi="ar"/>
              </w:rPr>
            </w:pPr>
            <w:r>
              <w:rPr>
                <w:rFonts w:hint="eastAsia" w:ascii="宋体" w:hAnsi="宋体" w:eastAsia="宋体" w:cs="宋体"/>
                <w:i w:val="0"/>
                <w:iCs w:val="0"/>
                <w:color w:val="auto"/>
                <w:kern w:val="0"/>
                <w:sz w:val="18"/>
                <w:szCs w:val="18"/>
                <w:highlight w:val="none"/>
                <w:u w:val="none"/>
                <w:lang w:val="en-US" w:eastAsia="zh-CN" w:bidi="ar"/>
              </w:rPr>
              <w:t>4</w:t>
            </w:r>
          </w:p>
        </w:tc>
        <w:tc>
          <w:tcPr>
            <w:tcW w:w="246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bidi="ar"/>
              </w:rPr>
            </w:pPr>
            <w:r>
              <w:rPr>
                <w:rFonts w:hint="eastAsia" w:ascii="宋体" w:hAnsi="宋体" w:cs="宋体"/>
                <w:color w:val="auto"/>
                <w:sz w:val="18"/>
                <w:szCs w:val="18"/>
                <w:highlight w:val="none"/>
                <w:u w:val="none"/>
                <w:lang w:val="en-US" w:eastAsia="zh-CN" w:bidi="ar"/>
              </w:rPr>
              <w:t>儿科住院楼二层液氮室</w:t>
            </w:r>
            <w:r>
              <w:rPr>
                <w:rFonts w:hint="eastAsia" w:ascii="宋体" w:hAnsi="宋体" w:eastAsia="宋体" w:cs="宋体"/>
                <w:i w:val="0"/>
                <w:iCs w:val="0"/>
                <w:color w:val="auto"/>
                <w:kern w:val="0"/>
                <w:sz w:val="18"/>
                <w:szCs w:val="18"/>
                <w:highlight w:val="none"/>
                <w:u w:val="none"/>
                <w:lang w:val="en-US" w:eastAsia="zh-CN" w:bidi="ar"/>
              </w:rPr>
              <w:t>氮气汇流排</w:t>
            </w:r>
          </w:p>
        </w:tc>
        <w:tc>
          <w:tcPr>
            <w:tcW w:w="468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2+2全自动切换汇流排，并有防静电接地措施</w:t>
            </w:r>
          </w:p>
        </w:tc>
        <w:tc>
          <w:tcPr>
            <w:tcW w:w="302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0" w:hRule="atLeast"/>
        </w:trPr>
        <w:tc>
          <w:tcPr>
            <w:tcW w:w="695" w:type="dxa"/>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bidi="ar"/>
              </w:rPr>
            </w:pPr>
            <w:r>
              <w:rPr>
                <w:rFonts w:hint="eastAsia" w:ascii="宋体" w:hAnsi="宋体" w:eastAsia="宋体" w:cs="宋体"/>
                <w:i w:val="0"/>
                <w:iCs w:val="0"/>
                <w:color w:val="auto"/>
                <w:kern w:val="0"/>
                <w:sz w:val="18"/>
                <w:szCs w:val="18"/>
                <w:highlight w:val="none"/>
                <w:u w:val="none"/>
                <w:lang w:val="en-US" w:eastAsia="zh-CN" w:bidi="ar"/>
              </w:rPr>
              <w:t>5</w:t>
            </w:r>
          </w:p>
        </w:tc>
        <w:tc>
          <w:tcPr>
            <w:tcW w:w="246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bidi="ar"/>
              </w:rPr>
            </w:pPr>
            <w:r>
              <w:rPr>
                <w:rFonts w:hint="eastAsia" w:ascii="宋体" w:hAnsi="宋体" w:cs="宋体"/>
                <w:color w:val="auto"/>
                <w:sz w:val="18"/>
                <w:szCs w:val="18"/>
                <w:highlight w:val="none"/>
                <w:u w:val="none"/>
                <w:lang w:val="en-US" w:eastAsia="zh-CN" w:bidi="ar"/>
              </w:rPr>
              <w:t>儿科住院楼二层分子实验室</w:t>
            </w:r>
            <w:r>
              <w:rPr>
                <w:rFonts w:hint="eastAsia" w:ascii="宋体" w:hAnsi="宋体" w:eastAsia="宋体" w:cs="宋体"/>
                <w:i w:val="0"/>
                <w:iCs w:val="0"/>
                <w:color w:val="auto"/>
                <w:kern w:val="0"/>
                <w:sz w:val="18"/>
                <w:szCs w:val="18"/>
                <w:highlight w:val="none"/>
                <w:u w:val="none"/>
                <w:lang w:val="en-US" w:eastAsia="zh-CN" w:bidi="ar"/>
              </w:rPr>
              <w:t>二氧化碳汇流排</w:t>
            </w:r>
          </w:p>
        </w:tc>
        <w:tc>
          <w:tcPr>
            <w:tcW w:w="4689"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2+2全自动切换汇流排，并有防静电接地措施</w:t>
            </w:r>
          </w:p>
        </w:tc>
        <w:tc>
          <w:tcPr>
            <w:tcW w:w="302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1</w:t>
            </w:r>
          </w:p>
        </w:tc>
        <w:tc>
          <w:tcPr>
            <w:tcW w:w="124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p>
        </w:tc>
        <w:tc>
          <w:tcPr>
            <w:tcW w:w="246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color w:val="auto"/>
                <w:sz w:val="18"/>
                <w:szCs w:val="18"/>
                <w:highlight w:val="none"/>
                <w:u w:val="none"/>
                <w:lang w:val="en-US" w:eastAsia="zh-CN" w:bidi="ar"/>
              </w:rPr>
              <w:t>妇科住院楼二层羊水培养室</w:t>
            </w:r>
            <w:r>
              <w:rPr>
                <w:rFonts w:hint="eastAsia" w:ascii="宋体" w:hAnsi="宋体" w:eastAsia="宋体" w:cs="宋体"/>
                <w:i w:val="0"/>
                <w:iCs w:val="0"/>
                <w:color w:val="auto"/>
                <w:kern w:val="0"/>
                <w:sz w:val="18"/>
                <w:szCs w:val="18"/>
                <w:highlight w:val="none"/>
                <w:u w:val="none"/>
                <w:lang w:val="en-US" w:eastAsia="zh-CN" w:bidi="ar"/>
              </w:rPr>
              <w:t>二氧化碳汇流排</w:t>
            </w:r>
          </w:p>
        </w:tc>
        <w:tc>
          <w:tcPr>
            <w:tcW w:w="468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2+2全自动切换汇流排，并有防静电接地措施</w:t>
            </w:r>
          </w:p>
        </w:tc>
        <w:tc>
          <w:tcPr>
            <w:tcW w:w="302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 xml:space="preserve"> </w:t>
            </w:r>
          </w:p>
        </w:tc>
        <w:tc>
          <w:tcPr>
            <w:tcW w:w="124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bidi="ar"/>
              </w:rPr>
            </w:pPr>
          </w:p>
        </w:tc>
        <w:tc>
          <w:tcPr>
            <w:tcW w:w="1032"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bidi="ar"/>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246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color w:val="auto"/>
                <w:sz w:val="18"/>
                <w:szCs w:val="18"/>
                <w:highlight w:val="none"/>
                <w:u w:val="none"/>
                <w:lang w:bidi="ar"/>
              </w:rPr>
              <w:t>门医技保健楼四层</w:t>
            </w:r>
            <w:r>
              <w:rPr>
                <w:rFonts w:hint="eastAsia" w:ascii="宋体" w:hAnsi="宋体" w:cs="宋体"/>
                <w:color w:val="auto"/>
                <w:sz w:val="18"/>
                <w:szCs w:val="18"/>
                <w:highlight w:val="none"/>
                <w:u w:val="none"/>
                <w:lang w:val="en-US" w:eastAsia="zh-CN" w:bidi="ar"/>
              </w:rPr>
              <w:t>手术室</w:t>
            </w:r>
            <w:r>
              <w:rPr>
                <w:rFonts w:hint="eastAsia" w:ascii="宋体" w:hAnsi="宋体" w:eastAsia="宋体" w:cs="宋体"/>
                <w:i w:val="0"/>
                <w:iCs w:val="0"/>
                <w:color w:val="auto"/>
                <w:kern w:val="0"/>
                <w:sz w:val="18"/>
                <w:szCs w:val="18"/>
                <w:highlight w:val="none"/>
                <w:u w:val="none"/>
                <w:lang w:val="en-US" w:eastAsia="zh-CN" w:bidi="ar"/>
              </w:rPr>
              <w:t>二氧化碳汇流排</w:t>
            </w:r>
          </w:p>
        </w:tc>
        <w:tc>
          <w:tcPr>
            <w:tcW w:w="468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全自动切换汇流排，并有防静电接地措施</w:t>
            </w:r>
          </w:p>
        </w:tc>
        <w:tc>
          <w:tcPr>
            <w:tcW w:w="3022"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组</w:t>
            </w:r>
          </w:p>
        </w:tc>
        <w:tc>
          <w:tcPr>
            <w:tcW w:w="1044"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p>
        </w:tc>
        <w:tc>
          <w:tcPr>
            <w:tcW w:w="1248"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bidi="ar"/>
              </w:rPr>
            </w:pPr>
          </w:p>
        </w:tc>
        <w:tc>
          <w:tcPr>
            <w:tcW w:w="1032"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bidi="ar"/>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 </w:t>
            </w:r>
          </w:p>
        </w:tc>
        <w:tc>
          <w:tcPr>
            <w:tcW w:w="246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一气</w:t>
            </w:r>
          </w:p>
        </w:tc>
        <w:tc>
          <w:tcPr>
            <w:tcW w:w="3022"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二气</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三气</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医用气体压力监测报警箱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五气</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区域阀门箱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一气（氧气管φ28）</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区域阀门箱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二气（吸引管φ28，氧气管φ45）</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区域阀门箱</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三气（氧气管、吸引管、空气管）</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捷工、超捷、捷锐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φ67，焊接连接，含配件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负压楼层维修阀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1710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氧气终端（手术室）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515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压缩空气终端（手术室）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真空吸引终端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1689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真空吸引终端（手术室）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二氧化碳终端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二氧化碳终端（手术室）</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氮气终端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含6YC球形接头及终端盖，并符合设计及德式标准要求</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德尔格（德国）、格尔森（德国）、必康美德（英国）</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暗藏式气源面板</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0000FF"/>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7"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医用设备带</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吴江东方铝业、栋梁铝业、大洋铝业</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3361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75"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000000"/>
                <w:kern w:val="0"/>
                <w:sz w:val="18"/>
                <w:szCs w:val="18"/>
                <w:u w:val="none"/>
                <w:lang w:val="en-US" w:eastAsia="zh-CN" w:bidi="ar"/>
              </w:rPr>
              <w:t>不锈钢嵌入式气体终端面罩</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0000FF"/>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569"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34 </w:t>
            </w:r>
          </w:p>
        </w:tc>
        <w:tc>
          <w:tcPr>
            <w:tcW w:w="24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床头灯</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浙江阳光、TCL、欧普</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床头灯开关</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TCL、罗格朗、公牛</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设备带电源插座</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TCL、罗格朗、公牛</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3106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漏电保护开关</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TCL、罗格朗、公牛</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1553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铝合金装饰罩</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符合设计及门诊、住院、观察室等尺寸要求，管线不在招标范围内</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吴江东方铝业、栋梁铝业、大洋铝业</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723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9868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φ9.53*0.89，钎基银焊焊接（氧乙炔焊），含管道及其管件、套管、开孔、保温、各类试验、管道吹扫、脱脂、焊缝间的射线照相检测、惰性气体保护、接地、热浸锌吊支架、绝缘等满足设计要求的一切工序及辅件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2508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φ15*1.0，钎基银焊焊接（氧乙炔焊），含管道及其管件、套管、开孔、保温、各类试验、管道吹扫、脱脂、焊缝间的射线照相检测、惰性气体保护、接地、热浸锌吊支架、绝缘等满足设计要求的一切工序及辅件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794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φ19*1.65，钎基银焊焊接（氧乙炔焊），含管道及其管件、套管、开孔、保温、各类试验、管道吹扫、脱脂、焊缝间的射线照相检测、惰性气体保护、接地、热浸锌吊支架、绝缘等满足设计要求的一切工序及辅件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579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φ22*1.2，钎基银焊焊接（氧乙炔焊），含管道及其管件、套管、开孔、保温、各类试验、管道吹扫、脱脂、焊缝间的射线照相检测、惰性气体保护、接地、热浸锌吊支架、绝缘等满足设计要求的一切工序及辅件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1416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φ28*1.5，钎基银焊焊接（氧乙炔焊），含管道及其管件、套管、开孔、保温、各类试验、管道吹扫、脱脂、焊缝间的射线照相检测、惰性气体保护、接地、热浸锌吊支架、绝缘等满足设计要求的一切工序及辅件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1839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6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脱脂紫铜管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φ35*2.0，钎基银焊焊接（氧乙炔焊），含管道及其管件、套管、开孔、保温、各类试验、管道吹扫、脱脂、焊缝间的射线照相检测、惰性气体保护、接地、热浸锌吊支架、绝缘等满足设计要求的一切工序及辅件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海亮、宁波永享、美乐</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223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322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铜质维修阀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2751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11338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3318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φ15，壁厚1.0mm，氩弧焊焊接，（采用直流正接法）含管道及其管件、套管、开孔、保温、各类试验、射线照相检测、惰性气体保护、接地、热浸锌吊支架、绝缘等满足设计要求的一切工序及辅件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105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φ18，壁厚1.2mm，氩弧焊焊接，（采用直流正接法）含管道及其管件、套管、开孔、保温、各类试验、射线照相检测、惰性气体保护、接地、热浸锌吊支架、绝缘等满足设计要求的一切工序及辅件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390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φ22，壁厚1.2mm，氩弧焊焊接，（采用直流正接法）含管道及其管件、套管、开孔、保温、各类试验、射线照相检测、惰性气体保护、接地、热浸锌吊支架、绝缘等满足设计要求的一切工序及辅件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81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φ25，壁厚1.5mm，氩弧焊焊接，（采用直流正接法）含管道及其管件、套管、开孔、保温、各类试验、射线照相检测、惰性气体保护、接地、热浸锌吊支架、绝缘等满足设计要求的一切工序及辅件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1403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462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1337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1998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φ67，壁厚2.0mm，氩弧焊焊接，（采用直流正接法）含管道及其管件、套管、开孔、保温、各类试验、射线照相检测、惰性气体保护、接地、热浸锌吊支架、绝缘等满足设计要求的一切工序及辅件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φ89，壁厚3.0mm，氩弧焊焊接，（采用直流正接法）含管道及其管件、套管、开孔、保温、各类试验、射线照相检测、惰性气体保护、接地、热浸锌吊支架、绝缘等满足设计要求的一切工序及辅件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270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980"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304不锈钢管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φ108，壁厚3.0mm，氩弧焊焊接，（采用直流正接法）含管道及其管件、套管、开孔、保温、各类试验、射线照相检测、惰性气体保护、接地、热浸锌吊支架、绝缘等满足设计要求的一切工序及辅件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浙江益宏、义乌永生、浙江永上</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16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339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373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68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53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69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70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24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71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φ32，焊接连接，含配件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3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72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φ38，焊接连接，含配件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73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18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74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不锈钢维修阀</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φ57，焊接连接，含配件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75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金属波纹管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长度及尺寸根据现场实际综合考虑，采用弹簧支吊架</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20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76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PVC废气管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DN20，并用石棉或其它不燃材料将套管端头间隙填实。</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129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77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PVC废气管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DN32，并用石棉或其它不燃材料将套管端头间隙填实。</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72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r>
        <w:tblPrEx>
          <w:shd w:val="clear" w:color="auto" w:fill="auto"/>
          <w:tblCellMar>
            <w:top w:w="0" w:type="dxa"/>
            <w:left w:w="108" w:type="dxa"/>
            <w:bottom w:w="0" w:type="dxa"/>
            <w:right w:w="108" w:type="dxa"/>
          </w:tblCellMar>
        </w:tblPrEx>
        <w:trPr>
          <w:trHeight w:val="454" w:hRule="atLeast"/>
        </w:trPr>
        <w:tc>
          <w:tcPr>
            <w:tcW w:w="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 xml:space="preserve"> </w:t>
            </w:r>
          </w:p>
        </w:tc>
        <w:tc>
          <w:tcPr>
            <w:tcW w:w="24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PVC废气管</w:t>
            </w:r>
          </w:p>
        </w:tc>
        <w:tc>
          <w:tcPr>
            <w:tcW w:w="46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DN50，并用石棉或其它不燃材料将套管端头间隙填实。</w:t>
            </w:r>
          </w:p>
        </w:tc>
        <w:tc>
          <w:tcPr>
            <w:tcW w:w="30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68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w:t>
            </w:r>
          </w:p>
        </w:tc>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65 </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c>
          <w:tcPr>
            <w:tcW w:w="10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p>
        </w:tc>
      </w:tr>
    </w:tbl>
    <w:p>
      <w:pPr>
        <w:pStyle w:val="22"/>
        <w:numPr>
          <w:ilvl w:val="-1"/>
          <w:numId w:val="0"/>
        </w:numPr>
        <w:ind w:left="0"/>
        <w:rPr>
          <w:color w:val="auto"/>
          <w:highlight w:val="none"/>
        </w:rPr>
      </w:pPr>
    </w:p>
    <w:p>
      <w:pPr>
        <w:spacing w:line="360" w:lineRule="auto"/>
        <w:rPr>
          <w:rFonts w:ascii="宋体" w:hAnsi="宋体"/>
          <w:color w:val="auto"/>
          <w:highlight w:val="none"/>
        </w:rPr>
      </w:pPr>
      <w:r>
        <w:rPr>
          <w:rFonts w:hint="eastAsia" w:ascii="宋体" w:hAnsi="宋体"/>
          <w:color w:val="auto"/>
          <w:highlight w:val="none"/>
        </w:rPr>
        <w:t>注：1、“含税综合单价”包括深化设计（中标后提供）费、设备材料费、运输保险费、卸货费、保管费、仓储费、施工费、调试费、技术服务与培训费、试运行费用、验收费、质保期内的维修保养费、</w:t>
      </w:r>
      <w:r>
        <w:rPr>
          <w:rFonts w:hint="eastAsia" w:hAnsi="宋体"/>
          <w:color w:val="auto"/>
          <w:szCs w:val="21"/>
          <w:highlight w:val="none"/>
        </w:rPr>
        <w:t>备品备件（含专用工具）费</w:t>
      </w:r>
      <w:r>
        <w:rPr>
          <w:rFonts w:hint="eastAsia" w:ascii="宋体" w:hAnsi="宋体"/>
          <w:color w:val="auto"/>
          <w:highlight w:val="none"/>
        </w:rPr>
        <w:t>、所有措施费、规费、税金（按国家规定）、施工水电费、总承包服务费、政策性文件规定等所有因素的相关费用。</w:t>
      </w:r>
    </w:p>
    <w:p>
      <w:pPr>
        <w:spacing w:line="360" w:lineRule="auto"/>
        <w:rPr>
          <w:rFonts w:ascii="宋体" w:hAnsi="宋体"/>
          <w:color w:val="auto"/>
          <w:highlight w:val="none"/>
        </w:rPr>
      </w:pPr>
      <w:r>
        <w:rPr>
          <w:rFonts w:hint="eastAsia" w:ascii="宋体" w:hAnsi="宋体"/>
          <w:color w:val="auto"/>
          <w:highlight w:val="none"/>
        </w:rPr>
        <w:t>2、投标人可在以上</w:t>
      </w:r>
      <w:r>
        <w:rPr>
          <w:rFonts w:hint="eastAsia" w:ascii="宋体" w:hAnsi="宋体"/>
          <w:color w:val="auto"/>
          <w:highlight w:val="none"/>
          <w:lang w:val="en-US" w:eastAsia="zh-CN"/>
        </w:rPr>
        <w:t>货物</w:t>
      </w:r>
      <w:r>
        <w:rPr>
          <w:rFonts w:hint="eastAsia" w:ascii="宋体" w:hAnsi="宋体"/>
          <w:color w:val="auto"/>
          <w:highlight w:val="none"/>
        </w:rPr>
        <w:t>清单之后详细列出认为对于按招标文件、图纸及技术要求完成本工程所必须发生的，但没有包括在上述</w:t>
      </w:r>
      <w:r>
        <w:rPr>
          <w:rFonts w:hint="eastAsia" w:ascii="宋体" w:hAnsi="宋体"/>
          <w:color w:val="auto"/>
          <w:highlight w:val="none"/>
          <w:lang w:val="en-US" w:eastAsia="zh-CN"/>
        </w:rPr>
        <w:t>货物</w:t>
      </w:r>
      <w:r>
        <w:rPr>
          <w:rFonts w:hint="eastAsia" w:ascii="宋体" w:hAnsi="宋体"/>
          <w:color w:val="auto"/>
          <w:highlight w:val="none"/>
        </w:rPr>
        <w:t>清单费用中的项目；如认为清单内项目的数量有误，亦可于下方列明具体的“序号、名称</w:t>
      </w:r>
      <w:r>
        <w:rPr>
          <w:rFonts w:hint="eastAsia" w:ascii="宋体" w:hAnsi="宋体"/>
          <w:color w:val="auto"/>
          <w:highlight w:val="none"/>
          <w:lang w:eastAsia="zh-CN"/>
        </w:rPr>
        <w:t>、</w:t>
      </w:r>
      <w:r>
        <w:rPr>
          <w:rFonts w:hint="eastAsia" w:ascii="宋体" w:hAnsi="宋体"/>
          <w:color w:val="auto"/>
          <w:highlight w:val="none"/>
          <w:lang w:val="en-US" w:eastAsia="zh-CN"/>
        </w:rPr>
        <w:t>型号规格</w:t>
      </w:r>
      <w:r>
        <w:rPr>
          <w:rFonts w:hint="eastAsia" w:ascii="宋体" w:hAnsi="宋体"/>
          <w:color w:val="auto"/>
          <w:highlight w:val="none"/>
        </w:rPr>
        <w:t>、品牌、单位、数量、含税综合单价、合价”并计算增减费。</w:t>
      </w:r>
    </w:p>
    <w:p>
      <w:pPr>
        <w:rPr>
          <w:rFonts w:asciiTheme="minorEastAsia" w:hAnsiTheme="minorEastAsia" w:eastAsiaTheme="minorEastAsia" w:cstheme="minorEastAsia"/>
          <w:color w:val="auto"/>
          <w:sz w:val="24"/>
          <w:szCs w:val="24"/>
          <w:highlight w:val="none"/>
        </w:rPr>
      </w:pPr>
    </w:p>
    <w:p>
      <w:pPr>
        <w:pStyle w:val="5"/>
        <w:rPr>
          <w:color w:val="auto"/>
          <w:highlight w:val="none"/>
        </w:rPr>
        <w:sectPr>
          <w:footerReference r:id="rId6" w:type="default"/>
          <w:footerReference r:id="rId7" w:type="even"/>
          <w:pgSz w:w="16840" w:h="11907" w:orient="landscape"/>
          <w:pgMar w:top="1134" w:right="1418" w:bottom="1134" w:left="1418" w:header="680" w:footer="680" w:gutter="0"/>
          <w:cols w:space="720" w:num="1"/>
          <w:docGrid w:linePitch="271" w:charSpace="0"/>
        </w:sectPr>
      </w:pPr>
      <w:bookmarkStart w:id="445" w:name="_Toc24820"/>
    </w:p>
    <w:p>
      <w:pPr>
        <w:pStyle w:val="5"/>
        <w:rPr>
          <w:color w:val="auto"/>
          <w:highlight w:val="none"/>
        </w:rPr>
      </w:pPr>
    </w:p>
    <w:p>
      <w:pPr>
        <w:pStyle w:val="5"/>
        <w:rPr>
          <w:color w:val="auto"/>
          <w:highlight w:val="none"/>
        </w:rPr>
      </w:pPr>
      <w:r>
        <w:rPr>
          <w:rFonts w:hint="eastAsia"/>
          <w:color w:val="auto"/>
          <w:highlight w:val="none"/>
        </w:rPr>
        <w:t>第七章</w:t>
      </w:r>
      <w:r>
        <w:rPr>
          <w:color w:val="auto"/>
          <w:highlight w:val="none"/>
        </w:rPr>
        <w:t xml:space="preserve">  </w:t>
      </w:r>
      <w:r>
        <w:rPr>
          <w:rFonts w:hint="eastAsia"/>
          <w:color w:val="auto"/>
          <w:highlight w:val="none"/>
        </w:rPr>
        <w:t>投标文件格式</w:t>
      </w:r>
      <w:bookmarkEnd w:id="445"/>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rPr>
          <w:color w:val="auto"/>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1"/>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bidi="ar"/>
        </w:rPr>
        <w:t>1、企业法人营业执照复印件。</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bidi="ar"/>
        </w:rPr>
        <w:t>2、资质证书、安全生产许可证复印件。</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bidi="ar"/>
        </w:rPr>
        <w:t>3、第二类医疗器械经营备案凭证或者医疗器械生产许可证复印件。</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val="en-US" w:eastAsia="zh-CN" w:bidi="ar"/>
        </w:rPr>
      </w:pPr>
      <w:r>
        <w:rPr>
          <w:rFonts w:hint="default" w:asciiTheme="minorEastAsia" w:hAnsiTheme="minorEastAsia" w:eastAsiaTheme="minorEastAsia" w:cstheme="minorEastAsia"/>
          <w:color w:val="auto"/>
          <w:sz w:val="24"/>
          <w:szCs w:val="24"/>
          <w:highlight w:val="none"/>
          <w:lang w:val="en-US" w:eastAsia="zh-CN" w:bidi="ar"/>
        </w:rPr>
        <w:t>4、</w:t>
      </w:r>
      <w:r>
        <w:rPr>
          <w:rFonts w:hint="default" w:asciiTheme="minorEastAsia" w:hAnsiTheme="minorEastAsia" w:eastAsiaTheme="minorEastAsia" w:cstheme="minorEastAsia"/>
          <w:color w:val="auto"/>
          <w:sz w:val="24"/>
          <w:szCs w:val="24"/>
          <w:highlight w:val="none"/>
          <w:u w:val="none"/>
          <w:lang w:bidi="ar"/>
        </w:rPr>
        <w:t>发证日期为2019年5月31日之前的国家质量监督部门颁发的《特种设备安装改造维修许可证》（压力管道）GC2级或GC1级；或发证日期为2019年6月1日之后的《中华人民共和国特种设备生产许可证》（压力管道）GC2级或GC1级或GCD级资质</w:t>
      </w:r>
      <w:r>
        <w:rPr>
          <w:rFonts w:hint="default" w:asciiTheme="minorEastAsia" w:hAnsiTheme="minorEastAsia" w:eastAsiaTheme="minorEastAsia" w:cstheme="minorEastAsia"/>
          <w:color w:val="auto"/>
          <w:sz w:val="24"/>
          <w:szCs w:val="24"/>
          <w:highlight w:val="none"/>
          <w:u w:val="none"/>
          <w:lang w:val="en-US" w:eastAsia="zh-CN" w:bidi="ar"/>
        </w:rPr>
        <w:t>证书复印件。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val="en-US" w:eastAsia="zh-CN" w:bidi="ar"/>
        </w:rPr>
        <w:t>5</w:t>
      </w:r>
      <w:r>
        <w:rPr>
          <w:rFonts w:hint="default" w:asciiTheme="minorEastAsia" w:hAnsiTheme="minorEastAsia" w:eastAsiaTheme="minorEastAsia" w:cstheme="minorEastAsia"/>
          <w:color w:val="auto"/>
          <w:sz w:val="24"/>
          <w:szCs w:val="24"/>
          <w:highlight w:val="none"/>
          <w:lang w:bidi="ar"/>
        </w:rPr>
        <w:t>、</w:t>
      </w:r>
      <w:r>
        <w:rPr>
          <w:rFonts w:hint="default" w:asciiTheme="minorEastAsia" w:hAnsiTheme="minorEastAsia" w:eastAsiaTheme="minorEastAsia" w:cstheme="minorEastAsia"/>
          <w:b w:val="0"/>
          <w:iCs w:val="0"/>
          <w:color w:val="auto"/>
          <w:sz w:val="24"/>
          <w:szCs w:val="24"/>
          <w:highlight w:val="none"/>
          <w:u w:val="none"/>
          <w:lang w:val="en-US" w:bidi="ar"/>
        </w:rPr>
        <w:t>浙江省外企业须</w:t>
      </w:r>
      <w:r>
        <w:rPr>
          <w:rFonts w:hint="default" w:asciiTheme="minorEastAsia" w:hAnsiTheme="minorEastAsia" w:eastAsiaTheme="minorEastAsia" w:cstheme="minorEastAsia"/>
          <w:b w:val="0"/>
          <w:iCs w:val="0"/>
          <w:color w:val="auto"/>
          <w:sz w:val="24"/>
          <w:szCs w:val="24"/>
          <w:highlight w:val="none"/>
          <w:u w:val="none"/>
          <w:lang w:val="en-US" w:eastAsia="zh-CN" w:bidi="ar"/>
        </w:rPr>
        <w:t>提供</w:t>
      </w:r>
      <w:r>
        <w:rPr>
          <w:rFonts w:hint="default" w:asciiTheme="minorEastAsia" w:hAnsiTheme="minorEastAsia" w:eastAsiaTheme="minorEastAsia" w:cstheme="minorEastAsia"/>
          <w:b w:val="0"/>
          <w:iCs w:val="0"/>
          <w:color w:val="auto"/>
          <w:sz w:val="24"/>
          <w:szCs w:val="24"/>
          <w:highlight w:val="none"/>
          <w:u w:val="none"/>
          <w:lang w:val="en-US" w:bidi="ar"/>
        </w:rPr>
        <w:t>浙江省住建厅备案</w:t>
      </w:r>
      <w:r>
        <w:rPr>
          <w:rFonts w:hint="default" w:asciiTheme="minorEastAsia" w:hAnsiTheme="minorEastAsia" w:eastAsiaTheme="minorEastAsia" w:cstheme="minorEastAsia"/>
          <w:b w:val="0"/>
          <w:iCs w:val="0"/>
          <w:color w:val="auto"/>
          <w:sz w:val="24"/>
          <w:szCs w:val="24"/>
          <w:highlight w:val="none"/>
          <w:u w:val="none"/>
          <w:lang w:val="en-US" w:eastAsia="zh-CN" w:bidi="ar"/>
        </w:rPr>
        <w:t>证明</w:t>
      </w:r>
      <w:r>
        <w:rPr>
          <w:rFonts w:hint="default" w:asciiTheme="minorEastAsia" w:hAnsiTheme="minorEastAsia" w:eastAsiaTheme="minorEastAsia" w:cstheme="minorEastAsia"/>
          <w:b w:val="0"/>
          <w:bCs w:val="0"/>
          <w:color w:val="auto"/>
          <w:sz w:val="24"/>
          <w:szCs w:val="24"/>
          <w:highlight w:val="none"/>
          <w:u w:val="none"/>
          <w:lang w:bidi="ar"/>
        </w:rPr>
        <w:t>（有效期内）</w:t>
      </w:r>
      <w:r>
        <w:rPr>
          <w:rFonts w:hint="default" w:asciiTheme="minorEastAsia" w:hAnsiTheme="minorEastAsia" w:eastAsiaTheme="minorEastAsia" w:cstheme="minorEastAsia"/>
          <w:b w:val="0"/>
          <w:iCs w:val="0"/>
          <w:color w:val="auto"/>
          <w:sz w:val="24"/>
          <w:szCs w:val="24"/>
          <w:highlight w:val="none"/>
          <w:u w:val="none"/>
          <w:lang w:val="en-US" w:bidi="ar"/>
        </w:rPr>
        <w:t>或提供在“浙江省建筑市场监管公共服务系统”企业信息备案通过的网页截图（浙江省内企业不作要求）</w:t>
      </w:r>
      <w:r>
        <w:rPr>
          <w:rFonts w:hint="default" w:asciiTheme="minorEastAsia" w:hAnsiTheme="minorEastAsia" w:eastAsiaTheme="minorEastAsia" w:cstheme="minorEastAsia"/>
          <w:b w:val="0"/>
          <w:iCs w:val="0"/>
          <w:color w:val="auto"/>
          <w:sz w:val="24"/>
          <w:szCs w:val="24"/>
          <w:highlight w:val="none"/>
          <w:u w:val="none"/>
          <w:lang w:val="en-US" w:eastAsia="zh-CN" w:bidi="ar"/>
        </w:rPr>
        <w:t>。</w:t>
      </w: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val="en-US" w:eastAsia="zh-CN" w:bidi="ar"/>
        </w:rPr>
        <w:t>6</w:t>
      </w:r>
      <w:r>
        <w:rPr>
          <w:rFonts w:hint="default" w:asciiTheme="minorEastAsia" w:hAnsiTheme="minorEastAsia" w:eastAsiaTheme="minorEastAsia" w:cstheme="minorEastAsia"/>
          <w:color w:val="auto"/>
          <w:sz w:val="24"/>
          <w:szCs w:val="24"/>
          <w:highlight w:val="none"/>
          <w:lang w:bidi="ar"/>
        </w:rPr>
        <w:t>、项目负责人注册证书、安全生产考核合格证、社保证明复印件。</w:t>
      </w:r>
    </w:p>
    <w:p>
      <w:pPr>
        <w:spacing w:line="360" w:lineRule="auto"/>
        <w:ind w:firstLine="210"/>
        <w:rPr>
          <w:rFonts w:asciiTheme="minorEastAsia" w:hAnsiTheme="minorEastAsia" w:eastAsiaTheme="minorEastAsia" w:cstheme="minorEastAsia"/>
          <w:color w:val="auto"/>
          <w:sz w:val="24"/>
          <w:szCs w:val="24"/>
          <w:highlight w:val="none"/>
          <w:lang w:bidi="ar"/>
        </w:rPr>
      </w:pPr>
      <w:r>
        <w:rPr>
          <w:rFonts w:hint="default" w:asciiTheme="minorEastAsia" w:hAnsiTheme="minorEastAsia" w:eastAsiaTheme="minorEastAsia" w:cstheme="minorEastAsia"/>
          <w:color w:val="auto"/>
          <w:sz w:val="24"/>
          <w:szCs w:val="24"/>
          <w:highlight w:val="none"/>
          <w:lang w:val="en-US" w:eastAsia="zh-CN" w:bidi="ar"/>
        </w:rPr>
        <w:t>7</w:t>
      </w:r>
      <w:r>
        <w:rPr>
          <w:rFonts w:hint="default"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rPr>
          <w:rFonts w:hint="eastAsia"/>
          <w:color w:val="auto"/>
          <w:highlight w:val="none"/>
        </w:rPr>
      </w:pPr>
    </w:p>
    <w:p>
      <w:pPr>
        <w:widowControl/>
        <w:spacing w:line="360" w:lineRule="auto"/>
        <w:ind w:firstLine="210"/>
        <w:jc w:val="left"/>
        <w:rPr>
          <w:rFonts w:hint="default" w:asciiTheme="minorEastAsia" w:hAnsiTheme="minorEastAsia" w:eastAsiaTheme="minorEastAsia" w:cstheme="minorEastAsia"/>
          <w:color w:val="auto"/>
          <w:sz w:val="24"/>
          <w:szCs w:val="24"/>
          <w:highlight w:val="none"/>
          <w:lang w:bidi="ar"/>
        </w:rPr>
      </w:pPr>
    </w:p>
    <w:p>
      <w:pPr>
        <w:widowControl/>
        <w:spacing w:line="360" w:lineRule="auto"/>
        <w:jc w:val="left"/>
        <w:rPr>
          <w:color w:val="auto"/>
          <w:sz w:val="24"/>
          <w:szCs w:val="24"/>
          <w:highlight w:val="none"/>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w:t>
      </w:r>
      <w:r>
        <w:rPr>
          <w:rFonts w:hint="eastAsia" w:ascii="宋体" w:hAnsi="宋体" w:cs="宋体"/>
          <w:color w:val="auto"/>
          <w:sz w:val="24"/>
          <w:szCs w:val="24"/>
          <w:highlight w:val="none"/>
          <w:lang w:val="en-US" w:eastAsia="zh-CN" w:bidi="ar"/>
        </w:rPr>
        <w:t>7</w:t>
      </w:r>
      <w:r>
        <w:rPr>
          <w:rFonts w:hint="eastAsia" w:ascii="宋体" w:hAnsi="宋体" w:cs="宋体"/>
          <w:color w:val="auto"/>
          <w:sz w:val="24"/>
          <w:szCs w:val="24"/>
          <w:highlight w:val="none"/>
          <w:lang w:bidi="ar"/>
        </w:rPr>
        <w:t>）</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pStyle w:val="22"/>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5"/>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6"/>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pStyle w:val="2"/>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10"/>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10"/>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3"/>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
        <w:ind w:firstLine="0" w:firstLineChars="0"/>
        <w:rPr>
          <w:color w:val="auto"/>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pStyle w:val="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3"/>
        <w:rPr>
          <w:color w:val="auto"/>
          <w:highlight w:val="none"/>
        </w:rPr>
      </w:pPr>
    </w:p>
    <w:p>
      <w:pPr>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6" w:name="_Toc320271436"/>
      <w:bookmarkStart w:id="447" w:name="_Toc372212493"/>
      <w:bookmarkStart w:id="448"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6"/>
      <w:bookmarkEnd w:id="447"/>
      <w:r>
        <w:rPr>
          <w:rFonts w:hint="eastAsia" w:asciiTheme="minorEastAsia" w:hAnsiTheme="minorEastAsia" w:eastAsiaTheme="minorEastAsia" w:cstheme="minorEastAsia"/>
          <w:b/>
          <w:bCs/>
          <w:color w:val="auto"/>
          <w:sz w:val="24"/>
          <w:szCs w:val="24"/>
          <w:highlight w:val="none"/>
        </w:rPr>
        <w:t>函</w:t>
      </w:r>
      <w:bookmarkEnd w:id="448"/>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_____，产地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6"/>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
        <w:ind w:firstLine="340"/>
        <w:rPr>
          <w:color w:val="auto"/>
          <w:highlight w:val="none"/>
        </w:rPr>
      </w:pPr>
    </w:p>
    <w:p>
      <w:pPr>
        <w:rPr>
          <w:color w:val="auto"/>
          <w:highlight w:val="none"/>
        </w:rPr>
      </w:pPr>
    </w:p>
    <w:p>
      <w:pPr>
        <w:pStyle w:val="5"/>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5"/>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6"/>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5"/>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5"/>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6"/>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1"/>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
        <w:ind w:firstLine="340"/>
        <w:rPr>
          <w:rFonts w:ascii="宋体" w:hAnsi="宋体"/>
          <w:strike/>
          <w:color w:val="auto"/>
          <w:szCs w:val="21"/>
          <w:highlight w:val="none"/>
        </w:rPr>
      </w:pPr>
    </w:p>
    <w:p>
      <w:pPr>
        <w:rPr>
          <w:rFonts w:ascii="宋体" w:hAnsi="宋体"/>
          <w:strike/>
          <w:color w:val="auto"/>
          <w:szCs w:val="21"/>
          <w:highlight w:val="none"/>
        </w:rPr>
      </w:pPr>
    </w:p>
    <w:p>
      <w:pPr>
        <w:pStyle w:val="2"/>
        <w:ind w:firstLine="340"/>
        <w:rPr>
          <w:rFonts w:ascii="宋体" w:hAnsi="宋体"/>
          <w:strike/>
          <w:color w:val="auto"/>
          <w:szCs w:val="21"/>
          <w:highlight w:val="none"/>
        </w:rPr>
      </w:pPr>
    </w:p>
    <w:p>
      <w:pPr>
        <w:rPr>
          <w:rFonts w:ascii="宋体" w:hAnsi="宋体"/>
          <w:strike/>
          <w:color w:val="auto"/>
          <w:szCs w:val="21"/>
          <w:highlight w:val="none"/>
        </w:rPr>
      </w:pPr>
    </w:p>
    <w:p>
      <w:pPr>
        <w:pStyle w:val="2"/>
        <w:ind w:firstLine="340"/>
        <w:rPr>
          <w:rFonts w:ascii="宋体" w:hAnsi="宋体"/>
          <w:strike/>
          <w:color w:val="auto"/>
          <w:szCs w:val="21"/>
          <w:highlight w:val="none"/>
        </w:rPr>
      </w:pPr>
    </w:p>
    <w:p>
      <w:pPr>
        <w:rPr>
          <w:rFonts w:ascii="宋体" w:hAnsi="宋体"/>
          <w:strike/>
          <w:color w:val="auto"/>
          <w:szCs w:val="21"/>
          <w:highlight w:val="none"/>
        </w:rPr>
        <w:sectPr>
          <w:pgSz w:w="11907" w:h="16840"/>
          <w:pgMar w:top="1418" w:right="1134" w:bottom="1418" w:left="1134" w:header="680" w:footer="680" w:gutter="0"/>
          <w:cols w:space="720" w:num="1"/>
          <w:docGrid w:linePitch="271" w:charSpace="0"/>
        </w:sectPr>
      </w:pPr>
    </w:p>
    <w:p>
      <w:pPr>
        <w:pStyle w:val="5"/>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6"/>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37"/>
                <w:rFonts w:ascii="宋体" w:hAnsi="宋体" w:cs="宋体"/>
                <w:color w:val="auto"/>
                <w:sz w:val="20"/>
                <w:szCs w:val="20"/>
                <w:highlight w:val="none"/>
              </w:rPr>
              <w:t>3</w:t>
            </w:r>
            <w:r>
              <w:rPr>
                <w:rStyle w:val="37"/>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37"/>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37"/>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1"/>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lang w:val="en-US" w:eastAsia="zh-CN"/>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69"/>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69"/>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、本项目釆用固定总价承包，货物清单中的工程量、清单描述若与图纸及答疑不一致时，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以图纸及答疑为准并须满足各专业的功能要求，由投标人自行复核计算，结算时总价不作调整。若图纸需二次深化，则由中标人自行深化完成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
        <w:ind w:firstLine="0" w:firstLineChars="0"/>
        <w:rPr>
          <w:color w:val="auto"/>
          <w:highlight w:val="none"/>
        </w:rPr>
      </w:pPr>
    </w:p>
    <w:p>
      <w:pPr>
        <w:rPr>
          <w:color w:val="auto"/>
          <w:highlight w:val="none"/>
        </w:rPr>
      </w:pPr>
    </w:p>
    <w:p>
      <w:pPr>
        <w:pStyle w:val="2"/>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28</w:t>
    </w:r>
    <w:r>
      <w:fldChar w:fldCharType="end"/>
    </w:r>
  </w:p>
  <w:p>
    <w:pPr>
      <w:pStyle w:val="17"/>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1"/>
      <w:rPr>
        <w:rStyle w:val="30"/>
      </w:rPr>
    </w:pPr>
    <w:r>
      <w:fldChar w:fldCharType="begin"/>
    </w:r>
    <w:r>
      <w:rPr>
        <w:rStyle w:val="30"/>
      </w:rPr>
      <w:instrText xml:space="preserve">PAGE  </w:instrText>
    </w:r>
    <w:r>
      <w:fldChar w:fldCharType="separate"/>
    </w:r>
    <w:r>
      <w:rPr>
        <w:rStyle w:val="30"/>
      </w:rPr>
      <w:t>16</w:t>
    </w:r>
    <w:r>
      <w:fldChar w:fldCharType="end"/>
    </w:r>
  </w:p>
  <w:p>
    <w:pPr>
      <w:pStyle w:val="1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32</w:t>
    </w:r>
    <w:r>
      <w:fldChar w:fldCharType="end"/>
    </w:r>
  </w:p>
  <w:p>
    <w:pPr>
      <w:pStyle w:val="17"/>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3</w:t>
    </w:r>
    <w:r>
      <w:fldChar w:fldCharType="end"/>
    </w:r>
  </w:p>
  <w:p>
    <w:pPr>
      <w:pStyle w:val="17"/>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E7562"/>
    <w:multiLevelType w:val="singleLevel"/>
    <w:tmpl w:val="804E7562"/>
    <w:lvl w:ilvl="0" w:tentative="0">
      <w:start w:val="1"/>
      <w:numFmt w:val="decimal"/>
      <w:suff w:val="nothing"/>
      <w:lvlText w:val="%1．"/>
      <w:lvlJc w:val="left"/>
      <w:pPr>
        <w:ind w:left="0" w:firstLine="400"/>
      </w:pPr>
      <w:rPr>
        <w:rFonts w:hint="default"/>
      </w:rPr>
    </w:lvl>
  </w:abstractNum>
  <w:abstractNum w:abstractNumId="1">
    <w:nsid w:val="86AB97E4"/>
    <w:multiLevelType w:val="singleLevel"/>
    <w:tmpl w:val="86AB97E4"/>
    <w:lvl w:ilvl="0" w:tentative="0">
      <w:start w:val="5"/>
      <w:numFmt w:val="chineseCounting"/>
      <w:suff w:val="nothing"/>
      <w:lvlText w:val="%1、"/>
      <w:lvlJc w:val="left"/>
      <w:rPr>
        <w:rFonts w:hint="eastAsia"/>
      </w:rPr>
    </w:lvl>
  </w:abstractNum>
  <w:abstractNum w:abstractNumId="2">
    <w:nsid w:val="A566C413"/>
    <w:multiLevelType w:val="singleLevel"/>
    <w:tmpl w:val="A566C413"/>
    <w:lvl w:ilvl="0" w:tentative="0">
      <w:start w:val="1"/>
      <w:numFmt w:val="decimalEnclosedCircleChinese"/>
      <w:suff w:val="nothing"/>
      <w:lvlText w:val="%1　"/>
      <w:lvlJc w:val="left"/>
      <w:pPr>
        <w:ind w:left="0" w:firstLine="400"/>
      </w:pPr>
      <w:rPr>
        <w:rFonts w:hint="eastAsia"/>
      </w:rPr>
    </w:lvl>
  </w:abstractNum>
  <w:abstractNum w:abstractNumId="3">
    <w:nsid w:val="AB92EBF6"/>
    <w:multiLevelType w:val="singleLevel"/>
    <w:tmpl w:val="AB92EBF6"/>
    <w:lvl w:ilvl="0" w:tentative="0">
      <w:start w:val="1"/>
      <w:numFmt w:val="decimal"/>
      <w:suff w:val="nothing"/>
      <w:lvlText w:val="%1、"/>
      <w:lvlJc w:val="left"/>
    </w:lvl>
  </w:abstractNum>
  <w:abstractNum w:abstractNumId="4">
    <w:nsid w:val="CF79A0DF"/>
    <w:multiLevelType w:val="singleLevel"/>
    <w:tmpl w:val="CF79A0DF"/>
    <w:lvl w:ilvl="0" w:tentative="0">
      <w:start w:val="9"/>
      <w:numFmt w:val="decimal"/>
      <w:suff w:val="nothing"/>
      <w:lvlText w:val="%1、"/>
      <w:lvlJc w:val="left"/>
    </w:lvl>
  </w:abstractNum>
  <w:abstractNum w:abstractNumId="5">
    <w:nsid w:val="E3D1DD1B"/>
    <w:multiLevelType w:val="singleLevel"/>
    <w:tmpl w:val="E3D1DD1B"/>
    <w:lvl w:ilvl="0" w:tentative="0">
      <w:start w:val="1"/>
      <w:numFmt w:val="decimal"/>
      <w:suff w:val="nothing"/>
      <w:lvlText w:val="%1．"/>
      <w:lvlJc w:val="left"/>
      <w:pPr>
        <w:ind w:left="0" w:firstLine="400"/>
      </w:pPr>
      <w:rPr>
        <w:rFonts w:hint="default"/>
      </w:rPr>
    </w:lvl>
  </w:abstractNum>
  <w:abstractNum w:abstractNumId="6">
    <w:nsid w:val="E9A41189"/>
    <w:multiLevelType w:val="singleLevel"/>
    <w:tmpl w:val="E9A41189"/>
    <w:lvl w:ilvl="0" w:tentative="0">
      <w:start w:val="4"/>
      <w:numFmt w:val="chineseCounting"/>
      <w:suff w:val="nothing"/>
      <w:lvlText w:val="%1、"/>
      <w:lvlJc w:val="left"/>
      <w:rPr>
        <w:rFonts w:hint="eastAsia"/>
      </w:rPr>
    </w:lvl>
  </w:abstractNum>
  <w:abstractNum w:abstractNumId="7">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8">
    <w:nsid w:val="46209AD9"/>
    <w:multiLevelType w:val="singleLevel"/>
    <w:tmpl w:val="46209AD9"/>
    <w:lvl w:ilvl="0" w:tentative="0">
      <w:start w:val="1"/>
      <w:numFmt w:val="decimal"/>
      <w:suff w:val="nothing"/>
      <w:lvlText w:val="%1．"/>
      <w:lvlJc w:val="left"/>
      <w:pPr>
        <w:ind w:left="0" w:firstLine="400"/>
      </w:pPr>
      <w:rPr>
        <w:rFonts w:hint="default"/>
      </w:rPr>
    </w:lvl>
  </w:abstractNum>
  <w:abstractNum w:abstractNumId="9">
    <w:nsid w:val="5881C957"/>
    <w:multiLevelType w:val="singleLevel"/>
    <w:tmpl w:val="5881C957"/>
    <w:lvl w:ilvl="0" w:tentative="0">
      <w:start w:val="1"/>
      <w:numFmt w:val="decimal"/>
      <w:suff w:val="nothing"/>
      <w:lvlText w:val="%1．"/>
      <w:lvlJc w:val="left"/>
      <w:pPr>
        <w:ind w:left="0" w:firstLine="400"/>
      </w:pPr>
      <w:rPr>
        <w:rFonts w:hint="default"/>
      </w:rPr>
    </w:lvl>
  </w:abstractNum>
  <w:abstractNum w:abstractNumId="10">
    <w:nsid w:val="634704D1"/>
    <w:multiLevelType w:val="singleLevel"/>
    <w:tmpl w:val="634704D1"/>
    <w:lvl w:ilvl="0" w:tentative="0">
      <w:start w:val="2"/>
      <w:numFmt w:val="decimal"/>
      <w:suff w:val="nothing"/>
      <w:lvlText w:val="（%1）"/>
      <w:lvlJc w:val="left"/>
    </w:lvl>
  </w:abstractNum>
  <w:abstractNum w:abstractNumId="11">
    <w:nsid w:val="6903E4BE"/>
    <w:multiLevelType w:val="singleLevel"/>
    <w:tmpl w:val="6903E4BE"/>
    <w:lvl w:ilvl="0" w:tentative="0">
      <w:start w:val="1"/>
      <w:numFmt w:val="decimal"/>
      <w:suff w:val="nothing"/>
      <w:lvlText w:val="%1．"/>
      <w:lvlJc w:val="left"/>
      <w:pPr>
        <w:ind w:left="0" w:firstLine="400"/>
      </w:pPr>
      <w:rPr>
        <w:rFonts w:hint="default"/>
      </w:rPr>
    </w:lvl>
  </w:abstractNum>
  <w:abstractNum w:abstractNumId="12">
    <w:nsid w:val="77D31D1C"/>
    <w:multiLevelType w:val="singleLevel"/>
    <w:tmpl w:val="77D31D1C"/>
    <w:lvl w:ilvl="0" w:tentative="0">
      <w:start w:val="1"/>
      <w:numFmt w:val="decimal"/>
      <w:suff w:val="nothing"/>
      <w:lvlText w:val="%1．"/>
      <w:lvlJc w:val="left"/>
      <w:pPr>
        <w:ind w:left="0" w:firstLine="400"/>
      </w:pPr>
      <w:rPr>
        <w:rFonts w:hint="default"/>
      </w:rPr>
    </w:lvl>
  </w:abstractNum>
  <w:num w:numId="1">
    <w:abstractNumId w:val="3"/>
  </w:num>
  <w:num w:numId="2">
    <w:abstractNumId w:val="4"/>
  </w:num>
  <w:num w:numId="3">
    <w:abstractNumId w:val="10"/>
  </w:num>
  <w:num w:numId="4">
    <w:abstractNumId w:val="7"/>
  </w:num>
  <w:num w:numId="5">
    <w:abstractNumId w:val="2"/>
  </w:num>
  <w:num w:numId="6">
    <w:abstractNumId w:val="12"/>
  </w:num>
  <w:num w:numId="7">
    <w:abstractNumId w:val="11"/>
  </w:num>
  <w:num w:numId="8">
    <w:abstractNumId w:val="9"/>
  </w:num>
  <w:num w:numId="9">
    <w:abstractNumId w:val="5"/>
  </w:num>
  <w:num w:numId="10">
    <w:abstractNumId w:val="1"/>
  </w:num>
  <w:num w:numId="11">
    <w:abstractNumId w:val="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76221"/>
    <w:rsid w:val="00092F51"/>
    <w:rsid w:val="000B18F0"/>
    <w:rsid w:val="000F1046"/>
    <w:rsid w:val="000F135C"/>
    <w:rsid w:val="00102ED9"/>
    <w:rsid w:val="001132C6"/>
    <w:rsid w:val="00157B73"/>
    <w:rsid w:val="00171641"/>
    <w:rsid w:val="00172A1E"/>
    <w:rsid w:val="001800FD"/>
    <w:rsid w:val="001B1DE3"/>
    <w:rsid w:val="001B3A70"/>
    <w:rsid w:val="001D5398"/>
    <w:rsid w:val="00223CBC"/>
    <w:rsid w:val="00252453"/>
    <w:rsid w:val="0026665C"/>
    <w:rsid w:val="0026717C"/>
    <w:rsid w:val="002926D1"/>
    <w:rsid w:val="002B53DD"/>
    <w:rsid w:val="00322C22"/>
    <w:rsid w:val="00324A78"/>
    <w:rsid w:val="00337C06"/>
    <w:rsid w:val="00347E38"/>
    <w:rsid w:val="0038457F"/>
    <w:rsid w:val="00385320"/>
    <w:rsid w:val="003953E5"/>
    <w:rsid w:val="003B64EA"/>
    <w:rsid w:val="003D2A99"/>
    <w:rsid w:val="003F2ED6"/>
    <w:rsid w:val="00412BA6"/>
    <w:rsid w:val="00437458"/>
    <w:rsid w:val="00453FBC"/>
    <w:rsid w:val="00454987"/>
    <w:rsid w:val="004841B8"/>
    <w:rsid w:val="004A0F00"/>
    <w:rsid w:val="00531609"/>
    <w:rsid w:val="0054531B"/>
    <w:rsid w:val="005867C8"/>
    <w:rsid w:val="00596BB3"/>
    <w:rsid w:val="005A7877"/>
    <w:rsid w:val="005F1887"/>
    <w:rsid w:val="005F194D"/>
    <w:rsid w:val="00600C83"/>
    <w:rsid w:val="006156FB"/>
    <w:rsid w:val="00642511"/>
    <w:rsid w:val="00662032"/>
    <w:rsid w:val="006A5BF3"/>
    <w:rsid w:val="006D5299"/>
    <w:rsid w:val="007743CF"/>
    <w:rsid w:val="00796396"/>
    <w:rsid w:val="007D2D2E"/>
    <w:rsid w:val="007F2242"/>
    <w:rsid w:val="008021CD"/>
    <w:rsid w:val="00802517"/>
    <w:rsid w:val="00833E0B"/>
    <w:rsid w:val="0084105F"/>
    <w:rsid w:val="00850F37"/>
    <w:rsid w:val="00874A0D"/>
    <w:rsid w:val="00877D83"/>
    <w:rsid w:val="00890384"/>
    <w:rsid w:val="008944CE"/>
    <w:rsid w:val="008F3318"/>
    <w:rsid w:val="00941337"/>
    <w:rsid w:val="009475ED"/>
    <w:rsid w:val="009618E5"/>
    <w:rsid w:val="00977D02"/>
    <w:rsid w:val="00984E24"/>
    <w:rsid w:val="00986EA5"/>
    <w:rsid w:val="00997E08"/>
    <w:rsid w:val="009B088D"/>
    <w:rsid w:val="009B1D96"/>
    <w:rsid w:val="009E4E44"/>
    <w:rsid w:val="009F2921"/>
    <w:rsid w:val="00A179E3"/>
    <w:rsid w:val="00A20975"/>
    <w:rsid w:val="00AC3A5D"/>
    <w:rsid w:val="00AE2AE1"/>
    <w:rsid w:val="00B16145"/>
    <w:rsid w:val="00B16EA5"/>
    <w:rsid w:val="00C3308E"/>
    <w:rsid w:val="00C54E0F"/>
    <w:rsid w:val="00CA2EF8"/>
    <w:rsid w:val="00D04981"/>
    <w:rsid w:val="00D227D6"/>
    <w:rsid w:val="00D2563E"/>
    <w:rsid w:val="00D27D65"/>
    <w:rsid w:val="00D44CB4"/>
    <w:rsid w:val="00D50438"/>
    <w:rsid w:val="00D53EE8"/>
    <w:rsid w:val="00D64325"/>
    <w:rsid w:val="00D94D68"/>
    <w:rsid w:val="00DF3E56"/>
    <w:rsid w:val="00DF3E74"/>
    <w:rsid w:val="00E418B9"/>
    <w:rsid w:val="00E70AEE"/>
    <w:rsid w:val="00E70CCA"/>
    <w:rsid w:val="00E77556"/>
    <w:rsid w:val="00E81341"/>
    <w:rsid w:val="00EA7B11"/>
    <w:rsid w:val="00EC4116"/>
    <w:rsid w:val="00F23F82"/>
    <w:rsid w:val="00F33613"/>
    <w:rsid w:val="00F5656F"/>
    <w:rsid w:val="00FB197F"/>
    <w:rsid w:val="00FD0792"/>
    <w:rsid w:val="00FE21DA"/>
    <w:rsid w:val="010643D2"/>
    <w:rsid w:val="01170F7B"/>
    <w:rsid w:val="01252684"/>
    <w:rsid w:val="017B4D40"/>
    <w:rsid w:val="01FE0316"/>
    <w:rsid w:val="02494A32"/>
    <w:rsid w:val="02761E8D"/>
    <w:rsid w:val="02CD0E66"/>
    <w:rsid w:val="02D06F7F"/>
    <w:rsid w:val="032A4307"/>
    <w:rsid w:val="033D2B90"/>
    <w:rsid w:val="0381097B"/>
    <w:rsid w:val="03A04854"/>
    <w:rsid w:val="03B0513A"/>
    <w:rsid w:val="042F2D99"/>
    <w:rsid w:val="048828C5"/>
    <w:rsid w:val="04900C3F"/>
    <w:rsid w:val="055A6F90"/>
    <w:rsid w:val="057115C5"/>
    <w:rsid w:val="05ED3A79"/>
    <w:rsid w:val="069B1A69"/>
    <w:rsid w:val="069B2990"/>
    <w:rsid w:val="06D3708C"/>
    <w:rsid w:val="06F3702C"/>
    <w:rsid w:val="075B40DD"/>
    <w:rsid w:val="078779E0"/>
    <w:rsid w:val="07AF4972"/>
    <w:rsid w:val="07CE2523"/>
    <w:rsid w:val="07E01420"/>
    <w:rsid w:val="085E70A2"/>
    <w:rsid w:val="088834A8"/>
    <w:rsid w:val="08AA0FDD"/>
    <w:rsid w:val="099361CD"/>
    <w:rsid w:val="09EF42B0"/>
    <w:rsid w:val="0A17516A"/>
    <w:rsid w:val="0A203944"/>
    <w:rsid w:val="0A3648BE"/>
    <w:rsid w:val="0A6F2DDF"/>
    <w:rsid w:val="0A9414BC"/>
    <w:rsid w:val="0AD57493"/>
    <w:rsid w:val="0AD95861"/>
    <w:rsid w:val="0B042481"/>
    <w:rsid w:val="0B205E71"/>
    <w:rsid w:val="0B7011A9"/>
    <w:rsid w:val="0B8239E5"/>
    <w:rsid w:val="0C0A1E81"/>
    <w:rsid w:val="0C2C496A"/>
    <w:rsid w:val="0C2F0F17"/>
    <w:rsid w:val="0C620A55"/>
    <w:rsid w:val="0DA07C55"/>
    <w:rsid w:val="0E483512"/>
    <w:rsid w:val="0E6F03C7"/>
    <w:rsid w:val="0E7A69DB"/>
    <w:rsid w:val="0E977A54"/>
    <w:rsid w:val="0E9960EA"/>
    <w:rsid w:val="0EDC350C"/>
    <w:rsid w:val="0F02680A"/>
    <w:rsid w:val="0F1E2E01"/>
    <w:rsid w:val="0F7F0CD1"/>
    <w:rsid w:val="0F8D75C2"/>
    <w:rsid w:val="102C65D5"/>
    <w:rsid w:val="103129C3"/>
    <w:rsid w:val="10966690"/>
    <w:rsid w:val="10A25C3C"/>
    <w:rsid w:val="10D842E1"/>
    <w:rsid w:val="10F12720"/>
    <w:rsid w:val="11003F91"/>
    <w:rsid w:val="11200E0E"/>
    <w:rsid w:val="115C0A93"/>
    <w:rsid w:val="1231797F"/>
    <w:rsid w:val="126E08E5"/>
    <w:rsid w:val="12B87C38"/>
    <w:rsid w:val="13096083"/>
    <w:rsid w:val="130C223A"/>
    <w:rsid w:val="13E024F7"/>
    <w:rsid w:val="14131B76"/>
    <w:rsid w:val="142524E7"/>
    <w:rsid w:val="1470009E"/>
    <w:rsid w:val="148E0DD7"/>
    <w:rsid w:val="1562509C"/>
    <w:rsid w:val="161A5B51"/>
    <w:rsid w:val="16754EC2"/>
    <w:rsid w:val="16A246B2"/>
    <w:rsid w:val="16BD34B9"/>
    <w:rsid w:val="16F57468"/>
    <w:rsid w:val="17492CC0"/>
    <w:rsid w:val="174D6D27"/>
    <w:rsid w:val="175375A6"/>
    <w:rsid w:val="17743711"/>
    <w:rsid w:val="17ED2EC7"/>
    <w:rsid w:val="17F860F9"/>
    <w:rsid w:val="18207BC5"/>
    <w:rsid w:val="18B07712"/>
    <w:rsid w:val="18E56FD1"/>
    <w:rsid w:val="19680F65"/>
    <w:rsid w:val="19C370FB"/>
    <w:rsid w:val="19C374C4"/>
    <w:rsid w:val="1A002DEB"/>
    <w:rsid w:val="1A1915F5"/>
    <w:rsid w:val="1A3E393E"/>
    <w:rsid w:val="1AC47160"/>
    <w:rsid w:val="1AFC45F8"/>
    <w:rsid w:val="1B3E00A7"/>
    <w:rsid w:val="1BA25287"/>
    <w:rsid w:val="1BA65996"/>
    <w:rsid w:val="1BD0252A"/>
    <w:rsid w:val="1BF7266A"/>
    <w:rsid w:val="1C5E01AD"/>
    <w:rsid w:val="1C6D1392"/>
    <w:rsid w:val="1CD96D90"/>
    <w:rsid w:val="1D246639"/>
    <w:rsid w:val="1F222924"/>
    <w:rsid w:val="1F4544B4"/>
    <w:rsid w:val="2015576A"/>
    <w:rsid w:val="20180053"/>
    <w:rsid w:val="20243093"/>
    <w:rsid w:val="20426CFD"/>
    <w:rsid w:val="205B6053"/>
    <w:rsid w:val="20D165E0"/>
    <w:rsid w:val="20F25CF1"/>
    <w:rsid w:val="217541B0"/>
    <w:rsid w:val="21C727E1"/>
    <w:rsid w:val="223607E1"/>
    <w:rsid w:val="223D4D9F"/>
    <w:rsid w:val="22A63EC2"/>
    <w:rsid w:val="22EC55E4"/>
    <w:rsid w:val="22EE2A71"/>
    <w:rsid w:val="23112007"/>
    <w:rsid w:val="23467533"/>
    <w:rsid w:val="23FD212F"/>
    <w:rsid w:val="241A4A22"/>
    <w:rsid w:val="24397D4F"/>
    <w:rsid w:val="25111399"/>
    <w:rsid w:val="251D5245"/>
    <w:rsid w:val="252D3DA3"/>
    <w:rsid w:val="25673626"/>
    <w:rsid w:val="256C54BF"/>
    <w:rsid w:val="257C4F29"/>
    <w:rsid w:val="25C77AC0"/>
    <w:rsid w:val="26336BBE"/>
    <w:rsid w:val="265D7677"/>
    <w:rsid w:val="269E7603"/>
    <w:rsid w:val="27DC55D7"/>
    <w:rsid w:val="27F84584"/>
    <w:rsid w:val="28035A15"/>
    <w:rsid w:val="28753FAD"/>
    <w:rsid w:val="287E155D"/>
    <w:rsid w:val="289135FD"/>
    <w:rsid w:val="297909E4"/>
    <w:rsid w:val="297E1B4D"/>
    <w:rsid w:val="29C14A7E"/>
    <w:rsid w:val="2A0D4760"/>
    <w:rsid w:val="2A6C706D"/>
    <w:rsid w:val="2AB204A5"/>
    <w:rsid w:val="2ACB2EF2"/>
    <w:rsid w:val="2AF13BEE"/>
    <w:rsid w:val="2AF160F0"/>
    <w:rsid w:val="2AFE1262"/>
    <w:rsid w:val="2B511F09"/>
    <w:rsid w:val="2B5D2E86"/>
    <w:rsid w:val="2B810B41"/>
    <w:rsid w:val="2BB3671D"/>
    <w:rsid w:val="2C4F1FE4"/>
    <w:rsid w:val="2C5E53FF"/>
    <w:rsid w:val="2CC55E62"/>
    <w:rsid w:val="2DA31DDE"/>
    <w:rsid w:val="2DA735D6"/>
    <w:rsid w:val="2DAE34B9"/>
    <w:rsid w:val="2DC12790"/>
    <w:rsid w:val="2E69320E"/>
    <w:rsid w:val="2E7A6958"/>
    <w:rsid w:val="2EB11D5E"/>
    <w:rsid w:val="2EB23898"/>
    <w:rsid w:val="2EB75EBD"/>
    <w:rsid w:val="2F0118B9"/>
    <w:rsid w:val="2F4250B0"/>
    <w:rsid w:val="2F6855EB"/>
    <w:rsid w:val="303D44B0"/>
    <w:rsid w:val="304D3CBB"/>
    <w:rsid w:val="30BA410F"/>
    <w:rsid w:val="30C64B11"/>
    <w:rsid w:val="31115D00"/>
    <w:rsid w:val="31431A75"/>
    <w:rsid w:val="31723D70"/>
    <w:rsid w:val="318225C0"/>
    <w:rsid w:val="319A66D0"/>
    <w:rsid w:val="31A96A1A"/>
    <w:rsid w:val="31C4442B"/>
    <w:rsid w:val="32294E3B"/>
    <w:rsid w:val="32397FF3"/>
    <w:rsid w:val="32633A0A"/>
    <w:rsid w:val="327E1ACD"/>
    <w:rsid w:val="32862C04"/>
    <w:rsid w:val="32936AA7"/>
    <w:rsid w:val="32FF33CF"/>
    <w:rsid w:val="33B42114"/>
    <w:rsid w:val="344F5AC7"/>
    <w:rsid w:val="351505EF"/>
    <w:rsid w:val="35413416"/>
    <w:rsid w:val="356D6A1F"/>
    <w:rsid w:val="358F6DAA"/>
    <w:rsid w:val="35B50EA1"/>
    <w:rsid w:val="363429C0"/>
    <w:rsid w:val="36654023"/>
    <w:rsid w:val="370A1DC3"/>
    <w:rsid w:val="37C25041"/>
    <w:rsid w:val="387B7CAF"/>
    <w:rsid w:val="38973FE4"/>
    <w:rsid w:val="3A717C9C"/>
    <w:rsid w:val="3A76452D"/>
    <w:rsid w:val="3AD50AC5"/>
    <w:rsid w:val="3AF90CBF"/>
    <w:rsid w:val="3B5B7ABE"/>
    <w:rsid w:val="3C4F6449"/>
    <w:rsid w:val="3DA365C7"/>
    <w:rsid w:val="3DDB222A"/>
    <w:rsid w:val="3DF34140"/>
    <w:rsid w:val="3E1068C3"/>
    <w:rsid w:val="3E1115B5"/>
    <w:rsid w:val="3E400E82"/>
    <w:rsid w:val="3E506E48"/>
    <w:rsid w:val="3E522735"/>
    <w:rsid w:val="3E7B4B61"/>
    <w:rsid w:val="3EB15A4F"/>
    <w:rsid w:val="3ED242F2"/>
    <w:rsid w:val="3EE06BC4"/>
    <w:rsid w:val="3EE558B5"/>
    <w:rsid w:val="3FC719B7"/>
    <w:rsid w:val="3FE34ECE"/>
    <w:rsid w:val="3FED117E"/>
    <w:rsid w:val="3FFC4B0C"/>
    <w:rsid w:val="400C1767"/>
    <w:rsid w:val="40D70CA4"/>
    <w:rsid w:val="412218A0"/>
    <w:rsid w:val="416B2613"/>
    <w:rsid w:val="41DA140E"/>
    <w:rsid w:val="41F20501"/>
    <w:rsid w:val="42342DD3"/>
    <w:rsid w:val="426F0CF6"/>
    <w:rsid w:val="43A766C9"/>
    <w:rsid w:val="43AA4B02"/>
    <w:rsid w:val="43EB0E95"/>
    <w:rsid w:val="443365B6"/>
    <w:rsid w:val="44434143"/>
    <w:rsid w:val="44475ABD"/>
    <w:rsid w:val="44602DE3"/>
    <w:rsid w:val="44CE2877"/>
    <w:rsid w:val="44DA50F5"/>
    <w:rsid w:val="44EF58FF"/>
    <w:rsid w:val="44F01679"/>
    <w:rsid w:val="44F448E3"/>
    <w:rsid w:val="44F921B1"/>
    <w:rsid w:val="45417326"/>
    <w:rsid w:val="45487E01"/>
    <w:rsid w:val="455478B1"/>
    <w:rsid w:val="463260EC"/>
    <w:rsid w:val="468D6F55"/>
    <w:rsid w:val="46F30B6A"/>
    <w:rsid w:val="473A499B"/>
    <w:rsid w:val="476A452D"/>
    <w:rsid w:val="47827CE8"/>
    <w:rsid w:val="47BE7472"/>
    <w:rsid w:val="483845EB"/>
    <w:rsid w:val="48573328"/>
    <w:rsid w:val="488F1F8D"/>
    <w:rsid w:val="48CD316B"/>
    <w:rsid w:val="48F56F3A"/>
    <w:rsid w:val="493836DA"/>
    <w:rsid w:val="49C27385"/>
    <w:rsid w:val="49E94521"/>
    <w:rsid w:val="4A717966"/>
    <w:rsid w:val="4AEA4F86"/>
    <w:rsid w:val="4B7B063E"/>
    <w:rsid w:val="4BAB2E26"/>
    <w:rsid w:val="4BDA6084"/>
    <w:rsid w:val="4C173EE4"/>
    <w:rsid w:val="4C477AD4"/>
    <w:rsid w:val="4C607139"/>
    <w:rsid w:val="4CDF40DB"/>
    <w:rsid w:val="4D036064"/>
    <w:rsid w:val="4DBC6C66"/>
    <w:rsid w:val="4DEC5E09"/>
    <w:rsid w:val="4E471B2D"/>
    <w:rsid w:val="4E4C74A7"/>
    <w:rsid w:val="4E5C0BD0"/>
    <w:rsid w:val="4E7B18EF"/>
    <w:rsid w:val="4E9C5BF5"/>
    <w:rsid w:val="4EB361A2"/>
    <w:rsid w:val="4ED56B2B"/>
    <w:rsid w:val="4F0B2432"/>
    <w:rsid w:val="4F3B3E0A"/>
    <w:rsid w:val="4FA21F5E"/>
    <w:rsid w:val="507F7EB0"/>
    <w:rsid w:val="50D90E3F"/>
    <w:rsid w:val="51057895"/>
    <w:rsid w:val="51455C9A"/>
    <w:rsid w:val="51585983"/>
    <w:rsid w:val="52027174"/>
    <w:rsid w:val="52884287"/>
    <w:rsid w:val="528C2675"/>
    <w:rsid w:val="52936A04"/>
    <w:rsid w:val="52C77298"/>
    <w:rsid w:val="52CA4B93"/>
    <w:rsid w:val="53FB0385"/>
    <w:rsid w:val="54777D5C"/>
    <w:rsid w:val="54851D9C"/>
    <w:rsid w:val="54D62F0C"/>
    <w:rsid w:val="55C1444A"/>
    <w:rsid w:val="562557A0"/>
    <w:rsid w:val="562F75FD"/>
    <w:rsid w:val="566A5479"/>
    <w:rsid w:val="567F1EA1"/>
    <w:rsid w:val="56F5325E"/>
    <w:rsid w:val="57C85437"/>
    <w:rsid w:val="57D97FF1"/>
    <w:rsid w:val="58027B27"/>
    <w:rsid w:val="584379F8"/>
    <w:rsid w:val="585C2844"/>
    <w:rsid w:val="589E4548"/>
    <w:rsid w:val="58A6629F"/>
    <w:rsid w:val="58C20E22"/>
    <w:rsid w:val="59051B84"/>
    <w:rsid w:val="59C21B40"/>
    <w:rsid w:val="59CA5C05"/>
    <w:rsid w:val="59D7322F"/>
    <w:rsid w:val="5A8A4A8E"/>
    <w:rsid w:val="5ABE5EBD"/>
    <w:rsid w:val="5B8D5D01"/>
    <w:rsid w:val="5BE7347F"/>
    <w:rsid w:val="5C53230B"/>
    <w:rsid w:val="5D2E096D"/>
    <w:rsid w:val="5D37191C"/>
    <w:rsid w:val="5D546FD5"/>
    <w:rsid w:val="5DB77C77"/>
    <w:rsid w:val="5DBD497D"/>
    <w:rsid w:val="5E8661D8"/>
    <w:rsid w:val="5ED92F78"/>
    <w:rsid w:val="5EDC127B"/>
    <w:rsid w:val="5F39299A"/>
    <w:rsid w:val="5F734CCA"/>
    <w:rsid w:val="5FEC6A29"/>
    <w:rsid w:val="5FF97043"/>
    <w:rsid w:val="600528DB"/>
    <w:rsid w:val="60104A1E"/>
    <w:rsid w:val="605E1DEA"/>
    <w:rsid w:val="608929C5"/>
    <w:rsid w:val="609A57C2"/>
    <w:rsid w:val="61697A7D"/>
    <w:rsid w:val="61D42936"/>
    <w:rsid w:val="61E51291"/>
    <w:rsid w:val="62037B0D"/>
    <w:rsid w:val="62861EAA"/>
    <w:rsid w:val="633820A6"/>
    <w:rsid w:val="637162CF"/>
    <w:rsid w:val="63C7008B"/>
    <w:rsid w:val="63EE5991"/>
    <w:rsid w:val="6434736D"/>
    <w:rsid w:val="649E3B5C"/>
    <w:rsid w:val="64B67952"/>
    <w:rsid w:val="64F56556"/>
    <w:rsid w:val="656454BD"/>
    <w:rsid w:val="65A46720"/>
    <w:rsid w:val="65F11B35"/>
    <w:rsid w:val="66010AF6"/>
    <w:rsid w:val="663B294F"/>
    <w:rsid w:val="66430787"/>
    <w:rsid w:val="669034B3"/>
    <w:rsid w:val="66F32F0E"/>
    <w:rsid w:val="671036AF"/>
    <w:rsid w:val="673B20F9"/>
    <w:rsid w:val="67423763"/>
    <w:rsid w:val="67BD2AF6"/>
    <w:rsid w:val="67E12090"/>
    <w:rsid w:val="67FC61B8"/>
    <w:rsid w:val="68086D13"/>
    <w:rsid w:val="68615817"/>
    <w:rsid w:val="68820673"/>
    <w:rsid w:val="688D391C"/>
    <w:rsid w:val="68DB4AEF"/>
    <w:rsid w:val="6966020E"/>
    <w:rsid w:val="6969768F"/>
    <w:rsid w:val="698A2A90"/>
    <w:rsid w:val="69965724"/>
    <w:rsid w:val="6A177650"/>
    <w:rsid w:val="6A227B2A"/>
    <w:rsid w:val="6A355461"/>
    <w:rsid w:val="6A4467AA"/>
    <w:rsid w:val="6A6C17DD"/>
    <w:rsid w:val="6ACC3EEB"/>
    <w:rsid w:val="6BBF10CF"/>
    <w:rsid w:val="6C6E3242"/>
    <w:rsid w:val="6CEC67F6"/>
    <w:rsid w:val="6CF35594"/>
    <w:rsid w:val="6D3535AA"/>
    <w:rsid w:val="6D3951DB"/>
    <w:rsid w:val="6DAD24D7"/>
    <w:rsid w:val="6E042333"/>
    <w:rsid w:val="6E1845CD"/>
    <w:rsid w:val="6ED72DF8"/>
    <w:rsid w:val="6ED91546"/>
    <w:rsid w:val="6F272654"/>
    <w:rsid w:val="6F6748D6"/>
    <w:rsid w:val="6FF92610"/>
    <w:rsid w:val="704E7517"/>
    <w:rsid w:val="70624CFC"/>
    <w:rsid w:val="707725B8"/>
    <w:rsid w:val="711853A1"/>
    <w:rsid w:val="71C865FF"/>
    <w:rsid w:val="71F57801"/>
    <w:rsid w:val="71F675CF"/>
    <w:rsid w:val="723E546F"/>
    <w:rsid w:val="725A7695"/>
    <w:rsid w:val="72802232"/>
    <w:rsid w:val="72A2470E"/>
    <w:rsid w:val="72AB48E6"/>
    <w:rsid w:val="72AB775A"/>
    <w:rsid w:val="72EB12A6"/>
    <w:rsid w:val="73BA3636"/>
    <w:rsid w:val="74480ED8"/>
    <w:rsid w:val="7474148A"/>
    <w:rsid w:val="74755C01"/>
    <w:rsid w:val="74A262E2"/>
    <w:rsid w:val="74A905A6"/>
    <w:rsid w:val="74AD5CC5"/>
    <w:rsid w:val="74CE637B"/>
    <w:rsid w:val="74CF48DE"/>
    <w:rsid w:val="75397541"/>
    <w:rsid w:val="760F1667"/>
    <w:rsid w:val="7622537E"/>
    <w:rsid w:val="763E18BE"/>
    <w:rsid w:val="7726768C"/>
    <w:rsid w:val="77485B4B"/>
    <w:rsid w:val="77654CBC"/>
    <w:rsid w:val="779450E4"/>
    <w:rsid w:val="77B466DA"/>
    <w:rsid w:val="77D90BB8"/>
    <w:rsid w:val="77F9134D"/>
    <w:rsid w:val="78516088"/>
    <w:rsid w:val="78954C88"/>
    <w:rsid w:val="7A345BCB"/>
    <w:rsid w:val="7A71774B"/>
    <w:rsid w:val="7ABB0D0D"/>
    <w:rsid w:val="7B092148"/>
    <w:rsid w:val="7BEF445B"/>
    <w:rsid w:val="7D365589"/>
    <w:rsid w:val="7D6B357F"/>
    <w:rsid w:val="7DE16BA9"/>
    <w:rsid w:val="7EBC560B"/>
    <w:rsid w:val="7F326B39"/>
    <w:rsid w:val="7F372864"/>
    <w:rsid w:val="7F4D0FEB"/>
    <w:rsid w:val="7F815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6">
    <w:name w:val="heading 2"/>
    <w:basedOn w:val="1"/>
    <w:next w:val="1"/>
    <w:qFormat/>
    <w:uiPriority w:val="0"/>
    <w:pPr>
      <w:keepNext/>
      <w:keepLines/>
      <w:spacing w:line="360" w:lineRule="auto"/>
      <w:outlineLvl w:val="1"/>
    </w:pPr>
    <w:rPr>
      <w:rFonts w:ascii="Arial" w:hAnsi="Arial"/>
      <w:b/>
      <w:bCs/>
      <w:sz w:val="24"/>
      <w:szCs w:val="32"/>
    </w:rPr>
  </w:style>
  <w:style w:type="paragraph" w:styleId="7">
    <w:name w:val="heading 3"/>
    <w:basedOn w:val="1"/>
    <w:next w:val="1"/>
    <w:qFormat/>
    <w:uiPriority w:val="0"/>
    <w:pPr>
      <w:keepNext/>
      <w:keepLines/>
      <w:spacing w:line="360" w:lineRule="auto"/>
      <w:ind w:firstLine="200" w:firstLineChars="200"/>
      <w:outlineLvl w:val="2"/>
    </w:pPr>
    <w:rPr>
      <w:b/>
      <w:bCs/>
      <w:szCs w:val="32"/>
    </w:rPr>
  </w:style>
  <w:style w:type="paragraph" w:styleId="8">
    <w:name w:val="heading 4"/>
    <w:basedOn w:val="1"/>
    <w:next w:val="1"/>
    <w:link w:val="54"/>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qFormat/>
    <w:uiPriority w:val="0"/>
    <w:pPr>
      <w:ind w:firstLine="420" w:firstLineChars="100"/>
    </w:pPr>
    <w:rPr>
      <w:sz w:val="34"/>
      <w:szCs w:val="20"/>
    </w:rPr>
  </w:style>
  <w:style w:type="paragraph" w:styleId="3">
    <w:name w:val="Body Text"/>
    <w:basedOn w:val="1"/>
    <w:next w:val="4"/>
    <w:qFormat/>
    <w:uiPriority w:val="1"/>
    <w:rPr>
      <w:sz w:val="24"/>
      <w:szCs w:val="24"/>
    </w:rPr>
  </w:style>
  <w:style w:type="paragraph" w:styleId="4">
    <w:name w:val="Body Text 2"/>
    <w:basedOn w:val="1"/>
    <w:next w:val="3"/>
    <w:qFormat/>
    <w:uiPriority w:val="0"/>
    <w:pPr>
      <w:spacing w:line="480" w:lineRule="auto"/>
    </w:pPr>
  </w:style>
  <w:style w:type="paragraph" w:styleId="9">
    <w:name w:val="toc 7"/>
    <w:next w:val="1"/>
    <w:qFormat/>
    <w:uiPriority w:val="0"/>
    <w:pPr>
      <w:ind w:left="1260"/>
    </w:pPr>
    <w:rPr>
      <w:rFonts w:ascii="Calibri" w:hAnsi="Calibri" w:eastAsia="宋体" w:cs="Times New Roman"/>
      <w:sz w:val="18"/>
      <w:szCs w:val="18"/>
      <w:lang w:val="en-US" w:eastAsia="zh-CN" w:bidi="ar-SA"/>
    </w:rPr>
  </w:style>
  <w:style w:type="paragraph" w:styleId="10">
    <w:name w:val="Normal Indent"/>
    <w:basedOn w:val="1"/>
    <w:qFormat/>
    <w:uiPriority w:val="99"/>
    <w:pPr>
      <w:ind w:firstLine="420" w:firstLineChars="200"/>
    </w:pPr>
  </w:style>
  <w:style w:type="paragraph" w:styleId="11">
    <w:name w:val="annotation text"/>
    <w:basedOn w:val="1"/>
    <w:qFormat/>
    <w:uiPriority w:val="0"/>
    <w:pPr>
      <w:jc w:val="left"/>
    </w:pPr>
  </w:style>
  <w:style w:type="paragraph" w:styleId="12">
    <w:name w:val="toc 5"/>
    <w:next w:val="1"/>
    <w:qFormat/>
    <w:uiPriority w:val="0"/>
    <w:pPr>
      <w:ind w:left="840"/>
    </w:pPr>
    <w:rPr>
      <w:rFonts w:ascii="Calibri" w:hAnsi="Calibri" w:eastAsia="宋体" w:cs="Times New Roman"/>
      <w:sz w:val="18"/>
      <w:szCs w:val="18"/>
      <w:lang w:val="en-US" w:eastAsia="zh-CN" w:bidi="ar-SA"/>
    </w:rPr>
  </w:style>
  <w:style w:type="paragraph" w:styleId="13">
    <w:name w:val="toc 3"/>
    <w:next w:val="1"/>
    <w:qFormat/>
    <w:uiPriority w:val="0"/>
    <w:pPr>
      <w:ind w:left="420"/>
    </w:pPr>
    <w:rPr>
      <w:rFonts w:ascii="Calibri" w:hAnsi="Calibri" w:eastAsia="宋体" w:cs="Times New Roman"/>
      <w:i/>
      <w:iCs/>
      <w:lang w:val="en-US" w:eastAsia="zh-CN" w:bidi="ar-SA"/>
    </w:rPr>
  </w:style>
  <w:style w:type="paragraph" w:styleId="14">
    <w:name w:val="Plain Text"/>
    <w:basedOn w:val="1"/>
    <w:qFormat/>
    <w:uiPriority w:val="0"/>
    <w:rPr>
      <w:rFonts w:ascii="宋体" w:hAnsi="Courier New" w:cs="Courier New"/>
      <w:szCs w:val="21"/>
    </w:rPr>
  </w:style>
  <w:style w:type="paragraph" w:styleId="15">
    <w:name w:val="toc 8"/>
    <w:next w:val="1"/>
    <w:qFormat/>
    <w:uiPriority w:val="0"/>
    <w:pPr>
      <w:ind w:left="1470"/>
    </w:pPr>
    <w:rPr>
      <w:rFonts w:ascii="Calibri" w:hAnsi="Calibri" w:eastAsia="宋体" w:cs="Times New Roman"/>
      <w:sz w:val="18"/>
      <w:szCs w:val="18"/>
      <w:lang w:val="en-US" w:eastAsia="zh-CN" w:bidi="ar-SA"/>
    </w:rPr>
  </w:style>
  <w:style w:type="paragraph" w:styleId="16">
    <w:name w:val="Date"/>
    <w:basedOn w:val="1"/>
    <w:next w:val="1"/>
    <w:qFormat/>
    <w:uiPriority w:val="0"/>
    <w:rPr>
      <w:rFonts w:eastAsia="仿宋_GB2312"/>
      <w:sz w:val="28"/>
      <w:szCs w:val="20"/>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19">
    <w:name w:val="toc 1"/>
    <w:next w:val="1"/>
    <w:qFormat/>
    <w:uiPriority w:val="0"/>
    <w:pPr>
      <w:spacing w:beforeLines="38" w:afterLines="38"/>
    </w:pPr>
    <w:rPr>
      <w:rFonts w:ascii="Calibri" w:hAnsi="Calibri" w:eastAsia="宋体" w:cs="Times New Roman"/>
      <w:b/>
      <w:bCs/>
      <w:lang w:val="en-US" w:eastAsia="zh-CN" w:bidi="ar-SA"/>
    </w:rPr>
  </w:style>
  <w:style w:type="paragraph" w:styleId="20">
    <w:name w:val="toc 4"/>
    <w:next w:val="1"/>
    <w:qFormat/>
    <w:uiPriority w:val="0"/>
    <w:pPr>
      <w:ind w:left="630"/>
    </w:pPr>
    <w:rPr>
      <w:rFonts w:ascii="Calibri" w:hAnsi="Calibri" w:eastAsia="宋体" w:cs="Times New Roman"/>
      <w:sz w:val="18"/>
      <w:szCs w:val="18"/>
      <w:lang w:val="en-US" w:eastAsia="zh-CN" w:bidi="ar-SA"/>
    </w:rPr>
  </w:style>
  <w:style w:type="paragraph" w:styleId="21">
    <w:name w:val="toc 6"/>
    <w:next w:val="1"/>
    <w:qFormat/>
    <w:uiPriority w:val="0"/>
    <w:pPr>
      <w:ind w:left="1050"/>
    </w:pPr>
    <w:rPr>
      <w:rFonts w:ascii="Calibri" w:hAnsi="Calibri" w:eastAsia="宋体" w:cs="Times New Roman"/>
      <w:sz w:val="18"/>
      <w:szCs w:val="18"/>
      <w:lang w:val="en-US" w:eastAsia="zh-CN" w:bidi="ar-SA"/>
    </w:rPr>
  </w:style>
  <w:style w:type="paragraph" w:styleId="22">
    <w:name w:val="toc 2"/>
    <w:basedOn w:val="1"/>
    <w:next w:val="1"/>
    <w:qFormat/>
    <w:uiPriority w:val="0"/>
    <w:pPr>
      <w:ind w:left="210"/>
    </w:pPr>
    <w:rPr>
      <w:rFonts w:ascii="Calibri" w:hAnsi="Calibri"/>
      <w:smallCaps/>
    </w:rPr>
  </w:style>
  <w:style w:type="paragraph" w:styleId="23">
    <w:name w:val="toc 9"/>
    <w:next w:val="1"/>
    <w:qFormat/>
    <w:uiPriority w:val="0"/>
    <w:pPr>
      <w:ind w:left="1680"/>
    </w:pPr>
    <w:rPr>
      <w:rFonts w:ascii="Calibri" w:hAnsi="Calibri" w:eastAsia="宋体" w:cs="Times New Roman"/>
      <w:sz w:val="18"/>
      <w:szCs w:val="18"/>
      <w:lang w:val="en-US" w:eastAsia="zh-CN" w:bidi="ar-SA"/>
    </w:rPr>
  </w:style>
  <w:style w:type="paragraph" w:styleId="24">
    <w:name w:val="Normal (Web)"/>
    <w:basedOn w:val="1"/>
    <w:qFormat/>
    <w:uiPriority w:val="0"/>
    <w:pPr>
      <w:widowControl/>
      <w:spacing w:before="100" w:beforeAutospacing="1" w:after="100" w:afterAutospacing="1"/>
      <w:jc w:val="left"/>
    </w:pPr>
    <w:rPr>
      <w:sz w:val="24"/>
    </w:rPr>
  </w:style>
  <w:style w:type="paragraph" w:styleId="25">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table" w:styleId="27">
    <w:name w:val="Table Grid"/>
    <w:basedOn w:val="26"/>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page number"/>
    <w:basedOn w:val="28"/>
    <w:qFormat/>
    <w:uiPriority w:val="0"/>
  </w:style>
  <w:style w:type="character" w:styleId="31">
    <w:name w:val="FollowedHyperlink"/>
    <w:basedOn w:val="28"/>
    <w:qFormat/>
    <w:uiPriority w:val="0"/>
    <w:rPr>
      <w:color w:val="3F88BF"/>
      <w:u w:val="none"/>
    </w:rPr>
  </w:style>
  <w:style w:type="character" w:styleId="32">
    <w:name w:val="Emphasis"/>
    <w:basedOn w:val="28"/>
    <w:qFormat/>
    <w:uiPriority w:val="0"/>
  </w:style>
  <w:style w:type="character" w:styleId="33">
    <w:name w:val="HTML Definition"/>
    <w:basedOn w:val="28"/>
    <w:qFormat/>
    <w:uiPriority w:val="0"/>
  </w:style>
  <w:style w:type="character" w:styleId="34">
    <w:name w:val="HTML Variable"/>
    <w:basedOn w:val="28"/>
    <w:qFormat/>
    <w:uiPriority w:val="0"/>
  </w:style>
  <w:style w:type="character" w:styleId="35">
    <w:name w:val="Hyperlink"/>
    <w:basedOn w:val="28"/>
    <w:qFormat/>
    <w:uiPriority w:val="0"/>
    <w:rPr>
      <w:color w:val="0000FF" w:themeColor="hyperlink"/>
      <w:u w:val="single"/>
    </w:rPr>
  </w:style>
  <w:style w:type="character" w:styleId="36">
    <w:name w:val="HTML Code"/>
    <w:basedOn w:val="28"/>
    <w:qFormat/>
    <w:uiPriority w:val="0"/>
    <w:rPr>
      <w:rFonts w:hint="eastAsia" w:ascii="微软雅黑" w:hAnsi="微软雅黑" w:eastAsia="微软雅黑" w:cs="微软雅黑"/>
      <w:sz w:val="20"/>
    </w:rPr>
  </w:style>
  <w:style w:type="character" w:styleId="37">
    <w:name w:val="annotation reference"/>
    <w:basedOn w:val="28"/>
    <w:qFormat/>
    <w:uiPriority w:val="0"/>
    <w:rPr>
      <w:sz w:val="21"/>
      <w:szCs w:val="21"/>
    </w:rPr>
  </w:style>
  <w:style w:type="character" w:styleId="38">
    <w:name w:val="HTML Cite"/>
    <w:basedOn w:val="28"/>
    <w:qFormat/>
    <w:uiPriority w:val="0"/>
  </w:style>
  <w:style w:type="character" w:styleId="39">
    <w:name w:val="HTML Keyboard"/>
    <w:basedOn w:val="28"/>
    <w:qFormat/>
    <w:uiPriority w:val="0"/>
    <w:rPr>
      <w:rFonts w:hint="eastAsia" w:ascii="微软雅黑" w:hAnsi="微软雅黑" w:eastAsia="微软雅黑" w:cs="微软雅黑"/>
      <w:color w:val="3F88BF"/>
      <w:sz w:val="20"/>
      <w:u w:val="none"/>
    </w:rPr>
  </w:style>
  <w:style w:type="character" w:styleId="40">
    <w:name w:val="HTML Sample"/>
    <w:basedOn w:val="28"/>
    <w:qFormat/>
    <w:uiPriority w:val="0"/>
    <w:rPr>
      <w:rFonts w:hint="eastAsia" w:ascii="微软雅黑" w:hAnsi="微软雅黑" w:eastAsia="微软雅黑" w:cs="微软雅黑"/>
    </w:rPr>
  </w:style>
  <w:style w:type="paragraph" w:customStyle="1" w:styleId="41">
    <w:name w:val="样式 标题 2 + Times New Roman 四号 非加粗 段前: 5 磅 段后: 0 磅 行距: 固定值 20..."/>
    <w:basedOn w:val="6"/>
    <w:qFormat/>
    <w:uiPriority w:val="0"/>
    <w:pPr>
      <w:spacing w:before="100" w:line="400" w:lineRule="exact"/>
    </w:pPr>
    <w:rPr>
      <w:rFonts w:ascii="Times New Roman" w:hAnsi="Times New Roman" w:eastAsia="黑体" w:cs="宋体"/>
      <w:b w:val="0"/>
      <w:bCs w:val="0"/>
      <w:sz w:val="28"/>
      <w:szCs w:val="20"/>
    </w:rPr>
  </w:style>
  <w:style w:type="paragraph" w:customStyle="1" w:styleId="42">
    <w:name w:val="样式 标题 3 + (中文) 黑体 小四 非加粗 段前: 7.8 磅 段后: 0 磅 行距: 固定值 20 磅"/>
    <w:basedOn w:val="7"/>
    <w:qFormat/>
    <w:uiPriority w:val="0"/>
    <w:pPr>
      <w:spacing w:line="400" w:lineRule="exact"/>
      <w:ind w:firstLine="0" w:firstLineChars="0"/>
    </w:pPr>
    <w:rPr>
      <w:rFonts w:eastAsia="黑体" w:cs="宋体"/>
      <w:b w:val="0"/>
      <w:bCs w:val="0"/>
      <w:sz w:val="24"/>
      <w:szCs w:val="20"/>
    </w:rPr>
  </w:style>
  <w:style w:type="character" w:customStyle="1" w:styleId="43">
    <w:name w:val="zbggmain style9"/>
    <w:basedOn w:val="28"/>
    <w:qFormat/>
    <w:uiPriority w:val="0"/>
  </w:style>
  <w:style w:type="paragraph" w:customStyle="1" w:styleId="44">
    <w:name w:val="p0"/>
    <w:basedOn w:val="1"/>
    <w:qFormat/>
    <w:uiPriority w:val="0"/>
    <w:pPr>
      <w:widowControl/>
      <w:spacing w:before="100" w:beforeAutospacing="1" w:after="100" w:afterAutospacing="1"/>
      <w:jc w:val="left"/>
    </w:pPr>
    <w:rPr>
      <w:rFonts w:ascii="宋体" w:hAnsi="宋体" w:cs="宋体"/>
      <w:sz w:val="24"/>
    </w:rPr>
  </w:style>
  <w:style w:type="paragraph" w:styleId="45">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6">
    <w:name w:val="List Paragraph"/>
    <w:basedOn w:val="1"/>
    <w:qFormat/>
    <w:uiPriority w:val="99"/>
    <w:pPr>
      <w:ind w:firstLine="420" w:firstLineChars="200"/>
    </w:pPr>
  </w:style>
  <w:style w:type="character" w:customStyle="1" w:styleId="47">
    <w:name w:val="answer-title"/>
    <w:basedOn w:val="28"/>
    <w:qFormat/>
    <w:uiPriority w:val="0"/>
  </w:style>
  <w:style w:type="character" w:customStyle="1" w:styleId="48">
    <w:name w:val="num"/>
    <w:basedOn w:val="28"/>
    <w:qFormat/>
    <w:uiPriority w:val="0"/>
    <w:rPr>
      <w:b/>
      <w:color w:val="FF7800"/>
    </w:rPr>
  </w:style>
  <w:style w:type="character" w:customStyle="1" w:styleId="49">
    <w:name w:val="release-day"/>
    <w:basedOn w:val="28"/>
    <w:qFormat/>
    <w:uiPriority w:val="0"/>
    <w:rPr>
      <w:bdr w:val="single" w:color="BDEBB0" w:sz="6" w:space="0"/>
      <w:shd w:val="clear" w:color="auto" w:fill="F5FFF1"/>
    </w:rPr>
  </w:style>
  <w:style w:type="character" w:customStyle="1" w:styleId="50">
    <w:name w:val="num4"/>
    <w:basedOn w:val="28"/>
    <w:qFormat/>
    <w:uiPriority w:val="0"/>
    <w:rPr>
      <w:b/>
      <w:color w:val="FF7800"/>
    </w:rPr>
  </w:style>
  <w:style w:type="character" w:customStyle="1" w:styleId="51">
    <w:name w:val="answer-title8"/>
    <w:basedOn w:val="28"/>
    <w:qFormat/>
    <w:uiPriority w:val="0"/>
  </w:style>
  <w:style w:type="character" w:customStyle="1" w:styleId="52">
    <w:name w:val="页眉 字符"/>
    <w:basedOn w:val="28"/>
    <w:link w:val="18"/>
    <w:qFormat/>
    <w:uiPriority w:val="0"/>
    <w:rPr>
      <w:sz w:val="18"/>
      <w:szCs w:val="18"/>
    </w:rPr>
  </w:style>
  <w:style w:type="paragraph" w:customStyle="1" w:styleId="53">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4">
    <w:name w:val="标题 4 字符"/>
    <w:basedOn w:val="28"/>
    <w:link w:val="8"/>
    <w:semiHidden/>
    <w:qFormat/>
    <w:uiPriority w:val="0"/>
    <w:rPr>
      <w:rFonts w:asciiTheme="majorHAnsi" w:hAnsiTheme="majorHAnsi" w:eastAsiaTheme="majorEastAsia" w:cstheme="majorBidi"/>
      <w:b/>
      <w:bCs/>
      <w:sz w:val="28"/>
      <w:szCs w:val="28"/>
    </w:rPr>
  </w:style>
  <w:style w:type="paragraph" w:customStyle="1" w:styleId="55">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6">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7">
    <w:name w:val="Table Paragraph"/>
    <w:basedOn w:val="1"/>
    <w:qFormat/>
    <w:uiPriority w:val="1"/>
  </w:style>
  <w:style w:type="paragraph" w:customStyle="1" w:styleId="58">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59">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0">
    <w:name w:val="正文2"/>
    <w:basedOn w:val="1"/>
    <w:qFormat/>
    <w:uiPriority w:val="0"/>
    <w:pPr>
      <w:spacing w:before="156" w:line="360" w:lineRule="auto"/>
      <w:ind w:firstLine="510" w:firstLineChars="200"/>
    </w:pPr>
    <w:rPr>
      <w:sz w:val="24"/>
      <w:szCs w:val="20"/>
    </w:rPr>
  </w:style>
  <w:style w:type="paragraph" w:customStyle="1" w:styleId="61">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2">
    <w:name w:val="font41"/>
    <w:qFormat/>
    <w:uiPriority w:val="0"/>
    <w:rPr>
      <w:rFonts w:hint="eastAsia" w:ascii="等线" w:hAnsi="等线" w:eastAsia="等线" w:cs="等线"/>
      <w:b/>
      <w:color w:val="000000"/>
      <w:sz w:val="22"/>
      <w:szCs w:val="22"/>
      <w:u w:val="none"/>
    </w:rPr>
  </w:style>
  <w:style w:type="character" w:customStyle="1" w:styleId="63">
    <w:name w:val="font61"/>
    <w:qFormat/>
    <w:uiPriority w:val="0"/>
    <w:rPr>
      <w:rFonts w:hint="default" w:ascii="Times New Roman" w:hAnsi="Times New Roman" w:cs="Times New Roman"/>
      <w:b/>
      <w:color w:val="000000"/>
      <w:sz w:val="22"/>
      <w:szCs w:val="22"/>
      <w:u w:val="none"/>
    </w:rPr>
  </w:style>
  <w:style w:type="character" w:customStyle="1" w:styleId="64">
    <w:name w:val="font31"/>
    <w:qFormat/>
    <w:uiPriority w:val="0"/>
    <w:rPr>
      <w:rFonts w:hint="eastAsia" w:ascii="宋体" w:hAnsi="宋体" w:eastAsia="宋体" w:cs="宋体"/>
      <w:color w:val="FF0000"/>
      <w:sz w:val="22"/>
      <w:szCs w:val="22"/>
      <w:u w:val="none"/>
    </w:rPr>
  </w:style>
  <w:style w:type="character" w:customStyle="1" w:styleId="65">
    <w:name w:val="font01"/>
    <w:qFormat/>
    <w:uiPriority w:val="0"/>
    <w:rPr>
      <w:rFonts w:hint="eastAsia" w:ascii="宋体" w:hAnsi="宋体" w:eastAsia="宋体" w:cs="宋体"/>
      <w:color w:val="000000"/>
      <w:sz w:val="18"/>
      <w:szCs w:val="18"/>
      <w:u w:val="none"/>
    </w:rPr>
  </w:style>
  <w:style w:type="character" w:customStyle="1" w:styleId="66">
    <w:name w:val="font11"/>
    <w:qFormat/>
    <w:uiPriority w:val="0"/>
    <w:rPr>
      <w:rFonts w:hint="eastAsia" w:ascii="宋体" w:hAnsi="宋体" w:eastAsia="宋体" w:cs="宋体"/>
      <w:color w:val="000000"/>
      <w:sz w:val="18"/>
      <w:szCs w:val="18"/>
      <w:u w:val="none"/>
    </w:rPr>
  </w:style>
  <w:style w:type="character" w:customStyle="1" w:styleId="67">
    <w:name w:val="font51"/>
    <w:qFormat/>
    <w:uiPriority w:val="0"/>
    <w:rPr>
      <w:rFonts w:hint="default" w:ascii="Times New Roman" w:hAnsi="Times New Roman" w:cs="Times New Roman"/>
      <w:b/>
      <w:color w:val="000000"/>
      <w:sz w:val="21"/>
      <w:szCs w:val="21"/>
      <w:u w:val="none"/>
    </w:rPr>
  </w:style>
  <w:style w:type="character" w:customStyle="1" w:styleId="68">
    <w:name w:val="font21"/>
    <w:qFormat/>
    <w:uiPriority w:val="0"/>
    <w:rPr>
      <w:rFonts w:hint="eastAsia" w:ascii="宋体" w:hAnsi="宋体" w:eastAsia="宋体" w:cs="宋体"/>
      <w:b/>
      <w:color w:val="000000"/>
      <w:sz w:val="21"/>
      <w:szCs w:val="21"/>
      <w:u w:val="none"/>
    </w:rPr>
  </w:style>
  <w:style w:type="paragraph" w:customStyle="1" w:styleId="69">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0">
    <w:name w:val="p12"/>
    <w:qFormat/>
    <w:uiPriority w:val="0"/>
  </w:style>
  <w:style w:type="paragraph" w:customStyle="1" w:styleId="71">
    <w:name w:val="首行缩进"/>
    <w:basedOn w:val="1"/>
    <w:qFormat/>
    <w:uiPriority w:val="99"/>
    <w:pPr>
      <w:spacing w:line="360" w:lineRule="auto"/>
      <w:ind w:firstLine="480" w:firstLineChars="200"/>
    </w:pPr>
    <w:rPr>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9752</Words>
  <Characters>55591</Characters>
  <Lines>463</Lines>
  <Paragraphs>130</Paragraphs>
  <TotalTime>1</TotalTime>
  <ScaleCrop>false</ScaleCrop>
  <LinksUpToDate>false</LinksUpToDate>
  <CharactersWithSpaces>65213</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2021-10-29T05:58:00Z</cp:lastPrinted>
  <dcterms:modified xsi:type="dcterms:W3CDTF">2021-12-29T08:02:19Z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17478226941F4D7197F7C6A421513440</vt:lpwstr>
  </property>
</Properties>
</file>