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绍兴市妇幼保健院（绍兴市儿童医院）建设项目医疗污水处理工程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w:t>
      </w:r>
      <w:r>
        <w:rPr>
          <w:rFonts w:hint="eastAsia" w:asciiTheme="minorEastAsia" w:hAnsiTheme="minorEastAsia" w:eastAsiaTheme="minorEastAsia" w:cstheme="minorEastAsia"/>
          <w:b/>
          <w:bCs/>
          <w:color w:val="auto"/>
          <w:sz w:val="28"/>
          <w:szCs w:val="28"/>
          <w:highlight w:val="none"/>
          <w:lang w:val="en-US" w:eastAsia="zh-CN"/>
        </w:rPr>
        <w:t>11</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6"/>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绍兴市妇幼保健院（绍兴市儿童医院）建设项目医疗污水处理工程（重新招标）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绍兴市妇幼保健院（绍兴市儿童医院）建设项目医疗污水处理工程（重新招标）</w:t>
      </w:r>
      <w:r>
        <w:rPr>
          <w:rFonts w:hint="eastAsia" w:ascii="宋体" w:hAnsi="宋体"/>
          <w:color w:val="auto"/>
          <w:sz w:val="30"/>
          <w:szCs w:val="30"/>
          <w:highlight w:val="none"/>
          <w:u w:val="none"/>
          <w:lang w:val="en-US" w:eastAsia="zh-CN"/>
        </w:rPr>
        <w:t xml:space="preserve">  </w:t>
      </w:r>
      <w:r>
        <w:rPr>
          <w:rFonts w:hint="eastAsia" w:ascii="宋体" w:hAnsi="宋体"/>
          <w:b/>
          <w:color w:val="auto"/>
          <w:sz w:val="32"/>
          <w:szCs w:val="32"/>
          <w:highlight w:val="none"/>
        </w:rPr>
        <w:t>招标公告</w:t>
      </w:r>
    </w:p>
    <w:p>
      <w:pPr>
        <w:spacing w:line="340" w:lineRule="exact"/>
        <w:ind w:firstLine="420" w:firstLineChars="200"/>
        <w:jc w:val="left"/>
        <w:rPr>
          <w:rFonts w:ascii="宋体" w:hAnsi="宋体"/>
          <w:color w:val="auto"/>
          <w:sz w:val="18"/>
          <w:szCs w:val="18"/>
          <w:highlight w:val="none"/>
          <w:u w:val="single"/>
        </w:rPr>
      </w:pPr>
      <w:r>
        <w:rPr>
          <w:rFonts w:hint="eastAsia" w:ascii="宋体" w:hAnsi="宋体" w:eastAsia="宋体" w:cs="宋体"/>
          <w:color w:val="auto"/>
          <w:sz w:val="21"/>
          <w:szCs w:val="21"/>
          <w:highlight w:val="none"/>
          <w:u w:val="none"/>
        </w:rPr>
        <w:t>绍兴市妇幼保健院（绍兴市儿童医院）建设项目医疗污水处理工程</w:t>
      </w:r>
      <w:r>
        <w:rPr>
          <w:rFonts w:hint="eastAsia" w:ascii="宋体" w:hAnsi="宋体" w:cs="宋体"/>
          <w:b w:val="0"/>
          <w:bCs w:val="0"/>
          <w:color w:val="auto"/>
          <w:szCs w:val="21"/>
          <w:highlight w:val="none"/>
        </w:rPr>
        <w:t>已于2021年9月</w:t>
      </w:r>
      <w:r>
        <w:rPr>
          <w:rFonts w:hint="eastAsia" w:ascii="宋体" w:hAnsi="宋体" w:cs="宋体"/>
          <w:b w:val="0"/>
          <w:bCs w:val="0"/>
          <w:color w:val="auto"/>
          <w:szCs w:val="21"/>
          <w:highlight w:val="none"/>
          <w:lang w:val="en-US" w:eastAsia="zh-CN"/>
        </w:rPr>
        <w:t>29</w:t>
      </w:r>
      <w:r>
        <w:rPr>
          <w:rFonts w:hint="eastAsia" w:ascii="宋体" w:hAnsi="宋体" w:cs="宋体"/>
          <w:b w:val="0"/>
          <w:bCs w:val="0"/>
          <w:color w:val="auto"/>
          <w:szCs w:val="21"/>
          <w:highlight w:val="none"/>
        </w:rPr>
        <w:t>日在绍兴市公共资源交易中心网上发布招标信息，</w:t>
      </w:r>
      <w:r>
        <w:rPr>
          <w:rFonts w:hint="eastAsia" w:ascii="宋体" w:hAnsi="宋体" w:cs="宋体"/>
          <w:b w:val="0"/>
          <w:bCs w:val="0"/>
          <w:color w:val="auto"/>
          <w:szCs w:val="21"/>
          <w:highlight w:val="none"/>
          <w:lang w:val="en-US" w:eastAsia="zh-CN"/>
        </w:rPr>
        <w:t>至投标保证金缴纳截止时间</w:t>
      </w:r>
      <w:r>
        <w:rPr>
          <w:rFonts w:hint="eastAsia" w:ascii="宋体" w:hAnsi="宋体" w:cs="宋体"/>
          <w:b w:val="0"/>
          <w:bCs w:val="0"/>
          <w:color w:val="auto"/>
          <w:szCs w:val="21"/>
          <w:highlight w:val="none"/>
        </w:rPr>
        <w:t>2021年</w:t>
      </w:r>
      <w:r>
        <w:rPr>
          <w:rFonts w:hint="eastAsia" w:ascii="宋体" w:hAnsi="宋体" w:cs="宋体"/>
          <w:b w:val="0"/>
          <w:bCs w:val="0"/>
          <w:color w:val="auto"/>
          <w:szCs w:val="21"/>
          <w:highlight w:val="none"/>
          <w:lang w:val="en-US" w:eastAsia="zh-CN"/>
        </w:rPr>
        <w:t>11</w:t>
      </w:r>
      <w:r>
        <w:rPr>
          <w:rFonts w:hint="eastAsia" w:ascii="宋体" w:hAnsi="宋体" w:cs="宋体"/>
          <w:b w:val="0"/>
          <w:bCs w:val="0"/>
          <w:color w:val="auto"/>
          <w:szCs w:val="21"/>
          <w:highlight w:val="none"/>
        </w:rPr>
        <w:t>月</w:t>
      </w: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日</w:t>
      </w:r>
      <w:r>
        <w:rPr>
          <w:rFonts w:hint="eastAsia" w:ascii="宋体" w:hAnsi="宋体" w:cs="宋体"/>
          <w:b w:val="0"/>
          <w:bCs w:val="0"/>
          <w:color w:val="auto"/>
          <w:szCs w:val="21"/>
          <w:highlight w:val="none"/>
          <w:lang w:val="en-US" w:eastAsia="zh-CN"/>
        </w:rPr>
        <w:t>17</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0时</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缴纳投标保证金的单位</w:t>
      </w:r>
      <w:r>
        <w:rPr>
          <w:rFonts w:hint="eastAsia" w:ascii="宋体" w:hAnsi="宋体" w:cs="宋体"/>
          <w:b w:val="0"/>
          <w:bCs w:val="0"/>
          <w:color w:val="auto"/>
          <w:szCs w:val="21"/>
          <w:highlight w:val="none"/>
        </w:rPr>
        <w:t>不足3家。根据相关规定要求，重新发布招标信息，重新组织招标。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b/>
          <w:color w:val="auto"/>
          <w:kern w:val="58"/>
          <w:szCs w:val="21"/>
          <w:highlight w:val="none"/>
          <w:u w:val="single"/>
        </w:rPr>
        <w:t>污水处理工程</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rPr>
        <w:t xml:space="preserve"> </w:t>
      </w:r>
      <w:r>
        <w:rPr>
          <w:rFonts w:hint="eastAsia" w:ascii="宋体" w:hAnsi="宋体" w:cs="Arial"/>
          <w:b/>
          <w:color w:val="auto"/>
          <w:szCs w:val="21"/>
          <w:highlight w:val="none"/>
          <w:u w:val="single"/>
        </w:rPr>
        <w:t>300</w:t>
      </w:r>
      <w:r>
        <w:rPr>
          <w:rFonts w:ascii="宋体" w:hAnsi="宋体" w:cs="Arial"/>
          <w:color w:val="auto"/>
          <w:szCs w:val="21"/>
          <w:highlight w:val="none"/>
        </w:rPr>
        <w:t>万元。</w:t>
      </w:r>
    </w:p>
    <w:p>
      <w:pPr>
        <w:ind w:firstLine="420" w:firstLineChars="200"/>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rPr>
        <w:t>本次招标为绍兴市妇幼保健院污水处理项目：1600m3/d综合污水处理设备、自控系统以及站房内一般的水电暖安装、与上述设备系统相 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招标人提供的污水系统主材设备采购及安装的图纸中的所有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对图纸进行二次深化工作，要求二次深化图加盖相应资质的章，经深圳市建筑设计研究总院审核认可并盖章。</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与总承包的界面：总承包单位留设电源电缆至污水处理配电总箱上端口（总承包留设至污水处理站内第一个集中照明灯具的电源及信号线），污水处理站房土建设计施工及预留孔洞设置、排水沟盖板，洞口钢盖板等，其余污水处理工程及给排水、强电、暖通工程均由污水处理厂家完成，但污水处理站内的智能化由智能化专业单位完成。（检验科一体化污水处理装置和实验室一体化废液预处理器计入医疗污水处理工程）。</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要求二次深化图加盖相应资质的章，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合格，并一次性通过</w:t>
      </w:r>
      <w:r>
        <w:rPr>
          <w:rFonts w:hint="eastAsia" w:ascii="宋体" w:hAnsi="宋体"/>
          <w:color w:val="auto"/>
          <w:highlight w:val="none"/>
          <w:lang w:val="en-US" w:eastAsia="zh-CN"/>
        </w:rPr>
        <w:t>相关</w:t>
      </w:r>
      <w:r>
        <w:rPr>
          <w:rFonts w:hint="eastAsia" w:ascii="宋体" w:hAnsi="宋体"/>
          <w:color w:val="auto"/>
          <w:highlight w:val="none"/>
        </w:rPr>
        <w:t>机构检测。配合总承包单位争创钱江杯、鲁班奖。</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b/>
          <w:i/>
          <w:color w:val="auto"/>
          <w:szCs w:val="21"/>
          <w:highlight w:val="none"/>
          <w:u w:val="single"/>
        </w:rPr>
      </w:pPr>
      <w:r>
        <w:rPr>
          <w:rFonts w:ascii="宋体" w:hAnsi="宋体" w:cs="Arial"/>
          <w:color w:val="auto"/>
          <w:szCs w:val="21"/>
          <w:highlight w:val="none"/>
        </w:rPr>
        <w:t>3.1 本次招标要求投标人</w:t>
      </w:r>
      <w:r>
        <w:rPr>
          <w:rFonts w:hint="eastAsia" w:ascii="宋体" w:hAnsi="宋体" w:cs="宋体"/>
          <w:b/>
          <w:color w:val="auto"/>
          <w:szCs w:val="21"/>
          <w:highlight w:val="none"/>
          <w:u w:val="single"/>
        </w:rPr>
        <w:t>具备住建部颁发的环保工程专业承包二级及以上资质，具有有效期内的安全生产许可证</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3.3.2</w:t>
      </w:r>
      <w:r>
        <w:rPr>
          <w:rFonts w:ascii="宋体" w:hAnsi="宋体" w:cs="Arial"/>
          <w:color w:val="auto"/>
          <w:szCs w:val="21"/>
          <w:highlight w:val="none"/>
        </w:rPr>
        <w:t>企业</w:t>
      </w:r>
      <w:r>
        <w:rPr>
          <w:rFonts w:hint="eastAsia" w:ascii="宋体" w:hAnsi="宋体" w:cs="Arial"/>
          <w:color w:val="auto"/>
          <w:szCs w:val="21"/>
          <w:highlight w:val="none"/>
        </w:rPr>
        <w:t>需要</w:t>
      </w:r>
      <w:r>
        <w:rPr>
          <w:rFonts w:hint="eastAsia" w:ascii="宋体" w:hAnsi="宋体"/>
          <w:b/>
          <w:color w:val="auto"/>
          <w:szCs w:val="21"/>
          <w:highlight w:val="none"/>
          <w:u w:val="single"/>
        </w:rPr>
        <w:t>经浙江省住建厅备案（省内企业不作要求）（有效期内）</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陆</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 w:val="21"/>
          <w:szCs w:val="21"/>
          <w:highlight w:val="none"/>
          <w:u w:val="single"/>
          <w:lang w:val="en-US" w:eastAsia="zh-CN"/>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 w:val="21"/>
          <w:szCs w:val="21"/>
          <w:highlight w:val="none"/>
          <w:u w:val="single"/>
          <w:lang w:val="en-US" w:eastAsia="zh-CN"/>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4"/>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4"/>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b/>
          <w:bCs/>
          <w:color w:val="auto"/>
          <w:szCs w:val="21"/>
          <w:highlight w:val="none"/>
        </w:rPr>
        <w:t xml:space="preserve">7.发布公告的媒介 </w:t>
      </w:r>
      <w:r>
        <w:rPr>
          <w:rFonts w:hint="eastAsia" w:ascii="宋体" w:hAnsi="宋体" w:cs="Arial"/>
          <w:color w:val="auto"/>
          <w:szCs w:val="21"/>
          <w:highlight w:val="none"/>
        </w:rPr>
        <w:t xml:space="preserve">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绍兴市妇幼保健院（绍兴市儿童医院）建设项目医疗污水处理工程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56"/>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1、本次招标项目的招标范围: 本次招标为绍兴市妇幼保健院污水处理项目：1600m3/d综合污水处理设备、自控系统以及站房内一般的水电暖安装、与上述设备系统相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pStyle w:val="56"/>
              <w:numPr>
                <w:ilvl w:val="0"/>
                <w:numId w:val="1"/>
              </w:numPr>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本次招标内容: 招标人提供的污水系统主材设备采购及安装的图纸中的所有 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以招标人发出的开工指令后210日历天，具体应与工程施工总进度计划同步。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合格，并一次性通过</w:t>
            </w:r>
            <w:r>
              <w:rPr>
                <w:rFonts w:hint="eastAsia" w:ascii="宋体" w:hAnsi="宋体" w:cs="宋体"/>
                <w:color w:val="auto"/>
                <w:sz w:val="20"/>
                <w:szCs w:val="20"/>
                <w:highlight w:val="none"/>
                <w:lang w:val="en-US" w:eastAsia="zh-CN"/>
              </w:rPr>
              <w:t>相关</w:t>
            </w:r>
            <w:r>
              <w:rPr>
                <w:rFonts w:hint="eastAsia" w:ascii="宋体" w:hAnsi="宋体" w:cs="宋体"/>
                <w:color w:val="auto"/>
                <w:sz w:val="20"/>
                <w:szCs w:val="20"/>
                <w:highlight w:val="none"/>
              </w:rPr>
              <w:t>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2021年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参照技术标评分标准</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本次招标最高投标限价为：300万元。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6"/>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strike/>
                <w:color w:val="auto"/>
                <w:szCs w:val="20"/>
                <w:highlight w:val="none"/>
              </w:rPr>
            </w:pPr>
            <w:r>
              <w:rPr>
                <w:rFonts w:hint="eastAsia" w:hAnsi="宋体" w:cs="宋体"/>
                <w:strike/>
                <w:color w:val="auto"/>
                <w:szCs w:val="20"/>
                <w:highlight w:val="none"/>
              </w:rPr>
              <w:t>4、拟派项目负责人在投标截止日有在其他在建合同工程上担任项目负责人的情形。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1、企业法人营业执照复印件。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2、企业资质证书、安全生产许可证复印件。</w:t>
            </w:r>
          </w:p>
          <w:p>
            <w:pPr>
              <w:pStyle w:val="2"/>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3、浙江省外企业须提供浙江省住建厅核发的有效期内备案证明（浙江省内企业不作要求）。</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5、投标人及其法定代表人控股的其他公司，不得同时参加同一标段投标。否则，均按否决投标处理。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6、本次招标不接受联合体投标。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应装订成册，不得采用活页夹，并编制目录和页码。注：投标文件资格审查</w:t>
            </w:r>
            <w:r>
              <w:rPr>
                <w:rFonts w:hint="eastAsia" w:ascii="宋体" w:hAnsi="宋体" w:cs="宋体"/>
                <w:color w:val="auto"/>
                <w:sz w:val="20"/>
                <w:szCs w:val="20"/>
                <w:highlight w:val="none"/>
              </w:rPr>
              <w:t>资料、</w:t>
            </w:r>
            <w:r>
              <w:rPr>
                <w:rFonts w:ascii="宋体" w:hAnsi="宋体" w:cs="宋体"/>
                <w:color w:val="auto"/>
                <w:sz w:val="20"/>
                <w:szCs w:val="20"/>
                <w:highlight w:val="none"/>
              </w:rPr>
              <w:t>技术</w:t>
            </w:r>
            <w:r>
              <w:rPr>
                <w:rFonts w:hint="eastAsia" w:ascii="宋体" w:hAnsi="宋体" w:cs="宋体"/>
                <w:color w:val="auto"/>
                <w:sz w:val="20"/>
                <w:szCs w:val="20"/>
                <w:highlight w:val="none"/>
              </w:rPr>
              <w:t>标、</w:t>
            </w:r>
            <w:r>
              <w:rPr>
                <w:rFonts w:ascii="宋体" w:hAnsi="宋体" w:cs="宋体"/>
                <w:color w:val="auto"/>
                <w:sz w:val="20"/>
                <w:szCs w:val="20"/>
                <w:highlight w:val="none"/>
              </w:rPr>
              <w:t>商务</w:t>
            </w:r>
            <w:r>
              <w:rPr>
                <w:rFonts w:hint="eastAsia" w:ascii="宋体" w:hAnsi="宋体" w:cs="宋体"/>
                <w:color w:val="auto"/>
                <w:sz w:val="20"/>
                <w:szCs w:val="20"/>
                <w:highlight w:val="none"/>
              </w:rPr>
              <w:t>标分别</w:t>
            </w:r>
            <w:r>
              <w:rPr>
                <w:rFonts w:ascii="宋体" w:hAnsi="宋体" w:cs="宋体"/>
                <w:color w:val="auto"/>
                <w:sz w:val="20"/>
                <w:szCs w:val="20"/>
                <w:highlight w:val="none"/>
              </w:rPr>
              <w:t>按招标文件格式要求统一装订成册</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绍兴市妇幼保健院（绍兴市儿童医院）建设项目医疗污水处理工程</w:t>
            </w:r>
            <w:r>
              <w:rPr>
                <w:rFonts w:hint="eastAsia" w:ascii="宋体" w:hAnsi="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rPr>
                <w:rFonts w:ascii="宋体" w:hAnsi="宋体" w:cs="宋体"/>
                <w:color w:val="auto"/>
                <w:sz w:val="20"/>
                <w:szCs w:val="20"/>
                <w:highlight w:val="none"/>
              </w:rPr>
            </w:pPr>
            <w:r>
              <w:rPr>
                <w:rFonts w:hint="eastAsia" w:ascii="宋体" w:hAnsi="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"http://www.sxztb.gov.cn/sxweb/ReadAttachFile.aspx?AttachID=37f9b03b-ad6a-42af-b0e6-b5a96971394e" \t "_blank"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绍兴市迪荡新城惠利街20号鼎盛时代大厦</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w:t>
            </w:r>
            <w:r>
              <w:rPr>
                <w:rFonts w:hint="eastAsia" w:hAnsi="宋体" w:cs="宋体"/>
                <w:color w:val="auto"/>
                <w:szCs w:val="20"/>
                <w:highlight w:val="none"/>
                <w:lang w:val="en-US" w:eastAsia="zh-CN"/>
              </w:rPr>
              <w:t>投标</w:t>
            </w:r>
            <w:r>
              <w:rPr>
                <w:rFonts w:hint="eastAsia" w:hAnsi="宋体" w:cs="宋体"/>
                <w:color w:val="auto"/>
                <w:szCs w:val="20"/>
                <w:highlight w:val="none"/>
              </w:rPr>
              <w:t>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4"/>
        <w:spacing w:line="440" w:lineRule="exact"/>
        <w:rPr>
          <w:rFonts w:asciiTheme="minorEastAsia" w:hAnsiTheme="minorEastAsia" w:eastAsiaTheme="minorEastAsia" w:cstheme="minorEastAsia"/>
          <w:color w:val="auto"/>
          <w:sz w:val="24"/>
          <w:szCs w:val="24"/>
          <w:highlight w:val="none"/>
        </w:rPr>
      </w:pPr>
      <w:bookmarkStart w:id="4" w:name="_Toc11269"/>
      <w:bookmarkStart w:id="5" w:name="_Toc392345909"/>
      <w:r>
        <w:rPr>
          <w:rFonts w:hint="eastAsia" w:asciiTheme="minorEastAsia" w:hAnsiTheme="minorEastAsia" w:eastAsiaTheme="minorEastAsia" w:cstheme="minorEastAsia"/>
          <w:color w:val="auto"/>
          <w:sz w:val="24"/>
          <w:szCs w:val="24"/>
          <w:highlight w:val="none"/>
        </w:rPr>
        <w:t>1. 总则</w:t>
      </w:r>
      <w:bookmarkEnd w:id="4"/>
      <w:bookmarkEnd w:id="5"/>
    </w:p>
    <w:p>
      <w:pPr>
        <w:pStyle w:val="45"/>
        <w:spacing w:line="440" w:lineRule="exact"/>
        <w:rPr>
          <w:rFonts w:asciiTheme="minorEastAsia" w:hAnsiTheme="minorEastAsia" w:eastAsiaTheme="minorEastAsia" w:cstheme="minorEastAsia"/>
          <w:b/>
          <w:color w:val="auto"/>
          <w:szCs w:val="24"/>
          <w:highlight w:val="none"/>
        </w:rPr>
      </w:pPr>
      <w:bookmarkStart w:id="6" w:name="_Toc392345910"/>
      <w:bookmarkStart w:id="7" w:name="_Toc144974498"/>
      <w:bookmarkStart w:id="8" w:name="_Toc229646712"/>
      <w:bookmarkStart w:id="9" w:name="_Toc152042306"/>
      <w:bookmarkStart w:id="10" w:name="_Toc152045530"/>
      <w:bookmarkStart w:id="11" w:name="_Toc9106"/>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2" w:name="_Toc144974499"/>
      <w:bookmarkStart w:id="13" w:name="_Toc152042307"/>
      <w:bookmarkStart w:id="14" w:name="_Toc152045531"/>
      <w:bookmarkStart w:id="15" w:name="_Toc392345911"/>
      <w:bookmarkStart w:id="16" w:name="_Toc3629"/>
      <w:bookmarkStart w:id="17" w:name="_Toc229646713"/>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8" w:name="_Toc152042308"/>
      <w:bookmarkStart w:id="19" w:name="_Toc392345912"/>
      <w:bookmarkStart w:id="20" w:name="_Toc152045532"/>
      <w:bookmarkStart w:id="21" w:name="_Toc229646714"/>
      <w:bookmarkStart w:id="22" w:name="_Toc144974500"/>
      <w:bookmarkStart w:id="23" w:name="_Toc460"/>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4" w:name="_Toc22287"/>
      <w:bookmarkStart w:id="25" w:name="_Toc144974502"/>
      <w:bookmarkStart w:id="26" w:name="_Toc392345913"/>
      <w:bookmarkStart w:id="27" w:name="_Toc152045534"/>
      <w:bookmarkStart w:id="28" w:name="_Toc152042310"/>
      <w:bookmarkStart w:id="29" w:name="_Toc229646715"/>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152042311"/>
      <w:bookmarkStart w:id="31" w:name="_Toc229646716"/>
      <w:bookmarkStart w:id="32" w:name="_Toc144974503"/>
      <w:bookmarkStart w:id="33" w:name="_Toc152045535"/>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5"/>
        <w:spacing w:line="440" w:lineRule="exact"/>
        <w:rPr>
          <w:rFonts w:asciiTheme="minorEastAsia" w:hAnsiTheme="minorEastAsia" w:eastAsiaTheme="minorEastAsia" w:cstheme="minorEastAsia"/>
          <w:b/>
          <w:color w:val="auto"/>
          <w:szCs w:val="24"/>
          <w:highlight w:val="none"/>
        </w:rPr>
      </w:pPr>
      <w:bookmarkStart w:id="34" w:name="_Toc392345914"/>
      <w:bookmarkStart w:id="35" w:name="_Toc10130"/>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5"/>
        <w:spacing w:line="440" w:lineRule="exact"/>
        <w:rPr>
          <w:rFonts w:asciiTheme="minorEastAsia" w:hAnsiTheme="minorEastAsia" w:eastAsiaTheme="minorEastAsia" w:cstheme="minorEastAsia"/>
          <w:b/>
          <w:color w:val="auto"/>
          <w:szCs w:val="24"/>
          <w:highlight w:val="none"/>
        </w:rPr>
      </w:pPr>
      <w:bookmarkStart w:id="36" w:name="_Toc245036603"/>
      <w:bookmarkStart w:id="37" w:name="_Toc392345915"/>
      <w:bookmarkStart w:id="38" w:name="_Toc319407837"/>
      <w:bookmarkStart w:id="39" w:name="_Toc152042312"/>
      <w:bookmarkStart w:id="40" w:name="_Toc323711750"/>
      <w:bookmarkStart w:id="41" w:name="_Toc144974504"/>
      <w:bookmarkStart w:id="42" w:name="_Toc319408072"/>
      <w:bookmarkStart w:id="43" w:name="_Toc152045536"/>
      <w:bookmarkStart w:id="44" w:name="_Toc25357"/>
      <w:bookmarkStart w:id="45" w:name="_Toc322615398"/>
      <w:bookmarkStart w:id="46" w:name="_Toc229646724"/>
      <w:bookmarkStart w:id="47" w:name="_Toc144974510"/>
      <w:bookmarkStart w:id="48" w:name="_Toc152042318"/>
      <w:bookmarkStart w:id="49" w:name="_Toc152045542"/>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color w:val="auto"/>
          <w:szCs w:val="24"/>
          <w:highlight w:val="none"/>
        </w:rPr>
      </w:pPr>
      <w:bookmarkStart w:id="50" w:name="_Toc144974505"/>
      <w:bookmarkStart w:id="51" w:name="_Toc323711751"/>
      <w:bookmarkStart w:id="52" w:name="_Toc152045537"/>
      <w:bookmarkStart w:id="53" w:name="_Toc245036604"/>
      <w:bookmarkStart w:id="54" w:name="_Toc319407838"/>
      <w:bookmarkStart w:id="55" w:name="_Toc322615399"/>
      <w:bookmarkStart w:id="56" w:name="_Toc319408073"/>
      <w:bookmarkStart w:id="57" w:name="_Toc152042313"/>
      <w:bookmarkStart w:id="58" w:name="_Toc4033"/>
      <w:bookmarkStart w:id="59" w:name="_Toc392345916"/>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color w:val="auto"/>
          <w:szCs w:val="24"/>
          <w:highlight w:val="none"/>
        </w:rPr>
      </w:pPr>
      <w:bookmarkStart w:id="60" w:name="_Toc319408074"/>
      <w:bookmarkStart w:id="61" w:name="_Toc152042314"/>
      <w:bookmarkStart w:id="62" w:name="_Toc322615400"/>
      <w:bookmarkStart w:id="63" w:name="_Toc144974506"/>
      <w:bookmarkStart w:id="64" w:name="_Toc392345917"/>
      <w:bookmarkStart w:id="65" w:name="_Toc323711752"/>
      <w:bookmarkStart w:id="66" w:name="_Toc152045538"/>
      <w:bookmarkStart w:id="67" w:name="_Toc31144"/>
      <w:bookmarkStart w:id="68" w:name="_Toc245036605"/>
      <w:bookmarkStart w:id="69" w:name="_Toc319407839"/>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5"/>
        <w:spacing w:line="440" w:lineRule="exact"/>
        <w:rPr>
          <w:rFonts w:asciiTheme="minorEastAsia" w:hAnsiTheme="minorEastAsia" w:eastAsiaTheme="minorEastAsia" w:cstheme="minorEastAsia"/>
          <w:b/>
          <w:color w:val="auto"/>
          <w:szCs w:val="24"/>
          <w:highlight w:val="none"/>
        </w:rPr>
      </w:pPr>
      <w:bookmarkStart w:id="70" w:name="_Toc926"/>
      <w:bookmarkStart w:id="71" w:name="_Toc245036606"/>
      <w:bookmarkStart w:id="72" w:name="_Toc319407840"/>
      <w:bookmarkStart w:id="73" w:name="_Toc152045539"/>
      <w:bookmarkStart w:id="74" w:name="_Toc323711753"/>
      <w:bookmarkStart w:id="75" w:name="_Toc392345918"/>
      <w:bookmarkStart w:id="76" w:name="_Toc152042315"/>
      <w:bookmarkStart w:id="77" w:name="_Toc319408075"/>
      <w:bookmarkStart w:id="78" w:name="_Toc144974507"/>
      <w:bookmarkStart w:id="79" w:name="_Toc322615401"/>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color w:val="auto"/>
          <w:szCs w:val="24"/>
          <w:highlight w:val="none"/>
        </w:rPr>
      </w:pPr>
      <w:bookmarkStart w:id="80" w:name="_Toc152045540"/>
      <w:bookmarkStart w:id="81" w:name="_Toc392345919"/>
      <w:bookmarkStart w:id="82" w:name="_Toc322615402"/>
      <w:bookmarkStart w:id="83" w:name="_Toc245036607"/>
      <w:bookmarkStart w:id="84" w:name="_Toc319407841"/>
      <w:bookmarkStart w:id="85" w:name="_Toc152042316"/>
      <w:bookmarkStart w:id="86" w:name="_Toc319408076"/>
      <w:bookmarkStart w:id="87" w:name="_Toc144974508"/>
      <w:bookmarkStart w:id="88" w:name="_Toc323711754"/>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6"/>
    <w:bookmarkEnd w:id="47"/>
    <w:bookmarkEnd w:id="48"/>
    <w:bookmarkEnd w:id="49"/>
    <w:p>
      <w:pPr>
        <w:pStyle w:val="44"/>
        <w:spacing w:line="440" w:lineRule="exact"/>
        <w:rPr>
          <w:rFonts w:asciiTheme="minorEastAsia" w:hAnsiTheme="minorEastAsia" w:eastAsiaTheme="minorEastAsia" w:cstheme="minorEastAsia"/>
          <w:color w:val="auto"/>
          <w:sz w:val="24"/>
          <w:szCs w:val="24"/>
          <w:highlight w:val="none"/>
        </w:rPr>
      </w:pPr>
      <w:bookmarkStart w:id="92" w:name="_Toc392345920"/>
      <w:bookmarkStart w:id="93" w:name="_Toc17"/>
      <w:bookmarkStart w:id="94" w:name="_Toc245036610"/>
      <w:bookmarkStart w:id="95" w:name="_Toc323711757"/>
      <w:bookmarkStart w:id="96" w:name="_Toc152042322"/>
      <w:bookmarkStart w:id="97" w:name="_Toc229646728"/>
      <w:bookmarkStart w:id="98" w:name="_Toc152045546"/>
      <w:bookmarkStart w:id="99" w:name="_Toc144974514"/>
      <w:bookmarkStart w:id="100" w:name="_Toc229646730"/>
      <w:bookmarkStart w:id="101" w:name="_Toc152045548"/>
      <w:bookmarkStart w:id="102" w:name="_Toc152042324"/>
      <w:bookmarkStart w:id="103" w:name="_Toc144974516"/>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color w:val="auto"/>
          <w:szCs w:val="24"/>
          <w:highlight w:val="none"/>
        </w:rPr>
      </w:pPr>
      <w:bookmarkStart w:id="104" w:name="_Toc319408080"/>
      <w:bookmarkStart w:id="105" w:name="_Toc245036611"/>
      <w:bookmarkStart w:id="106" w:name="_Toc322615406"/>
      <w:bookmarkStart w:id="107" w:name="_Toc26955"/>
      <w:bookmarkStart w:id="108" w:name="_Toc152042319"/>
      <w:bookmarkStart w:id="109" w:name="_Toc152045543"/>
      <w:bookmarkStart w:id="110" w:name="_Toc319407845"/>
      <w:bookmarkStart w:id="111" w:name="_Toc323711758"/>
      <w:bookmarkStart w:id="112" w:name="_Toc392345921"/>
      <w:bookmarkStart w:id="113" w:name="_Toc144974511"/>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color w:val="auto"/>
          <w:szCs w:val="24"/>
          <w:highlight w:val="none"/>
        </w:rPr>
      </w:pPr>
      <w:bookmarkStart w:id="114" w:name="_Toc319407846"/>
      <w:bookmarkStart w:id="115" w:name="_Toc319408081"/>
      <w:bookmarkStart w:id="116" w:name="_Toc14430"/>
      <w:bookmarkStart w:id="117" w:name="_Toc245036612"/>
      <w:bookmarkStart w:id="118" w:name="_Toc152045544"/>
      <w:bookmarkStart w:id="119" w:name="_Toc322615407"/>
      <w:bookmarkStart w:id="120" w:name="_Toc152042320"/>
      <w:bookmarkStart w:id="121" w:name="_Toc323711759"/>
      <w:bookmarkStart w:id="122" w:name="_Toc144974512"/>
      <w:bookmarkStart w:id="123" w:name="_Toc392345922"/>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4" w:name="_Toc392345924"/>
      <w:bookmarkStart w:id="125" w:name="_Toc3662"/>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color w:val="auto"/>
          <w:szCs w:val="24"/>
          <w:highlight w:val="none"/>
        </w:rPr>
      </w:pPr>
      <w:bookmarkStart w:id="126" w:name="_Toc144974515"/>
      <w:bookmarkStart w:id="127" w:name="_Toc229646729"/>
      <w:bookmarkStart w:id="128" w:name="_Toc152042323"/>
      <w:bookmarkStart w:id="129" w:name="_Toc22707"/>
      <w:bookmarkStart w:id="130" w:name="_Toc392345925"/>
      <w:bookmarkStart w:id="131" w:name="_Toc152045547"/>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5"/>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44974517"/>
      <w:bookmarkStart w:id="135" w:name="_Toc229646731"/>
      <w:bookmarkStart w:id="136" w:name="_Toc152045549"/>
      <w:bookmarkStart w:id="137" w:name="_Toc152042325"/>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52042326"/>
      <w:bookmarkStart w:id="141" w:name="_Toc152045550"/>
      <w:bookmarkStart w:id="142" w:name="_Toc229646732"/>
      <w:bookmarkStart w:id="143" w:name="_Toc144974518"/>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color w:val="auto"/>
          <w:szCs w:val="24"/>
          <w:highlight w:val="none"/>
        </w:rPr>
      </w:pPr>
      <w:bookmarkStart w:id="144" w:name="_Toc392345928"/>
      <w:bookmarkStart w:id="145" w:name="_Toc10327"/>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144974520"/>
      <w:bookmarkStart w:id="147" w:name="_Toc152042328"/>
      <w:bookmarkStart w:id="148" w:name="_Toc229646733"/>
      <w:bookmarkStart w:id="149" w:name="_Toc152045552"/>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hint="eastAsia" w:asciiTheme="minorEastAsia" w:hAnsiTheme="minorEastAsia" w:eastAsiaTheme="minorEastAsia" w:cstheme="minorEastAsia"/>
          <w:color w:val="auto"/>
          <w:sz w:val="24"/>
          <w:szCs w:val="24"/>
          <w:highlight w:val="none"/>
          <w:lang w:eastAsia="zh-CN" w:bidi="ar"/>
        </w:rPr>
        <w:t>；</w:t>
      </w:r>
      <w:r>
        <w:rPr>
          <w:rFonts w:asciiTheme="minorEastAsia" w:hAnsiTheme="minorEastAsia" w:eastAsiaTheme="minorEastAsia" w:cstheme="minorEastAsia"/>
          <w:color w:val="auto"/>
          <w:sz w:val="24"/>
          <w:szCs w:val="24"/>
          <w:highlight w:val="none"/>
          <w:lang w:bidi="ar"/>
        </w:rPr>
        <w:t xml:space="preserve"> </w:t>
      </w:r>
    </w:p>
    <w:p>
      <w:pPr>
        <w:widowControl/>
        <w:ind w:left="0" w:leftChars="0" w:firstLine="480" w:firstLineChars="2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eastAsia="zh-CN" w:bidi="ar"/>
        </w:rPr>
        <w:t>；</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招标文件等材料约定的不予退还的其他情形</w:t>
      </w:r>
      <w:r>
        <w:rPr>
          <w:rFonts w:hint="eastAsia" w:asciiTheme="minorEastAsia" w:hAnsiTheme="minorEastAsia" w:eastAsiaTheme="minorEastAsia" w:cstheme="minorEastAsia"/>
          <w:color w:val="auto"/>
          <w:sz w:val="24"/>
          <w:szCs w:val="24"/>
          <w:highlight w:val="none"/>
          <w:lang w:eastAsia="zh-CN" w:bidi="ar"/>
        </w:rPr>
        <w:t>；</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 xml:space="preserve">）其他法律法规规定情形。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color w:val="auto"/>
          <w:szCs w:val="24"/>
          <w:highlight w:val="none"/>
        </w:rPr>
      </w:pPr>
      <w:bookmarkStart w:id="150" w:name="_Toc319408089"/>
      <w:bookmarkStart w:id="151" w:name="_Toc152042329"/>
      <w:bookmarkStart w:id="152" w:name="_Toc323711767"/>
      <w:bookmarkStart w:id="153" w:name="_Toc152045553"/>
      <w:bookmarkStart w:id="154" w:name="_Toc322615415"/>
      <w:bookmarkStart w:id="155" w:name="_Toc245036620"/>
      <w:bookmarkStart w:id="156" w:name="_Toc144974521"/>
      <w:bookmarkStart w:id="157" w:name="_Toc319407854"/>
      <w:bookmarkStart w:id="158" w:name="_Toc16875"/>
      <w:bookmarkStart w:id="159" w:name="_Toc392345930"/>
      <w:bookmarkStart w:id="160" w:name="_Toc144974527"/>
      <w:bookmarkStart w:id="161" w:name="_Toc152045559"/>
      <w:bookmarkStart w:id="162" w:name="_Toc152042335"/>
      <w:bookmarkStart w:id="163" w:name="_Toc229646740"/>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19407855"/>
      <w:bookmarkStart w:id="165" w:name="_Toc245036621"/>
      <w:bookmarkStart w:id="166" w:name="_Toc319408090"/>
      <w:bookmarkStart w:id="167" w:name="_Toc322615416"/>
      <w:bookmarkStart w:id="168" w:name="_Toc323711768"/>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300834974"/>
      <w:bookmarkStart w:id="170" w:name="_Toc152042330"/>
      <w:bookmarkStart w:id="171" w:name="_Toc152045554"/>
      <w:bookmarkStart w:id="172" w:name="_Toc229646735"/>
      <w:bookmarkStart w:id="173" w:name="_Toc247513977"/>
      <w:bookmarkStart w:id="174" w:name="_Toc247527578"/>
      <w:bookmarkStart w:id="175" w:name="_Toc144974522"/>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152042331"/>
      <w:bookmarkStart w:id="179" w:name="_Toc323711769"/>
      <w:bookmarkStart w:id="180" w:name="_Toc144974523"/>
      <w:bookmarkStart w:id="181" w:name="_Toc245036622"/>
      <w:bookmarkStart w:id="182" w:name="_Toc392345931"/>
      <w:bookmarkStart w:id="183" w:name="_Toc152045555"/>
      <w:r>
        <w:rPr>
          <w:rFonts w:hint="eastAsia" w:asciiTheme="minorEastAsia" w:hAnsiTheme="minorEastAsia" w:eastAsiaTheme="minorEastAsia" w:cstheme="minorEastAsia"/>
          <w:color w:val="auto"/>
          <w:sz w:val="24"/>
          <w:szCs w:val="24"/>
          <w:highlight w:val="none"/>
        </w:rPr>
        <w:t>具体装订要求见投标人须知前附表规定。</w:t>
      </w:r>
    </w:p>
    <w:p>
      <w:pPr>
        <w:pStyle w:val="44"/>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color w:val="auto"/>
          <w:szCs w:val="24"/>
          <w:highlight w:val="none"/>
        </w:rPr>
      </w:pPr>
      <w:bookmarkStart w:id="185" w:name="_Toc245036623"/>
      <w:bookmarkStart w:id="186" w:name="_Toc319407857"/>
      <w:bookmarkStart w:id="187" w:name="_Toc319408092"/>
      <w:bookmarkStart w:id="188" w:name="_Toc20016"/>
      <w:bookmarkStart w:id="189" w:name="_Toc323711770"/>
      <w:bookmarkStart w:id="190" w:name="_Toc144974524"/>
      <w:bookmarkStart w:id="191" w:name="_Toc152042332"/>
      <w:bookmarkStart w:id="192" w:name="_Toc322615418"/>
      <w:bookmarkStart w:id="193" w:name="_Toc152045556"/>
      <w:bookmarkStart w:id="194" w:name="_Toc392345932"/>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95" w:name="_Toc144974525"/>
      <w:bookmarkStart w:id="196" w:name="_Toc319408093"/>
      <w:bookmarkStart w:id="197" w:name="_Toc28433"/>
      <w:bookmarkStart w:id="198" w:name="_Toc323711771"/>
      <w:bookmarkStart w:id="199" w:name="_Toc152042333"/>
      <w:bookmarkStart w:id="200" w:name="_Toc152045557"/>
      <w:bookmarkStart w:id="201" w:name="_Toc392345933"/>
      <w:bookmarkStart w:id="202" w:name="_Toc322615419"/>
      <w:bookmarkStart w:id="203" w:name="_Toc245036624"/>
      <w:bookmarkStart w:id="204" w:name="_Toc319407858"/>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5"/>
        <w:spacing w:line="440" w:lineRule="exact"/>
        <w:rPr>
          <w:rFonts w:asciiTheme="minorEastAsia" w:hAnsiTheme="minorEastAsia" w:eastAsiaTheme="minorEastAsia" w:cstheme="minorEastAsia"/>
          <w:b/>
          <w:color w:val="auto"/>
          <w:szCs w:val="24"/>
          <w:highlight w:val="none"/>
        </w:rPr>
      </w:pPr>
      <w:bookmarkStart w:id="205" w:name="_Toc392345934"/>
      <w:bookmarkStart w:id="206" w:name="_Toc323711772"/>
      <w:bookmarkStart w:id="207" w:name="_Toc319407859"/>
      <w:bookmarkStart w:id="208" w:name="_Toc322615420"/>
      <w:bookmarkStart w:id="209" w:name="_Toc319408094"/>
      <w:bookmarkStart w:id="210" w:name="_Toc21598"/>
      <w:bookmarkStart w:id="211" w:name="_Toc144974526"/>
      <w:bookmarkStart w:id="212" w:name="_Toc152045558"/>
      <w:bookmarkStart w:id="213" w:name="_Toc152042334"/>
      <w:bookmarkStart w:id="214" w:name="_Toc245036625"/>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color w:val="auto"/>
          <w:szCs w:val="24"/>
          <w:highlight w:val="none"/>
        </w:rPr>
      </w:pPr>
      <w:bookmarkStart w:id="215" w:name="_Toc14614"/>
      <w:bookmarkStart w:id="216" w:name="_Toc392345935"/>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color w:val="auto"/>
          <w:szCs w:val="24"/>
          <w:highlight w:val="none"/>
        </w:rPr>
      </w:pPr>
      <w:bookmarkStart w:id="219" w:name="_Toc152042336"/>
      <w:bookmarkStart w:id="220" w:name="_Toc152045560"/>
      <w:bookmarkStart w:id="221" w:name="_Toc144974528"/>
      <w:bookmarkStart w:id="222" w:name="_Toc229646741"/>
      <w:bookmarkStart w:id="223" w:name="_Toc392345937"/>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25" w:name="_Toc152042337"/>
      <w:bookmarkStart w:id="226" w:name="_Toc392345938"/>
      <w:bookmarkStart w:id="227" w:name="_Toc229646742"/>
      <w:bookmarkStart w:id="228" w:name="_Toc144974529"/>
      <w:bookmarkStart w:id="229" w:name="_Toc152045561"/>
      <w:bookmarkStart w:id="230" w:name="_Toc28832"/>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2338"/>
      <w:bookmarkStart w:id="232" w:name="_Toc144974530"/>
      <w:bookmarkStart w:id="233" w:name="_Toc152045562"/>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5"/>
        <w:spacing w:line="440" w:lineRule="exact"/>
        <w:rPr>
          <w:rFonts w:asciiTheme="minorEastAsia" w:hAnsiTheme="minorEastAsia" w:eastAsiaTheme="minorEastAsia" w:cstheme="minorEastAsia"/>
          <w:b/>
          <w:color w:val="auto"/>
          <w:szCs w:val="24"/>
          <w:highlight w:val="none"/>
        </w:rPr>
      </w:pPr>
      <w:bookmarkStart w:id="235" w:name="_Toc392345939"/>
      <w:bookmarkStart w:id="236" w:name="_Toc624"/>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color w:val="auto"/>
          <w:sz w:val="24"/>
          <w:szCs w:val="24"/>
          <w:highlight w:val="none"/>
        </w:rPr>
      </w:pPr>
      <w:bookmarkStart w:id="237" w:name="_Toc392345940"/>
      <w:bookmarkStart w:id="238" w:name="_Toc229646744"/>
      <w:bookmarkStart w:id="239" w:name="_Toc21142"/>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color w:val="auto"/>
          <w:szCs w:val="24"/>
          <w:highlight w:val="none"/>
        </w:rPr>
      </w:pPr>
      <w:bookmarkStart w:id="240" w:name="_Toc7251"/>
      <w:bookmarkStart w:id="241" w:name="_Toc392345941"/>
      <w:bookmarkStart w:id="242" w:name="_Toc152045563"/>
      <w:bookmarkStart w:id="243" w:name="_Toc152042339"/>
      <w:bookmarkStart w:id="244" w:name="_Toc144974531"/>
      <w:bookmarkStart w:id="245" w:name="_Toc229646745"/>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52042340"/>
      <w:bookmarkStart w:id="247" w:name="_Toc229646746"/>
      <w:bookmarkStart w:id="248" w:name="_Toc144974532"/>
      <w:bookmarkStart w:id="249" w:name="_Toc152045564"/>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color w:val="auto"/>
          <w:szCs w:val="24"/>
          <w:highlight w:val="none"/>
        </w:rPr>
      </w:pPr>
      <w:bookmarkStart w:id="250" w:name="_Toc392345942"/>
      <w:bookmarkStart w:id="251" w:name="_Toc28610"/>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5"/>
        <w:spacing w:line="440" w:lineRule="exact"/>
        <w:rPr>
          <w:rFonts w:asciiTheme="minorEastAsia" w:hAnsiTheme="minorEastAsia" w:eastAsiaTheme="minorEastAsia" w:cstheme="minorEastAsia"/>
          <w:b/>
          <w:color w:val="auto"/>
          <w:szCs w:val="24"/>
          <w:highlight w:val="none"/>
          <w:u w:val="single"/>
        </w:rPr>
      </w:pPr>
      <w:bookmarkStart w:id="252" w:name="_Toc229646747"/>
      <w:bookmarkStart w:id="253" w:name="_Toc152045565"/>
      <w:bookmarkStart w:id="254" w:name="_Toc144974533"/>
      <w:bookmarkStart w:id="255" w:name="_Toc152042341"/>
      <w:bookmarkStart w:id="256" w:name="_Toc392345943"/>
      <w:bookmarkStart w:id="257" w:name="_Toc1522"/>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229646748"/>
      <w:bookmarkStart w:id="259" w:name="_Toc152045566"/>
      <w:bookmarkStart w:id="260" w:name="_Toc152042342"/>
      <w:bookmarkStart w:id="261" w:name="_Toc144974534"/>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color w:val="auto"/>
          <w:szCs w:val="24"/>
          <w:highlight w:val="none"/>
        </w:rPr>
      </w:pPr>
      <w:bookmarkStart w:id="262" w:name="_Toc27286"/>
      <w:bookmarkStart w:id="263" w:name="_Toc413488678"/>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64" w:name="_Toc31997"/>
      <w:bookmarkStart w:id="265" w:name="_Toc392345944"/>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color w:val="auto"/>
          <w:szCs w:val="24"/>
          <w:highlight w:val="none"/>
        </w:rPr>
      </w:pPr>
      <w:bookmarkStart w:id="266" w:name="_Toc152042343"/>
      <w:bookmarkStart w:id="267" w:name="_Toc144974535"/>
      <w:bookmarkStart w:id="268" w:name="_Toc152045567"/>
      <w:bookmarkStart w:id="269" w:name="_Toc8962"/>
      <w:bookmarkStart w:id="270" w:name="_Toc392345945"/>
      <w:bookmarkStart w:id="271" w:name="_Toc229646749"/>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229646750"/>
      <w:bookmarkStart w:id="273" w:name="_Toc152042344"/>
      <w:bookmarkStart w:id="274" w:name="_Toc144974536"/>
      <w:bookmarkStart w:id="275" w:name="_Toc152045568"/>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76" w:name="_Toc32437"/>
      <w:bookmarkStart w:id="277" w:name="_Toc392345946"/>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144974537"/>
      <w:bookmarkStart w:id="279" w:name="_Toc152045569"/>
      <w:bookmarkStart w:id="280" w:name="_Toc152042345"/>
      <w:bookmarkStart w:id="281" w:name="_Toc229646751"/>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color w:val="auto"/>
          <w:szCs w:val="24"/>
          <w:highlight w:val="none"/>
        </w:rPr>
      </w:pPr>
      <w:bookmarkStart w:id="282" w:name="_Toc179632586"/>
      <w:bookmarkStart w:id="283" w:name="_Toc246996212"/>
      <w:bookmarkStart w:id="284" w:name="_Toc392345947"/>
      <w:bookmarkStart w:id="285" w:name="_Toc296602458"/>
      <w:bookmarkStart w:id="286" w:name="_Toc247085726"/>
      <w:bookmarkStart w:id="287" w:name="_Toc246996955"/>
      <w:bookmarkStart w:id="288" w:name="_Toc4618"/>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9"/>
        <w:ind w:firstLine="480"/>
        <w:rPr>
          <w:rFonts w:asciiTheme="minorEastAsia" w:hAnsiTheme="minorEastAsia" w:eastAsiaTheme="minorEastAsia" w:cstheme="minorEastAsia"/>
          <w:color w:val="auto"/>
          <w:sz w:val="24"/>
          <w:szCs w:val="24"/>
          <w:highlight w:val="none"/>
        </w:rPr>
      </w:pPr>
      <w:bookmarkStart w:id="289" w:name="_Toc246996956"/>
      <w:bookmarkStart w:id="290" w:name="_Toc392345948"/>
      <w:bookmarkStart w:id="291" w:name="_Toc246996213"/>
      <w:bookmarkStart w:id="292" w:name="_Toc296602459"/>
      <w:bookmarkStart w:id="293" w:name="_Toc247085727"/>
      <w:bookmarkStart w:id="294" w:name="_Toc17963258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179632588"/>
      <w:bookmarkStart w:id="297" w:name="_Toc144974538"/>
      <w:bookmarkStart w:id="298" w:name="_Toc247085728"/>
      <w:bookmarkStart w:id="299" w:name="_Toc296602460"/>
      <w:bookmarkStart w:id="300" w:name="_Toc246996214"/>
      <w:bookmarkStart w:id="301" w:name="_Toc246996957"/>
      <w:bookmarkStart w:id="302" w:name="_Toc152042346"/>
      <w:bookmarkStart w:id="303" w:name="_Toc152045570"/>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color w:val="auto"/>
          <w:szCs w:val="24"/>
          <w:highlight w:val="none"/>
        </w:rPr>
      </w:pPr>
      <w:bookmarkStart w:id="304" w:name="_Toc392345949"/>
      <w:bookmarkStart w:id="305" w:name="_Toc32528"/>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color w:val="auto"/>
          <w:sz w:val="24"/>
          <w:szCs w:val="24"/>
          <w:highlight w:val="none"/>
        </w:rPr>
      </w:pPr>
      <w:bookmarkStart w:id="306" w:name="_Toc144974539"/>
      <w:bookmarkStart w:id="307" w:name="_Toc392345950"/>
      <w:bookmarkStart w:id="308" w:name="_Toc323711786"/>
      <w:bookmarkStart w:id="309" w:name="_Toc245036638"/>
      <w:bookmarkStart w:id="310" w:name="_Toc152042347"/>
      <w:bookmarkStart w:id="311" w:name="_Toc24179"/>
      <w:bookmarkStart w:id="312" w:name="_Toc152045571"/>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color w:val="auto"/>
          <w:szCs w:val="24"/>
          <w:highlight w:val="none"/>
        </w:rPr>
      </w:pPr>
      <w:bookmarkStart w:id="313" w:name="_Toc152045572"/>
      <w:bookmarkStart w:id="314" w:name="_Toc392345951"/>
      <w:bookmarkStart w:id="315" w:name="_Toc322615435"/>
      <w:bookmarkStart w:id="316" w:name="_Toc152042348"/>
      <w:bookmarkStart w:id="317" w:name="_Toc319407873"/>
      <w:bookmarkStart w:id="318" w:name="_Toc323711787"/>
      <w:bookmarkStart w:id="319" w:name="_Toc17490"/>
      <w:bookmarkStart w:id="320" w:name="_Toc245036639"/>
      <w:bookmarkStart w:id="321" w:name="_Toc319408108"/>
      <w:bookmarkStart w:id="322" w:name="_Toc144974540"/>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5"/>
        <w:spacing w:line="440" w:lineRule="exact"/>
        <w:rPr>
          <w:rFonts w:asciiTheme="minorEastAsia" w:hAnsiTheme="minorEastAsia" w:eastAsiaTheme="minorEastAsia" w:cstheme="minorEastAsia"/>
          <w:b/>
          <w:color w:val="auto"/>
          <w:szCs w:val="24"/>
          <w:highlight w:val="none"/>
        </w:rPr>
      </w:pPr>
      <w:bookmarkStart w:id="323" w:name="_Toc322615436"/>
      <w:bookmarkStart w:id="324" w:name="_Toc25234"/>
      <w:bookmarkStart w:id="325" w:name="_Toc152045573"/>
      <w:bookmarkStart w:id="326" w:name="_Toc152042349"/>
      <w:bookmarkStart w:id="327" w:name="_Toc144974541"/>
      <w:bookmarkStart w:id="328" w:name="_Toc319408109"/>
      <w:bookmarkStart w:id="329" w:name="_Toc245036640"/>
      <w:bookmarkStart w:id="330" w:name="_Toc392345952"/>
      <w:bookmarkStart w:id="331" w:name="_Toc323711788"/>
      <w:bookmarkStart w:id="332" w:name="_Toc319407874"/>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color w:val="auto"/>
          <w:sz w:val="24"/>
          <w:szCs w:val="24"/>
          <w:highlight w:val="none"/>
        </w:rPr>
      </w:pPr>
      <w:bookmarkStart w:id="333" w:name="_Toc245036641"/>
      <w:bookmarkStart w:id="334" w:name="_Toc17513"/>
      <w:bookmarkStart w:id="335" w:name="_Toc144974542"/>
      <w:bookmarkStart w:id="336" w:name="_Toc152045574"/>
      <w:bookmarkStart w:id="337" w:name="_Toc323711789"/>
      <w:bookmarkStart w:id="338" w:name="_Toc152042350"/>
      <w:bookmarkStart w:id="339" w:name="_Toc392345953"/>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color w:val="auto"/>
          <w:szCs w:val="24"/>
          <w:highlight w:val="none"/>
        </w:rPr>
      </w:pPr>
      <w:bookmarkStart w:id="340" w:name="_Toc323711790"/>
      <w:bookmarkStart w:id="341" w:name="_Toc322615438"/>
      <w:bookmarkStart w:id="342" w:name="_Toc319407876"/>
      <w:bookmarkStart w:id="343" w:name="_Toc144974543"/>
      <w:bookmarkStart w:id="344" w:name="_Toc152045575"/>
      <w:bookmarkStart w:id="345" w:name="_Toc319408111"/>
      <w:bookmarkStart w:id="346" w:name="_Toc392345954"/>
      <w:bookmarkStart w:id="347" w:name="_Toc9358"/>
      <w:bookmarkStart w:id="348" w:name="_Toc152042351"/>
      <w:bookmarkStart w:id="349" w:name="_Toc245036642"/>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color w:val="auto"/>
          <w:szCs w:val="24"/>
          <w:highlight w:val="none"/>
        </w:rPr>
      </w:pPr>
      <w:bookmarkStart w:id="350" w:name="_Toc322615439"/>
      <w:bookmarkStart w:id="351" w:name="_Toc144974544"/>
      <w:bookmarkStart w:id="352" w:name="_Toc319408112"/>
      <w:bookmarkStart w:id="353" w:name="_Toc245036643"/>
      <w:bookmarkStart w:id="354" w:name="_Toc152042352"/>
      <w:bookmarkStart w:id="355" w:name="_Toc319407877"/>
      <w:bookmarkStart w:id="356" w:name="_Toc214"/>
      <w:bookmarkStart w:id="357" w:name="_Toc323711791"/>
      <w:bookmarkStart w:id="358" w:name="_Toc392345955"/>
      <w:bookmarkStart w:id="359" w:name="_Toc152045576"/>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color w:val="auto"/>
          <w:szCs w:val="24"/>
          <w:highlight w:val="none"/>
        </w:rPr>
      </w:pPr>
      <w:bookmarkStart w:id="360" w:name="_Toc144974545"/>
      <w:bookmarkStart w:id="361" w:name="_Toc392345956"/>
      <w:bookmarkStart w:id="362" w:name="_Toc245036644"/>
      <w:bookmarkStart w:id="363" w:name="_Toc152042353"/>
      <w:bookmarkStart w:id="364" w:name="_Toc319408113"/>
      <w:bookmarkStart w:id="365" w:name="_Toc152045577"/>
      <w:bookmarkStart w:id="366" w:name="_Toc319407878"/>
      <w:bookmarkStart w:id="367" w:name="_Toc322615440"/>
      <w:bookmarkStart w:id="368" w:name="_Toc3266"/>
      <w:bookmarkStart w:id="369" w:name="_Toc323711792"/>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color w:val="auto"/>
          <w:szCs w:val="24"/>
          <w:highlight w:val="none"/>
        </w:rPr>
      </w:pPr>
      <w:bookmarkStart w:id="370" w:name="_Toc392345957"/>
      <w:bookmarkStart w:id="371" w:name="_Toc152045578"/>
      <w:bookmarkStart w:id="372" w:name="_Toc323711793"/>
      <w:bookmarkStart w:id="373" w:name="_Toc152042354"/>
      <w:bookmarkStart w:id="374" w:name="_Toc480"/>
      <w:bookmarkStart w:id="375" w:name="_Toc322615441"/>
      <w:bookmarkStart w:id="376" w:name="_Toc319407879"/>
      <w:bookmarkStart w:id="377" w:name="_Toc245036645"/>
      <w:bookmarkStart w:id="378" w:name="_Toc319408114"/>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color w:val="auto"/>
          <w:szCs w:val="24"/>
          <w:highlight w:val="none"/>
        </w:rPr>
      </w:pPr>
      <w:bookmarkStart w:id="381" w:name="_Toc319407880"/>
      <w:bookmarkStart w:id="382" w:name="_Toc322615442"/>
      <w:bookmarkStart w:id="383" w:name="_Toc323711794"/>
      <w:bookmarkStart w:id="384" w:name="_Toc152045579"/>
      <w:bookmarkStart w:id="385" w:name="_Toc245036646"/>
      <w:bookmarkStart w:id="386" w:name="_Toc319408115"/>
      <w:bookmarkStart w:id="387" w:name="_Toc392345958"/>
      <w:bookmarkStart w:id="388" w:name="_Toc152042356"/>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179632597"/>
      <w:bookmarkStart w:id="391" w:name="_Toc357955317"/>
      <w:bookmarkStart w:id="392" w:name="_Toc246996966"/>
      <w:bookmarkStart w:id="393" w:name="_Toc247085737"/>
      <w:bookmarkStart w:id="394" w:name="_Toc246996223"/>
      <w:bookmarkStart w:id="395" w:name="_Toc296602466"/>
      <w:bookmarkStart w:id="396" w:name="_Toc245036647"/>
      <w:bookmarkStart w:id="397" w:name="_Toc152042357"/>
      <w:bookmarkStart w:id="398" w:name="_Toc323711795"/>
      <w:bookmarkStart w:id="399" w:name="_Toc144974547"/>
      <w:bookmarkStart w:id="400" w:name="_Toc392345959"/>
      <w:bookmarkStart w:id="401" w:name="_Toc152045580"/>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3711796"/>
      <w:bookmarkStart w:id="404" w:name="_Toc322615444"/>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3711797"/>
      <w:bookmarkStart w:id="406" w:name="_Toc322615445"/>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7" w:name="_Toc21652"/>
      <w:bookmarkStart w:id="408" w:name="_Toc323711800"/>
      <w:bookmarkStart w:id="409" w:name="_Toc413527432"/>
      <w:bookmarkStart w:id="410" w:name="_Toc184635081"/>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招标代理：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备案部门：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9924" w:type="dxa"/>
        <w:jc w:val="center"/>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25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35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（A=25分）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权威认证（3分）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投标人具有IS09001质量管理体系认证、ISO14001环境管理体系认证、ISO45001职业健康安全管理体系认证。每项认证得1分，最多得3分，若某个证书未提供或者不在有效期内则该证书不得分。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投标人资信（2分）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投标人具有环保工程专业承包一级资质的，得2分。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注：投标文件中须提供资质证书复印件加盖投标人公章，否则不得分。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企业成功案例及业绩（6分）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投标人自2016年1月1日至投标截止日止</w:t>
            </w:r>
            <w:r>
              <w:rPr>
                <w:rFonts w:hint="eastAsia" w:asciiTheme="minorEastAsia" w:hAnsiTheme="minorEastAsia" w:eastAsiaTheme="minorEastAsia" w:cstheme="minorEastAsia"/>
                <w:color w:val="auto"/>
                <w:sz w:val="24"/>
                <w:szCs w:val="24"/>
                <w:highlight w:val="none"/>
              </w:rPr>
              <w:t>（时间以竣工验收报告上的时间为准）</w:t>
            </w:r>
            <w:r>
              <w:rPr>
                <w:rFonts w:hint="eastAsia" w:ascii="宋体" w:hAnsi="宋体" w:cs="宋体"/>
                <w:color w:val="auto"/>
                <w:sz w:val="24"/>
                <w:szCs w:val="24"/>
                <w:highlight w:val="none"/>
              </w:rPr>
              <w:t>，完成过单项金额150万元-250万元的类似污水处理工程业绩的，每项业绩得1分；完成过单项金额250万元及以上的类似污水处理工程业绩的，每项业绩得2分。本项最多提供3个业绩，最高得6分。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项目负责人业绩（4分）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拟派的项目负责人自2016年1月1日至投标截止日止</w:t>
            </w:r>
            <w:r>
              <w:rPr>
                <w:rFonts w:hint="eastAsia" w:asciiTheme="minorEastAsia" w:hAnsiTheme="minorEastAsia" w:eastAsiaTheme="minorEastAsia" w:cstheme="minorEastAsia"/>
                <w:color w:val="auto"/>
                <w:sz w:val="24"/>
                <w:szCs w:val="24"/>
                <w:highlight w:val="none"/>
              </w:rPr>
              <w:t>（时间以竣工验收报告上的时间为准）</w:t>
            </w:r>
            <w:r>
              <w:rPr>
                <w:rFonts w:hint="eastAsia" w:ascii="宋体" w:hAnsi="宋体" w:cs="宋体"/>
                <w:color w:val="auto"/>
                <w:sz w:val="24"/>
                <w:szCs w:val="24"/>
                <w:highlight w:val="none"/>
              </w:rPr>
              <w:t>，完成过单项金额150万元-250万元的类似污水处理工程业绩的，每项业绩得1分；完成过单项金额250万元及以上的类似污水处理工程业绩的，每项业绩得2分。本项最多提供2个业绩，最高得4分。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w:t>
            </w:r>
            <w:r>
              <w:rPr>
                <w:rFonts w:hint="eastAsia" w:ascii="宋体" w:hAnsi="宋体" w:eastAsia="宋体" w:cs="宋体"/>
                <w:b/>
                <w:bCs/>
                <w:dstrike w:val="0"/>
                <w:color w:val="auto"/>
                <w:sz w:val="24"/>
                <w:szCs w:val="24"/>
                <w:highlight w:val="none"/>
              </w:rPr>
              <w:t>（</w:t>
            </w:r>
            <w:r>
              <w:rPr>
                <w:rFonts w:hint="eastAsia" w:ascii="宋体" w:hAnsi="宋体" w:cs="宋体"/>
                <w:b/>
                <w:bCs/>
                <w:dstrike w:val="0"/>
                <w:color w:val="auto"/>
                <w:sz w:val="24"/>
                <w:szCs w:val="24"/>
                <w:highlight w:val="none"/>
                <w:lang w:val="en-US" w:eastAsia="zh-CN"/>
              </w:rPr>
              <w:t>若合同、竣工报告不能体现项目负责人的还须提供</w:t>
            </w:r>
            <w:r>
              <w:rPr>
                <w:rFonts w:hint="eastAsia" w:ascii="宋体" w:hAnsi="宋体" w:eastAsia="宋体" w:cs="宋体"/>
                <w:b/>
                <w:bCs/>
                <w:dstrike w:val="0"/>
                <w:color w:val="auto"/>
                <w:sz w:val="24"/>
                <w:szCs w:val="24"/>
                <w:highlight w:val="none"/>
              </w:rPr>
              <w:t>业主单位的有效证明材料）</w:t>
            </w:r>
            <w:r>
              <w:rPr>
                <w:rFonts w:hint="eastAsia" w:ascii="宋体" w:hAnsi="宋体" w:cs="宋体"/>
                <w:b/>
                <w:bCs/>
                <w:color w:val="auto"/>
                <w:sz w:val="24"/>
                <w:szCs w:val="24"/>
                <w:highlight w:val="none"/>
              </w:rPr>
              <w:t>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1、本项目拟派项目负责人具有环保工程类专业高级工程师及以上职称的，得</w:t>
            </w:r>
            <w:r>
              <w:rPr>
                <w:rFonts w:hint="eastAsia" w:asciiTheme="minorEastAsia" w:hAnsiTheme="minorEastAsia" w:eastAsiaTheme="minorEastAsia" w:cstheme="minorEastAsia"/>
                <w:color w:val="auto"/>
                <w:sz w:val="24"/>
                <w:szCs w:val="24"/>
                <w:highlight w:val="none"/>
                <w:u w:val="single"/>
              </w:rPr>
              <w:t>1</w:t>
            </w:r>
            <w:r>
              <w:rPr>
                <w:rFonts w:hint="eastAsia" w:asciiTheme="minorEastAsia" w:hAnsiTheme="minorEastAsia" w:eastAsiaTheme="minorEastAsia" w:cstheme="minorEastAsia"/>
                <w:color w:val="auto"/>
                <w:sz w:val="24"/>
                <w:szCs w:val="24"/>
                <w:highlight w:val="none"/>
              </w:rPr>
              <w:t>分；</w:t>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2、本项目拟派技术负责人具有环保工程类专业高级工程师及以上职称的，得1分；</w:t>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3、本项目拟派施工员、安全员具有工程师及以上职称的，每个得1分。</w:t>
            </w:r>
          </w:p>
          <w:p>
            <w:pPr>
              <w:rPr>
                <w:rFonts w:ascii="宋体" w:hAnsi="宋体" w:cs="宋体"/>
                <w:color w:val="auto"/>
                <w:szCs w:val="21"/>
                <w:highlight w:val="none"/>
              </w:rPr>
            </w:pPr>
            <w:r>
              <w:rPr>
                <w:rFonts w:hint="eastAsia" w:asciiTheme="minorEastAsia" w:hAnsiTheme="minorEastAsia" w:eastAsiaTheme="minorEastAsia" w:cstheme="minorEastAsia"/>
                <w:color w:val="auto"/>
                <w:sz w:val="24"/>
                <w:szCs w:val="24"/>
                <w:highlight w:val="none"/>
              </w:rPr>
              <w:t xml:space="preserve">其余均不得分。本项最高得4分。 </w:t>
            </w:r>
            <w:r>
              <w:rPr>
                <w:rFonts w:hint="eastAsia" w:ascii="宋体" w:hAnsi="宋体" w:cs="宋体"/>
                <w:color w:val="auto"/>
                <w:szCs w:val="21"/>
                <w:highlight w:val="none"/>
              </w:rPr>
              <w:t xml:space="preserve"> </w:t>
            </w:r>
            <w:bookmarkStart w:id="448" w:name="_GoBack"/>
            <w:bookmarkEnd w:id="448"/>
          </w:p>
          <w:p>
            <w:pPr>
              <w:tabs>
                <w:tab w:val="left" w:pos="3060"/>
              </w:tabs>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投标文件中须提供证书复印件，同时须提供拟派项目人员缴费期限包含 2021年0</w:t>
            </w: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sz w:val="24"/>
                <w:szCs w:val="24"/>
                <w:highlight w:val="none"/>
              </w:rPr>
              <w:t xml:space="preserve">月至 2021年 </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rPr>
              <w:t>月的投标人所属社保机构养老保险交纳清单或证明（缴费单位和投标单位名称必须一致，并加盖社保缴费证明专用章），否则不得分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至少36个月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要求的得0分，超过招标文件规定的质保期每12个月的得2分，最高得6分。</w:t>
            </w:r>
          </w:p>
          <w:p>
            <w:pPr>
              <w:pStyle w:val="26"/>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技术部分评分标准（B=35分）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运维服务承诺（5分）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投标人提供全面的售后服务方案，并承诺2小时内到达现场响应。根据整套售后服务方案的规模进行横向打分，0-5分。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施工组织设计（30分）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1、施工方案内容完整，编制规范统一、齐全，施工方案和技术措施科学、合理，有针对性，满足施工要求。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2、施工进度安排合理，工期安排满足施工要求，施工中劳动力计划安排合理，拟投入的机械设备及材料安排科学、合理，有针对性，满足施工要求。</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3、质量保证措施、安全生产保证措施、工期保证措施以及文明施工和环境保护的措施科学、合理、全面、有针对性。</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rPr>
                <w:rFonts w:ascii="宋体" w:hAnsi="宋体" w:cs="宋体"/>
                <w:color w:val="auto"/>
                <w:sz w:val="24"/>
                <w:szCs w:val="24"/>
                <w:highlight w:val="none"/>
              </w:rPr>
            </w:pPr>
            <w:r>
              <w:rPr>
                <w:rFonts w:hint="eastAsia" w:ascii="宋体" w:hAnsi="宋体" w:cs="宋体"/>
                <w:color w:val="auto"/>
                <w:sz w:val="24"/>
                <w:szCs w:val="24"/>
                <w:highlight w:val="none"/>
              </w:rPr>
              <w:t>4、制定本项目总体安装、调试、验收方案，包括但不限于质量控制措施、质量检测手段、应急预案等。</w:t>
            </w:r>
          </w:p>
          <w:p>
            <w:pPr>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pStyle w:val="61"/>
              <w:rPr>
                <w:rFonts w:hAnsi="宋体" w:eastAsia="宋体"/>
                <w:color w:val="auto"/>
                <w:highlight w:val="none"/>
              </w:rPr>
            </w:pPr>
            <w:r>
              <w:rPr>
                <w:rFonts w:hint="eastAsia" w:hAnsi="宋体" w:eastAsia="宋体"/>
                <w:color w:val="auto"/>
                <w:highlight w:val="none"/>
              </w:rPr>
              <w:t>5、组织结构合理、专业齐全。</w:t>
            </w:r>
          </w:p>
          <w:p>
            <w:pPr>
              <w:pStyle w:val="61"/>
              <w:rPr>
                <w:rFonts w:hAnsi="宋体" w:eastAsia="宋体"/>
                <w:color w:val="auto"/>
                <w:highlight w:val="none"/>
              </w:rPr>
            </w:pPr>
            <w:r>
              <w:rPr>
                <w:rFonts w:hint="eastAsia" w:hAnsi="宋体" w:eastAsia="宋体"/>
                <w:color w:val="auto"/>
                <w:highlight w:val="none"/>
              </w:rPr>
              <w:t>优秀得4.1-6.0分、良好得2.1-4.0分、一般得0-2.0分。本小项最高得6分。</w:t>
            </w:r>
          </w:p>
        </w:tc>
      </w:tr>
    </w:tbl>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400" w:lineRule="exact"/>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40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spacing w:line="400" w:lineRule="exact"/>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方式排序。</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8" w:name="_Toc152045609"/>
      <w:bookmarkStart w:id="419" w:name="_Toc229646768"/>
      <w:bookmarkStart w:id="420" w:name="_Toc392345963"/>
      <w:bookmarkStart w:id="421" w:name="_Toc144974577"/>
      <w:bookmarkStart w:id="422" w:name="_Toc152042387"/>
    </w:p>
    <w:p>
      <w:pPr>
        <w:rPr>
          <w:rFonts w:asciiTheme="minorEastAsia" w:hAnsiTheme="minorEastAsia" w:eastAsiaTheme="minorEastAsia" w:cstheme="minorEastAsia"/>
          <w:color w:val="auto"/>
          <w:sz w:val="24"/>
          <w:szCs w:val="24"/>
          <w:highlight w:val="none"/>
        </w:rPr>
      </w:pPr>
    </w:p>
    <w:p>
      <w:pPr>
        <w:pStyle w:val="26"/>
        <w:ind w:firstLine="340"/>
        <w:rPr>
          <w:color w:val="auto"/>
          <w:highlight w:val="none"/>
        </w:rPr>
      </w:pPr>
    </w:p>
    <w:p>
      <w:pPr>
        <w:pStyle w:val="4"/>
        <w:rPr>
          <w:color w:val="auto"/>
          <w:highlight w:val="none"/>
        </w:rPr>
      </w:pPr>
      <w:bookmarkStart w:id="423"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297017781"/>
      <w:bookmarkStart w:id="425" w:name="_Toc18320"/>
      <w:bookmarkStart w:id="426" w:name="_Toc4060744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绍兴市妇幼保健院（绍兴市儿童医院）建设项目医疗污水处理工程。</w:t>
      </w:r>
    </w:p>
    <w:p>
      <w:pPr>
        <w:pStyle w:val="26"/>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color w:val="auto"/>
          <w:szCs w:val="21"/>
          <w:highlight w:val="none"/>
          <w:u w:val="single"/>
        </w:rPr>
        <w:t>本次招标为绍兴市妇幼保健院污水处理项目：1600m3/d综合污水处理设备、自控系统以及站房内一般的水电暖安装、与上述设备系统相关的桥架、电缆的供货及其设备、管线的安装、调试和验收等。投标人应负责本次招标污水处理站设备供货、安装，以及废水、污泥处理工程调试和验收、联动调试、试运行、试运行期间的药剂费（试运行期间的水电费不在本标范围内，由招标人提供）、委托第三方检测费用、验收配合、人员培训、操作运维手册及售后服务等工作。包含设备设计及制造、工厂检验、运输、仓储、安装等。具体详见招标文件，中标人须按招标文件和设计院的要求对方案进行深化设计，且深化设计应满足有关规范规定要求，并要求处理水质、废气达标。深化设计需经设计研究院审查通过，且所需费用均包括在货物清单内，中标后无论任何情况均不作调整。详见招标文件 “技术标准和要求”。</w:t>
      </w:r>
    </w:p>
    <w:p>
      <w:pPr>
        <w:spacing w:line="360" w:lineRule="auto"/>
        <w:ind w:firstLine="420" w:firstLineChars="200"/>
        <w:rPr>
          <w:color w:val="auto"/>
          <w:szCs w:val="21"/>
          <w:highlight w:val="none"/>
          <w:u w:val="single"/>
        </w:rPr>
      </w:pPr>
      <w:r>
        <w:rPr>
          <w:rFonts w:hint="eastAsia"/>
          <w:color w:val="auto"/>
          <w:szCs w:val="21"/>
          <w:highlight w:val="none"/>
          <w:u w:val="single"/>
        </w:rPr>
        <w:t>招标人提供的污水系统主材设备采购及安装的图纸中的所有工程内容，包括污水系统主材设备采购及安装工程施工图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以甲方发出的开工指令后210日历天，具体应与工程施工总进度计划同步。</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合格，并一次性通过</w:t>
      </w:r>
      <w:r>
        <w:rPr>
          <w:rFonts w:hint="eastAsia" w:ascii="宋体" w:hAnsi="宋体" w:cs="宋体"/>
          <w:color w:val="auto"/>
          <w:kern w:val="2"/>
          <w:sz w:val="21"/>
          <w:szCs w:val="21"/>
          <w:highlight w:val="none"/>
          <w:lang w:val="en-US" w:eastAsia="zh-CN"/>
        </w:rPr>
        <w:t>相关</w:t>
      </w:r>
      <w:r>
        <w:rPr>
          <w:rFonts w:hint="eastAsia" w:ascii="宋体" w:hAnsi="宋体" w:cs="宋体"/>
          <w:color w:val="auto"/>
          <w:kern w:val="2"/>
          <w:sz w:val="21"/>
          <w:szCs w:val="21"/>
          <w:highlight w:val="none"/>
        </w:rPr>
        <w:t>机构检测。全力配合甲方争创钱江杯、鲁班奖。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6"/>
        <w:spacing w:line="360" w:lineRule="auto"/>
        <w:ind w:firstLineChars="200"/>
        <w:rPr>
          <w:color w:val="auto"/>
          <w:sz w:val="21"/>
          <w:szCs w:val="21"/>
          <w:highlight w:val="none"/>
        </w:rPr>
      </w:pPr>
      <w:r>
        <w:rPr>
          <w:rFonts w:hint="eastAsia"/>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6"/>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p>
    <w:p>
      <w:pPr>
        <w:spacing w:line="360" w:lineRule="auto"/>
        <w:rPr>
          <w:color w:val="auto"/>
          <w:szCs w:val="21"/>
          <w:highlight w:val="none"/>
        </w:rPr>
      </w:pPr>
      <w:r>
        <w:rPr>
          <w:rFonts w:hint="eastAsia"/>
          <w:color w:val="auto"/>
          <w:szCs w:val="21"/>
          <w:highlight w:val="none"/>
          <w:u w:val="single"/>
        </w:rPr>
        <w:t xml:space="preserve"> (盖章）                                                         </w:t>
      </w:r>
      <w:r>
        <w:rPr>
          <w:rFonts w:hint="eastAsia"/>
          <w:color w:val="auto"/>
          <w:szCs w:val="21"/>
          <w:highlight w:val="none"/>
          <w:u w:val="single"/>
          <w:lang w:val="en-US" w:eastAsia="zh-CN"/>
        </w:rPr>
        <w:t xml:space="preserve">        </w:t>
      </w:r>
      <w:r>
        <w:rPr>
          <w:rFonts w:hint="eastAsia"/>
          <w:color w:val="auto"/>
          <w:szCs w:val="21"/>
          <w:highlight w:val="none"/>
          <w:u w:val="single"/>
        </w:rPr>
        <w:t xml:space="preserve">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w:t>
      </w:r>
      <w:r>
        <w:rPr>
          <w:rFonts w:hint="eastAsia"/>
          <w:color w:val="auto"/>
          <w:szCs w:val="21"/>
          <w:highlight w:val="none"/>
          <w:lang w:val="en-US" w:eastAsia="zh-CN"/>
        </w:rPr>
        <w:t xml:space="preserve"> </w:t>
      </w:r>
      <w:r>
        <w:rPr>
          <w:rFonts w:hint="eastAsia"/>
          <w:color w:val="auto"/>
          <w:szCs w:val="21"/>
          <w:highlight w:val="none"/>
        </w:rPr>
        <w:t xml:space="preserve">  委托代理人：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 xml:space="preserve">地址：                                                                 </w:t>
      </w:r>
      <w:r>
        <w:rPr>
          <w:rFonts w:hint="eastAsia"/>
          <w:color w:val="auto"/>
          <w:szCs w:val="21"/>
          <w:highlight w:val="none"/>
          <w:lang w:val="en-US" w:eastAsia="zh-CN"/>
        </w:rPr>
        <w:t xml:space="preserve">    </w:t>
      </w: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 xml:space="preserve">邮政编码：                                                       </w:t>
      </w:r>
      <w:r>
        <w:rPr>
          <w:rFonts w:hint="eastAsia"/>
          <w:color w:val="auto"/>
          <w:szCs w:val="21"/>
          <w:highlight w:val="none"/>
          <w:lang w:val="en-US" w:eastAsia="zh-CN"/>
        </w:rPr>
        <w:t xml:space="preserve">   </w:t>
      </w:r>
      <w:r>
        <w:rPr>
          <w:rFonts w:hint="eastAsia"/>
          <w:color w:val="auto"/>
          <w:szCs w:val="21"/>
          <w:highlight w:val="none"/>
        </w:rPr>
        <w:t xml:space="preserve">   邮政编码：</w:t>
      </w:r>
    </w:p>
    <w:p>
      <w:pPr>
        <w:spacing w:line="360" w:lineRule="auto"/>
        <w:rPr>
          <w:color w:val="auto"/>
          <w:szCs w:val="21"/>
          <w:highlight w:val="none"/>
        </w:rPr>
      </w:pPr>
      <w:r>
        <w:rPr>
          <w:rFonts w:hint="eastAsia"/>
          <w:color w:val="auto"/>
          <w:szCs w:val="21"/>
          <w:highlight w:val="none"/>
        </w:rPr>
        <w:t xml:space="preserve">电    话：                                                          </w:t>
      </w:r>
      <w:r>
        <w:rPr>
          <w:rFonts w:hint="eastAsia"/>
          <w:color w:val="auto"/>
          <w:szCs w:val="21"/>
          <w:highlight w:val="none"/>
          <w:lang w:val="en-US" w:eastAsia="zh-CN"/>
        </w:rPr>
        <w:t xml:space="preserve">   </w:t>
      </w:r>
      <w:r>
        <w:rPr>
          <w:rFonts w:hint="eastAsia"/>
          <w:color w:val="auto"/>
          <w:szCs w:val="21"/>
          <w:highlight w:val="none"/>
        </w:rPr>
        <w:t xml:space="preserve">   电    话：</w:t>
      </w:r>
    </w:p>
    <w:p>
      <w:pPr>
        <w:spacing w:line="360" w:lineRule="auto"/>
        <w:rPr>
          <w:color w:val="auto"/>
          <w:szCs w:val="21"/>
          <w:highlight w:val="none"/>
          <w:u w:val="single"/>
        </w:rPr>
      </w:pPr>
      <w:r>
        <w:rPr>
          <w:rFonts w:hint="eastAsia"/>
          <w:color w:val="auto"/>
          <w:szCs w:val="21"/>
          <w:highlight w:val="none"/>
        </w:rPr>
        <w:t xml:space="preserve">传    真：                                                           </w:t>
      </w:r>
      <w:r>
        <w:rPr>
          <w:rFonts w:hint="eastAsia"/>
          <w:color w:val="auto"/>
          <w:szCs w:val="21"/>
          <w:highlight w:val="none"/>
          <w:lang w:val="en-US" w:eastAsia="zh-CN"/>
        </w:rPr>
        <w:t xml:space="preserve">    </w:t>
      </w:r>
      <w:r>
        <w:rPr>
          <w:rFonts w:hint="eastAsia"/>
          <w:color w:val="auto"/>
          <w:szCs w:val="21"/>
          <w:highlight w:val="none"/>
        </w:rPr>
        <w:t>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 xml:space="preserve">开户银行：                                                      </w:t>
      </w:r>
      <w:r>
        <w:rPr>
          <w:rFonts w:hint="eastAsia"/>
          <w:color w:val="auto"/>
          <w:szCs w:val="21"/>
          <w:highlight w:val="none"/>
          <w:lang w:val="en-US" w:eastAsia="zh-CN"/>
        </w:rPr>
        <w:t xml:space="preserve">   </w:t>
      </w:r>
      <w:r>
        <w:rPr>
          <w:rFonts w:hint="eastAsia"/>
          <w:color w:val="auto"/>
          <w:szCs w:val="21"/>
          <w:highlight w:val="none"/>
        </w:rPr>
        <w:t xml:space="preserve">  开户银行：</w:t>
      </w:r>
    </w:p>
    <w:p>
      <w:pPr>
        <w:spacing w:line="360" w:lineRule="auto"/>
        <w:rPr>
          <w:color w:val="auto"/>
          <w:szCs w:val="21"/>
          <w:highlight w:val="none"/>
          <w:u w:val="single"/>
        </w:rPr>
      </w:pPr>
      <w:r>
        <w:rPr>
          <w:rFonts w:hint="eastAsia"/>
          <w:color w:val="auto"/>
          <w:szCs w:val="21"/>
          <w:highlight w:val="none"/>
        </w:rPr>
        <w:t xml:space="preserve">银行账号：                                                  </w:t>
      </w:r>
      <w:r>
        <w:rPr>
          <w:rFonts w:hint="eastAsia"/>
          <w:color w:val="auto"/>
          <w:szCs w:val="21"/>
          <w:highlight w:val="none"/>
          <w:lang w:val="en-US" w:eastAsia="zh-CN"/>
        </w:rPr>
        <w:t xml:space="preserve">        </w:t>
      </w:r>
      <w:r>
        <w:rPr>
          <w:rFonts w:hint="eastAsia"/>
          <w:color w:val="auto"/>
          <w:szCs w:val="21"/>
          <w:highlight w:val="none"/>
        </w:rPr>
        <w:t xml:space="preserve">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6"/>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jc w:val="center"/>
        <w:rPr>
          <w:b/>
          <w:color w:val="auto"/>
          <w:szCs w:val="21"/>
          <w:highlight w:val="none"/>
        </w:rPr>
      </w:pPr>
      <w:bookmarkStart w:id="427" w:name="_Toc297017782"/>
      <w:bookmarkStart w:id="428" w:name="_Toc406074421"/>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lang w:val="en-US" w:eastAsia="zh-CN"/>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lang w:val="en-US" w:eastAsia="zh-CN"/>
        </w:rPr>
        <w:t>各</w:t>
      </w:r>
      <w:r>
        <w:rPr>
          <w:rFonts w:hint="eastAsia"/>
          <w:color w:val="auto"/>
          <w:szCs w:val="21"/>
          <w:highlight w:val="none"/>
        </w:rPr>
        <w:t>方应通过友好协商，妥善解决。如通过协商仍不能解决时，</w:t>
      </w:r>
      <w:r>
        <w:rPr>
          <w:rFonts w:hint="eastAsia" w:ascii="宋体" w:hAnsi="宋体" w:cs="宋体"/>
          <w:color w:val="auto"/>
          <w:szCs w:val="21"/>
          <w:highlight w:val="none"/>
        </w:rPr>
        <w:t>可向合同履行地</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裁期间，除争议部分外，本合同其他部分应继续执行</w:t>
      </w:r>
      <w:r>
        <w:rPr>
          <w:rFonts w:hint="eastAsia"/>
          <w:color w:val="auto"/>
          <w:szCs w:val="21"/>
          <w:highlight w:val="none"/>
        </w:rPr>
        <w:t>。</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406074422"/>
      <w:bookmarkStart w:id="434" w:name="_Toc17297"/>
      <w:bookmarkStart w:id="435" w:name="_Toc297017783"/>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color w:val="auto"/>
          <w:szCs w:val="21"/>
          <w:highlight w:val="none"/>
          <w:lang w:val="en-US" w:eastAsia="zh-CN"/>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color w:val="auto"/>
          <w:szCs w:val="21"/>
          <w:highlight w:val="none"/>
          <w:lang w:val="en-US" w:eastAsia="zh-CN"/>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w:t>
      </w:r>
      <w:r>
        <w:rPr>
          <w:rFonts w:hint="eastAsia" w:ascii="宋体" w:hAnsi="宋体" w:cs="宋体"/>
          <w:color w:val="auto"/>
          <w:sz w:val="21"/>
          <w:szCs w:val="21"/>
          <w:highlight w:val="none"/>
          <w:lang w:val="en-US" w:eastAsia="zh-CN"/>
        </w:rPr>
        <w:t>甲方</w:t>
      </w:r>
      <w:r>
        <w:rPr>
          <w:rFonts w:hint="eastAsia" w:ascii="宋体" w:hAnsi="宋体" w:cs="宋体"/>
          <w:color w:val="auto"/>
          <w:sz w:val="21"/>
          <w:szCs w:val="21"/>
          <w:highlight w:val="none"/>
        </w:rPr>
        <w:t>向</w:t>
      </w:r>
      <w:r>
        <w:rPr>
          <w:rFonts w:hint="eastAsia" w:ascii="宋体" w:hAnsi="宋体" w:cs="宋体"/>
          <w:color w:val="auto"/>
          <w:sz w:val="21"/>
          <w:szCs w:val="21"/>
          <w:highlight w:val="none"/>
          <w:lang w:val="en-US" w:eastAsia="zh-CN"/>
        </w:rPr>
        <w:t>乙方</w:t>
      </w:r>
      <w:r>
        <w:rPr>
          <w:rFonts w:hint="eastAsia"/>
          <w:color w:val="auto"/>
          <w:sz w:val="21"/>
          <w:szCs w:val="21"/>
          <w:highlight w:val="none"/>
        </w:rPr>
        <w:t>支付合同总价的30%的预付款。预付款与合同履行同步进行，预付款支付进程不得影响合同的履行</w:t>
      </w:r>
      <w:r>
        <w:rPr>
          <w:rFonts w:hint="eastAsia" w:ascii="宋体" w:hAnsi="宋体" w:cs="宋体"/>
          <w:color w:val="auto"/>
          <w:sz w:val="21"/>
          <w:szCs w:val="21"/>
          <w:highlight w:val="none"/>
        </w:rPr>
        <w:t>，乙方不得以预付款支付问题停止合同的履行</w:t>
      </w:r>
      <w:r>
        <w:rPr>
          <w:rFonts w:hint="eastAsia"/>
          <w:color w:val="auto"/>
          <w:sz w:val="21"/>
          <w:szCs w:val="21"/>
          <w:highlight w:val="none"/>
        </w:rPr>
        <w:t>。</w:t>
      </w:r>
    </w:p>
    <w:p>
      <w:pPr>
        <w:pStyle w:val="63"/>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第2次付款：工程完成总形象进度的60%</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w:t>
      </w:r>
      <w:r>
        <w:rPr>
          <w:rFonts w:hint="eastAsia"/>
          <w:b/>
          <w:color w:val="auto"/>
          <w:sz w:val="21"/>
          <w:szCs w:val="21"/>
          <w:highlight w:val="none"/>
        </w:rPr>
        <w:t>支付至合同总价的50%</w:t>
      </w:r>
      <w:r>
        <w:rPr>
          <w:rFonts w:hint="eastAsia"/>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第3次付款：工程全部完工、</w:t>
      </w:r>
      <w:r>
        <w:rPr>
          <w:rFonts w:hint="eastAsia"/>
          <w:b/>
          <w:color w:val="auto"/>
          <w:sz w:val="21"/>
          <w:szCs w:val="21"/>
          <w:highlight w:val="none"/>
        </w:rPr>
        <w:t>所有设备安装、调试完成，经过试运行，通过验收并按买方要求移交所有资料后</w:t>
      </w:r>
      <w:r>
        <w:rPr>
          <w:rFonts w:hint="eastAsia"/>
          <w:b/>
          <w:color w:val="auto"/>
          <w:sz w:val="21"/>
          <w:szCs w:val="21"/>
          <w:highlight w:val="none"/>
          <w:lang w:val="en-US" w:eastAsia="zh-CN"/>
        </w:rPr>
        <w:t>15</w:t>
      </w:r>
      <w:r>
        <w:rPr>
          <w:rFonts w:hint="eastAsia"/>
          <w:b/>
          <w:color w:val="auto"/>
          <w:sz w:val="21"/>
          <w:szCs w:val="21"/>
          <w:highlight w:val="none"/>
        </w:rPr>
        <w:t>天内支付至合同总价的85%，并退还履约保证金</w:t>
      </w:r>
      <w:r>
        <w:rPr>
          <w:rFonts w:hint="eastAsia"/>
          <w:color w:val="auto"/>
          <w:sz w:val="21"/>
          <w:szCs w:val="21"/>
          <w:highlight w:val="none"/>
        </w:rPr>
        <w:t>。</w:t>
      </w:r>
    </w:p>
    <w:p>
      <w:pPr>
        <w:pStyle w:val="63"/>
        <w:adjustRightInd w:val="0"/>
        <w:snapToGrid w:val="0"/>
        <w:spacing w:before="0"/>
        <w:ind w:firstLine="420"/>
        <w:rPr>
          <w:rFonts w:hint="eastAsia"/>
          <w:color w:val="auto"/>
          <w:sz w:val="21"/>
          <w:szCs w:val="21"/>
          <w:highlight w:val="none"/>
        </w:rPr>
      </w:pPr>
      <w:r>
        <w:rPr>
          <w:rFonts w:hint="eastAsia"/>
          <w:color w:val="auto"/>
          <w:sz w:val="21"/>
          <w:szCs w:val="21"/>
          <w:highlight w:val="none"/>
        </w:rPr>
        <w:t>第4次付款：</w:t>
      </w:r>
      <w:r>
        <w:rPr>
          <w:rFonts w:hint="eastAsia"/>
          <w:b/>
          <w:color w:val="auto"/>
          <w:sz w:val="21"/>
          <w:szCs w:val="21"/>
          <w:highlight w:val="none"/>
        </w:rPr>
        <w:t>通过验收并试运行二个月后且工程结算审核完毕</w:t>
      </w:r>
      <w:r>
        <w:rPr>
          <w:rFonts w:hint="eastAsia"/>
          <w:b/>
          <w:color w:val="auto"/>
          <w:sz w:val="21"/>
          <w:szCs w:val="21"/>
          <w:highlight w:val="none"/>
          <w:lang w:val="en-US" w:eastAsia="zh-CN"/>
        </w:rPr>
        <w:t>15</w:t>
      </w:r>
      <w:r>
        <w:rPr>
          <w:rFonts w:hint="eastAsia"/>
          <w:b/>
          <w:color w:val="auto"/>
          <w:sz w:val="21"/>
          <w:szCs w:val="21"/>
          <w:highlight w:val="none"/>
        </w:rPr>
        <w:t>天内支付至结算总价的97.5%，余款2.5%待质量保证期满无质量问题经买方确认后</w:t>
      </w:r>
      <w:r>
        <w:rPr>
          <w:rFonts w:hint="eastAsia"/>
          <w:b/>
          <w:color w:val="auto"/>
          <w:sz w:val="21"/>
          <w:szCs w:val="21"/>
          <w:highlight w:val="none"/>
          <w:lang w:val="en-US" w:eastAsia="zh-CN"/>
        </w:rPr>
        <w:t>15</w:t>
      </w:r>
      <w:r>
        <w:rPr>
          <w:rFonts w:hint="eastAsia"/>
          <w:b/>
          <w:color w:val="auto"/>
          <w:sz w:val="21"/>
          <w:szCs w:val="21"/>
          <w:highlight w:val="none"/>
        </w:rPr>
        <w:t>天内付清（不计利息）</w:t>
      </w:r>
      <w:r>
        <w:rPr>
          <w:rFonts w:hint="eastAsia"/>
          <w:color w:val="auto"/>
          <w:sz w:val="21"/>
          <w:szCs w:val="21"/>
          <w:highlight w:val="none"/>
        </w:rPr>
        <w:t>。</w:t>
      </w:r>
    </w:p>
    <w:p>
      <w:pPr>
        <w:pStyle w:val="63"/>
        <w:adjustRightInd w:val="0"/>
        <w:snapToGrid w:val="0"/>
        <w:spacing w:before="0"/>
        <w:ind w:firstLine="420"/>
        <w:rPr>
          <w:rFonts w:hint="eastAsia"/>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rFonts w:hint="eastAsia"/>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rFonts w:hint="eastAsia"/>
          <w:b/>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6"/>
        <w:spacing w:line="360" w:lineRule="auto"/>
        <w:ind w:firstLineChars="200"/>
        <w:rPr>
          <w:color w:val="auto"/>
          <w:sz w:val="21"/>
          <w:szCs w:val="21"/>
          <w:highlight w:val="none"/>
        </w:rPr>
      </w:pPr>
      <w:r>
        <w:rPr>
          <w:rFonts w:hint="eastAsia"/>
          <w:color w:val="auto"/>
          <w:sz w:val="21"/>
          <w:szCs w:val="21"/>
          <w:highlight w:val="none"/>
        </w:rPr>
        <w:t>所有的货物</w:t>
      </w:r>
      <w:r>
        <w:rPr>
          <w:rFonts w:hint="eastAsia"/>
          <w:color w:val="auto"/>
          <w:sz w:val="21"/>
          <w:szCs w:val="21"/>
          <w:highlight w:val="none"/>
          <w:lang w:val="en-US" w:eastAsia="zh-CN"/>
        </w:rPr>
        <w:t>准</w:t>
      </w:r>
      <w:r>
        <w:rPr>
          <w:rFonts w:hint="eastAsia"/>
          <w:color w:val="auto"/>
          <w:sz w:val="21"/>
          <w:szCs w:val="21"/>
          <w:highlight w:val="none"/>
        </w:rPr>
        <w:t>备进场时须同时提供货物出厂合格证书。</w:t>
      </w:r>
      <w:r>
        <w:rPr>
          <w:rFonts w:hint="eastAsia"/>
          <w:color w:val="auto"/>
          <w:sz w:val="21"/>
          <w:szCs w:val="21"/>
          <w:highlight w:val="none"/>
          <w:lang w:val="en-US" w:eastAsia="zh-CN"/>
        </w:rPr>
        <w:t>如提供货物为进口产品，则</w:t>
      </w:r>
      <w:r>
        <w:rPr>
          <w:rFonts w:hint="eastAsia"/>
          <w:color w:val="auto"/>
          <w:sz w:val="21"/>
          <w:szCs w:val="21"/>
          <w:highlight w:val="none"/>
        </w:rPr>
        <w:t>必须</w:t>
      </w:r>
      <w:r>
        <w:rPr>
          <w:rFonts w:hint="eastAsia"/>
          <w:color w:val="auto"/>
          <w:sz w:val="21"/>
          <w:szCs w:val="21"/>
          <w:highlight w:val="none"/>
          <w:lang w:val="en-US" w:eastAsia="zh-CN"/>
        </w:rPr>
        <w:t>提供相关合法批准手续</w:t>
      </w:r>
      <w:r>
        <w:rPr>
          <w:rFonts w:hint="eastAsia"/>
          <w:color w:val="auto"/>
          <w:sz w:val="21"/>
          <w:szCs w:val="21"/>
          <w:highlight w:val="none"/>
        </w:rPr>
        <w:t>，如海关报关单、原产地证明、商检证明等。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lang w:val="en-US" w:eastAsia="zh-CN"/>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lang w:val="en-US" w:eastAsia="zh-CN"/>
        </w:rPr>
        <w:t>甲</w:t>
      </w:r>
      <w:r>
        <w:rPr>
          <w:rFonts w:hint="eastAsia"/>
          <w:color w:val="auto"/>
          <w:szCs w:val="21"/>
          <w:highlight w:val="none"/>
        </w:rPr>
        <w:t>方没收全部的履约保证金并乙方承担所有的违约责任并承担由此造成的甲方及丙、丁方的全部损失。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6"/>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6"/>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19.污水系统设备供货内容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19.1具体详见招标文件所附货物清单</w:t>
      </w:r>
    </w:p>
    <w:p>
      <w:pPr>
        <w:spacing w:line="360" w:lineRule="auto"/>
        <w:ind w:firstLine="210"/>
        <w:rPr>
          <w:color w:val="auto"/>
          <w:szCs w:val="21"/>
          <w:highlight w:val="none"/>
        </w:rPr>
      </w:pPr>
      <w:r>
        <w:rPr>
          <w:rFonts w:hint="eastAsia"/>
          <w:color w:val="auto"/>
          <w:szCs w:val="21"/>
          <w:highlight w:val="none"/>
        </w:rPr>
        <w:t xml:space="preserve">  19.2本合同价格包括污水系统设备的深化设计、制造、运输、安装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26"/>
        <w:ind w:firstLine="340"/>
        <w:rPr>
          <w:color w:val="auto"/>
          <w:highlight w:val="none"/>
        </w:rPr>
      </w:pP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绍兴市妇幼保健院（绍兴市儿童医院）建设项目医疗污水处理工程</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 xml:space="preserve">法定代表人或                           </w:t>
      </w:r>
      <w:r>
        <w:rPr>
          <w:rFonts w:hint="eastAsia"/>
          <w:color w:val="auto"/>
          <w:szCs w:val="21"/>
          <w:highlight w:val="none"/>
          <w:lang w:val="en-US" w:eastAsia="zh-CN"/>
        </w:rPr>
        <w:t xml:space="preserve">                </w:t>
      </w:r>
      <w:r>
        <w:rPr>
          <w:rFonts w:hint="eastAsia"/>
          <w:color w:val="auto"/>
          <w:szCs w:val="21"/>
          <w:highlight w:val="none"/>
        </w:rPr>
        <w:t>法定代表人或</w:t>
      </w:r>
    </w:p>
    <w:p>
      <w:pPr>
        <w:spacing w:line="360" w:lineRule="auto"/>
        <w:rPr>
          <w:color w:val="auto"/>
          <w:szCs w:val="21"/>
          <w:highlight w:val="none"/>
        </w:rPr>
      </w:pPr>
      <w:r>
        <w:rPr>
          <w:rFonts w:hint="eastAsia"/>
          <w:color w:val="auto"/>
          <w:szCs w:val="21"/>
          <w:highlight w:val="none"/>
        </w:rPr>
        <w:t xml:space="preserve">其委托代理人：（签字）                </w:t>
      </w:r>
      <w:r>
        <w:rPr>
          <w:rFonts w:hint="eastAsia"/>
          <w:color w:val="auto"/>
          <w:szCs w:val="21"/>
          <w:highlight w:val="none"/>
          <w:lang w:val="en-US" w:eastAsia="zh-CN"/>
        </w:rPr>
        <w:t xml:space="preserve">    </w:t>
      </w:r>
      <w:r>
        <w:rPr>
          <w:rFonts w:hint="eastAsia"/>
          <w:color w:val="auto"/>
          <w:szCs w:val="21"/>
          <w:highlight w:val="none"/>
        </w:rPr>
        <w:t xml:space="preserve">  其委托代理人：（签字）</w:t>
      </w:r>
    </w:p>
    <w:p>
      <w:pPr>
        <w:spacing w:line="360" w:lineRule="auto"/>
        <w:rPr>
          <w:color w:val="auto"/>
          <w:szCs w:val="21"/>
          <w:highlight w:val="none"/>
          <w:u w:val="single"/>
        </w:rPr>
      </w:pPr>
      <w:r>
        <w:rPr>
          <w:rFonts w:hint="eastAsia"/>
          <w:color w:val="auto"/>
          <w:szCs w:val="21"/>
          <w:highlight w:val="none"/>
        </w:rPr>
        <w:t xml:space="preserve">日期：      年     月     日          </w:t>
      </w:r>
      <w:r>
        <w:rPr>
          <w:rFonts w:hint="eastAsia"/>
          <w:color w:val="auto"/>
          <w:szCs w:val="21"/>
          <w:highlight w:val="none"/>
          <w:lang w:val="en-US" w:eastAsia="zh-CN"/>
        </w:rPr>
        <w:t xml:space="preserve">               </w:t>
      </w:r>
      <w:r>
        <w:rPr>
          <w:rFonts w:hint="eastAsia"/>
          <w:color w:val="auto"/>
          <w:szCs w:val="21"/>
          <w:highlight w:val="none"/>
        </w:rPr>
        <w:t xml:space="preserve"> 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lang w:eastAsia="zh-CN"/>
        </w:rPr>
        <w:t>连带责任</w:t>
      </w:r>
      <w:r>
        <w:rPr>
          <w:rFonts w:hint="eastAsia"/>
          <w:color w:val="auto"/>
          <w:szCs w:val="21"/>
          <w:highlight w:val="none"/>
        </w:rPr>
        <w:t>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绍兴市妇幼保健院（绍兴市儿童医院）建设项目医疗污水处理工程</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 xml:space="preserve">甲方：                                              </w:t>
      </w:r>
      <w:r>
        <w:rPr>
          <w:rFonts w:hint="eastAsia"/>
          <w:color w:val="auto"/>
          <w:szCs w:val="21"/>
          <w:highlight w:val="none"/>
          <w:lang w:val="en-US" w:eastAsia="zh-CN"/>
        </w:rPr>
        <w:t xml:space="preserve">   </w:t>
      </w:r>
      <w:r>
        <w:rPr>
          <w:rFonts w:hint="eastAsia"/>
          <w:color w:val="auto"/>
          <w:szCs w:val="21"/>
          <w:highlight w:val="none"/>
        </w:rPr>
        <w:t>乙方：</w:t>
      </w:r>
    </w:p>
    <w:p>
      <w:pPr>
        <w:spacing w:line="360" w:lineRule="auto"/>
        <w:rPr>
          <w:color w:val="auto"/>
          <w:szCs w:val="21"/>
          <w:highlight w:val="none"/>
          <w:u w:val="single"/>
        </w:rPr>
      </w:pP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color w:val="auto"/>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2"/>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rFonts w:hint="eastAsia"/>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招标人提供由深圳市建筑设计研究总院有限公司提供的污水系统设备采购及安装工程施工图纸（电子版），请各投标人在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hint="eastAsia" w:asciiTheme="minorEastAsia" w:hAnsiTheme="minorEastAsia" w:eastAsiaTheme="minorEastAsia" w:cstheme="minorEastAsia"/>
          <w:b w:val="0"/>
          <w:bCs w:val="0"/>
          <w:color w:val="auto"/>
          <w:kern w:val="0"/>
          <w:sz w:val="24"/>
          <w:szCs w:val="24"/>
          <w:highlight w:val="none"/>
          <w:lang w:val="en-US" w:eastAsia="zh-CN" w:bidi="ar-SA"/>
        </w:rPr>
        <w:t>控制价文件中领取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3"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adjustRightInd w:val="0"/>
        <w:snapToGrid w:val="0"/>
        <w:spacing w:after="120" w:afterLines="50" w:line="360" w:lineRule="exact"/>
        <w:rPr>
          <w:b/>
          <w:bCs/>
          <w:color w:val="auto"/>
          <w:sz w:val="24"/>
          <w:highlight w:val="none"/>
        </w:rPr>
      </w:pPr>
      <w:r>
        <w:rPr>
          <w:rFonts w:hint="eastAsia"/>
          <w:b/>
          <w:bCs/>
          <w:color w:val="auto"/>
          <w:sz w:val="24"/>
          <w:highlight w:val="none"/>
        </w:rPr>
        <w:t>1、基本要求</w:t>
      </w:r>
    </w:p>
    <w:p>
      <w:pPr>
        <w:widowControl/>
        <w:spacing w:line="360" w:lineRule="exact"/>
        <w:ind w:firstLine="480" w:firstLineChars="200"/>
        <w:rPr>
          <w:color w:val="auto"/>
          <w:szCs w:val="21"/>
          <w:highlight w:val="none"/>
        </w:rPr>
      </w:pPr>
      <w:r>
        <w:rPr>
          <w:rFonts w:hint="eastAsia"/>
          <w:color w:val="auto"/>
          <w:sz w:val="24"/>
          <w:highlight w:val="none"/>
        </w:rPr>
        <w:t>1.1</w:t>
      </w:r>
      <w:r>
        <w:rPr>
          <w:rFonts w:hint="eastAsia"/>
          <w:color w:val="auto"/>
          <w:szCs w:val="21"/>
          <w:highlight w:val="none"/>
        </w:rPr>
        <w:t>投标人应充分理解并认真遵循本招标文件的要求，所提供货物的品质、性能和使用寿命至关重要。所有货物必须是全新的、技术成熟的、性能优良的、具有当代先进水平的产品。</w:t>
      </w:r>
    </w:p>
    <w:p>
      <w:pPr>
        <w:widowControl/>
        <w:spacing w:line="360" w:lineRule="exact"/>
        <w:ind w:firstLine="420" w:firstLineChars="200"/>
        <w:rPr>
          <w:color w:val="auto"/>
          <w:szCs w:val="21"/>
          <w:highlight w:val="none"/>
        </w:rPr>
      </w:pPr>
      <w:r>
        <w:rPr>
          <w:rFonts w:hint="eastAsia"/>
          <w:color w:val="auto"/>
          <w:szCs w:val="21"/>
          <w:highlight w:val="none"/>
        </w:rPr>
        <w:t>1.2投标文件必须进行实质性应答，量化指标必须列明具体数值；所有应答应如实响应，不得简单照抄、硬套招标文件所列条款、指标和参数。</w:t>
      </w:r>
    </w:p>
    <w:p>
      <w:pPr>
        <w:widowControl/>
        <w:spacing w:line="360" w:lineRule="exact"/>
        <w:ind w:firstLine="420" w:firstLineChars="200"/>
        <w:rPr>
          <w:color w:val="auto"/>
          <w:szCs w:val="21"/>
          <w:highlight w:val="none"/>
        </w:rPr>
      </w:pPr>
      <w:r>
        <w:rPr>
          <w:rFonts w:hint="eastAsia"/>
          <w:color w:val="auto"/>
          <w:szCs w:val="21"/>
          <w:highlight w:val="none"/>
        </w:rPr>
        <w:t>1.3投标人应仔细研究阅读招标文件的所有内容，如发现文件有缺漏或不一致或有不同的理解时，应及时提请招标人补充和澄清，否则按招标人的实际要求和理解执行。</w:t>
      </w:r>
    </w:p>
    <w:p>
      <w:pPr>
        <w:widowControl/>
        <w:spacing w:line="360" w:lineRule="exact"/>
        <w:ind w:firstLine="420" w:firstLineChars="200"/>
        <w:rPr>
          <w:color w:val="auto"/>
          <w:szCs w:val="21"/>
          <w:highlight w:val="none"/>
        </w:rPr>
      </w:pPr>
      <w:r>
        <w:rPr>
          <w:rFonts w:hint="eastAsia"/>
          <w:color w:val="auto"/>
          <w:szCs w:val="21"/>
          <w:highlight w:val="none"/>
        </w:rPr>
        <w:t>1.4投标人应对投标内容所涉及的版权、商标、专利、软件等知识产权承担责任，并负责保护招标人的利益不受任何损害。一切由于知识产权涉嫌侵权引起的仲裁、诉讼、行政处理等法律纠纷，均由中标人承担所有责任和所有费用。由此给招标人造成损失的，投标人应予赔偿并承担全部法律责任。</w:t>
      </w:r>
    </w:p>
    <w:p>
      <w:pPr>
        <w:widowControl/>
        <w:spacing w:line="360" w:lineRule="exact"/>
        <w:ind w:firstLine="420" w:firstLineChars="200"/>
        <w:rPr>
          <w:color w:val="auto"/>
          <w:szCs w:val="21"/>
          <w:highlight w:val="none"/>
        </w:rPr>
      </w:pPr>
      <w:r>
        <w:rPr>
          <w:rFonts w:hint="eastAsia"/>
          <w:color w:val="auto"/>
          <w:szCs w:val="21"/>
          <w:highlight w:val="none"/>
        </w:rPr>
        <w:t>1.5本章所规定的技术规格及要求中提出的是最低限度的要求，并未对一切细节作出规定，也未充分引述全部有关标准和规范的条文，投标人提供的所有货物（包括设计、制造、测试和安装、以及环保节能等）都应符合招标时己颁布的现行中华人民共和国认可的（部颁、行业）标准和国际标准化组织以及等效或更优的其他国家的权威性标准和规范的有关条文。如果这些标准内容有矛盾时，应按最高标准的条款执行。</w:t>
      </w:r>
    </w:p>
    <w:p>
      <w:pPr>
        <w:widowControl/>
        <w:spacing w:line="360" w:lineRule="exact"/>
        <w:ind w:firstLine="420" w:firstLineChars="200"/>
        <w:rPr>
          <w:color w:val="auto"/>
          <w:szCs w:val="21"/>
          <w:highlight w:val="none"/>
        </w:rPr>
      </w:pPr>
      <w:r>
        <w:rPr>
          <w:rFonts w:hint="eastAsia"/>
          <w:bCs/>
          <w:color w:val="auto"/>
          <w:szCs w:val="21"/>
          <w:highlight w:val="none"/>
        </w:rPr>
        <w:t>1.6</w:t>
      </w:r>
      <w:r>
        <w:rPr>
          <w:rFonts w:hint="eastAsia"/>
          <w:color w:val="auto"/>
          <w:szCs w:val="21"/>
          <w:highlight w:val="none"/>
        </w:rPr>
        <w:t>本章经甲、乙双方确认后作为订货合同的技术附件，与合同正文具同等效力。</w:t>
      </w:r>
    </w:p>
    <w:p>
      <w:pPr>
        <w:spacing w:line="360" w:lineRule="exact"/>
        <w:ind w:firstLine="420" w:firstLineChars="200"/>
        <w:rPr>
          <w:color w:val="auto"/>
          <w:szCs w:val="21"/>
          <w:highlight w:val="none"/>
        </w:rPr>
      </w:pPr>
      <w:r>
        <w:rPr>
          <w:rFonts w:hint="eastAsia"/>
          <w:color w:val="auto"/>
          <w:szCs w:val="21"/>
          <w:highlight w:val="none"/>
        </w:rPr>
        <w:t>1.7所有设备应能实现自动控制。综合配置、控制、以及运行的经济指标和技术指标都要达到国内的先进水平。投标人所提供的设备和技术最终须得到项目设计院的确认，如达不到设计院的要求，招标人有权要求更改设备和技术。</w:t>
      </w:r>
    </w:p>
    <w:p>
      <w:pPr>
        <w:pStyle w:val="12"/>
        <w:spacing w:line="360" w:lineRule="exact"/>
        <w:ind w:firstLine="420" w:firstLineChars="200"/>
        <w:rPr>
          <w:rFonts w:hAnsi="宋体"/>
          <w:color w:val="auto"/>
          <w:highlight w:val="none"/>
        </w:rPr>
      </w:pPr>
      <w:r>
        <w:rPr>
          <w:rFonts w:hint="eastAsia" w:hAnsi="宋体"/>
          <w:color w:val="auto"/>
          <w:highlight w:val="none"/>
        </w:rPr>
        <w:t>1.8投标人在投标书中必须对设备品牌、材质、规格、数量等进行详细描述。投标设备技术指标、参数也必须进行详细说明。</w:t>
      </w:r>
    </w:p>
    <w:p>
      <w:pPr>
        <w:widowControl/>
        <w:spacing w:line="360" w:lineRule="exact"/>
        <w:ind w:firstLine="420" w:firstLineChars="200"/>
        <w:rPr>
          <w:color w:val="auto"/>
          <w:szCs w:val="21"/>
          <w:highlight w:val="none"/>
        </w:rPr>
      </w:pPr>
      <w:r>
        <w:rPr>
          <w:rFonts w:hint="eastAsia"/>
          <w:color w:val="auto"/>
          <w:szCs w:val="21"/>
          <w:highlight w:val="none"/>
        </w:rPr>
        <w:t>1.9投标人提供的技术资料必须真实、准确，如发现提供的资料有虚假不实的情况，投标人将承担被废标的后果。</w:t>
      </w:r>
    </w:p>
    <w:p>
      <w:pPr>
        <w:spacing w:line="360" w:lineRule="exact"/>
        <w:ind w:firstLine="420" w:firstLineChars="200"/>
        <w:rPr>
          <w:color w:val="auto"/>
          <w:szCs w:val="21"/>
          <w:highlight w:val="none"/>
        </w:rPr>
      </w:pPr>
      <w:r>
        <w:rPr>
          <w:color w:val="auto"/>
          <w:szCs w:val="21"/>
          <w:highlight w:val="none"/>
        </w:rPr>
        <w:t>1.10</w:t>
      </w:r>
      <w:r>
        <w:rPr>
          <w:rFonts w:hint="eastAsia"/>
          <w:color w:val="auto"/>
          <w:szCs w:val="21"/>
          <w:highlight w:val="none"/>
        </w:rPr>
        <w:t>为考虑企业生产规模发展的需要，本次招标污水处理按1600m</w:t>
      </w:r>
      <w:r>
        <w:rPr>
          <w:rFonts w:hint="eastAsia"/>
          <w:color w:val="auto"/>
          <w:szCs w:val="21"/>
          <w:highlight w:val="none"/>
          <w:vertAlign w:val="superscript"/>
        </w:rPr>
        <w:t>3</w:t>
      </w:r>
      <w:r>
        <w:rPr>
          <w:rFonts w:hint="eastAsia"/>
          <w:color w:val="auto"/>
          <w:szCs w:val="21"/>
          <w:highlight w:val="none"/>
        </w:rPr>
        <w:t>/d处理量进行施工（1600m3/d综合污水处理设备）。</w:t>
      </w:r>
    </w:p>
    <w:p>
      <w:pPr>
        <w:spacing w:line="360" w:lineRule="exact"/>
        <w:ind w:firstLine="420" w:firstLineChars="200"/>
        <w:rPr>
          <w:color w:val="auto"/>
          <w:szCs w:val="21"/>
          <w:highlight w:val="none"/>
        </w:rPr>
      </w:pPr>
      <w:r>
        <w:rPr>
          <w:color w:val="auto"/>
          <w:szCs w:val="21"/>
          <w:highlight w:val="none"/>
        </w:rPr>
        <w:t>1.11</w:t>
      </w:r>
      <w:r>
        <w:rPr>
          <w:rFonts w:hint="eastAsia"/>
          <w:color w:val="auto"/>
          <w:szCs w:val="21"/>
          <w:highlight w:val="none"/>
        </w:rPr>
        <w:t>招标人对于投标人深化设计的要求，所有的深化设计必须满足招标人提供的设计院土建结构设计图纸的要求。详见招标图纸。</w:t>
      </w:r>
    </w:p>
    <w:p>
      <w:pPr>
        <w:spacing w:line="360" w:lineRule="exact"/>
        <w:ind w:firstLine="420" w:firstLineChars="200"/>
        <w:rPr>
          <w:color w:val="auto"/>
          <w:szCs w:val="21"/>
          <w:highlight w:val="none"/>
        </w:rPr>
      </w:pPr>
      <w:r>
        <w:rPr>
          <w:color w:val="auto"/>
          <w:szCs w:val="21"/>
          <w:highlight w:val="none"/>
        </w:rPr>
        <w:t>1.12</w:t>
      </w:r>
      <w:r>
        <w:rPr>
          <w:rFonts w:hint="eastAsia"/>
          <w:color w:val="auto"/>
          <w:szCs w:val="21"/>
          <w:highlight w:val="none"/>
        </w:rPr>
        <w:t>所有投标人提供的设备，均由投标人安装调试，同时，对一些须预埋的预埋件由投标人进行预埋。预留孔洞投标人与设计院结合，由投标人提供详细的图纸(包括所有土建、设备资料图纸)，由设计院转化设计，招标人另行委托施工总承包人进行土建施工、预留，投标人须派专业工程师指导施工总承包人进行有关预留工作（包括预留设备、预埋件及设备基础的预留）。</w:t>
      </w:r>
    </w:p>
    <w:p>
      <w:pPr>
        <w:adjustRightInd w:val="0"/>
        <w:snapToGrid w:val="0"/>
        <w:spacing w:after="120" w:afterLines="50" w:line="360" w:lineRule="exact"/>
        <w:rPr>
          <w:color w:val="auto"/>
          <w:szCs w:val="21"/>
          <w:highlight w:val="none"/>
        </w:rPr>
      </w:pPr>
      <w:r>
        <w:rPr>
          <w:color w:val="auto"/>
          <w:szCs w:val="21"/>
          <w:highlight w:val="none"/>
        </w:rPr>
        <w:t xml:space="preserve">  1.13</w:t>
      </w:r>
      <w:r>
        <w:rPr>
          <w:rFonts w:hint="eastAsia"/>
          <w:color w:val="auto"/>
          <w:szCs w:val="21"/>
          <w:highlight w:val="none"/>
        </w:rPr>
        <w:t>主要构筑物、设备一览表（不限于下列各表中所列设备）</w:t>
      </w:r>
    </w:p>
    <w:p>
      <w:pPr>
        <w:adjustRightInd w:val="0"/>
        <w:snapToGrid w:val="0"/>
        <w:spacing w:line="360" w:lineRule="exact"/>
        <w:ind w:firstLine="480" w:firstLineChars="200"/>
        <w:rPr>
          <w:color w:val="auto"/>
          <w:highlight w:val="none"/>
        </w:rPr>
      </w:pPr>
      <w:r>
        <w:rPr>
          <w:rFonts w:hint="eastAsia"/>
          <w:color w:val="auto"/>
          <w:sz w:val="24"/>
          <w:highlight w:val="none"/>
        </w:rPr>
        <w:t>主要构筑物表</w:t>
      </w:r>
    </w:p>
    <w:tbl>
      <w:tblPr>
        <w:tblStyle w:val="27"/>
        <w:tblpPr w:leftFromText="180" w:rightFromText="180" w:vertAnchor="text" w:horzAnchor="page" w:tblpX="1267" w:tblpY="687"/>
        <w:tblOverlap w:val="never"/>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432"/>
        <w:gridCol w:w="2495"/>
        <w:gridCol w:w="1064"/>
        <w:gridCol w:w="2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序号</w:t>
            </w:r>
          </w:p>
        </w:tc>
        <w:tc>
          <w:tcPr>
            <w:tcW w:w="1432" w:type="dxa"/>
            <w:vAlign w:val="center"/>
          </w:tcPr>
          <w:p>
            <w:pPr>
              <w:spacing w:line="480" w:lineRule="exact"/>
              <w:rPr>
                <w:color w:val="auto"/>
                <w:szCs w:val="21"/>
                <w:highlight w:val="none"/>
              </w:rPr>
            </w:pPr>
            <w:r>
              <w:rPr>
                <w:rFonts w:hint="eastAsia"/>
                <w:color w:val="auto"/>
                <w:szCs w:val="21"/>
                <w:highlight w:val="none"/>
              </w:rPr>
              <w:t>名称</w:t>
            </w:r>
          </w:p>
        </w:tc>
        <w:tc>
          <w:tcPr>
            <w:tcW w:w="2495" w:type="dxa"/>
            <w:vAlign w:val="center"/>
          </w:tcPr>
          <w:p>
            <w:pPr>
              <w:spacing w:line="480" w:lineRule="exact"/>
              <w:rPr>
                <w:color w:val="auto"/>
                <w:szCs w:val="21"/>
                <w:highlight w:val="none"/>
              </w:rPr>
            </w:pPr>
            <w:r>
              <w:rPr>
                <w:rFonts w:hint="eastAsia"/>
                <w:color w:val="auto"/>
                <w:szCs w:val="21"/>
                <w:highlight w:val="none"/>
              </w:rPr>
              <w:t>规格型号</w:t>
            </w:r>
          </w:p>
        </w:tc>
        <w:tc>
          <w:tcPr>
            <w:tcW w:w="1064" w:type="dxa"/>
            <w:vAlign w:val="center"/>
          </w:tcPr>
          <w:p>
            <w:pPr>
              <w:spacing w:line="480" w:lineRule="exact"/>
              <w:rPr>
                <w:color w:val="auto"/>
                <w:szCs w:val="21"/>
                <w:highlight w:val="none"/>
              </w:rPr>
            </w:pPr>
            <w:r>
              <w:rPr>
                <w:rFonts w:hint="eastAsia"/>
                <w:color w:val="auto"/>
                <w:szCs w:val="21"/>
                <w:highlight w:val="none"/>
              </w:rPr>
              <w:t>数量</w:t>
            </w:r>
          </w:p>
        </w:tc>
        <w:tc>
          <w:tcPr>
            <w:tcW w:w="2913" w:type="dxa"/>
            <w:vAlign w:val="center"/>
          </w:tcPr>
          <w:p>
            <w:pPr>
              <w:spacing w:line="480" w:lineRule="exact"/>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1</w:t>
            </w:r>
          </w:p>
        </w:tc>
        <w:tc>
          <w:tcPr>
            <w:tcW w:w="1432" w:type="dxa"/>
            <w:vAlign w:val="center"/>
          </w:tcPr>
          <w:p>
            <w:pPr>
              <w:spacing w:line="480" w:lineRule="exact"/>
              <w:rPr>
                <w:color w:val="auto"/>
                <w:szCs w:val="21"/>
                <w:highlight w:val="none"/>
              </w:rPr>
            </w:pPr>
            <w:r>
              <w:rPr>
                <w:rFonts w:hint="eastAsia"/>
                <w:color w:val="auto"/>
                <w:szCs w:val="21"/>
                <w:highlight w:val="none"/>
              </w:rPr>
              <w:t>格栅井</w:t>
            </w:r>
          </w:p>
        </w:tc>
        <w:tc>
          <w:tcPr>
            <w:tcW w:w="2495" w:type="dxa"/>
            <w:vAlign w:val="center"/>
          </w:tcPr>
          <w:p>
            <w:pPr>
              <w:spacing w:line="480" w:lineRule="exact"/>
              <w:rPr>
                <w:color w:val="auto"/>
                <w:szCs w:val="21"/>
                <w:highlight w:val="none"/>
              </w:rPr>
            </w:pPr>
            <w:r>
              <w:rPr>
                <w:rFonts w:hint="eastAsia"/>
                <w:color w:val="auto"/>
                <w:szCs w:val="21"/>
                <w:highlight w:val="none"/>
              </w:rPr>
              <w:t>3.75m×1.0m×6.1m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68" w:type="dxa"/>
            <w:vAlign w:val="center"/>
          </w:tcPr>
          <w:p>
            <w:pPr>
              <w:spacing w:line="480" w:lineRule="exact"/>
              <w:rPr>
                <w:color w:val="auto"/>
                <w:szCs w:val="21"/>
                <w:highlight w:val="none"/>
              </w:rPr>
            </w:pPr>
            <w:r>
              <w:rPr>
                <w:rFonts w:hint="eastAsia"/>
                <w:color w:val="auto"/>
                <w:szCs w:val="21"/>
                <w:highlight w:val="none"/>
              </w:rPr>
              <w:t>2</w:t>
            </w:r>
          </w:p>
        </w:tc>
        <w:tc>
          <w:tcPr>
            <w:tcW w:w="1432" w:type="dxa"/>
            <w:vAlign w:val="center"/>
          </w:tcPr>
          <w:p>
            <w:pPr>
              <w:spacing w:line="480" w:lineRule="exact"/>
              <w:rPr>
                <w:color w:val="auto"/>
                <w:szCs w:val="21"/>
                <w:highlight w:val="none"/>
              </w:rPr>
            </w:pPr>
            <w:r>
              <w:rPr>
                <w:rFonts w:hint="eastAsia"/>
                <w:color w:val="auto"/>
                <w:szCs w:val="21"/>
                <w:highlight w:val="none"/>
              </w:rPr>
              <w:t>调节池</w:t>
            </w:r>
          </w:p>
        </w:tc>
        <w:tc>
          <w:tcPr>
            <w:tcW w:w="2495" w:type="dxa"/>
            <w:vAlign w:val="center"/>
          </w:tcPr>
          <w:p>
            <w:pPr>
              <w:pStyle w:val="24"/>
              <w:rPr>
                <w:color w:val="auto"/>
                <w:szCs w:val="21"/>
                <w:highlight w:val="none"/>
              </w:rPr>
            </w:pPr>
            <w:r>
              <w:rPr>
                <w:color w:val="auto"/>
                <w:sz w:val="22"/>
                <w:highlight w:val="none"/>
              </w:rPr>
              <w:t>13.8m</w:t>
            </w:r>
            <w:r>
              <w:rPr>
                <w:rFonts w:hint="eastAsia"/>
                <w:color w:val="auto"/>
                <w:szCs w:val="21"/>
                <w:highlight w:val="none"/>
              </w:rPr>
              <w:t>×</w:t>
            </w:r>
            <w:r>
              <w:rPr>
                <w:color w:val="auto"/>
                <w:sz w:val="22"/>
                <w:highlight w:val="none"/>
              </w:rPr>
              <w:t>11.3m</w:t>
            </w:r>
            <w:r>
              <w:rPr>
                <w:rFonts w:hint="eastAsia"/>
                <w:color w:val="auto"/>
                <w:szCs w:val="21"/>
                <w:highlight w:val="none"/>
              </w:rPr>
              <w:t>×</w:t>
            </w:r>
            <w:r>
              <w:rPr>
                <w:color w:val="auto"/>
                <w:sz w:val="22"/>
                <w:highlight w:val="none"/>
              </w:rPr>
              <w:t>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3</w:t>
            </w:r>
          </w:p>
        </w:tc>
        <w:tc>
          <w:tcPr>
            <w:tcW w:w="1432" w:type="dxa"/>
            <w:vAlign w:val="center"/>
          </w:tcPr>
          <w:p>
            <w:pPr>
              <w:spacing w:line="480" w:lineRule="exact"/>
              <w:rPr>
                <w:color w:val="auto"/>
                <w:szCs w:val="21"/>
                <w:highlight w:val="none"/>
              </w:rPr>
            </w:pPr>
            <w:r>
              <w:rPr>
                <w:rFonts w:hint="eastAsia"/>
                <w:color w:val="auto"/>
                <w:szCs w:val="21"/>
                <w:highlight w:val="none"/>
              </w:rPr>
              <w:t>事故池</w:t>
            </w:r>
          </w:p>
        </w:tc>
        <w:tc>
          <w:tcPr>
            <w:tcW w:w="2495" w:type="dxa"/>
            <w:vAlign w:val="center"/>
          </w:tcPr>
          <w:p>
            <w:pPr>
              <w:pStyle w:val="24"/>
              <w:rPr>
                <w:color w:val="auto"/>
                <w:szCs w:val="21"/>
                <w:highlight w:val="none"/>
              </w:rPr>
            </w:pPr>
            <w:r>
              <w:rPr>
                <w:color w:val="auto"/>
                <w:sz w:val="22"/>
                <w:highlight w:val="none"/>
              </w:rPr>
              <w:t>12.4m</w:t>
            </w:r>
            <w:r>
              <w:rPr>
                <w:rFonts w:hint="eastAsia"/>
                <w:color w:val="auto"/>
                <w:szCs w:val="21"/>
                <w:highlight w:val="none"/>
              </w:rPr>
              <w:t>×</w:t>
            </w:r>
            <w:r>
              <w:rPr>
                <w:color w:val="auto"/>
                <w:sz w:val="22"/>
                <w:highlight w:val="none"/>
              </w:rPr>
              <w:t>11.4m</w:t>
            </w:r>
            <w:r>
              <w:rPr>
                <w:rFonts w:hint="eastAsia"/>
                <w:color w:val="auto"/>
                <w:szCs w:val="21"/>
                <w:highlight w:val="none"/>
              </w:rPr>
              <w:t>×</w:t>
            </w:r>
            <w:r>
              <w:rPr>
                <w:color w:val="auto"/>
                <w:sz w:val="22"/>
                <w:highlight w:val="none"/>
              </w:rPr>
              <w:t>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4</w:t>
            </w:r>
          </w:p>
        </w:tc>
        <w:tc>
          <w:tcPr>
            <w:tcW w:w="1432" w:type="dxa"/>
            <w:vAlign w:val="center"/>
          </w:tcPr>
          <w:p>
            <w:pPr>
              <w:spacing w:line="480" w:lineRule="exact"/>
              <w:rPr>
                <w:color w:val="auto"/>
                <w:szCs w:val="21"/>
                <w:highlight w:val="none"/>
              </w:rPr>
            </w:pPr>
            <w:r>
              <w:rPr>
                <w:rFonts w:hint="eastAsia"/>
                <w:color w:val="auto"/>
                <w:szCs w:val="21"/>
                <w:highlight w:val="none"/>
              </w:rPr>
              <w:t>接触氧化池</w:t>
            </w:r>
          </w:p>
        </w:tc>
        <w:tc>
          <w:tcPr>
            <w:tcW w:w="2495" w:type="dxa"/>
            <w:vAlign w:val="center"/>
          </w:tcPr>
          <w:p>
            <w:pPr>
              <w:spacing w:line="480" w:lineRule="exact"/>
              <w:rPr>
                <w:color w:val="auto"/>
                <w:szCs w:val="21"/>
                <w:highlight w:val="none"/>
              </w:rPr>
            </w:pPr>
            <w:r>
              <w:rPr>
                <w:rFonts w:hint="eastAsia"/>
                <w:color w:val="auto"/>
                <w:szCs w:val="21"/>
                <w:highlight w:val="none"/>
              </w:rPr>
              <w:t>6.5m×6.7m×5.0m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5</w:t>
            </w:r>
          </w:p>
        </w:tc>
        <w:tc>
          <w:tcPr>
            <w:tcW w:w="1432" w:type="dxa"/>
            <w:vAlign w:val="center"/>
          </w:tcPr>
          <w:p>
            <w:pPr>
              <w:spacing w:line="480" w:lineRule="exact"/>
              <w:rPr>
                <w:color w:val="auto"/>
                <w:szCs w:val="21"/>
                <w:highlight w:val="none"/>
              </w:rPr>
            </w:pPr>
            <w:r>
              <w:rPr>
                <w:rFonts w:hint="eastAsia"/>
                <w:color w:val="auto"/>
                <w:szCs w:val="21"/>
                <w:highlight w:val="none"/>
              </w:rPr>
              <w:t>混凝池</w:t>
            </w:r>
          </w:p>
        </w:tc>
        <w:tc>
          <w:tcPr>
            <w:tcW w:w="2495" w:type="dxa"/>
            <w:vAlign w:val="center"/>
          </w:tcPr>
          <w:p>
            <w:pPr>
              <w:spacing w:line="480" w:lineRule="exact"/>
              <w:rPr>
                <w:color w:val="auto"/>
                <w:szCs w:val="21"/>
                <w:highlight w:val="none"/>
              </w:rPr>
            </w:pPr>
            <w:r>
              <w:rPr>
                <w:rFonts w:hint="eastAsia"/>
                <w:color w:val="auto"/>
                <w:szCs w:val="21"/>
                <w:highlight w:val="none"/>
              </w:rPr>
              <w:t>1.3m×1.4m×3.0m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6</w:t>
            </w:r>
          </w:p>
        </w:tc>
        <w:tc>
          <w:tcPr>
            <w:tcW w:w="1432" w:type="dxa"/>
            <w:vAlign w:val="center"/>
          </w:tcPr>
          <w:p>
            <w:pPr>
              <w:spacing w:line="480" w:lineRule="exact"/>
              <w:rPr>
                <w:color w:val="auto"/>
                <w:szCs w:val="21"/>
                <w:highlight w:val="none"/>
              </w:rPr>
            </w:pPr>
            <w:r>
              <w:rPr>
                <w:rFonts w:hint="eastAsia"/>
                <w:color w:val="auto"/>
                <w:szCs w:val="21"/>
                <w:highlight w:val="none"/>
              </w:rPr>
              <w:t>絮凝池</w:t>
            </w:r>
          </w:p>
        </w:tc>
        <w:tc>
          <w:tcPr>
            <w:tcW w:w="2495" w:type="dxa"/>
            <w:vAlign w:val="center"/>
          </w:tcPr>
          <w:p>
            <w:pPr>
              <w:spacing w:line="480" w:lineRule="exact"/>
              <w:rPr>
                <w:color w:val="auto"/>
                <w:szCs w:val="21"/>
                <w:highlight w:val="none"/>
              </w:rPr>
            </w:pPr>
            <w:r>
              <w:rPr>
                <w:rFonts w:hint="eastAsia"/>
                <w:color w:val="auto"/>
                <w:szCs w:val="21"/>
                <w:highlight w:val="none"/>
              </w:rPr>
              <w:t>5.1m×1.4m×3.0m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7</w:t>
            </w:r>
          </w:p>
        </w:tc>
        <w:tc>
          <w:tcPr>
            <w:tcW w:w="1432" w:type="dxa"/>
            <w:vAlign w:val="center"/>
          </w:tcPr>
          <w:p>
            <w:pPr>
              <w:spacing w:line="480" w:lineRule="exact"/>
              <w:rPr>
                <w:color w:val="auto"/>
                <w:szCs w:val="21"/>
                <w:highlight w:val="none"/>
              </w:rPr>
            </w:pPr>
            <w:r>
              <w:rPr>
                <w:rFonts w:hint="eastAsia"/>
                <w:color w:val="auto"/>
                <w:szCs w:val="21"/>
                <w:highlight w:val="none"/>
              </w:rPr>
              <w:t>斜板沉淀池</w:t>
            </w:r>
          </w:p>
        </w:tc>
        <w:tc>
          <w:tcPr>
            <w:tcW w:w="2495" w:type="dxa"/>
            <w:vAlign w:val="center"/>
          </w:tcPr>
          <w:p>
            <w:pPr>
              <w:spacing w:line="480" w:lineRule="exact"/>
              <w:rPr>
                <w:color w:val="auto"/>
                <w:szCs w:val="21"/>
                <w:highlight w:val="none"/>
              </w:rPr>
            </w:pPr>
            <w:r>
              <w:rPr>
                <w:rFonts w:hint="eastAsia"/>
                <w:color w:val="auto"/>
                <w:szCs w:val="21"/>
                <w:highlight w:val="none"/>
              </w:rPr>
              <w:t>6.5m×6.7m×5.0m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8</w:t>
            </w:r>
          </w:p>
        </w:tc>
        <w:tc>
          <w:tcPr>
            <w:tcW w:w="1432" w:type="dxa"/>
            <w:vAlign w:val="center"/>
          </w:tcPr>
          <w:p>
            <w:pPr>
              <w:spacing w:line="480" w:lineRule="exact"/>
              <w:rPr>
                <w:color w:val="auto"/>
                <w:szCs w:val="21"/>
                <w:highlight w:val="none"/>
              </w:rPr>
            </w:pPr>
            <w:r>
              <w:rPr>
                <w:rFonts w:hint="eastAsia"/>
                <w:color w:val="auto"/>
                <w:szCs w:val="21"/>
                <w:highlight w:val="none"/>
              </w:rPr>
              <w:t>接触消毒池</w:t>
            </w:r>
          </w:p>
        </w:tc>
        <w:tc>
          <w:tcPr>
            <w:tcW w:w="2495" w:type="dxa"/>
            <w:vAlign w:val="center"/>
          </w:tcPr>
          <w:p>
            <w:pPr>
              <w:spacing w:line="480" w:lineRule="exact"/>
              <w:rPr>
                <w:color w:val="auto"/>
                <w:szCs w:val="21"/>
                <w:highlight w:val="none"/>
              </w:rPr>
            </w:pPr>
            <w:r>
              <w:rPr>
                <w:rFonts w:hint="eastAsia"/>
                <w:color w:val="auto"/>
                <w:szCs w:val="21"/>
                <w:highlight w:val="none"/>
              </w:rPr>
              <w:t>1.9m×6.7m×5.0m</w:t>
            </w:r>
          </w:p>
        </w:tc>
        <w:tc>
          <w:tcPr>
            <w:tcW w:w="1064" w:type="dxa"/>
            <w:vAlign w:val="center"/>
          </w:tcPr>
          <w:p>
            <w:pPr>
              <w:spacing w:line="480" w:lineRule="exact"/>
              <w:rPr>
                <w:color w:val="auto"/>
                <w:szCs w:val="21"/>
                <w:highlight w:val="none"/>
              </w:rPr>
            </w:pPr>
            <w:r>
              <w:rPr>
                <w:rFonts w:hint="eastAsia"/>
                <w:color w:val="auto"/>
                <w:szCs w:val="21"/>
                <w:highlight w:val="none"/>
              </w:rPr>
              <w:t>2座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9</w:t>
            </w:r>
          </w:p>
        </w:tc>
        <w:tc>
          <w:tcPr>
            <w:tcW w:w="1432" w:type="dxa"/>
            <w:vAlign w:val="center"/>
          </w:tcPr>
          <w:p>
            <w:pPr>
              <w:spacing w:line="480" w:lineRule="exact"/>
              <w:rPr>
                <w:color w:val="auto"/>
                <w:szCs w:val="21"/>
                <w:highlight w:val="none"/>
              </w:rPr>
            </w:pPr>
            <w:r>
              <w:rPr>
                <w:rFonts w:hint="eastAsia"/>
                <w:color w:val="auto"/>
                <w:szCs w:val="21"/>
                <w:highlight w:val="none"/>
              </w:rPr>
              <w:t>污泥池</w:t>
            </w:r>
          </w:p>
        </w:tc>
        <w:tc>
          <w:tcPr>
            <w:tcW w:w="2495" w:type="dxa"/>
            <w:vAlign w:val="center"/>
          </w:tcPr>
          <w:p>
            <w:pPr>
              <w:spacing w:line="480" w:lineRule="exact"/>
              <w:rPr>
                <w:color w:val="auto"/>
                <w:szCs w:val="21"/>
                <w:highlight w:val="none"/>
              </w:rPr>
            </w:pPr>
            <w:r>
              <w:rPr>
                <w:rFonts w:hint="eastAsia"/>
                <w:color w:val="auto"/>
                <w:szCs w:val="21"/>
                <w:highlight w:val="none"/>
              </w:rPr>
              <w:t>3.5m×2.6m×4.0m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68" w:type="dxa"/>
            <w:vAlign w:val="center"/>
          </w:tcPr>
          <w:p>
            <w:pPr>
              <w:spacing w:line="480" w:lineRule="exact"/>
              <w:rPr>
                <w:color w:val="auto"/>
                <w:szCs w:val="21"/>
                <w:highlight w:val="none"/>
              </w:rPr>
            </w:pPr>
            <w:r>
              <w:rPr>
                <w:rFonts w:hint="eastAsia"/>
                <w:color w:val="auto"/>
                <w:szCs w:val="21"/>
                <w:highlight w:val="none"/>
              </w:rPr>
              <w:t>10</w:t>
            </w:r>
          </w:p>
        </w:tc>
        <w:tc>
          <w:tcPr>
            <w:tcW w:w="1432" w:type="dxa"/>
            <w:vAlign w:val="center"/>
          </w:tcPr>
          <w:p>
            <w:pPr>
              <w:spacing w:line="480" w:lineRule="exact"/>
              <w:rPr>
                <w:color w:val="auto"/>
                <w:szCs w:val="21"/>
                <w:highlight w:val="none"/>
              </w:rPr>
            </w:pPr>
            <w:r>
              <w:rPr>
                <w:rFonts w:hint="eastAsia"/>
                <w:color w:val="auto"/>
                <w:szCs w:val="21"/>
                <w:highlight w:val="none"/>
              </w:rPr>
              <w:t>最终排放池</w:t>
            </w:r>
          </w:p>
        </w:tc>
        <w:tc>
          <w:tcPr>
            <w:tcW w:w="2495" w:type="dxa"/>
            <w:vAlign w:val="center"/>
          </w:tcPr>
          <w:p>
            <w:pPr>
              <w:spacing w:line="480" w:lineRule="exact"/>
              <w:rPr>
                <w:color w:val="auto"/>
                <w:szCs w:val="21"/>
                <w:highlight w:val="none"/>
              </w:rPr>
            </w:pPr>
            <w:r>
              <w:rPr>
                <w:rFonts w:hint="eastAsia"/>
                <w:color w:val="auto"/>
                <w:szCs w:val="21"/>
                <w:highlight w:val="none"/>
              </w:rPr>
              <w:t>8.6m×1.6m×3.3m</w:t>
            </w:r>
          </w:p>
        </w:tc>
        <w:tc>
          <w:tcPr>
            <w:tcW w:w="1064" w:type="dxa"/>
            <w:vAlign w:val="center"/>
          </w:tcPr>
          <w:p>
            <w:pPr>
              <w:spacing w:line="480" w:lineRule="exact"/>
              <w:rPr>
                <w:color w:val="auto"/>
                <w:szCs w:val="21"/>
                <w:highlight w:val="none"/>
              </w:rPr>
            </w:pPr>
            <w:r>
              <w:rPr>
                <w:rFonts w:hint="eastAsia"/>
                <w:color w:val="auto"/>
                <w:szCs w:val="21"/>
                <w:highlight w:val="none"/>
              </w:rPr>
              <w:t>1座</w:t>
            </w:r>
          </w:p>
        </w:tc>
        <w:tc>
          <w:tcPr>
            <w:tcW w:w="2913" w:type="dxa"/>
            <w:vAlign w:val="center"/>
          </w:tcPr>
          <w:p>
            <w:pPr>
              <w:spacing w:line="480" w:lineRule="exact"/>
              <w:rPr>
                <w:color w:val="auto"/>
                <w:szCs w:val="21"/>
                <w:highlight w:val="none"/>
              </w:rPr>
            </w:pPr>
            <w:r>
              <w:rPr>
                <w:rFonts w:hint="eastAsia"/>
                <w:color w:val="auto"/>
                <w:szCs w:val="21"/>
                <w:highlight w:val="none"/>
              </w:rPr>
              <w:t>地下钢砼结构（甲供）</w:t>
            </w:r>
          </w:p>
        </w:tc>
      </w:tr>
    </w:tbl>
    <w:p>
      <w:pPr>
        <w:adjustRightInd w:val="0"/>
        <w:spacing w:after="160" w:line="360" w:lineRule="exact"/>
        <w:rPr>
          <w:color w:val="auto"/>
          <w:sz w:val="24"/>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p>
    <w:p>
      <w:pPr>
        <w:adjustRightInd w:val="0"/>
        <w:spacing w:after="160" w:line="360" w:lineRule="exact"/>
        <w:rPr>
          <w:color w:val="auto"/>
          <w:szCs w:val="21"/>
          <w:highlight w:val="none"/>
        </w:rPr>
      </w:pPr>
      <w:r>
        <w:rPr>
          <w:rFonts w:hint="eastAsia"/>
          <w:color w:val="auto"/>
          <w:szCs w:val="21"/>
          <w:highlight w:val="none"/>
        </w:rPr>
        <w:t>主要构筑物由甲方提资，由设计院提供设计资料。</w:t>
      </w:r>
    </w:p>
    <w:p>
      <w:pPr>
        <w:rPr>
          <w:color w:val="auto"/>
          <w:highlight w:val="none"/>
        </w:rPr>
      </w:pP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2、安装地点及环境条件</w:t>
      </w:r>
    </w:p>
    <w:p>
      <w:pPr>
        <w:adjustRightInd w:val="0"/>
        <w:snapToGrid w:val="0"/>
        <w:spacing w:line="360" w:lineRule="exact"/>
        <w:ind w:firstLine="420" w:firstLineChars="200"/>
        <w:rPr>
          <w:color w:val="auto"/>
          <w:szCs w:val="21"/>
          <w:highlight w:val="none"/>
        </w:rPr>
      </w:pPr>
      <w:r>
        <w:rPr>
          <w:bCs/>
          <w:color w:val="auto"/>
          <w:szCs w:val="21"/>
          <w:highlight w:val="none"/>
        </w:rPr>
        <w:t>2</w:t>
      </w:r>
      <w:r>
        <w:rPr>
          <w:rFonts w:hint="eastAsia"/>
          <w:bCs/>
          <w:color w:val="auto"/>
          <w:szCs w:val="21"/>
          <w:highlight w:val="none"/>
        </w:rPr>
        <w:t>.1</w:t>
      </w:r>
      <w:r>
        <w:rPr>
          <w:rFonts w:hint="eastAsia"/>
          <w:color w:val="auto"/>
          <w:szCs w:val="21"/>
          <w:highlight w:val="none"/>
        </w:rPr>
        <w:t>安装地点：绍兴市妇幼保健院（绍兴市儿童医院）院内。</w:t>
      </w:r>
    </w:p>
    <w:p>
      <w:pPr>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.2供电：电压：AC 380V或220V，单相或三相五线制</w:t>
      </w:r>
    </w:p>
    <w:p>
      <w:pPr>
        <w:spacing w:line="360" w:lineRule="exact"/>
        <w:ind w:firstLine="420" w:firstLineChars="200"/>
        <w:rPr>
          <w:color w:val="auto"/>
          <w:szCs w:val="21"/>
          <w:highlight w:val="none"/>
        </w:rPr>
      </w:pPr>
      <w:r>
        <w:rPr>
          <w:rFonts w:hint="eastAsia"/>
          <w:color w:val="auto"/>
          <w:szCs w:val="21"/>
          <w:highlight w:val="none"/>
        </w:rPr>
        <w:t>频率：50Hz±1%</w:t>
      </w:r>
    </w:p>
    <w:p>
      <w:pPr>
        <w:spacing w:line="360" w:lineRule="exact"/>
        <w:ind w:firstLine="420" w:firstLineChars="200"/>
        <w:rPr>
          <w:color w:val="auto"/>
          <w:szCs w:val="21"/>
          <w:highlight w:val="none"/>
        </w:rPr>
      </w:pPr>
      <w:r>
        <w:rPr>
          <w:rFonts w:hint="eastAsia"/>
          <w:color w:val="auto"/>
          <w:szCs w:val="21"/>
          <w:highlight w:val="none"/>
        </w:rPr>
        <w:t>电压波动：±10%</w:t>
      </w:r>
    </w:p>
    <w:p>
      <w:pPr>
        <w:spacing w:line="360" w:lineRule="exact"/>
        <w:ind w:firstLine="420" w:firstLineChars="200"/>
        <w:rPr>
          <w:color w:val="auto"/>
          <w:szCs w:val="21"/>
          <w:highlight w:val="none"/>
        </w:rPr>
      </w:pPr>
      <w:r>
        <w:rPr>
          <w:rFonts w:hint="eastAsia"/>
          <w:color w:val="auto"/>
          <w:szCs w:val="21"/>
          <w:highlight w:val="none"/>
        </w:rPr>
        <w:t>接地电阻：≤1Ω</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.3环境温度：-10 ℃～50℃，环境湿度：80%。</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.4项目概况</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.4.1源水构成：</w:t>
      </w:r>
    </w:p>
    <w:p>
      <w:pPr>
        <w:adjustRightInd w:val="0"/>
        <w:snapToGrid w:val="0"/>
        <w:spacing w:line="360" w:lineRule="exact"/>
        <w:ind w:firstLine="420" w:firstLineChars="200"/>
        <w:rPr>
          <w:bCs/>
          <w:color w:val="auto"/>
          <w:szCs w:val="21"/>
          <w:highlight w:val="none"/>
        </w:rPr>
      </w:pPr>
      <w:r>
        <w:rPr>
          <w:rFonts w:hint="eastAsia"/>
          <w:bCs/>
          <w:color w:val="auto"/>
          <w:szCs w:val="21"/>
          <w:highlight w:val="none"/>
        </w:rPr>
        <w:t>本项污水处理站妇幼保健院总床位数1500床,根据HJ2029-2013,日均单位病床污水排放量取500L/d,日变换系数取2.0则处理水量计算值为1500m3/d,考虑一部分设计裕量该项目设计处理量为1600m3/d,每天运行24h。</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.4.2污水处理量：综合废水1600</w:t>
      </w:r>
      <w:r>
        <w:rPr>
          <w:rFonts w:hint="eastAsia"/>
          <w:bCs/>
          <w:color w:val="auto"/>
          <w:szCs w:val="21"/>
          <w:highlight w:val="none"/>
        </w:rPr>
        <w:t>m3//d</w:t>
      </w:r>
      <w:r>
        <w:rPr>
          <w:rFonts w:hint="eastAsia"/>
          <w:color w:val="auto"/>
          <w:szCs w:val="21"/>
          <w:highlight w:val="none"/>
        </w:rPr>
        <w:t>。</w:t>
      </w:r>
    </w:p>
    <w:p>
      <w:pPr>
        <w:adjustRightInd w:val="0"/>
        <w:snapToGrid w:val="0"/>
        <w:spacing w:line="360" w:lineRule="exact"/>
        <w:ind w:firstLine="420" w:firstLineChars="200"/>
        <w:rPr>
          <w:color w:val="auto"/>
          <w:szCs w:val="21"/>
          <w:highlight w:val="none"/>
        </w:rPr>
      </w:pPr>
      <w:r>
        <w:rPr>
          <w:color w:val="auto"/>
          <w:szCs w:val="21"/>
          <w:highlight w:val="none"/>
        </w:rPr>
        <w:t>2</w:t>
      </w:r>
      <w:r>
        <w:rPr>
          <w:rFonts w:hint="eastAsia"/>
          <w:color w:val="auto"/>
          <w:szCs w:val="21"/>
          <w:highlight w:val="none"/>
        </w:rPr>
        <w:t>.4.3源水水质：</w:t>
      </w:r>
    </w:p>
    <w:p>
      <w:pPr>
        <w:pStyle w:val="2"/>
        <w:spacing w:line="360" w:lineRule="exact"/>
        <w:ind w:firstLine="480" w:firstLineChars="200"/>
        <w:rPr>
          <w:bCs/>
          <w:color w:val="auto"/>
          <w:szCs w:val="21"/>
          <w:highlight w:val="none"/>
        </w:rPr>
      </w:pPr>
      <w:r>
        <w:rPr>
          <w:rFonts w:hint="eastAsia"/>
          <w:bCs/>
          <w:color w:val="auto"/>
          <w:szCs w:val="21"/>
          <w:highlight w:val="none"/>
        </w:rPr>
        <w:t>本项目进水水质无实测资料，参考《医院污水处理设计规范》（CECS07：2004）中相关水质规定及《建筑中水设计规范》（GB50336-2002）中生活污水水质参考值，出水水质执行《医疗机构水污染物排放标准》（GB18466-2005）中预处理标准。</w:t>
      </w:r>
    </w:p>
    <w:p>
      <w:pPr>
        <w:pStyle w:val="2"/>
        <w:ind w:firstLine="480" w:firstLineChars="200"/>
        <w:rPr>
          <w:bCs/>
          <w:color w:val="auto"/>
          <w:szCs w:val="21"/>
          <w:highlight w:val="none"/>
        </w:rPr>
      </w:pPr>
      <w:r>
        <w:rPr>
          <w:rFonts w:hint="eastAsia"/>
          <w:bCs/>
          <w:color w:val="auto"/>
          <w:szCs w:val="21"/>
          <w:highlight w:val="none"/>
        </w:rPr>
        <w:t>设计进水水质</w:t>
      </w:r>
    </w:p>
    <w:p>
      <w:pPr>
        <w:pStyle w:val="2"/>
        <w:spacing w:line="360" w:lineRule="auto"/>
        <w:ind w:firstLine="480" w:firstLineChars="200"/>
        <w:rPr>
          <w:bCs/>
          <w:color w:val="auto"/>
          <w:szCs w:val="21"/>
          <w:highlight w:val="none"/>
        </w:rPr>
      </w:pPr>
      <w:r>
        <w:rPr>
          <w:rFonts w:hint="eastAsia"/>
          <w:bCs/>
          <w:color w:val="auto"/>
          <w:szCs w:val="21"/>
          <w:highlight w:val="none"/>
        </w:rPr>
        <w:t>根据《医院污水处理工程技术规范》(HJ2029-2013),原有项目废水中各污染物产生及排放情况如下(单位(mg/L):</w:t>
      </w:r>
    </w:p>
    <w:p>
      <w:pPr>
        <w:pStyle w:val="2"/>
        <w:spacing w:line="360" w:lineRule="auto"/>
        <w:rPr>
          <w:bCs/>
          <w:color w:val="auto"/>
          <w:szCs w:val="21"/>
          <w:highlight w:val="none"/>
        </w:rPr>
      </w:pPr>
      <w:r>
        <w:rPr>
          <w:rFonts w:hint="eastAsia"/>
          <w:bCs/>
          <w:color w:val="auto"/>
          <w:szCs w:val="21"/>
          <w:highlight w:val="none"/>
        </w:rPr>
        <w:drawing>
          <wp:inline distT="0" distB="0" distL="114300" distR="114300">
            <wp:extent cx="5018405" cy="572135"/>
            <wp:effectExtent l="0" t="0" r="1270" b="8890"/>
            <wp:docPr id="7" name="图片 3" descr="16181096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618109614(1)"/>
                    <pic:cNvPicPr>
                      <a:picLocks noChangeAspect="1"/>
                    </pic:cNvPicPr>
                  </pic:nvPicPr>
                  <pic:blipFill>
                    <a:blip r:embed="rId9"/>
                    <a:stretch>
                      <a:fillRect/>
                    </a:stretch>
                  </pic:blipFill>
                  <pic:spPr>
                    <a:xfrm>
                      <a:off x="0" y="0"/>
                      <a:ext cx="5018405" cy="572135"/>
                    </a:xfrm>
                    <a:prstGeom prst="rect">
                      <a:avLst/>
                    </a:prstGeom>
                    <a:noFill/>
                    <a:ln>
                      <a:noFill/>
                    </a:ln>
                  </pic:spPr>
                </pic:pic>
              </a:graphicData>
            </a:graphic>
          </wp:inline>
        </w:drawing>
      </w:r>
    </w:p>
    <w:p>
      <w:pPr>
        <w:pStyle w:val="24"/>
        <w:spacing w:before="0" w:beforeAutospacing="0" w:after="0" w:afterAutospacing="0" w:line="360" w:lineRule="auto"/>
        <w:ind w:firstLine="420" w:firstLineChars="200"/>
        <w:rPr>
          <w:color w:val="auto"/>
          <w:sz w:val="21"/>
          <w:szCs w:val="21"/>
          <w:highlight w:val="none"/>
        </w:rPr>
      </w:pPr>
      <w:r>
        <w:rPr>
          <w:color w:val="auto"/>
          <w:sz w:val="21"/>
          <w:szCs w:val="21"/>
          <w:highlight w:val="none"/>
        </w:rPr>
        <w:t>本污水处理站出水达到《医疗机构水污染物排放标准》(G18466-2005)中排放标准后,经市政污水管网污水处理厂处理,接管浓度限值见下表:</w:t>
      </w:r>
    </w:p>
    <w:p>
      <w:pPr>
        <w:pStyle w:val="2"/>
        <w:rPr>
          <w:bCs/>
          <w:color w:val="auto"/>
          <w:szCs w:val="21"/>
          <w:highlight w:val="none"/>
        </w:rPr>
      </w:pPr>
    </w:p>
    <w:p>
      <w:pPr>
        <w:pStyle w:val="2"/>
        <w:ind w:firstLine="480" w:firstLineChars="200"/>
        <w:rPr>
          <w:color w:val="auto"/>
          <w:highlight w:val="none"/>
        </w:rPr>
      </w:pPr>
      <w:r>
        <w:rPr>
          <w:color w:val="auto"/>
          <w:highlight w:val="none"/>
        </w:rPr>
        <w:drawing>
          <wp:inline distT="0" distB="0" distL="114300" distR="114300">
            <wp:extent cx="5276850" cy="781050"/>
            <wp:effectExtent l="0" t="0" r="0" b="0"/>
            <wp:docPr id="15" name="图片 4" descr="1618109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1618109827(1)"/>
                    <pic:cNvPicPr>
                      <a:picLocks noChangeAspect="1"/>
                    </pic:cNvPicPr>
                  </pic:nvPicPr>
                  <pic:blipFill>
                    <a:blip r:embed="rId10"/>
                    <a:stretch>
                      <a:fillRect/>
                    </a:stretch>
                  </pic:blipFill>
                  <pic:spPr>
                    <a:xfrm>
                      <a:off x="0" y="0"/>
                      <a:ext cx="5276850" cy="781050"/>
                    </a:xfrm>
                    <a:prstGeom prst="rect">
                      <a:avLst/>
                    </a:prstGeom>
                    <a:noFill/>
                    <a:ln>
                      <a:noFill/>
                    </a:ln>
                  </pic:spPr>
                </pic:pic>
              </a:graphicData>
            </a:graphic>
          </wp:inline>
        </w:drawing>
      </w:r>
    </w:p>
    <w:p>
      <w:pPr>
        <w:pStyle w:val="2"/>
        <w:ind w:firstLine="480" w:firstLineChars="200"/>
        <w:rPr>
          <w:bCs/>
          <w:color w:val="auto"/>
          <w:highlight w:val="none"/>
        </w:rPr>
      </w:pP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3、主要规范和技术要求</w:t>
      </w:r>
    </w:p>
    <w:p>
      <w:pPr>
        <w:widowControl/>
        <w:spacing w:line="360" w:lineRule="exact"/>
        <w:ind w:firstLine="482" w:firstLineChars="200"/>
        <w:rPr>
          <w:color w:val="auto"/>
          <w:szCs w:val="21"/>
          <w:highlight w:val="none"/>
        </w:rPr>
      </w:pPr>
      <w:r>
        <w:rPr>
          <w:b/>
          <w:bCs/>
          <w:color w:val="auto"/>
          <w:sz w:val="24"/>
          <w:highlight w:val="none"/>
        </w:rPr>
        <w:t>3</w:t>
      </w:r>
      <w:r>
        <w:rPr>
          <w:rFonts w:hint="eastAsia"/>
          <w:b/>
          <w:bCs/>
          <w:color w:val="auto"/>
          <w:sz w:val="24"/>
          <w:highlight w:val="none"/>
        </w:rPr>
        <w:t>.1</w:t>
      </w:r>
      <w:r>
        <w:rPr>
          <w:rFonts w:hint="eastAsia"/>
          <w:color w:val="auto"/>
          <w:szCs w:val="21"/>
          <w:highlight w:val="none"/>
        </w:rPr>
        <w:t>所有设备的制造及整个污水处理系统的设计、安装、调试、试运行及验收必须符合中华人民共和国国家有关标准和规范。如果投标人所用的标准优于国家标准，投标人要清楚说明替代的标准或使用的规范，并提供推荐标准和规范的原件。必须满足但不限于的规范标准如下：</w:t>
      </w:r>
    </w:p>
    <w:p>
      <w:pPr>
        <w:numPr>
          <w:ilvl w:val="0"/>
          <w:numId w:val="4"/>
        </w:numPr>
        <w:spacing w:line="360" w:lineRule="auto"/>
        <w:rPr>
          <w:color w:val="auto"/>
          <w:szCs w:val="21"/>
          <w:highlight w:val="none"/>
        </w:rPr>
      </w:pPr>
      <w:r>
        <w:rPr>
          <w:rFonts w:hint="eastAsia"/>
          <w:color w:val="auto"/>
          <w:szCs w:val="21"/>
          <w:highlight w:val="none"/>
        </w:rPr>
        <w:t>《中华人民共和国环境保护法》</w:t>
      </w:r>
    </w:p>
    <w:p>
      <w:pPr>
        <w:numPr>
          <w:ilvl w:val="0"/>
          <w:numId w:val="4"/>
        </w:numPr>
        <w:spacing w:line="360" w:lineRule="auto"/>
        <w:rPr>
          <w:color w:val="auto"/>
          <w:szCs w:val="21"/>
          <w:highlight w:val="none"/>
        </w:rPr>
      </w:pPr>
      <w:r>
        <w:rPr>
          <w:rFonts w:hint="eastAsia"/>
          <w:color w:val="auto"/>
          <w:szCs w:val="21"/>
          <w:highlight w:val="none"/>
        </w:rPr>
        <w:t>《室外给水设计标准》(GB50013-2018)</w:t>
      </w:r>
    </w:p>
    <w:p>
      <w:pPr>
        <w:numPr>
          <w:ilvl w:val="0"/>
          <w:numId w:val="4"/>
        </w:numPr>
        <w:spacing w:line="360" w:lineRule="auto"/>
        <w:rPr>
          <w:color w:val="auto"/>
          <w:szCs w:val="21"/>
          <w:highlight w:val="none"/>
        </w:rPr>
      </w:pPr>
      <w:r>
        <w:rPr>
          <w:rFonts w:hint="eastAsia"/>
          <w:color w:val="auto"/>
          <w:szCs w:val="21"/>
          <w:highlight w:val="none"/>
        </w:rPr>
        <w:t>《室外排水设计规范》(GB50014-2006)(2016年版)</w:t>
      </w:r>
    </w:p>
    <w:p>
      <w:pPr>
        <w:numPr>
          <w:ilvl w:val="0"/>
          <w:numId w:val="4"/>
        </w:numPr>
        <w:spacing w:line="360" w:lineRule="auto"/>
        <w:rPr>
          <w:color w:val="auto"/>
          <w:szCs w:val="21"/>
          <w:highlight w:val="none"/>
        </w:rPr>
      </w:pPr>
      <w:r>
        <w:rPr>
          <w:rFonts w:hint="eastAsia"/>
          <w:color w:val="auto"/>
          <w:szCs w:val="21"/>
          <w:highlight w:val="none"/>
        </w:rPr>
        <w:t>《医院污水处理工程技术规范》(HJ2029-2013)</w:t>
      </w:r>
    </w:p>
    <w:p>
      <w:pPr>
        <w:numPr>
          <w:ilvl w:val="0"/>
          <w:numId w:val="4"/>
        </w:numPr>
        <w:spacing w:line="360" w:lineRule="auto"/>
        <w:rPr>
          <w:color w:val="auto"/>
          <w:szCs w:val="21"/>
          <w:highlight w:val="none"/>
        </w:rPr>
      </w:pPr>
      <w:r>
        <w:rPr>
          <w:rFonts w:hint="eastAsia"/>
          <w:color w:val="auto"/>
          <w:szCs w:val="21"/>
          <w:highlight w:val="none"/>
        </w:rPr>
        <w:t>《电气设计规范》JGJ/T16-2008</w:t>
      </w:r>
    </w:p>
    <w:p>
      <w:pPr>
        <w:numPr>
          <w:ilvl w:val="0"/>
          <w:numId w:val="4"/>
        </w:numPr>
        <w:spacing w:line="360" w:lineRule="auto"/>
        <w:rPr>
          <w:color w:val="auto"/>
          <w:szCs w:val="21"/>
          <w:highlight w:val="none"/>
        </w:rPr>
      </w:pPr>
      <w:r>
        <w:rPr>
          <w:rFonts w:hint="eastAsia"/>
          <w:color w:val="auto"/>
          <w:szCs w:val="21"/>
          <w:highlight w:val="none"/>
        </w:rPr>
        <w:t>《电力工程电缆设计规范》GB50217-2016</w:t>
      </w:r>
    </w:p>
    <w:p>
      <w:pPr>
        <w:numPr>
          <w:ilvl w:val="0"/>
          <w:numId w:val="4"/>
        </w:numPr>
        <w:spacing w:line="360" w:lineRule="auto"/>
        <w:rPr>
          <w:color w:val="auto"/>
          <w:szCs w:val="21"/>
          <w:highlight w:val="none"/>
        </w:rPr>
      </w:pPr>
      <w:r>
        <w:rPr>
          <w:rFonts w:hint="eastAsia"/>
          <w:color w:val="auto"/>
          <w:szCs w:val="21"/>
          <w:highlight w:val="none"/>
        </w:rPr>
        <w:t>《建筑给水排水设计规范》（GB50015-2019）</w:t>
      </w:r>
    </w:p>
    <w:p>
      <w:pPr>
        <w:numPr>
          <w:ilvl w:val="0"/>
          <w:numId w:val="4"/>
        </w:numPr>
        <w:spacing w:line="360" w:lineRule="auto"/>
        <w:rPr>
          <w:color w:val="auto"/>
          <w:szCs w:val="21"/>
          <w:highlight w:val="none"/>
        </w:rPr>
      </w:pPr>
      <w:r>
        <w:rPr>
          <w:rFonts w:hint="eastAsia"/>
          <w:color w:val="auto"/>
          <w:szCs w:val="21"/>
          <w:highlight w:val="none"/>
        </w:rPr>
        <w:t>《医院污水处理设计规范》（CECS07：2004）</w:t>
      </w:r>
    </w:p>
    <w:p>
      <w:pPr>
        <w:numPr>
          <w:ilvl w:val="0"/>
          <w:numId w:val="4"/>
        </w:numPr>
        <w:spacing w:line="360" w:lineRule="auto"/>
        <w:rPr>
          <w:color w:val="auto"/>
          <w:szCs w:val="21"/>
          <w:highlight w:val="none"/>
        </w:rPr>
      </w:pPr>
      <w:r>
        <w:rPr>
          <w:rFonts w:hint="eastAsia"/>
          <w:color w:val="auto"/>
          <w:szCs w:val="21"/>
          <w:highlight w:val="none"/>
        </w:rPr>
        <w:t>《采暖通风与空气调节设计规范》 GB 50019-2003</w:t>
      </w:r>
    </w:p>
    <w:p>
      <w:pPr>
        <w:numPr>
          <w:ilvl w:val="0"/>
          <w:numId w:val="4"/>
        </w:numPr>
        <w:spacing w:line="360" w:lineRule="auto"/>
        <w:rPr>
          <w:color w:val="auto"/>
          <w:szCs w:val="21"/>
          <w:highlight w:val="none"/>
        </w:rPr>
      </w:pPr>
      <w:r>
        <w:rPr>
          <w:rFonts w:hint="eastAsia"/>
          <w:color w:val="auto"/>
          <w:szCs w:val="21"/>
          <w:highlight w:val="none"/>
        </w:rPr>
        <w:t>《建筑照明设计标准》GB50034-2013</w:t>
      </w:r>
    </w:p>
    <w:p>
      <w:pPr>
        <w:numPr>
          <w:ilvl w:val="0"/>
          <w:numId w:val="4"/>
        </w:numPr>
        <w:spacing w:line="360" w:lineRule="auto"/>
        <w:rPr>
          <w:color w:val="auto"/>
          <w:szCs w:val="21"/>
          <w:highlight w:val="none"/>
        </w:rPr>
      </w:pPr>
      <w:r>
        <w:rPr>
          <w:rFonts w:hint="eastAsia"/>
          <w:color w:val="auto"/>
          <w:szCs w:val="21"/>
          <w:highlight w:val="none"/>
        </w:rPr>
        <w:t>《医疗机构水污染物排放标准》（GB18466-2005）</w:t>
      </w:r>
    </w:p>
    <w:p>
      <w:pPr>
        <w:numPr>
          <w:ilvl w:val="0"/>
          <w:numId w:val="4"/>
        </w:numPr>
        <w:spacing w:line="360" w:lineRule="auto"/>
        <w:rPr>
          <w:color w:val="auto"/>
          <w:szCs w:val="21"/>
          <w:highlight w:val="none"/>
        </w:rPr>
      </w:pPr>
      <w:r>
        <w:rPr>
          <w:rFonts w:hint="eastAsia"/>
          <w:color w:val="auto"/>
          <w:szCs w:val="21"/>
          <w:highlight w:val="none"/>
        </w:rPr>
        <w:t>《污水综合排放标准》（GB8978-1996）</w:t>
      </w:r>
    </w:p>
    <w:p>
      <w:pPr>
        <w:numPr>
          <w:ilvl w:val="0"/>
          <w:numId w:val="4"/>
        </w:numPr>
        <w:spacing w:line="360" w:lineRule="auto"/>
        <w:rPr>
          <w:color w:val="auto"/>
          <w:szCs w:val="21"/>
          <w:highlight w:val="none"/>
        </w:rPr>
      </w:pPr>
      <w:r>
        <w:rPr>
          <w:rFonts w:hint="eastAsia"/>
          <w:color w:val="auto"/>
          <w:szCs w:val="21"/>
          <w:highlight w:val="none"/>
        </w:rPr>
        <w:t>《给水排水管道工程施工及验收规范》（GB50268-2008）</w:t>
      </w:r>
    </w:p>
    <w:p>
      <w:pPr>
        <w:numPr>
          <w:ilvl w:val="0"/>
          <w:numId w:val="4"/>
        </w:numPr>
        <w:spacing w:line="360" w:lineRule="auto"/>
        <w:rPr>
          <w:color w:val="auto"/>
          <w:szCs w:val="21"/>
          <w:highlight w:val="none"/>
        </w:rPr>
      </w:pPr>
      <w:r>
        <w:rPr>
          <w:rFonts w:hint="eastAsia"/>
          <w:color w:val="auto"/>
          <w:szCs w:val="21"/>
          <w:highlight w:val="none"/>
        </w:rPr>
        <w:t>《城市区域环境噪音标准》（GB3096-93）</w:t>
      </w:r>
    </w:p>
    <w:p>
      <w:pPr>
        <w:numPr>
          <w:ilvl w:val="0"/>
          <w:numId w:val="4"/>
        </w:numPr>
        <w:spacing w:line="360" w:lineRule="auto"/>
        <w:rPr>
          <w:color w:val="auto"/>
          <w:szCs w:val="21"/>
          <w:highlight w:val="none"/>
        </w:rPr>
      </w:pPr>
      <w:r>
        <w:rPr>
          <w:rFonts w:hint="eastAsia"/>
          <w:color w:val="auto"/>
          <w:szCs w:val="21"/>
          <w:highlight w:val="none"/>
        </w:rPr>
        <w:t>《国家建筑标准设计图集》（08SS703-2，《建筑中水处理工程（二）》）</w:t>
      </w:r>
    </w:p>
    <w:p>
      <w:pPr>
        <w:numPr>
          <w:ilvl w:val="0"/>
          <w:numId w:val="4"/>
        </w:numPr>
        <w:spacing w:line="360" w:lineRule="auto"/>
        <w:rPr>
          <w:color w:val="auto"/>
          <w:szCs w:val="21"/>
          <w:highlight w:val="none"/>
        </w:rPr>
      </w:pPr>
      <w:r>
        <w:rPr>
          <w:rFonts w:hint="eastAsia"/>
          <w:color w:val="auto"/>
          <w:szCs w:val="21"/>
          <w:highlight w:val="none"/>
        </w:rPr>
        <w:t>《城市污水处理厂管道和设备色标》（CJ/T158-2002）</w:t>
      </w:r>
    </w:p>
    <w:p>
      <w:pPr>
        <w:numPr>
          <w:ilvl w:val="0"/>
          <w:numId w:val="4"/>
        </w:numPr>
        <w:spacing w:line="360" w:lineRule="auto"/>
        <w:rPr>
          <w:color w:val="auto"/>
          <w:szCs w:val="21"/>
          <w:highlight w:val="none"/>
        </w:rPr>
      </w:pPr>
      <w:r>
        <w:rPr>
          <w:rFonts w:hint="eastAsia"/>
          <w:color w:val="auto"/>
          <w:szCs w:val="21"/>
          <w:highlight w:val="none"/>
        </w:rPr>
        <w:t>《建筑电气工程施工质量验收规范》（GB50303-2015）</w:t>
      </w:r>
    </w:p>
    <w:p>
      <w:pPr>
        <w:numPr>
          <w:ilvl w:val="0"/>
          <w:numId w:val="4"/>
        </w:numPr>
        <w:spacing w:line="360" w:lineRule="auto"/>
        <w:rPr>
          <w:color w:val="auto"/>
          <w:szCs w:val="21"/>
          <w:highlight w:val="none"/>
        </w:rPr>
      </w:pPr>
      <w:r>
        <w:rPr>
          <w:rFonts w:hint="eastAsia"/>
          <w:color w:val="auto"/>
          <w:szCs w:val="21"/>
          <w:highlight w:val="none"/>
        </w:rPr>
        <w:t>《通风与空调工程施工质量验收规范》（GB 50243-2002）</w:t>
      </w:r>
    </w:p>
    <w:p>
      <w:pPr>
        <w:numPr>
          <w:ilvl w:val="0"/>
          <w:numId w:val="4"/>
        </w:numPr>
        <w:spacing w:line="360" w:lineRule="auto"/>
        <w:rPr>
          <w:color w:val="auto"/>
          <w:szCs w:val="21"/>
          <w:highlight w:val="none"/>
        </w:rPr>
      </w:pPr>
      <w:r>
        <w:rPr>
          <w:rFonts w:hint="eastAsia"/>
          <w:color w:val="auto"/>
          <w:szCs w:val="21"/>
          <w:highlight w:val="none"/>
        </w:rPr>
        <w:t>《建筑给水排水及采暖工程施工质量验收规范》（GB50242-2002）</w:t>
      </w:r>
    </w:p>
    <w:p>
      <w:pPr>
        <w:numPr>
          <w:ilvl w:val="0"/>
          <w:numId w:val="4"/>
        </w:numPr>
        <w:spacing w:line="360" w:lineRule="auto"/>
        <w:rPr>
          <w:color w:val="auto"/>
          <w:szCs w:val="21"/>
          <w:highlight w:val="none"/>
        </w:rPr>
      </w:pPr>
      <w:r>
        <w:rPr>
          <w:rFonts w:hint="eastAsia"/>
          <w:color w:val="auto"/>
          <w:szCs w:val="21"/>
          <w:highlight w:val="none"/>
        </w:rPr>
        <w:t>《工业企业噪声控制设计规范》</w:t>
      </w:r>
    </w:p>
    <w:p>
      <w:pPr>
        <w:numPr>
          <w:ilvl w:val="0"/>
          <w:numId w:val="4"/>
        </w:numPr>
        <w:spacing w:line="360" w:lineRule="auto"/>
        <w:rPr>
          <w:color w:val="auto"/>
          <w:szCs w:val="21"/>
          <w:highlight w:val="none"/>
        </w:rPr>
      </w:pPr>
      <w:r>
        <w:rPr>
          <w:rFonts w:hint="eastAsia"/>
          <w:color w:val="auto"/>
          <w:szCs w:val="21"/>
          <w:highlight w:val="none"/>
        </w:rPr>
        <w:t>《工业企业电气设计标准》</w:t>
      </w:r>
    </w:p>
    <w:p>
      <w:pPr>
        <w:numPr>
          <w:ilvl w:val="0"/>
          <w:numId w:val="4"/>
        </w:numPr>
        <w:spacing w:line="360" w:lineRule="auto"/>
        <w:rPr>
          <w:color w:val="auto"/>
          <w:szCs w:val="21"/>
          <w:highlight w:val="none"/>
        </w:rPr>
      </w:pPr>
      <w:r>
        <w:rPr>
          <w:rFonts w:hint="eastAsia"/>
          <w:color w:val="auto"/>
          <w:szCs w:val="21"/>
          <w:highlight w:val="none"/>
        </w:rPr>
        <w:t>《机械设备安装工程施工及验收规范》</w:t>
      </w:r>
    </w:p>
    <w:p>
      <w:pPr>
        <w:numPr>
          <w:ilvl w:val="0"/>
          <w:numId w:val="4"/>
        </w:numPr>
        <w:spacing w:line="360" w:lineRule="auto"/>
        <w:rPr>
          <w:color w:val="auto"/>
          <w:szCs w:val="21"/>
          <w:highlight w:val="none"/>
        </w:rPr>
      </w:pPr>
      <w:r>
        <w:rPr>
          <w:rFonts w:hint="eastAsia"/>
          <w:color w:val="auto"/>
          <w:szCs w:val="21"/>
          <w:highlight w:val="none"/>
        </w:rPr>
        <w:t>《绍市环越审[2020]8号》环评批复</w:t>
      </w:r>
    </w:p>
    <w:p>
      <w:pPr>
        <w:widowControl/>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.2设计范围：</w:t>
      </w:r>
    </w:p>
    <w:p>
      <w:pPr>
        <w:pStyle w:val="2"/>
        <w:spacing w:line="360" w:lineRule="exact"/>
        <w:ind w:firstLine="420" w:firstLineChars="200"/>
        <w:rPr>
          <w:bCs/>
          <w:color w:val="auto"/>
          <w:sz w:val="21"/>
          <w:szCs w:val="21"/>
          <w:highlight w:val="none"/>
        </w:rPr>
      </w:pPr>
      <w:r>
        <w:rPr>
          <w:rFonts w:hint="eastAsia"/>
          <w:bCs/>
          <w:color w:val="auto"/>
          <w:sz w:val="21"/>
          <w:szCs w:val="21"/>
          <w:highlight w:val="none"/>
        </w:rPr>
        <w:t>本工程设计自污水干管进入本处理站格栅渠开始，至出水管线出设备机房范围内整个污水站处理系统工艺参数的确定，设备及相关仪表、管材管件的选型、设计；站内电源由甲方经指定位置引入处理站设备机房内配电柜处。</w:t>
      </w:r>
    </w:p>
    <w:p>
      <w:pPr>
        <w:widowControl/>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.3工艺流程：</w:t>
      </w:r>
    </w:p>
    <w:p>
      <w:pPr>
        <w:spacing w:line="360" w:lineRule="exact"/>
        <w:ind w:firstLine="482" w:firstLineChars="200"/>
        <w:rPr>
          <w:b/>
          <w:bCs/>
          <w:color w:val="auto"/>
          <w:sz w:val="24"/>
          <w:highlight w:val="none"/>
        </w:rPr>
      </w:pPr>
      <w:r>
        <w:rPr>
          <w:b/>
          <w:color w:val="auto"/>
          <w:sz w:val="24"/>
          <w:highlight w:val="none"/>
        </w:rPr>
        <w:t>3</w:t>
      </w:r>
      <w:r>
        <w:rPr>
          <w:rFonts w:hint="eastAsia"/>
          <w:b/>
          <w:color w:val="auto"/>
          <w:sz w:val="24"/>
          <w:highlight w:val="none"/>
        </w:rPr>
        <w:t>.3.1</w:t>
      </w:r>
      <w:r>
        <w:rPr>
          <w:rFonts w:hint="eastAsia"/>
          <w:b/>
          <w:bCs/>
          <w:color w:val="auto"/>
          <w:sz w:val="24"/>
          <w:highlight w:val="none"/>
        </w:rPr>
        <w:t>污水处理工艺流程</w:t>
      </w:r>
    </w:p>
    <w:p>
      <w:pPr>
        <w:pStyle w:val="2"/>
        <w:rPr>
          <w:color w:val="auto"/>
          <w:highlight w:val="none"/>
        </w:rPr>
      </w:pPr>
      <w:r>
        <w:rPr>
          <w:color w:val="auto"/>
          <w:highlight w:val="none"/>
        </w:rPr>
        <w:drawing>
          <wp:anchor distT="0" distB="0" distL="114300" distR="114300" simplePos="0" relativeHeight="251660288" behindDoc="1" locked="0" layoutInCell="1" allowOverlap="1">
            <wp:simplePos x="0" y="0"/>
            <wp:positionH relativeFrom="column">
              <wp:posOffset>138430</wp:posOffset>
            </wp:positionH>
            <wp:positionV relativeFrom="paragraph">
              <wp:posOffset>100330</wp:posOffset>
            </wp:positionV>
            <wp:extent cx="6014085" cy="1337945"/>
            <wp:effectExtent l="0" t="0" r="5715" b="5080"/>
            <wp:wrapTight wrapText="bothSides">
              <wp:wrapPolygon>
                <wp:start x="0" y="0"/>
                <wp:lineTo x="0" y="21374"/>
                <wp:lineTo x="21552" y="21374"/>
                <wp:lineTo x="21552" y="0"/>
                <wp:lineTo x="0" y="0"/>
              </wp:wrapPolygon>
            </wp:wrapTight>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1"/>
                    <a:stretch>
                      <a:fillRect/>
                    </a:stretch>
                  </pic:blipFill>
                  <pic:spPr>
                    <a:xfrm>
                      <a:off x="0" y="0"/>
                      <a:ext cx="6014085" cy="1337945"/>
                    </a:xfrm>
                    <a:prstGeom prst="rect">
                      <a:avLst/>
                    </a:prstGeom>
                    <a:noFill/>
                    <a:ln>
                      <a:noFill/>
                    </a:ln>
                  </pic:spPr>
                </pic:pic>
              </a:graphicData>
            </a:graphic>
          </wp:anchor>
        </w:drawing>
      </w:r>
    </w:p>
    <w:p>
      <w:pPr>
        <w:widowControl/>
        <w:spacing w:line="360" w:lineRule="exact"/>
        <w:ind w:firstLine="420" w:firstLineChars="200"/>
        <w:rPr>
          <w:color w:val="auto"/>
          <w:szCs w:val="21"/>
          <w:highlight w:val="none"/>
        </w:rPr>
      </w:pPr>
      <w:r>
        <w:rPr>
          <w:rFonts w:hint="eastAsia"/>
          <w:color w:val="auto"/>
          <w:szCs w:val="21"/>
          <w:highlight w:val="none"/>
        </w:rPr>
        <w:t>系统说明：</w:t>
      </w:r>
    </w:p>
    <w:p>
      <w:pPr>
        <w:widowControl/>
        <w:spacing w:line="360" w:lineRule="exact"/>
        <w:ind w:firstLine="420" w:firstLineChars="200"/>
        <w:rPr>
          <w:color w:val="auto"/>
          <w:sz w:val="24"/>
          <w:highlight w:val="none"/>
        </w:rPr>
      </w:pPr>
      <w:r>
        <w:rPr>
          <w:rFonts w:hint="eastAsia"/>
          <w:color w:val="auto"/>
          <w:szCs w:val="21"/>
          <w:highlight w:val="none"/>
        </w:rPr>
        <w:t>来水进入格栅房格栅渠，经格栅截留污水中颗粒直径大于3mm的污染物后自流入集水池,集水池内水经泵提升至调节池；调节池对污水进行水量和水质的调节和均化；调节池的污水通过动力提升进入接触氧化池；接触氧化池内填充填料，通过填料表面的微生物新陈代谢作用降解污水中的污染物;接触氧化池通过风机给微生物提供氧气，保证微生物正常的活动；接触氧化池出水入沉淀池，在沉淀池内固液分离，下沉污泥通过泵抽至污泥池，上清液入消毒池，经二氧化氯消毒装置消毒后进入消毒接触池。各池中废气经除臭设备，达标排放。</w:t>
      </w:r>
    </w:p>
    <w:p>
      <w:pPr>
        <w:pStyle w:val="12"/>
        <w:adjustRightInd w:val="0"/>
        <w:snapToGrid w:val="0"/>
        <w:spacing w:line="360" w:lineRule="exact"/>
        <w:ind w:firstLine="482" w:firstLineChars="200"/>
        <w:rPr>
          <w:rFonts w:hAnsi="宋体"/>
          <w:b/>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.4处理站排污与安全运行</w:t>
      </w:r>
    </w:p>
    <w:p>
      <w:pPr>
        <w:pStyle w:val="2"/>
        <w:spacing w:line="360" w:lineRule="exact"/>
        <w:ind w:firstLine="420" w:firstLineChars="200"/>
        <w:rPr>
          <w:color w:val="auto"/>
          <w:sz w:val="21"/>
          <w:szCs w:val="21"/>
          <w:highlight w:val="none"/>
        </w:rPr>
      </w:pPr>
      <w:r>
        <w:rPr>
          <w:rFonts w:hint="eastAsia"/>
          <w:color w:val="auto"/>
          <w:sz w:val="21"/>
          <w:szCs w:val="21"/>
          <w:highlight w:val="none"/>
        </w:rPr>
        <w:t>格栅处产生的栅渣，在每天机械格栅停运间歇进行清理并随医疗垃圾一起处理后外运；格栅处栅渣及污泥均须同医院其它污染物外运至有关部门处理。</w:t>
      </w:r>
    </w:p>
    <w:p>
      <w:pPr>
        <w:pStyle w:val="12"/>
        <w:adjustRightInd w:val="0"/>
        <w:snapToGrid w:val="0"/>
        <w:spacing w:line="360" w:lineRule="exact"/>
        <w:ind w:firstLine="482" w:firstLineChars="200"/>
        <w:rPr>
          <w:rFonts w:hAnsi="宋体"/>
          <w:b/>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.5综合污水处理设备技术要求</w:t>
      </w:r>
    </w:p>
    <w:p>
      <w:pPr>
        <w:spacing w:line="360" w:lineRule="exact"/>
        <w:ind w:firstLine="420" w:firstLineChars="200"/>
        <w:rPr>
          <w:color w:val="auto"/>
          <w:szCs w:val="21"/>
          <w:highlight w:val="none"/>
        </w:rPr>
      </w:pPr>
      <w:r>
        <w:rPr>
          <w:color w:val="auto"/>
          <w:szCs w:val="21"/>
          <w:highlight w:val="none"/>
        </w:rPr>
        <w:t>3</w:t>
      </w:r>
      <w:r>
        <w:rPr>
          <w:rFonts w:hint="eastAsia"/>
          <w:color w:val="auto"/>
          <w:szCs w:val="21"/>
          <w:highlight w:val="none"/>
        </w:rPr>
        <w:t>.5.1机械格栅：栅条间隙为3mm，能有效截流废渣。</w:t>
      </w:r>
    </w:p>
    <w:p>
      <w:pPr>
        <w:pStyle w:val="24"/>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.5.2调节池：污水经过机械格栅后，经一级污水提升泵(三台污水泵，两用一备)提升至接触氧化池。</w:t>
      </w:r>
    </w:p>
    <w:p>
      <w:pPr>
        <w:pStyle w:val="24"/>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5.3接触氧化池：能有效去除N、P。要求填料表面积大、水流特性十分稳定、使用寿命长等优点外，且挂膜容易、耐腐蚀、不结团堵塞、出水水质稳定。池体由混凝土制作，投标人配合设计院设计，招标人另行委托他人施工。</w:t>
      </w:r>
    </w:p>
    <w:p>
      <w:pPr>
        <w:spacing w:line="360" w:lineRule="exact"/>
        <w:ind w:firstLine="420" w:firstLineChars="200"/>
        <w:rPr>
          <w:color w:val="auto"/>
          <w:szCs w:val="21"/>
          <w:highlight w:val="none"/>
        </w:rPr>
      </w:pPr>
      <w:r>
        <w:rPr>
          <w:color w:val="auto"/>
          <w:szCs w:val="21"/>
          <w:highlight w:val="none"/>
        </w:rPr>
        <w:t>3</w:t>
      </w:r>
      <w:r>
        <w:rPr>
          <w:rFonts w:hint="eastAsia"/>
          <w:color w:val="auto"/>
          <w:szCs w:val="21"/>
          <w:highlight w:val="none"/>
        </w:rPr>
        <w:t>.5.4风机、水泵等在设备选用低噪声的先进设备,污水处理站设备间应采用隔声降噪措施,确保隔声量不低于20dB,运行时均为关闭门窗。</w:t>
      </w:r>
    </w:p>
    <w:p>
      <w:pPr>
        <w:spacing w:line="360" w:lineRule="exact"/>
        <w:ind w:firstLine="482" w:firstLineChars="200"/>
        <w:rPr>
          <w:b/>
          <w:bCs/>
          <w:color w:val="auto"/>
          <w:sz w:val="24"/>
          <w:szCs w:val="21"/>
          <w:highlight w:val="none"/>
        </w:rPr>
      </w:pPr>
      <w:r>
        <w:rPr>
          <w:rFonts w:hint="eastAsia"/>
          <w:b/>
          <w:bCs/>
          <w:color w:val="auto"/>
          <w:sz w:val="24"/>
          <w:szCs w:val="21"/>
          <w:highlight w:val="none"/>
        </w:rPr>
        <w:t>3.6 专门污水预处理设备技术要求</w:t>
      </w:r>
    </w:p>
    <w:p>
      <w:pPr>
        <w:spacing w:line="360" w:lineRule="exact"/>
        <w:ind w:firstLine="420" w:firstLineChars="200"/>
        <w:rPr>
          <w:color w:val="auto"/>
          <w:szCs w:val="21"/>
          <w:highlight w:val="none"/>
        </w:rPr>
      </w:pPr>
      <w:r>
        <w:rPr>
          <w:rFonts w:hint="eastAsia"/>
          <w:color w:val="auto"/>
          <w:szCs w:val="21"/>
          <w:highlight w:val="none"/>
        </w:rPr>
        <w:t>3.6.1 检验科一体化污水处理装置，处理后的检验科排出废污水的重金属等满足排放规范和标准。</w:t>
      </w:r>
    </w:p>
    <w:p>
      <w:pPr>
        <w:spacing w:line="360" w:lineRule="exact"/>
        <w:ind w:firstLine="420" w:firstLineChars="200"/>
        <w:rPr>
          <w:color w:val="auto"/>
          <w:szCs w:val="21"/>
          <w:highlight w:val="none"/>
        </w:rPr>
      </w:pPr>
      <w:r>
        <w:rPr>
          <w:rFonts w:hint="eastAsia"/>
          <w:color w:val="auto"/>
          <w:szCs w:val="21"/>
          <w:highlight w:val="none"/>
        </w:rPr>
        <w:t>3.6.2 实验室一体化废液预处理器，处理后的实验室排出废液的重金属等满足排放规范和标准。</w:t>
      </w:r>
    </w:p>
    <w:p>
      <w:pPr>
        <w:pStyle w:val="15"/>
        <w:spacing w:line="360" w:lineRule="exact"/>
        <w:ind w:left="0" w:leftChars="0" w:firstLine="241" w:firstLineChars="100"/>
        <w:rPr>
          <w:b/>
          <w:color w:val="auto"/>
          <w:sz w:val="24"/>
          <w:highlight w:val="none"/>
        </w:rPr>
      </w:pPr>
      <w:r>
        <w:rPr>
          <w:b/>
          <w:bCs/>
          <w:color w:val="auto"/>
          <w:sz w:val="24"/>
          <w:highlight w:val="none"/>
        </w:rPr>
        <w:t>3</w:t>
      </w:r>
      <w:r>
        <w:rPr>
          <w:rFonts w:hint="eastAsia"/>
          <w:b/>
          <w:bCs/>
          <w:color w:val="auto"/>
          <w:sz w:val="24"/>
          <w:highlight w:val="none"/>
        </w:rPr>
        <w:t>.7</w:t>
      </w:r>
      <w:r>
        <w:rPr>
          <w:rFonts w:hint="eastAsia"/>
          <w:b/>
          <w:color w:val="auto"/>
          <w:sz w:val="24"/>
          <w:highlight w:val="none"/>
        </w:rPr>
        <w:t xml:space="preserve"> 电气及自控技术要求</w:t>
      </w:r>
    </w:p>
    <w:p>
      <w:pPr>
        <w:pStyle w:val="15"/>
        <w:spacing w:line="360" w:lineRule="exact"/>
        <w:ind w:firstLine="420" w:firstLineChars="200"/>
        <w:rPr>
          <w:color w:val="auto"/>
          <w:szCs w:val="21"/>
          <w:highlight w:val="none"/>
        </w:rPr>
      </w:pPr>
      <w:r>
        <w:rPr>
          <w:rFonts w:hint="eastAsia"/>
          <w:color w:val="auto"/>
          <w:szCs w:val="21"/>
          <w:highlight w:val="none"/>
        </w:rPr>
        <w:t>污水处理站控制系统要求安全可靠、技术先进，性能可靠，价格适中、操作简便、系统开放、易于维护。设置自动化运行控制系统，主要以可编程控制器(PLC)为核心，处理工程现场的各种传感器信号(主要有各个环节的液位信号、流量信号)输入PLC主机单元，并通过PLC主机单元对数据进行处理、运算，实现对设备的自动启停控制。</w:t>
      </w:r>
    </w:p>
    <w:p>
      <w:pPr>
        <w:pStyle w:val="21"/>
        <w:spacing w:line="360" w:lineRule="exact"/>
        <w:ind w:firstLine="482"/>
        <w:rPr>
          <w:b/>
          <w:color w:val="auto"/>
          <w:highlight w:val="none"/>
        </w:rPr>
      </w:pPr>
      <w:r>
        <w:rPr>
          <w:b/>
          <w:color w:val="auto"/>
          <w:highlight w:val="none"/>
        </w:rPr>
        <w:t>3</w:t>
      </w:r>
      <w:r>
        <w:rPr>
          <w:rFonts w:hint="eastAsia"/>
          <w:b/>
          <w:color w:val="auto"/>
          <w:highlight w:val="none"/>
        </w:rPr>
        <w:t>.7.1主要设备控制说明</w:t>
      </w:r>
    </w:p>
    <w:p>
      <w:pPr>
        <w:pStyle w:val="21"/>
        <w:spacing w:line="360" w:lineRule="exact"/>
        <w:rPr>
          <w:bCs/>
          <w:color w:val="auto"/>
          <w:sz w:val="21"/>
          <w:szCs w:val="21"/>
          <w:highlight w:val="none"/>
        </w:rPr>
      </w:pPr>
      <w:r>
        <w:rPr>
          <w:rFonts w:hint="eastAsia"/>
          <w:bCs/>
          <w:color w:val="auto"/>
          <w:highlight w:val="none"/>
        </w:rPr>
        <w:t>（</w:t>
      </w:r>
      <w:r>
        <w:rPr>
          <w:rFonts w:hint="eastAsia"/>
          <w:bCs/>
          <w:color w:val="auto"/>
          <w:sz w:val="21"/>
          <w:szCs w:val="21"/>
          <w:highlight w:val="none"/>
        </w:rPr>
        <w:t>1）提升泵井提升泵的启停由提升泵井和调节池内液位控制。当提升泵井低液位时，水泵关闭；中液位时，水泵开启；调节池内液位达到高液位时，水泵关闭，同时声光报警；</w:t>
      </w:r>
    </w:p>
    <w:p>
      <w:pPr>
        <w:pStyle w:val="21"/>
        <w:spacing w:line="360" w:lineRule="exact"/>
        <w:ind w:firstLine="420"/>
        <w:rPr>
          <w:bCs/>
          <w:color w:val="auto"/>
          <w:sz w:val="21"/>
          <w:szCs w:val="21"/>
          <w:highlight w:val="none"/>
        </w:rPr>
      </w:pPr>
      <w:r>
        <w:rPr>
          <w:rFonts w:hint="eastAsia"/>
          <w:bCs/>
          <w:color w:val="auto"/>
          <w:sz w:val="21"/>
          <w:szCs w:val="21"/>
          <w:highlight w:val="none"/>
        </w:rPr>
        <w:t>（2）调节池提升泵的启停控制由调节池和消毒接触池内液位信号控制，当调节池低液位时，水泵关闭；中液位时，提升泵开启；高液位时启动备用泵并声光报警传至24h有人值守的甲方中控室，值班人员需及时检查并处理，消毒接触池内的液位达到高液位时，提升泵水泵关闭，声光报警；</w:t>
      </w:r>
    </w:p>
    <w:p>
      <w:pPr>
        <w:pStyle w:val="21"/>
        <w:spacing w:line="360" w:lineRule="exact"/>
        <w:ind w:firstLine="420"/>
        <w:rPr>
          <w:bCs/>
          <w:color w:val="auto"/>
          <w:sz w:val="21"/>
          <w:szCs w:val="21"/>
          <w:highlight w:val="none"/>
        </w:rPr>
      </w:pPr>
      <w:r>
        <w:rPr>
          <w:rFonts w:hint="eastAsia"/>
          <w:bCs/>
          <w:color w:val="auto"/>
          <w:sz w:val="21"/>
          <w:szCs w:val="21"/>
          <w:highlight w:val="none"/>
        </w:rPr>
        <w:t>（3）污泥池潜污泵启停手动控制启停，并受污泥池液位控制，当污泥池低液位时，水泵关闭，高液位时，声光报警传至24h有人值守的甲方中控室；</w:t>
      </w:r>
    </w:p>
    <w:p>
      <w:pPr>
        <w:pStyle w:val="21"/>
        <w:spacing w:line="360" w:lineRule="exact"/>
        <w:ind w:firstLine="420"/>
        <w:rPr>
          <w:bCs/>
          <w:color w:val="auto"/>
          <w:sz w:val="21"/>
          <w:szCs w:val="21"/>
          <w:highlight w:val="none"/>
        </w:rPr>
      </w:pPr>
      <w:r>
        <w:rPr>
          <w:rFonts w:hint="eastAsia"/>
          <w:bCs/>
          <w:color w:val="auto"/>
          <w:sz w:val="21"/>
          <w:szCs w:val="21"/>
          <w:highlight w:val="none"/>
        </w:rPr>
        <w:t>（4）罗茨风机连续运行，主用设备与备用设备交替运行，单台连续运行时间为7天。</w:t>
      </w:r>
    </w:p>
    <w:p>
      <w:pPr>
        <w:pStyle w:val="21"/>
        <w:spacing w:line="360" w:lineRule="exact"/>
        <w:ind w:firstLine="420"/>
        <w:rPr>
          <w:bCs/>
          <w:color w:val="auto"/>
          <w:sz w:val="21"/>
          <w:szCs w:val="21"/>
          <w:highlight w:val="none"/>
        </w:rPr>
      </w:pPr>
      <w:r>
        <w:rPr>
          <w:rFonts w:hint="eastAsia"/>
          <w:bCs/>
          <w:color w:val="auto"/>
          <w:sz w:val="21"/>
          <w:szCs w:val="21"/>
          <w:highlight w:val="none"/>
        </w:rPr>
        <w:t>（5）春夏秋三季（3~11月）设备机房轴流风机运行模式为间隔1h运行1h；冬季（12~2月）轴流风机运行模式为间隔3h运行1h；</w:t>
      </w:r>
    </w:p>
    <w:p>
      <w:pPr>
        <w:pStyle w:val="21"/>
        <w:spacing w:line="360" w:lineRule="exact"/>
        <w:ind w:firstLine="420"/>
        <w:rPr>
          <w:bCs/>
          <w:color w:val="auto"/>
          <w:sz w:val="21"/>
          <w:szCs w:val="21"/>
          <w:highlight w:val="none"/>
        </w:rPr>
      </w:pPr>
      <w:r>
        <w:rPr>
          <w:rFonts w:hint="eastAsia"/>
          <w:bCs/>
          <w:color w:val="auto"/>
          <w:sz w:val="21"/>
          <w:szCs w:val="21"/>
          <w:highlight w:val="none"/>
        </w:rPr>
        <w:t>（6）机械格栅运行模式为间隔2h运行10min；</w:t>
      </w:r>
    </w:p>
    <w:p>
      <w:pPr>
        <w:pStyle w:val="21"/>
        <w:spacing w:line="360" w:lineRule="exact"/>
        <w:ind w:firstLine="420"/>
        <w:rPr>
          <w:bCs/>
          <w:color w:val="auto"/>
          <w:sz w:val="21"/>
          <w:szCs w:val="21"/>
          <w:highlight w:val="none"/>
        </w:rPr>
      </w:pPr>
      <w:r>
        <w:rPr>
          <w:rFonts w:hint="eastAsia"/>
          <w:bCs/>
          <w:color w:val="auto"/>
          <w:sz w:val="21"/>
          <w:szCs w:val="21"/>
          <w:highlight w:val="none"/>
        </w:rPr>
        <w:t>（7）铸铁镶铜闸门，手动控制启停；</w:t>
      </w:r>
    </w:p>
    <w:p>
      <w:pPr>
        <w:pStyle w:val="21"/>
        <w:spacing w:line="360" w:lineRule="exact"/>
        <w:ind w:firstLine="420"/>
        <w:rPr>
          <w:bCs/>
          <w:color w:val="auto"/>
          <w:sz w:val="21"/>
          <w:szCs w:val="21"/>
          <w:highlight w:val="none"/>
        </w:rPr>
      </w:pPr>
      <w:r>
        <w:rPr>
          <w:rFonts w:hint="eastAsia"/>
          <w:bCs/>
          <w:color w:val="auto"/>
          <w:sz w:val="21"/>
          <w:szCs w:val="21"/>
          <w:highlight w:val="none"/>
        </w:rPr>
        <w:t>（8）消毒加药装置与调节池提升泵联动；</w:t>
      </w:r>
    </w:p>
    <w:p>
      <w:pPr>
        <w:pStyle w:val="21"/>
        <w:spacing w:line="360" w:lineRule="exact"/>
        <w:ind w:firstLine="420"/>
        <w:rPr>
          <w:bCs/>
          <w:color w:val="auto"/>
          <w:sz w:val="21"/>
          <w:szCs w:val="21"/>
          <w:highlight w:val="none"/>
        </w:rPr>
      </w:pPr>
      <w:r>
        <w:rPr>
          <w:rFonts w:hint="eastAsia"/>
          <w:bCs/>
          <w:color w:val="auto"/>
          <w:sz w:val="21"/>
          <w:szCs w:val="21"/>
          <w:highlight w:val="none"/>
        </w:rPr>
        <w:t>（9）污水处理运行监控平台；</w:t>
      </w:r>
    </w:p>
    <w:p>
      <w:pPr>
        <w:pStyle w:val="21"/>
        <w:spacing w:line="360" w:lineRule="exact"/>
        <w:ind w:firstLine="420"/>
        <w:rPr>
          <w:bCs/>
          <w:color w:val="auto"/>
          <w:sz w:val="21"/>
          <w:szCs w:val="21"/>
          <w:highlight w:val="none"/>
        </w:rPr>
      </w:pPr>
      <w:r>
        <w:rPr>
          <w:rFonts w:hint="eastAsia"/>
          <w:bCs/>
          <w:color w:val="auto"/>
          <w:sz w:val="21"/>
          <w:szCs w:val="21"/>
          <w:highlight w:val="none"/>
        </w:rPr>
        <w:t>站点档案：站点基础档案；基于GIS的监测数据；运行监测：实时数据监控（动力设备运行监控、水流量监测、水质监测（含处理后水水质监测）、能耗监测、</w:t>
      </w:r>
      <w:r>
        <w:rPr>
          <w:rFonts w:hint="eastAsia"/>
          <w:color w:val="auto"/>
          <w:highlight w:val="none"/>
        </w:rPr>
        <w:t>二</w:t>
      </w:r>
      <w:r>
        <w:rPr>
          <w:rFonts w:hint="eastAsia"/>
          <w:bCs/>
          <w:color w:val="auto"/>
          <w:sz w:val="21"/>
          <w:szCs w:val="21"/>
          <w:highlight w:val="none"/>
        </w:rPr>
        <w:t>氧化氯，池内危险气体监测等、QoS监测等；安全监测：视频中心、远程抓拍、电控箱非法打开 ，运维管理：智能考勤、日常巡检、工单管理等；告警管理：各类告警（含二氧化氯，池内危险气体的告警）、告警过滤、告警压缩、告警通知、等；监管考核：移动考核，自动打分；报表中心：提供的数据类、告警类、运维类的报表，配置中心：系统管理、监测配置、告警配置、规则配置等；手机微信客户端软件，同时兼容IOS版本及安卓版本。</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（10）物联网高级智能网关</w:t>
      </w:r>
    </w:p>
    <w:p>
      <w:pPr>
        <w:pStyle w:val="21"/>
        <w:spacing w:line="360" w:lineRule="exact"/>
        <w:ind w:firstLine="420"/>
        <w:rPr>
          <w:bCs/>
          <w:color w:val="auto"/>
          <w:sz w:val="21"/>
          <w:szCs w:val="21"/>
          <w:highlight w:val="none"/>
        </w:rPr>
      </w:pPr>
      <w:r>
        <w:rPr>
          <w:rFonts w:hint="eastAsia"/>
          <w:bCs/>
          <w:color w:val="auto"/>
          <w:sz w:val="21"/>
          <w:szCs w:val="21"/>
          <w:highlight w:val="none"/>
        </w:rPr>
        <w:t>通信与安全要求：通信模块为以太网或2G\3\4G上传数据；在停电的情况下，有线通信中断；故要求所投物联网网关同时内置2G或3\4G通信模块，在以太网通信链路出现异常的情况下，保障平台能够不间断收到物联网网关传输的数据；鉴于监测站点环境恶劣，采用工业级贴片式SIM卡，可有效避免插入式SIM在潮湿、高温、震动的情况下容易出现的生锈、松动等故障。</w:t>
      </w:r>
    </w:p>
    <w:p>
      <w:pPr>
        <w:pStyle w:val="21"/>
        <w:spacing w:line="360" w:lineRule="exact"/>
        <w:ind w:firstLine="0" w:firstLineChars="0"/>
        <w:rPr>
          <w:bCs/>
          <w:color w:val="auto"/>
          <w:sz w:val="21"/>
          <w:szCs w:val="21"/>
          <w:highlight w:val="none"/>
        </w:rPr>
      </w:pPr>
      <w:r>
        <w:rPr>
          <w:rFonts w:hint="eastAsia"/>
          <w:bCs/>
          <w:color w:val="auto"/>
          <w:sz w:val="21"/>
          <w:szCs w:val="21"/>
          <w:highlight w:val="none"/>
        </w:rPr>
        <w:t xml:space="preserve">      采集与控制要求：至少支持4路开关量输入，支持浮球、门磁、触点开关等传感器接入；至少支持3路模拟量输入，支持0-5V,4-20mA输入；至少支持6路动力设备（风机、水泵等）运行状态传感器接入，内置电量计量芯片；能与动力设备运行状态传感器结合，精确测量每一路动力设备的电流变化，通过设备运行电流变化精确检测每一路动力设备过载、欠载故障,并切断对应的控制输出,给出故障报警信号，至少支持6路继电器远程控制，单个继电器控制功率达1000W，至少支持3路485接口，有极性，分A/B线，光耦隔离，1.5KV,支持与PLC、流量计、在线水质监测仪等485接口设备，至少支持2路工业相机进行图像采集和远程图像抓拍，远距离持续接收2.45G主动式RFID电子标签（电子工牌）信号，接收距离大于30m。</w:t>
      </w:r>
    </w:p>
    <w:p>
      <w:pPr>
        <w:pStyle w:val="21"/>
        <w:spacing w:line="360" w:lineRule="exact"/>
        <w:ind w:firstLine="0" w:firstLineChars="0"/>
        <w:rPr>
          <w:bCs/>
          <w:color w:val="auto"/>
          <w:sz w:val="21"/>
          <w:szCs w:val="21"/>
          <w:highlight w:val="none"/>
        </w:rPr>
      </w:pPr>
      <w:r>
        <w:rPr>
          <w:rFonts w:hint="eastAsia"/>
          <w:bCs/>
          <w:color w:val="auto"/>
          <w:sz w:val="21"/>
          <w:szCs w:val="21"/>
          <w:highlight w:val="none"/>
        </w:rPr>
        <w:t>电源可靠性及管理要求：支持 DC 9~36V供电</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（11）设备运行状态监测传感器</w:t>
      </w:r>
    </w:p>
    <w:p>
      <w:pPr>
        <w:pStyle w:val="21"/>
        <w:spacing w:line="360" w:lineRule="exact"/>
        <w:ind w:firstLine="420"/>
        <w:rPr>
          <w:bCs/>
          <w:color w:val="auto"/>
          <w:sz w:val="21"/>
          <w:szCs w:val="21"/>
          <w:highlight w:val="none"/>
        </w:rPr>
      </w:pPr>
      <w:r>
        <w:rPr>
          <w:rFonts w:hint="eastAsia"/>
          <w:bCs/>
          <w:color w:val="auto"/>
          <w:sz w:val="21"/>
          <w:szCs w:val="21"/>
          <w:highlight w:val="none"/>
        </w:rPr>
        <w:t>支持监测3路动力设备（风机、水泵等）运行状态，内置电量计量芯片，可独立监测每一路动力设备（风机、水泵等）工作电流变化，可精确检测每一路动力设备（风机、水泵等）运行状态（包括运行、停止、过载、欠载），支持RS485输出，支持 DC 9~36V供电，设备运行稳定可靠，安装简便，能够保证长时间的无故障运行，</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（12）智能电控箱</w:t>
      </w:r>
    </w:p>
    <w:p>
      <w:pPr>
        <w:pStyle w:val="21"/>
        <w:spacing w:line="360" w:lineRule="exact"/>
        <w:ind w:firstLine="420"/>
        <w:rPr>
          <w:bCs/>
          <w:color w:val="auto"/>
          <w:sz w:val="21"/>
          <w:szCs w:val="21"/>
          <w:highlight w:val="none"/>
        </w:rPr>
      </w:pPr>
      <w:r>
        <w:rPr>
          <w:rFonts w:hint="eastAsia"/>
          <w:bCs/>
          <w:color w:val="auto"/>
          <w:sz w:val="21"/>
          <w:szCs w:val="21"/>
          <w:highlight w:val="none"/>
        </w:rPr>
        <w:t>整体要求：支持箱体内传感器数据RS485输出，箱体为防水型，尺寸不小于1000x800x600，箱体材料为304不锈钢，箱体结构：户外单开门顶棚防雨，防护等级不低于IP55。</w:t>
      </w:r>
    </w:p>
    <w:p>
      <w:pPr>
        <w:pStyle w:val="21"/>
        <w:spacing w:line="360" w:lineRule="exact"/>
        <w:ind w:firstLine="420"/>
        <w:rPr>
          <w:bCs/>
          <w:color w:val="auto"/>
          <w:sz w:val="21"/>
          <w:szCs w:val="21"/>
          <w:highlight w:val="none"/>
        </w:rPr>
      </w:pPr>
      <w:r>
        <w:rPr>
          <w:rFonts w:hint="eastAsia"/>
          <w:bCs/>
          <w:color w:val="auto"/>
          <w:sz w:val="21"/>
          <w:szCs w:val="21"/>
          <w:highlight w:val="none"/>
        </w:rPr>
        <w:t>箱体内温湿度监测与控制：内置温湿度传感器，温度量程：-40℃～120℃，湿度量程：0～98%RH；内置散热风扇。</w:t>
      </w:r>
    </w:p>
    <w:p>
      <w:pPr>
        <w:pStyle w:val="21"/>
        <w:spacing w:line="360" w:lineRule="exact"/>
        <w:ind w:firstLine="420"/>
        <w:rPr>
          <w:bCs/>
          <w:color w:val="auto"/>
          <w:sz w:val="21"/>
          <w:szCs w:val="21"/>
          <w:highlight w:val="none"/>
        </w:rPr>
      </w:pPr>
      <w:r>
        <w:rPr>
          <w:rFonts w:hint="eastAsia"/>
          <w:bCs/>
          <w:color w:val="auto"/>
          <w:sz w:val="21"/>
          <w:szCs w:val="21"/>
          <w:highlight w:val="none"/>
        </w:rPr>
        <w:t>箱体开合监测与告警：箱体开合监测，工作距离：20-30mm；开关形式：NC--常闭型，断路报警。NO和转换型可选，蜂鸣报警器，电流/电压/功率：0.5A/12V/6，报警方式：声音报警，声音大于85分贝；</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（13）COD在线监测（含采水系统）</w:t>
      </w:r>
    </w:p>
    <w:p>
      <w:pPr>
        <w:pStyle w:val="21"/>
        <w:spacing w:line="360" w:lineRule="exact"/>
        <w:ind w:firstLine="420" w:firstLineChars="0"/>
        <w:rPr>
          <w:bCs/>
          <w:color w:val="auto"/>
          <w:sz w:val="21"/>
          <w:szCs w:val="21"/>
          <w:highlight w:val="none"/>
        </w:rPr>
      </w:pPr>
      <w:r>
        <w:rPr>
          <w:rFonts w:hint="eastAsia"/>
          <w:bCs/>
          <w:color w:val="auto"/>
          <w:sz w:val="21"/>
          <w:szCs w:val="21"/>
          <w:highlight w:val="none"/>
        </w:rPr>
        <w:t>测量方法：重铬酸钾氧化分光光度法，测量范围：(0-100)mg/L；(0-500)mg/L；(0-1000)mg/L；(0-5000)mg/L，比对误差：±10%（CODcr≤30mg/L）；以接近于实际水样的低浓度质控样替代实际水样进行试验；±20%（30mg/L≤CODcr&lt;60mg/L）；±15%（60mg/L≤CODcr），示值误差：±10%，重复性：≤5%，零点漂移：±5mg/L，量程漂移：±5% ，测定下限：&lt;10mg/L，测量周期：最小测量周期为40分钟/次，可在5~60min任意修改消解时间，试剂消耗：标准试剂包至少可连续检测370次测量（30天×12次/天），自动校准：1～99 天任意间隔任意时刻可调，自动清洗：每次测定完成后仪器自动清洗，也可根据现场情况周期清洗，审核测试：依据行业标准，提供5种审核项目的自动测试方法：质控样、示值误差、重复性、实际水样比对、零点与量程漂移，数据存储：可连续存储5年以上的数据，仪器接口：RS232、RS485、RJ45（以太网）；4-20mA输出或无线网络反控（选配），其它功能：试剂余量预警、仪器日志、故障报警等。</w:t>
      </w:r>
    </w:p>
    <w:p>
      <w:pPr>
        <w:pStyle w:val="21"/>
        <w:spacing w:line="360" w:lineRule="exact"/>
        <w:ind w:left="400" w:firstLine="0" w:firstLineChars="0"/>
        <w:rPr>
          <w:bCs/>
          <w:color w:val="auto"/>
          <w:sz w:val="21"/>
          <w:szCs w:val="21"/>
          <w:highlight w:val="none"/>
        </w:rPr>
      </w:pPr>
      <w:r>
        <w:rPr>
          <w:rFonts w:hint="eastAsia"/>
          <w:bCs/>
          <w:color w:val="auto"/>
          <w:sz w:val="21"/>
          <w:szCs w:val="21"/>
          <w:highlight w:val="none"/>
        </w:rPr>
        <w:t>（14）氨氮在线监测（含采水系统）</w:t>
      </w:r>
    </w:p>
    <w:p>
      <w:pPr>
        <w:pStyle w:val="21"/>
        <w:spacing w:line="360" w:lineRule="exact"/>
        <w:ind w:firstLine="420"/>
        <w:rPr>
          <w:bCs/>
          <w:color w:val="auto"/>
          <w:sz w:val="21"/>
          <w:szCs w:val="21"/>
          <w:highlight w:val="none"/>
        </w:rPr>
      </w:pPr>
      <w:r>
        <w:rPr>
          <w:bCs/>
          <w:color w:val="auto"/>
          <w:sz w:val="21"/>
          <w:szCs w:val="21"/>
          <w:highlight w:val="none"/>
        </w:rPr>
        <w:t>测量方法: 纳氏试剂分光光度法</w:t>
      </w:r>
      <w:r>
        <w:rPr>
          <w:rFonts w:hint="eastAsia"/>
          <w:bCs/>
          <w:color w:val="auto"/>
          <w:sz w:val="21"/>
          <w:szCs w:val="21"/>
          <w:highlight w:val="none"/>
        </w:rPr>
        <w:t>，</w:t>
      </w:r>
      <w:r>
        <w:rPr>
          <w:bCs/>
          <w:color w:val="auto"/>
          <w:sz w:val="21"/>
          <w:szCs w:val="21"/>
          <w:highlight w:val="none"/>
        </w:rPr>
        <w:t>显示屏幕: 8寸TFT彩色触摸屏，分辨率为800×600</w:t>
      </w:r>
      <w:r>
        <w:rPr>
          <w:rFonts w:hint="eastAsia"/>
          <w:bCs/>
          <w:color w:val="auto"/>
          <w:sz w:val="21"/>
          <w:szCs w:val="21"/>
          <w:highlight w:val="none"/>
        </w:rPr>
        <w:t>，</w:t>
      </w:r>
      <w:r>
        <w:rPr>
          <w:bCs/>
          <w:color w:val="auto"/>
          <w:sz w:val="21"/>
          <w:szCs w:val="21"/>
          <w:highlight w:val="none"/>
        </w:rPr>
        <w:t>测量范围: (0-1)mg/L；(0-5)mg/L；(0-30)mg/L；(0-125)mg/L；(0-300)mg/L；比对误差: ±0.05mg/L（NH3-N≤0.4mg/L）；±10%（NH3-N&gt;0.4mg/L）；准确度: ±5%</w:t>
      </w:r>
      <w:r>
        <w:rPr>
          <w:rFonts w:hint="eastAsia"/>
          <w:bCs/>
          <w:color w:val="auto"/>
          <w:sz w:val="21"/>
          <w:szCs w:val="21"/>
          <w:highlight w:val="none"/>
        </w:rPr>
        <w:t>，</w:t>
      </w:r>
      <w:r>
        <w:rPr>
          <w:bCs/>
          <w:color w:val="auto"/>
          <w:sz w:val="21"/>
          <w:szCs w:val="21"/>
          <w:highlight w:val="none"/>
        </w:rPr>
        <w:t>重复性: ≤5%</w:t>
      </w:r>
      <w:r>
        <w:rPr>
          <w:rFonts w:hint="eastAsia"/>
          <w:bCs/>
          <w:color w:val="auto"/>
          <w:sz w:val="21"/>
          <w:szCs w:val="21"/>
          <w:highlight w:val="none"/>
        </w:rPr>
        <w:t>，</w:t>
      </w:r>
      <w:r>
        <w:rPr>
          <w:bCs/>
          <w:color w:val="auto"/>
          <w:sz w:val="21"/>
          <w:szCs w:val="21"/>
          <w:highlight w:val="none"/>
        </w:rPr>
        <w:t>直线性: ±5%</w:t>
      </w:r>
      <w:r>
        <w:rPr>
          <w:rFonts w:hint="eastAsia"/>
          <w:bCs/>
          <w:color w:val="auto"/>
          <w:sz w:val="21"/>
          <w:szCs w:val="21"/>
          <w:highlight w:val="none"/>
        </w:rPr>
        <w:t>，</w:t>
      </w:r>
      <w:r>
        <w:rPr>
          <w:bCs/>
          <w:color w:val="auto"/>
          <w:sz w:val="21"/>
          <w:szCs w:val="21"/>
          <w:highlight w:val="none"/>
        </w:rPr>
        <w:t>零点漂移: ±5%F.S/24h内</w:t>
      </w:r>
      <w:r>
        <w:rPr>
          <w:rFonts w:hint="eastAsia"/>
          <w:bCs/>
          <w:color w:val="auto"/>
          <w:sz w:val="21"/>
          <w:szCs w:val="21"/>
          <w:highlight w:val="none"/>
        </w:rPr>
        <w:t>，</w:t>
      </w:r>
      <w:r>
        <w:rPr>
          <w:bCs/>
          <w:color w:val="auto"/>
          <w:sz w:val="21"/>
          <w:szCs w:val="21"/>
          <w:highlight w:val="none"/>
        </w:rPr>
        <w:t xml:space="preserve"> 量程漂移: ±5%F.S/24h内</w:t>
      </w:r>
      <w:r>
        <w:rPr>
          <w:rFonts w:hint="eastAsia"/>
          <w:bCs/>
          <w:color w:val="auto"/>
          <w:sz w:val="21"/>
          <w:szCs w:val="21"/>
          <w:highlight w:val="none"/>
        </w:rPr>
        <w:t>，</w:t>
      </w:r>
      <w:r>
        <w:rPr>
          <w:bCs/>
          <w:color w:val="auto"/>
          <w:sz w:val="21"/>
          <w:szCs w:val="21"/>
          <w:highlight w:val="none"/>
        </w:rPr>
        <w:t>测定下限: 0.05mg/L</w:t>
      </w:r>
      <w:r>
        <w:rPr>
          <w:rFonts w:hint="eastAsia"/>
          <w:bCs/>
          <w:color w:val="auto"/>
          <w:sz w:val="21"/>
          <w:szCs w:val="21"/>
          <w:highlight w:val="none"/>
        </w:rPr>
        <w:t>，</w:t>
      </w:r>
      <w:r>
        <w:rPr>
          <w:bCs/>
          <w:color w:val="auto"/>
          <w:sz w:val="21"/>
          <w:szCs w:val="21"/>
          <w:highlight w:val="none"/>
        </w:rPr>
        <w:t>测量周期: 最小测量周期为25分钟/次</w:t>
      </w:r>
      <w:r>
        <w:rPr>
          <w:rFonts w:hint="eastAsia"/>
          <w:bCs/>
          <w:color w:val="auto"/>
          <w:sz w:val="21"/>
          <w:szCs w:val="21"/>
          <w:highlight w:val="none"/>
        </w:rPr>
        <w:t>，</w:t>
      </w:r>
      <w:r>
        <w:rPr>
          <w:bCs/>
          <w:color w:val="auto"/>
          <w:sz w:val="21"/>
          <w:szCs w:val="21"/>
          <w:highlight w:val="none"/>
        </w:rPr>
        <w:t xml:space="preserve"> 试剂消耗: 标准试剂包</w:t>
      </w:r>
      <w:r>
        <w:rPr>
          <w:rFonts w:hint="eastAsia"/>
          <w:bCs/>
          <w:color w:val="auto"/>
          <w:sz w:val="21"/>
          <w:szCs w:val="21"/>
          <w:highlight w:val="none"/>
        </w:rPr>
        <w:t>至少</w:t>
      </w:r>
      <w:r>
        <w:rPr>
          <w:bCs/>
          <w:color w:val="auto"/>
          <w:sz w:val="21"/>
          <w:szCs w:val="21"/>
          <w:highlight w:val="none"/>
        </w:rPr>
        <w:t>可连续检测600次测量（50天×12次/天）</w:t>
      </w:r>
      <w:r>
        <w:rPr>
          <w:rFonts w:hint="eastAsia"/>
          <w:bCs/>
          <w:color w:val="auto"/>
          <w:sz w:val="21"/>
          <w:szCs w:val="21"/>
          <w:highlight w:val="none"/>
        </w:rPr>
        <w:t>，</w:t>
      </w:r>
      <w:r>
        <w:rPr>
          <w:bCs/>
          <w:color w:val="auto"/>
          <w:sz w:val="21"/>
          <w:szCs w:val="21"/>
          <w:highlight w:val="none"/>
        </w:rPr>
        <w:t>自动校准: 1～99 天任意间隔任意时刻可调</w:t>
      </w:r>
      <w:r>
        <w:rPr>
          <w:rFonts w:hint="eastAsia"/>
          <w:bCs/>
          <w:color w:val="auto"/>
          <w:sz w:val="21"/>
          <w:szCs w:val="21"/>
          <w:highlight w:val="none"/>
        </w:rPr>
        <w:t>，</w:t>
      </w:r>
      <w:r>
        <w:rPr>
          <w:bCs/>
          <w:color w:val="auto"/>
          <w:sz w:val="21"/>
          <w:szCs w:val="21"/>
          <w:highlight w:val="none"/>
        </w:rPr>
        <w:t>自动清洗: 每次测定完成后仪器自动清洗，也可根据现场情况周期清洗</w:t>
      </w:r>
      <w:r>
        <w:rPr>
          <w:rFonts w:hint="eastAsia"/>
          <w:bCs/>
          <w:color w:val="auto"/>
          <w:sz w:val="21"/>
          <w:szCs w:val="21"/>
          <w:highlight w:val="none"/>
        </w:rPr>
        <w:t>，</w:t>
      </w:r>
      <w:r>
        <w:rPr>
          <w:bCs/>
          <w:color w:val="auto"/>
          <w:sz w:val="21"/>
          <w:szCs w:val="21"/>
          <w:highlight w:val="none"/>
        </w:rPr>
        <w:t>审核测试: 依据行业标准，提供5种审核项目的自动测试方法：质控样、直线性、重复性、实际水样比对、零点与量程漂移</w:t>
      </w:r>
      <w:r>
        <w:rPr>
          <w:rFonts w:hint="eastAsia"/>
          <w:bCs/>
          <w:color w:val="auto"/>
          <w:sz w:val="21"/>
          <w:szCs w:val="21"/>
          <w:highlight w:val="none"/>
        </w:rPr>
        <w:t>，</w:t>
      </w:r>
      <w:r>
        <w:rPr>
          <w:bCs/>
          <w:color w:val="auto"/>
          <w:sz w:val="21"/>
          <w:szCs w:val="21"/>
          <w:highlight w:val="none"/>
        </w:rPr>
        <w:t>数据存储: 可连续存储5年以上的数据</w:t>
      </w:r>
      <w:r>
        <w:rPr>
          <w:rFonts w:hint="eastAsia"/>
          <w:bCs/>
          <w:color w:val="auto"/>
          <w:sz w:val="21"/>
          <w:szCs w:val="21"/>
          <w:highlight w:val="none"/>
        </w:rPr>
        <w:t>，</w:t>
      </w:r>
      <w:r>
        <w:rPr>
          <w:bCs/>
          <w:color w:val="auto"/>
          <w:sz w:val="21"/>
          <w:szCs w:val="21"/>
          <w:highlight w:val="none"/>
        </w:rPr>
        <w:t>仪器接口: RS232、RS485、RJ45（以太网）；4-20mA输出或无线网络反控（选配）</w:t>
      </w:r>
      <w:r>
        <w:rPr>
          <w:rFonts w:hint="eastAsia"/>
          <w:bCs/>
          <w:color w:val="auto"/>
          <w:sz w:val="21"/>
          <w:szCs w:val="21"/>
          <w:highlight w:val="none"/>
        </w:rPr>
        <w:t>，</w:t>
      </w:r>
      <w:r>
        <w:rPr>
          <w:bCs/>
          <w:color w:val="auto"/>
          <w:sz w:val="21"/>
          <w:szCs w:val="21"/>
          <w:highlight w:val="none"/>
        </w:rPr>
        <w:t>其它功能: 试剂余量预警、仪器日志、故障报警</w:t>
      </w:r>
      <w:r>
        <w:rPr>
          <w:rFonts w:hint="eastAsia"/>
          <w:bCs/>
          <w:color w:val="auto"/>
          <w:sz w:val="21"/>
          <w:szCs w:val="21"/>
          <w:highlight w:val="none"/>
        </w:rPr>
        <w:t>等。</w:t>
      </w:r>
    </w:p>
    <w:p>
      <w:pPr>
        <w:pStyle w:val="21"/>
        <w:spacing w:line="360" w:lineRule="exact"/>
        <w:ind w:firstLine="482"/>
        <w:rPr>
          <w:b/>
          <w:color w:val="auto"/>
          <w:highlight w:val="none"/>
        </w:rPr>
      </w:pPr>
      <w:r>
        <w:rPr>
          <w:b/>
          <w:color w:val="auto"/>
          <w:highlight w:val="none"/>
        </w:rPr>
        <w:t>3</w:t>
      </w:r>
      <w:r>
        <w:rPr>
          <w:rFonts w:hint="eastAsia"/>
          <w:b/>
          <w:color w:val="auto"/>
          <w:highlight w:val="none"/>
        </w:rPr>
        <w:t>.7.2 控制方式：</w:t>
      </w:r>
    </w:p>
    <w:p>
      <w:pPr>
        <w:pStyle w:val="21"/>
        <w:spacing w:line="360" w:lineRule="exact"/>
        <w:ind w:firstLine="420"/>
        <w:rPr>
          <w:rFonts w:hint="eastAsia"/>
          <w:bCs/>
          <w:color w:val="auto"/>
          <w:sz w:val="21"/>
          <w:szCs w:val="21"/>
          <w:highlight w:val="none"/>
        </w:rPr>
      </w:pPr>
      <w:r>
        <w:rPr>
          <w:rFonts w:hint="eastAsia"/>
          <w:bCs/>
          <w:color w:val="auto"/>
          <w:sz w:val="21"/>
          <w:szCs w:val="21"/>
          <w:highlight w:val="none"/>
          <w:lang w:val="en-US" w:eastAsia="zh-CN"/>
        </w:rPr>
        <w:t>1、</w:t>
      </w:r>
      <w:r>
        <w:rPr>
          <w:rFonts w:hint="eastAsia"/>
          <w:bCs/>
          <w:color w:val="auto"/>
          <w:sz w:val="21"/>
          <w:szCs w:val="21"/>
          <w:highlight w:val="none"/>
        </w:rPr>
        <w:t>所有设备均为手动和自动两种操作方式，故障报警或处理设备连续运行1周后，备用设备能自动投入运行；处理站内的故障、事故等报警信号可传至处理站值班室，以便管理人员及时发现并处理问题。</w:t>
      </w:r>
    </w:p>
    <w:p>
      <w:pPr>
        <w:pStyle w:val="21"/>
        <w:spacing w:line="360" w:lineRule="exact"/>
        <w:ind w:firstLine="420"/>
        <w:rPr>
          <w:rFonts w:hint="eastAsia" w:eastAsia="宋体"/>
          <w:bCs/>
          <w:color w:val="auto"/>
          <w:sz w:val="21"/>
          <w:szCs w:val="21"/>
          <w:highlight w:val="none"/>
          <w:lang w:val="en-US" w:eastAsia="zh-CN"/>
        </w:rPr>
      </w:pPr>
      <w:r>
        <w:rPr>
          <w:rFonts w:hint="eastAsia"/>
          <w:bCs/>
          <w:color w:val="auto"/>
          <w:sz w:val="21"/>
          <w:szCs w:val="21"/>
          <w:highlight w:val="none"/>
          <w:lang w:val="en-US" w:eastAsia="zh-CN"/>
        </w:rPr>
        <w:t>2、二氧化氯消毒设备与备用消毒设备因不能同时启动，故需增加电气互锁；两套设备应由中标单位在中标后根据设计要求严格执行的基础上针对设备使用及安全性方面进行二次深化，并由甲方确认。</w:t>
      </w:r>
    </w:p>
    <w:p>
      <w:pPr>
        <w:pStyle w:val="21"/>
        <w:spacing w:line="360" w:lineRule="exact"/>
        <w:ind w:firstLine="482"/>
        <w:rPr>
          <w:bCs/>
          <w:color w:val="auto"/>
          <w:sz w:val="21"/>
          <w:szCs w:val="21"/>
          <w:highlight w:val="none"/>
        </w:rPr>
      </w:pPr>
      <w:r>
        <w:rPr>
          <w:b/>
          <w:color w:val="auto"/>
          <w:highlight w:val="none"/>
        </w:rPr>
        <w:t>3</w:t>
      </w:r>
      <w:r>
        <w:rPr>
          <w:rFonts w:hint="eastAsia"/>
          <w:b/>
          <w:color w:val="auto"/>
          <w:highlight w:val="none"/>
        </w:rPr>
        <w:t>.7.3 施工安装说明</w:t>
      </w:r>
      <w:r>
        <w:rPr>
          <w:rFonts w:hint="eastAsia"/>
          <w:color w:val="auto"/>
          <w:sz w:val="21"/>
          <w:szCs w:val="21"/>
          <w:highlight w:val="none"/>
        </w:rPr>
        <w:t>（提示：土建工程完工后，施工人员需检查高程、标高与图纸设计</w:t>
      </w:r>
      <w:r>
        <w:rPr>
          <w:rFonts w:hint="eastAsia"/>
          <w:bCs/>
          <w:color w:val="auto"/>
          <w:sz w:val="21"/>
          <w:szCs w:val="21"/>
          <w:highlight w:val="none"/>
        </w:rPr>
        <w:t>是否相符，相符后方可进行安装施工！）</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1 管材与连接：</w:t>
      </w:r>
      <w:r>
        <w:rPr>
          <w:rFonts w:hint="eastAsia"/>
          <w:color w:val="auto"/>
          <w:szCs w:val="21"/>
          <w:highlight w:val="none"/>
        </w:rPr>
        <w:t>空气管采用镀锌钢管，进入水池为不锈钢304管，池底曝气管采用1.0MPaU-PVC管。污水,污泥管采用1.0MPaU-PVC管,法兰对接或胶粘接,法兰压力等级均为1.0MPa。</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 xml:space="preserve">2 </w:t>
      </w:r>
      <w:r>
        <w:rPr>
          <w:rFonts w:hint="eastAsia"/>
          <w:color w:val="auto"/>
          <w:szCs w:val="21"/>
          <w:highlight w:val="none"/>
        </w:rPr>
        <w:t>管道防腐：镀锌钢管外壁除锈后刷两遍防锈漆，再刷两道面漆；地埋镀锌钢管除锈后刷两道防锈漆后，再做三油（沥青漆）两布（玻璃布）防腐；管道</w:t>
      </w:r>
      <w:r>
        <w:rPr>
          <w:rFonts w:hint="eastAsia"/>
          <w:color w:val="auto"/>
          <w:szCs w:val="21"/>
          <w:highlight w:val="none"/>
          <w:lang w:eastAsia="zh-CN"/>
        </w:rPr>
        <w:t>、</w:t>
      </w:r>
      <w:r>
        <w:rPr>
          <w:rFonts w:hint="eastAsia"/>
          <w:color w:val="auto"/>
          <w:szCs w:val="21"/>
          <w:highlight w:val="none"/>
          <w:lang w:val="en-US" w:eastAsia="zh-CN"/>
        </w:rPr>
        <w:t>设备的支架采用</w:t>
      </w:r>
      <w:r>
        <w:rPr>
          <w:rFonts w:hint="eastAsia"/>
          <w:color w:val="auto"/>
          <w:sz w:val="20"/>
          <w:szCs w:val="20"/>
          <w:highlight w:val="none"/>
          <w:lang w:bidi="ar"/>
        </w:rPr>
        <w:t>热浸锌</w:t>
      </w:r>
      <w:r>
        <w:rPr>
          <w:rFonts w:hint="eastAsia"/>
          <w:color w:val="auto"/>
          <w:szCs w:val="21"/>
          <w:highlight w:val="none"/>
        </w:rPr>
        <w:t>支架。</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3 管道水压试验及冲洗：压力管道最大设计工作压力为0.15MPa，试水压力为</w:t>
      </w:r>
      <w:r>
        <w:rPr>
          <w:rFonts w:hint="eastAsia"/>
          <w:color w:val="auto"/>
          <w:szCs w:val="21"/>
          <w:highlight w:val="none"/>
        </w:rPr>
        <w:t>0.6MPa；重力流管道做灌水试验；管道冲洗，按照《给水排水管道工程施工及验收规范》GB50268-2008中的相应要求执行。</w:t>
      </w:r>
    </w:p>
    <w:p>
      <w:pPr>
        <w:widowControl/>
        <w:shd w:val="clear" w:color="auto" w:fill="FFFFFF"/>
        <w:spacing w:line="360" w:lineRule="exact"/>
        <w:ind w:firstLine="420" w:firstLineChars="200"/>
        <w:rPr>
          <w:bCs/>
          <w:color w:val="auto"/>
          <w:szCs w:val="21"/>
          <w:highlight w:val="none"/>
        </w:rPr>
      </w:pPr>
      <w:r>
        <w:rPr>
          <w:rFonts w:hint="eastAsia"/>
          <w:bCs/>
          <w:color w:val="auto"/>
          <w:szCs w:val="21"/>
          <w:highlight w:val="none"/>
        </w:rPr>
        <w:t>4 所有穿墙套管等预埋铁件，均必须事先反复核对、准确预埋和预留，不得事后开凿。</w:t>
      </w:r>
    </w:p>
    <w:p>
      <w:pPr>
        <w:widowControl/>
        <w:shd w:val="clear" w:color="auto" w:fill="FFFFFF"/>
        <w:spacing w:line="360" w:lineRule="exact"/>
        <w:ind w:firstLine="420" w:firstLineChars="200"/>
        <w:rPr>
          <w:color w:val="auto"/>
          <w:szCs w:val="21"/>
          <w:highlight w:val="none"/>
        </w:rPr>
      </w:pPr>
      <w:r>
        <w:rPr>
          <w:rFonts w:hint="eastAsia"/>
          <w:bCs/>
          <w:color w:val="auto"/>
          <w:szCs w:val="21"/>
          <w:highlight w:val="none"/>
        </w:rPr>
        <w:t>5 未尽事宜，按照《给水排水管道工程施工及验收规范》GB50268-2008中的相应</w:t>
      </w:r>
      <w:r>
        <w:rPr>
          <w:rFonts w:hint="eastAsia"/>
          <w:color w:val="auto"/>
          <w:szCs w:val="21"/>
          <w:highlight w:val="none"/>
        </w:rPr>
        <w:t>要求执行。</w:t>
      </w:r>
    </w:p>
    <w:p>
      <w:pPr>
        <w:pStyle w:val="21"/>
        <w:spacing w:line="360" w:lineRule="exact"/>
        <w:ind w:firstLine="482"/>
        <w:rPr>
          <w:b/>
          <w:color w:val="auto"/>
          <w:highlight w:val="none"/>
        </w:rPr>
      </w:pPr>
      <w:r>
        <w:rPr>
          <w:b/>
          <w:color w:val="auto"/>
          <w:highlight w:val="none"/>
        </w:rPr>
        <w:t>3</w:t>
      </w:r>
      <w:r>
        <w:rPr>
          <w:rFonts w:hint="eastAsia"/>
          <w:b/>
          <w:color w:val="auto"/>
          <w:highlight w:val="none"/>
        </w:rPr>
        <w:t>.8调试说明</w:t>
      </w:r>
    </w:p>
    <w:p>
      <w:pPr>
        <w:widowControl/>
        <w:shd w:val="clear" w:color="auto" w:fill="FFFFFF"/>
        <w:spacing w:line="360" w:lineRule="exact"/>
        <w:ind w:firstLine="420" w:firstLineChars="200"/>
        <w:rPr>
          <w:bCs/>
          <w:color w:val="auto"/>
          <w:szCs w:val="21"/>
          <w:highlight w:val="none"/>
        </w:rPr>
      </w:pPr>
      <w:r>
        <w:rPr>
          <w:bCs/>
          <w:color w:val="auto"/>
          <w:szCs w:val="21"/>
          <w:highlight w:val="none"/>
        </w:rPr>
        <w:t>3</w:t>
      </w:r>
      <w:r>
        <w:rPr>
          <w:rFonts w:hint="eastAsia"/>
          <w:bCs/>
          <w:color w:val="auto"/>
          <w:szCs w:val="21"/>
          <w:highlight w:val="none"/>
        </w:rPr>
        <w:t>.8.1、本工程调试采用联机调试，联机调试分为清水调试和污水调试两个阶段。</w:t>
      </w:r>
    </w:p>
    <w:p>
      <w:pPr>
        <w:widowControl/>
        <w:shd w:val="clear" w:color="auto" w:fill="FFFFFF"/>
        <w:spacing w:line="360" w:lineRule="exact"/>
        <w:ind w:firstLine="420" w:firstLineChars="200"/>
        <w:rPr>
          <w:color w:val="auto"/>
          <w:szCs w:val="21"/>
          <w:highlight w:val="none"/>
        </w:rPr>
      </w:pPr>
      <w:r>
        <w:rPr>
          <w:bCs/>
          <w:color w:val="auto"/>
          <w:szCs w:val="21"/>
          <w:highlight w:val="none"/>
        </w:rPr>
        <w:t>3</w:t>
      </w:r>
      <w:r>
        <w:rPr>
          <w:rFonts w:hint="eastAsia"/>
          <w:bCs/>
          <w:color w:val="auto"/>
          <w:szCs w:val="21"/>
          <w:highlight w:val="none"/>
        </w:rPr>
        <w:t>.8.2、清水调试阶段重点检测流程的安全性与连续性，检测各浮球液位控制计是否能正常使用；检测机房集水坑排污泵排污能力是否满足要求和正常启动；检测流程各阶段的自</w:t>
      </w:r>
      <w:r>
        <w:rPr>
          <w:rFonts w:hint="eastAsia"/>
          <w:color w:val="auto"/>
          <w:szCs w:val="21"/>
          <w:highlight w:val="none"/>
        </w:rPr>
        <w:t>动控制系统的运转是否与设计要求相符，还需根据所安装水泵的性能曲线调节泵后手动阀门至设计参数；污水调试阶段应首先检测来水水质是否与设计进水水质相匹配，同时在运转过程中计算实际来水量，当实际水质和水量与设计不符时应及时与设计单位沟通，调整运行参数，保证系统连续运行。</w:t>
      </w:r>
    </w:p>
    <w:p>
      <w:pPr>
        <w:spacing w:line="360" w:lineRule="exact"/>
        <w:ind w:firstLine="482" w:firstLineChars="200"/>
        <w:rPr>
          <w:b/>
          <w:color w:val="auto"/>
          <w:sz w:val="24"/>
          <w:highlight w:val="none"/>
        </w:rPr>
      </w:pPr>
      <w:r>
        <w:rPr>
          <w:b/>
          <w:color w:val="auto"/>
          <w:sz w:val="24"/>
          <w:highlight w:val="none"/>
        </w:rPr>
        <w:t>3</w:t>
      </w:r>
      <w:r>
        <w:rPr>
          <w:rFonts w:hint="eastAsia"/>
          <w:b/>
          <w:color w:val="auto"/>
          <w:sz w:val="24"/>
          <w:highlight w:val="none"/>
        </w:rPr>
        <w:t>.9技术资料</w:t>
      </w:r>
    </w:p>
    <w:p>
      <w:pPr>
        <w:pStyle w:val="12"/>
        <w:tabs>
          <w:tab w:val="left" w:pos="735"/>
        </w:tabs>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.1所有技术文件、图样都应使用中文版，字迹清楚，内容完整、准确。</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.2投标文件中提供设备机型图样和主要技术文件，如参数及数量、价格，设备运行时的特殊要求等。提供设备所用的进口件明细及详细情况。</w:t>
      </w:r>
    </w:p>
    <w:p>
      <w:pPr>
        <w:pStyle w:val="12"/>
        <w:tabs>
          <w:tab w:val="left" w:pos="735"/>
        </w:tabs>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.3设备终验收后提供设备全套技术资料五套：</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.3.1设备操作维护使用说明书（有常见故障分析与处理方法、提前预防故障措施）、安装调试手册等（中文五套）；</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.3.2设备装配总图、工作原理图；</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.3.3电器原理图、接线图；</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.3.4设备配置清单、易损件清单；</w:t>
      </w:r>
    </w:p>
    <w:p>
      <w:pPr>
        <w:pStyle w:val="12"/>
        <w:spacing w:line="360" w:lineRule="exact"/>
        <w:ind w:firstLine="420" w:firstLineChars="200"/>
        <w:rPr>
          <w:rFonts w:hAnsi="宋体"/>
          <w:bCs/>
          <w:color w:val="auto"/>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.3.5提供设备终验收合格记录。</w:t>
      </w:r>
    </w:p>
    <w:p>
      <w:pPr>
        <w:pStyle w:val="12"/>
        <w:spacing w:line="360" w:lineRule="exact"/>
        <w:ind w:firstLine="420" w:firstLineChars="200"/>
        <w:rPr>
          <w:rFonts w:hAnsi="宋体"/>
          <w:bCs/>
          <w:color w:val="auto"/>
          <w:sz w:val="24"/>
          <w:szCs w:val="24"/>
          <w:highlight w:val="none"/>
        </w:rPr>
      </w:pPr>
      <w:r>
        <w:rPr>
          <w:rFonts w:hAnsi="宋体"/>
          <w:color w:val="auto"/>
          <w:highlight w:val="none"/>
        </w:rPr>
        <w:t>3</w:t>
      </w:r>
      <w:r>
        <w:rPr>
          <w:rFonts w:hint="eastAsia" w:hAnsi="宋体"/>
          <w:color w:val="auto"/>
          <w:highlight w:val="none"/>
        </w:rPr>
        <w:t>.9</w:t>
      </w:r>
      <w:r>
        <w:rPr>
          <w:rFonts w:hint="eastAsia" w:hAnsi="宋体"/>
          <w:bCs/>
          <w:color w:val="auto"/>
          <w:highlight w:val="none"/>
        </w:rPr>
        <w:t>.3.6作业指导书。</w:t>
      </w:r>
    </w:p>
    <w:p>
      <w:pPr>
        <w:pStyle w:val="12"/>
        <w:spacing w:line="360" w:lineRule="exact"/>
        <w:ind w:firstLine="482" w:firstLineChars="200"/>
        <w:rPr>
          <w:rFonts w:hAnsi="宋体"/>
          <w:b/>
          <w:bCs/>
          <w:color w:val="auto"/>
          <w:sz w:val="24"/>
          <w:szCs w:val="24"/>
          <w:highlight w:val="none"/>
        </w:rPr>
      </w:pPr>
      <w:r>
        <w:rPr>
          <w:rFonts w:hAnsi="宋体"/>
          <w:b/>
          <w:color w:val="auto"/>
          <w:sz w:val="24"/>
          <w:szCs w:val="24"/>
          <w:highlight w:val="none"/>
        </w:rPr>
        <w:t>3</w:t>
      </w:r>
      <w:r>
        <w:rPr>
          <w:rFonts w:hint="eastAsia" w:hAnsi="宋体"/>
          <w:b/>
          <w:color w:val="auto"/>
          <w:sz w:val="24"/>
          <w:szCs w:val="24"/>
          <w:highlight w:val="none"/>
        </w:rPr>
        <w:t>.10其它要求</w:t>
      </w:r>
    </w:p>
    <w:p>
      <w:pPr>
        <w:tabs>
          <w:tab w:val="left" w:pos="360"/>
        </w:tabs>
        <w:adjustRightInd w:val="0"/>
        <w:spacing w:line="360" w:lineRule="exact"/>
        <w:ind w:firstLine="420" w:firstLineChars="200"/>
        <w:rPr>
          <w:bCs/>
          <w:color w:val="auto"/>
          <w:sz w:val="24"/>
          <w:highlight w:val="none"/>
        </w:rPr>
      </w:pPr>
      <w:r>
        <w:rPr>
          <w:rFonts w:hint="eastAsia"/>
          <w:bCs/>
          <w:color w:val="auto"/>
          <w:szCs w:val="21"/>
          <w:highlight w:val="none"/>
        </w:rPr>
        <w:t>设备必须符合国际及项目当地环保要求、并满足安全、卫生等相关标准。</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4</w:t>
      </w:r>
      <w:r>
        <w:rPr>
          <w:rFonts w:hint="eastAsia"/>
          <w:b/>
          <w:bCs/>
          <w:color w:val="auto"/>
          <w:sz w:val="28"/>
          <w:szCs w:val="28"/>
          <w:highlight w:val="none"/>
        </w:rPr>
        <w:t>、设备包装和运输</w:t>
      </w:r>
    </w:p>
    <w:p>
      <w:pPr>
        <w:pStyle w:val="12"/>
        <w:spacing w:line="360" w:lineRule="exact"/>
        <w:ind w:firstLine="420" w:firstLineChars="200"/>
        <w:rPr>
          <w:rFonts w:hAnsi="宋体"/>
          <w:bCs/>
          <w:color w:val="auto"/>
          <w:highlight w:val="none"/>
        </w:rPr>
      </w:pPr>
      <w:r>
        <w:rPr>
          <w:rFonts w:hAnsi="宋体"/>
          <w:color w:val="auto"/>
          <w:highlight w:val="none"/>
        </w:rPr>
        <w:t>4</w:t>
      </w:r>
      <w:r>
        <w:rPr>
          <w:rFonts w:hint="eastAsia" w:hAnsi="宋体"/>
          <w:color w:val="auto"/>
          <w:highlight w:val="none"/>
        </w:rPr>
        <w:t>.1</w:t>
      </w:r>
      <w:r>
        <w:rPr>
          <w:rFonts w:hint="eastAsia" w:hAnsi="宋体"/>
          <w:bCs/>
          <w:color w:val="auto"/>
          <w:highlight w:val="none"/>
        </w:rPr>
        <w:t>设备的包装须适合长途运输，要求防雨、防潮、防锈、防震、防止其它可能的损坏，要求搬运适用于铁运和陆运，方便整体吊装。木箱包装必须符合相关要求，要求包装上有醒目的吊装点标志。</w:t>
      </w:r>
    </w:p>
    <w:p>
      <w:pPr>
        <w:pStyle w:val="12"/>
        <w:spacing w:line="360" w:lineRule="exact"/>
        <w:ind w:firstLine="420" w:firstLineChars="200"/>
        <w:rPr>
          <w:rFonts w:hAnsi="宋体"/>
          <w:bCs/>
          <w:color w:val="auto"/>
          <w:highlight w:val="none"/>
        </w:rPr>
      </w:pPr>
      <w:r>
        <w:rPr>
          <w:rFonts w:hAnsi="宋体"/>
          <w:bCs/>
          <w:color w:val="auto"/>
          <w:highlight w:val="none"/>
        </w:rPr>
        <w:t>4</w:t>
      </w:r>
      <w:r>
        <w:rPr>
          <w:rFonts w:hint="eastAsia" w:hAnsi="宋体"/>
          <w:bCs/>
          <w:color w:val="auto"/>
          <w:highlight w:val="none"/>
        </w:rPr>
        <w:t>.2因包装形式或保护不妥而造成设备锈蚀、损伤或丢失，投标人应承担全部责任。</w:t>
      </w:r>
    </w:p>
    <w:p>
      <w:pPr>
        <w:pStyle w:val="12"/>
        <w:spacing w:line="360" w:lineRule="exact"/>
        <w:ind w:firstLine="420" w:firstLineChars="200"/>
        <w:rPr>
          <w:rFonts w:hAnsi="宋体"/>
          <w:bCs/>
          <w:color w:val="auto"/>
          <w:highlight w:val="none"/>
        </w:rPr>
      </w:pPr>
      <w:r>
        <w:rPr>
          <w:rFonts w:hAnsi="宋体"/>
          <w:bCs/>
          <w:color w:val="auto"/>
          <w:highlight w:val="none"/>
        </w:rPr>
        <w:t>4</w:t>
      </w:r>
      <w:r>
        <w:rPr>
          <w:rFonts w:hint="eastAsia" w:hAnsi="宋体"/>
          <w:bCs/>
          <w:color w:val="auto"/>
          <w:highlight w:val="none"/>
        </w:rPr>
        <w:t>.3投标人负责将货物运输到招标人工地，包括货物的吊装、搬运、二次搬运等工作，将设备安置在安装位置附近，并负责设备的安装工作。</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5</w:t>
      </w:r>
      <w:r>
        <w:rPr>
          <w:rFonts w:hint="eastAsia"/>
          <w:b/>
          <w:bCs/>
          <w:color w:val="auto"/>
          <w:sz w:val="28"/>
          <w:szCs w:val="28"/>
          <w:highlight w:val="none"/>
        </w:rPr>
        <w:t>、安装、调试和试运行、工地管理及技术服务</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.1本合同签定后1个月内，投标人应根据招标人招标时提供的图纸进行深化，并提供详细的设备安装、预留预埋及土建结构图纸，得到项目设计院认可，由设计院转化设计。</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2本合同所有设备均由投标人安装和调试，投标人应派遣至少2人有从事同类工作三年以上实践经验的技术人员和相应的专业安装队伍现场安装和试验工作。如在此阶段，因货物自身质量问题或安装出现差错，投标人应全权负责解决直到招标人满意，并应按合同条款规定执行。</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.3污水处理站房施工前期，投标人应派遣专业技术人员指导和验收动力中心及厂区总体项目工程相关总包单位和机电安装单位进行预留和预埋。一切因投标人指导和验收不到位造成的后果由投标人承担。</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.4投标人应提供货物的现场安装、调试、试运行和验收方案（其中人数、技术级别、技术方案、服务内容、逗留时间以及提供设备型号、数量等应详细说明）。招标人在7天内应予以答复。</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5本次招标货物的现场保管应纳入建筑施工总承包单位的现场管理，投标人有责任与总包单位、安装单位、监理单位等保持联系和合作。投标人须派代表参加所有与其有关的现场联络会，并接受总包单位、安装单位的统一管理，遵守工地的安全和其他规定等。</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.6投标人派遣的所有技术人员和安装调试人员的所有费用均由投标人负责。</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.7投标人须对安装人员进行技术培训，确保安装质量，如出现因培训不到位影响安装质量而产生的返工，由此产生的全部责任和费用由中标人负责。</w:t>
      </w:r>
    </w:p>
    <w:p>
      <w:pPr>
        <w:pStyle w:val="12"/>
        <w:spacing w:line="360" w:lineRule="exact"/>
        <w:ind w:firstLine="420" w:firstLineChars="200"/>
        <w:rPr>
          <w:rFonts w:hAnsi="宋体"/>
          <w:bCs/>
          <w:color w:val="auto"/>
          <w:highlight w:val="none"/>
        </w:rPr>
      </w:pPr>
      <w:r>
        <w:rPr>
          <w:rFonts w:hAnsi="宋体"/>
          <w:bCs/>
          <w:color w:val="auto"/>
          <w:highlight w:val="none"/>
        </w:rPr>
        <w:t>5</w:t>
      </w:r>
      <w:r>
        <w:rPr>
          <w:rFonts w:hint="eastAsia" w:hAnsi="宋体"/>
          <w:bCs/>
          <w:color w:val="auto"/>
          <w:highlight w:val="none"/>
        </w:rPr>
        <w:t>.8项目结束后对招标人相关管理、维护技术人员进行技术培训，相应的培训费用包含在投标报价中。</w:t>
      </w:r>
    </w:p>
    <w:p>
      <w:pPr>
        <w:pStyle w:val="12"/>
        <w:spacing w:line="360" w:lineRule="exact"/>
        <w:ind w:firstLine="420" w:firstLineChars="200"/>
        <w:rPr>
          <w:rFonts w:hAnsi="宋体"/>
          <w:bCs/>
          <w:color w:val="auto"/>
          <w:highlight w:val="none"/>
        </w:rPr>
      </w:pPr>
      <w:r>
        <w:rPr>
          <w:rFonts w:hint="eastAsia" w:hAnsi="宋体"/>
          <w:bCs/>
          <w:color w:val="auto"/>
          <w:highlight w:val="none"/>
        </w:rPr>
        <w:t>5.9医院开放运营后，投标人需派遣技术人员并提供菌种、检测试剂等耗材（消毒液不包含在内）确保本系统正常运行三个月，相应费用包含在投标报价中。</w:t>
      </w:r>
    </w:p>
    <w:p>
      <w:pPr>
        <w:adjustRightInd w:val="0"/>
        <w:snapToGrid w:val="0"/>
        <w:spacing w:after="120" w:afterLines="50" w:line="360" w:lineRule="exact"/>
        <w:rPr>
          <w:b/>
          <w:bCs/>
          <w:color w:val="auto"/>
          <w:sz w:val="28"/>
          <w:szCs w:val="28"/>
          <w:highlight w:val="none"/>
        </w:rPr>
      </w:pPr>
      <w:r>
        <w:rPr>
          <w:b/>
          <w:bCs/>
          <w:color w:val="auto"/>
          <w:sz w:val="28"/>
          <w:szCs w:val="28"/>
          <w:highlight w:val="none"/>
        </w:rPr>
        <w:t>6</w:t>
      </w:r>
      <w:r>
        <w:rPr>
          <w:rFonts w:hint="eastAsia"/>
          <w:b/>
          <w:bCs/>
          <w:color w:val="auto"/>
          <w:sz w:val="28"/>
          <w:szCs w:val="28"/>
          <w:highlight w:val="none"/>
        </w:rPr>
        <w:t>、系统验收</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.1通则：</w:t>
      </w:r>
    </w:p>
    <w:p>
      <w:pPr>
        <w:pStyle w:val="12"/>
        <w:spacing w:line="360" w:lineRule="exact"/>
        <w:ind w:firstLine="420" w:firstLineChars="200"/>
        <w:rPr>
          <w:rFonts w:hAnsi="宋体"/>
          <w:bCs/>
          <w:color w:val="auto"/>
          <w:highlight w:val="none"/>
        </w:rPr>
      </w:pPr>
      <w:r>
        <w:rPr>
          <w:rFonts w:hint="eastAsia" w:hAnsi="宋体"/>
          <w:bCs/>
          <w:color w:val="auto"/>
          <w:highlight w:val="none"/>
        </w:rPr>
        <w:t>污水处理设备的验收应按照中华人民共和国及绍兴市相关规范和标准进行。当两者的标准有差异时，按最严格的技术标准执行。</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.2验收目的：</w:t>
      </w:r>
    </w:p>
    <w:p>
      <w:pPr>
        <w:pStyle w:val="12"/>
        <w:spacing w:line="360" w:lineRule="exact"/>
        <w:ind w:firstLine="420" w:firstLineChars="200"/>
        <w:rPr>
          <w:rFonts w:hAnsi="宋体"/>
          <w:bCs/>
          <w:color w:val="auto"/>
          <w:highlight w:val="none"/>
        </w:rPr>
      </w:pPr>
      <w:r>
        <w:rPr>
          <w:rFonts w:hint="eastAsia" w:hAnsi="宋体"/>
          <w:bCs/>
          <w:color w:val="auto"/>
          <w:highlight w:val="none"/>
        </w:rPr>
        <w:t>检验污水处理设备是否满足本用户需求书的要求及投标人在投标文件中承诺的其投标产品所能达到的各项技术性能指标。</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.3验收条件：</w:t>
      </w:r>
    </w:p>
    <w:p>
      <w:pPr>
        <w:pStyle w:val="12"/>
        <w:spacing w:line="360" w:lineRule="exact"/>
        <w:ind w:firstLine="420" w:firstLineChars="200"/>
        <w:rPr>
          <w:rFonts w:hAnsi="宋体"/>
          <w:bCs/>
          <w:color w:val="auto"/>
          <w:highlight w:val="none"/>
        </w:rPr>
      </w:pPr>
      <w:r>
        <w:rPr>
          <w:rFonts w:hint="eastAsia" w:hAnsi="宋体"/>
          <w:bCs/>
          <w:color w:val="auto"/>
          <w:highlight w:val="none"/>
        </w:rPr>
        <w:t>验收工作将在污水设备及其控制装置组装、调试结束后进行。在正式开始验收之前，投标人应先完成自检，保证所交验的系统已经达到了预期状态。</w:t>
      </w:r>
    </w:p>
    <w:p>
      <w:pPr>
        <w:pStyle w:val="12"/>
        <w:spacing w:line="360" w:lineRule="exact"/>
        <w:ind w:firstLine="420" w:firstLineChars="200"/>
        <w:rPr>
          <w:rFonts w:hAnsi="宋体"/>
          <w:bCs/>
          <w:color w:val="auto"/>
          <w:highlight w:val="none"/>
        </w:rPr>
      </w:pPr>
      <w:r>
        <w:rPr>
          <w:rFonts w:hint="eastAsia" w:hAnsi="宋体"/>
          <w:bCs/>
          <w:color w:val="auto"/>
          <w:highlight w:val="none"/>
        </w:rPr>
        <w:t>整个验收工作将以招标人为主导方，但投标人须对招标人的验收工作提供全面配合，包括提供验收所需的专用仪器和仪表，以及承担第三方的检测费用等。</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.4验收地点：</w:t>
      </w:r>
    </w:p>
    <w:p>
      <w:pPr>
        <w:pStyle w:val="12"/>
        <w:spacing w:line="360" w:lineRule="exact"/>
        <w:ind w:firstLine="420" w:firstLineChars="200"/>
        <w:rPr>
          <w:rFonts w:hAnsi="宋体"/>
          <w:bCs/>
          <w:color w:val="auto"/>
          <w:highlight w:val="none"/>
        </w:rPr>
      </w:pPr>
      <w:r>
        <w:rPr>
          <w:rFonts w:hint="eastAsia" w:hAnsi="宋体"/>
          <w:bCs/>
          <w:color w:val="auto"/>
          <w:highlight w:val="none"/>
        </w:rPr>
        <w:t>验收地点为本项目实施工地现场。</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.5验收方法：</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.5.1主要工艺均应有书面验收报告、验收内容。</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.5.2设备应在出厂前进行验收，在验收前，制造厂应提供有关技术文件和验收报告。</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.5.3设备性能试验时，制造厂应在四周前通知业主，在设备性能试验时业主可视情况派员参加。</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.5.4设备试运转和系统验收要求</w:t>
      </w:r>
    </w:p>
    <w:p>
      <w:pPr>
        <w:pStyle w:val="12"/>
        <w:spacing w:line="360" w:lineRule="exact"/>
        <w:ind w:firstLine="420" w:firstLineChars="200"/>
        <w:rPr>
          <w:rFonts w:hAnsi="宋体"/>
          <w:bCs/>
          <w:color w:val="auto"/>
          <w:highlight w:val="none"/>
        </w:rPr>
      </w:pPr>
      <w:r>
        <w:rPr>
          <w:rFonts w:hAnsi="宋体"/>
          <w:bCs/>
          <w:color w:val="auto"/>
          <w:highlight w:val="none"/>
        </w:rPr>
        <w:t>6</w:t>
      </w:r>
      <w:r>
        <w:rPr>
          <w:rFonts w:hint="eastAsia" w:hAnsi="宋体"/>
          <w:bCs/>
          <w:color w:val="auto"/>
          <w:highlight w:val="none"/>
        </w:rPr>
        <w:t>.5.5投标人在投标文件中应提供污水处理设备及其控制装置的验收大纲。在该验收大纲中必须说明其投标产品的主要技术性能指标、验收方法及合格判据。</w:t>
      </w:r>
    </w:p>
    <w:p>
      <w:pPr>
        <w:pStyle w:val="12"/>
        <w:spacing w:line="360" w:lineRule="exact"/>
        <w:ind w:firstLine="420" w:firstLineChars="200"/>
        <w:rPr>
          <w:rFonts w:hAnsi="宋体"/>
          <w:bCs/>
          <w:color w:val="auto"/>
          <w:sz w:val="24"/>
          <w:szCs w:val="24"/>
          <w:highlight w:val="none"/>
        </w:rPr>
      </w:pPr>
      <w:r>
        <w:rPr>
          <w:rFonts w:hAnsi="宋体"/>
          <w:bCs/>
          <w:color w:val="auto"/>
          <w:highlight w:val="none"/>
        </w:rPr>
        <w:t>6</w:t>
      </w:r>
      <w:r>
        <w:rPr>
          <w:rFonts w:hint="eastAsia" w:hAnsi="宋体"/>
          <w:bCs/>
          <w:color w:val="auto"/>
          <w:highlight w:val="none"/>
        </w:rPr>
        <w:t>.5.6如果中标人最终交付的污水处理设备不能满足经双方确认的验收大纲中规定的各项技术性能指标，则中标人应负责免费更换或修复。若经更换或修复仍不能弥补缺陷，则招标人将视缺陷的程度对中标人做出经济处罚，且招标人有权从应付给中标人的合同款项中直接扣除。</w:t>
      </w:r>
    </w:p>
    <w:p>
      <w:pPr>
        <w:pStyle w:val="12"/>
        <w:spacing w:line="360" w:lineRule="exact"/>
        <w:ind w:firstLine="482" w:firstLineChars="200"/>
        <w:rPr>
          <w:rFonts w:hAnsi="宋体"/>
          <w:b/>
          <w:color w:val="auto"/>
          <w:sz w:val="24"/>
          <w:szCs w:val="24"/>
          <w:highlight w:val="none"/>
        </w:rPr>
      </w:pPr>
      <w:r>
        <w:rPr>
          <w:rFonts w:hAnsi="宋体"/>
          <w:b/>
          <w:color w:val="auto"/>
          <w:sz w:val="24"/>
          <w:szCs w:val="24"/>
          <w:highlight w:val="none"/>
        </w:rPr>
        <w:t>6</w:t>
      </w:r>
      <w:r>
        <w:rPr>
          <w:rFonts w:hint="eastAsia" w:hAnsi="宋体"/>
          <w:b/>
          <w:color w:val="auto"/>
          <w:sz w:val="24"/>
          <w:szCs w:val="24"/>
          <w:highlight w:val="none"/>
        </w:rPr>
        <w:t>.6验收报告：</w:t>
      </w:r>
    </w:p>
    <w:p>
      <w:pPr>
        <w:pStyle w:val="12"/>
        <w:spacing w:line="360" w:lineRule="exact"/>
        <w:ind w:firstLine="420" w:firstLineChars="200"/>
        <w:rPr>
          <w:rFonts w:hAnsi="宋体"/>
          <w:bCs/>
          <w:color w:val="auto"/>
          <w:highlight w:val="none"/>
        </w:rPr>
      </w:pPr>
      <w:r>
        <w:rPr>
          <w:rFonts w:hint="eastAsia" w:hAnsi="宋体"/>
          <w:bCs/>
          <w:color w:val="auto"/>
          <w:highlight w:val="none"/>
        </w:rPr>
        <w:t>验收工作结束后，中标人应负责起草验收报告。验收报告的内容应至少包括：合同名称、验收目的、验收时间、参验人员、验收项目及验收情况。其中验收情况应实事求是，并附有实测的数据记录。中标人提交的验收报告将作为招标人支付有关合同价款（验收付款）的依据之一。</w:t>
      </w:r>
    </w:p>
    <w:p>
      <w:pPr>
        <w:adjustRightInd w:val="0"/>
        <w:snapToGrid w:val="0"/>
        <w:spacing w:after="120" w:afterLines="50" w:line="360" w:lineRule="exact"/>
        <w:rPr>
          <w:b/>
          <w:bCs/>
          <w:color w:val="auto"/>
          <w:sz w:val="28"/>
          <w:szCs w:val="28"/>
          <w:highlight w:val="none"/>
        </w:rPr>
      </w:pPr>
      <w:r>
        <w:rPr>
          <w:rFonts w:hint="eastAsia"/>
          <w:b/>
          <w:bCs/>
          <w:color w:val="auto"/>
          <w:sz w:val="28"/>
          <w:szCs w:val="28"/>
          <w:highlight w:val="none"/>
        </w:rPr>
        <w:t>7、相关要求</w:t>
      </w:r>
    </w:p>
    <w:p>
      <w:pPr>
        <w:spacing w:before="60" w:after="60" w:line="360" w:lineRule="exact"/>
        <w:ind w:firstLine="420" w:firstLineChars="200"/>
        <w:rPr>
          <w:b/>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1</w:t>
      </w:r>
      <w:r>
        <w:rPr>
          <w:rFonts w:hint="eastAsia"/>
          <w:color w:val="auto"/>
          <w:szCs w:val="21"/>
          <w:highlight w:val="none"/>
        </w:rPr>
        <w:t>以下货物清单为基本配置及要求，投标人可根据设计要求进行优化补充。为确保招标人整个污水处理系统的完整和优化，投标人应充分考虑施工过程中招标人和设计院提出的最终设备、流程等因素。投标人必须满足工艺处理量要求，如出现安装调试过程中需要增加的设备、器具、检测装置等，投标人必须无条件提供，并不得作为调整合同价格的依据。</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2</w:t>
      </w:r>
      <w:r>
        <w:rPr>
          <w:rFonts w:hint="eastAsia"/>
          <w:color w:val="auto"/>
          <w:szCs w:val="21"/>
          <w:highlight w:val="none"/>
        </w:rPr>
        <w:t>本次招标相关服务内容为上述货物的包装、运输到现场招标人指定位置、设备安装和验收、培训以及售后服务在内的一切与之有关的相关服务。</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3</w:t>
      </w:r>
      <w:r>
        <w:rPr>
          <w:rFonts w:hint="eastAsia"/>
          <w:color w:val="auto"/>
          <w:szCs w:val="21"/>
          <w:highlight w:val="none"/>
        </w:rPr>
        <w:t>投标人需按下表提供相应的备品备件、耗材清单，并说明提供备品备件的方式。在备件停止生产的情况下，投标人应事先将要停止生产的计划通知招标人，使招标人有足够的时间采购所需备件；在备件停止生产后，投标人应免费向招标人提供备件的图纸、资料。</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4</w:t>
      </w:r>
      <w:r>
        <w:rPr>
          <w:rFonts w:hint="eastAsia"/>
          <w:color w:val="auto"/>
          <w:szCs w:val="21"/>
          <w:highlight w:val="none"/>
        </w:rPr>
        <w:t>招标人提供的源水水质情况，为参考数据，具体以生产运行时实测为准，投标人不得因实际水质的波动或差异，而拒绝处理出水水质的保证和责任推诿。</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5</w:t>
      </w:r>
      <w:r>
        <w:rPr>
          <w:rFonts w:hint="eastAsia"/>
          <w:color w:val="auto"/>
          <w:szCs w:val="21"/>
          <w:highlight w:val="none"/>
        </w:rPr>
        <w:t>招标人提供的工艺处理流程图，投标人可进一步优化(若未进一步优化，则表示投标人已对工艺处理流程图认可)，并必须保证处理出水水质和环境(主要指异味处理和噪声等)的要求。</w:t>
      </w:r>
    </w:p>
    <w:p>
      <w:pPr>
        <w:adjustRightInd w:val="0"/>
        <w:snapToGrid w:val="0"/>
        <w:spacing w:line="360" w:lineRule="exact"/>
        <w:ind w:firstLine="420" w:firstLineChars="200"/>
        <w:rPr>
          <w:color w:val="auto"/>
          <w:szCs w:val="21"/>
          <w:highlight w:val="none"/>
        </w:rPr>
      </w:pPr>
      <w:r>
        <w:rPr>
          <w:bCs/>
          <w:color w:val="auto"/>
          <w:szCs w:val="21"/>
          <w:highlight w:val="none"/>
        </w:rPr>
        <w:t>7</w:t>
      </w:r>
      <w:r>
        <w:rPr>
          <w:rFonts w:hint="eastAsia"/>
          <w:bCs/>
          <w:color w:val="auto"/>
          <w:szCs w:val="21"/>
          <w:highlight w:val="none"/>
        </w:rPr>
        <w:t>.</w:t>
      </w:r>
      <w:r>
        <w:rPr>
          <w:bCs/>
          <w:color w:val="auto"/>
          <w:szCs w:val="21"/>
          <w:highlight w:val="none"/>
        </w:rPr>
        <w:t>6</w:t>
      </w:r>
      <w:r>
        <w:rPr>
          <w:rFonts w:hint="eastAsia"/>
          <w:color w:val="auto"/>
          <w:szCs w:val="21"/>
          <w:highlight w:val="none"/>
        </w:rPr>
        <w:t>招标人根据实际情况保留进一步细化分项选择的权利。</w:t>
      </w:r>
    </w:p>
    <w:p>
      <w:pPr>
        <w:rPr>
          <w:color w:val="auto"/>
          <w:highlight w:val="none"/>
        </w:rPr>
      </w:pPr>
    </w:p>
    <w:p>
      <w:pPr>
        <w:numPr>
          <w:ilvl w:val="0"/>
          <w:numId w:val="5"/>
        </w:numPr>
        <w:rPr>
          <w:b/>
          <w:bCs/>
          <w:color w:val="auto"/>
          <w:sz w:val="28"/>
          <w:szCs w:val="28"/>
          <w:highlight w:val="none"/>
        </w:rPr>
      </w:pPr>
      <w:r>
        <w:rPr>
          <w:rFonts w:hint="eastAsia"/>
          <w:b/>
          <w:bCs/>
          <w:color w:val="auto"/>
          <w:sz w:val="28"/>
          <w:szCs w:val="28"/>
          <w:highlight w:val="none"/>
        </w:rPr>
        <w:t>主要设备材料品牌推荐表</w:t>
      </w:r>
    </w:p>
    <w:tbl>
      <w:tblPr>
        <w:tblStyle w:val="27"/>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3181"/>
        <w:gridCol w:w="3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b/>
                <w:color w:val="auto"/>
                <w:szCs w:val="21"/>
                <w:highlight w:val="none"/>
              </w:rPr>
              <w:t>产品</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bidi="ar"/>
              </w:rPr>
              <w:t>提升泵、污泥泵</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熊猫/连成（上海）/新界泵业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2</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UPVC给/排水管、</w:t>
            </w:r>
            <w:r>
              <w:rPr>
                <w:rFonts w:hint="eastAsia"/>
                <w:color w:val="auto"/>
                <w:sz w:val="20"/>
                <w:szCs w:val="20"/>
                <w:highlight w:val="none"/>
                <w:lang w:bidi="ar"/>
              </w:rPr>
              <w:t>刚性阻燃管</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中财/伟星/索邦（上海）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rPr>
              <w:t>3</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镀锌钢管</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 xml:space="preserve">浙江金洲/天津友发/天津利达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rPr>
              <w:t>4</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阀门</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良工/精工/上阀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5</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bidi="ar"/>
              </w:rPr>
              <w:t>风机</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6</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Cs w:val="21"/>
                <w:highlight w:val="none"/>
              </w:rPr>
            </w:pPr>
            <w:r>
              <w:rPr>
                <w:rFonts w:hint="eastAsia"/>
                <w:color w:val="auto"/>
                <w:szCs w:val="21"/>
                <w:highlight w:val="none"/>
                <w:lang w:bidi="ar"/>
              </w:rPr>
              <w:t>鼓风机</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百事德/南通巨龙/上海川源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7</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配电箱、柜内元器件</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西门子/施耐德/ABB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8</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电线、电缆</w:t>
            </w:r>
          </w:p>
        </w:tc>
        <w:tc>
          <w:tcPr>
            <w:tcW w:w="331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kern w:val="2"/>
                <w:sz w:val="20"/>
                <w:szCs w:val="20"/>
                <w:highlight w:val="none"/>
              </w:rPr>
            </w:pPr>
            <w:r>
              <w:rPr>
                <w:rFonts w:hint="eastAsia"/>
                <w:color w:val="auto"/>
                <w:sz w:val="20"/>
                <w:szCs w:val="20"/>
                <w:highlight w:val="none"/>
                <w:lang w:bidi="ar"/>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9</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灯具</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10</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集中电源集中控制型消防应急标志灯具</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浙江台谊（杭州）/宝星（上海）/深圳泛海三江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11</w:t>
            </w:r>
          </w:p>
        </w:tc>
        <w:tc>
          <w:tcPr>
            <w:tcW w:w="318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开关插座</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TCL/罗格朗/公牛</w:t>
            </w:r>
          </w:p>
        </w:tc>
      </w:tr>
    </w:tbl>
    <w:p>
      <w:pPr>
        <w:pStyle w:val="7"/>
        <w:spacing w:line="360" w:lineRule="auto"/>
        <w:rPr>
          <w:color w:val="auto"/>
          <w:sz w:val="21"/>
          <w:szCs w:val="21"/>
          <w:highlight w:val="none"/>
        </w:rPr>
      </w:pPr>
      <w:r>
        <w:rPr>
          <w:rFonts w:hint="eastAsia"/>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rPr>
          <w:color w:val="auto"/>
          <w:highlight w:val="none"/>
        </w:rPr>
      </w:pPr>
    </w:p>
    <w:p>
      <w:pPr>
        <w:numPr>
          <w:ilvl w:val="0"/>
          <w:numId w:val="5"/>
        </w:numPr>
        <w:rPr>
          <w:b/>
          <w:bCs/>
          <w:color w:val="auto"/>
          <w:sz w:val="28"/>
          <w:szCs w:val="28"/>
          <w:highlight w:val="none"/>
        </w:rPr>
      </w:pPr>
      <w:r>
        <w:rPr>
          <w:rFonts w:hint="eastAsia"/>
          <w:b/>
          <w:bCs/>
          <w:color w:val="auto"/>
          <w:sz w:val="28"/>
          <w:szCs w:val="28"/>
          <w:highlight w:val="none"/>
        </w:rPr>
        <w:t>货物清单</w:t>
      </w:r>
    </w:p>
    <w:tbl>
      <w:tblPr>
        <w:tblStyle w:val="27"/>
        <w:tblW w:w="8920" w:type="dxa"/>
        <w:tblInd w:w="0" w:type="dxa"/>
        <w:tblLayout w:type="fixed"/>
        <w:tblCellMar>
          <w:top w:w="0" w:type="dxa"/>
          <w:left w:w="108" w:type="dxa"/>
          <w:bottom w:w="0" w:type="dxa"/>
          <w:right w:w="108" w:type="dxa"/>
        </w:tblCellMar>
      </w:tblPr>
      <w:tblGrid>
        <w:gridCol w:w="516"/>
        <w:gridCol w:w="1594"/>
        <w:gridCol w:w="2359"/>
        <w:gridCol w:w="1179"/>
        <w:gridCol w:w="585"/>
        <w:gridCol w:w="915"/>
        <w:gridCol w:w="857"/>
        <w:gridCol w:w="915"/>
      </w:tblGrid>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序号</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名称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型号规格</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品牌</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单位</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数量</w:t>
            </w:r>
          </w:p>
        </w:tc>
        <w:tc>
          <w:tcPr>
            <w:tcW w:w="85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lang w:bidi="ar"/>
              </w:rPr>
            </w:pPr>
            <w:r>
              <w:rPr>
                <w:rFonts w:hint="eastAsia"/>
                <w:b/>
                <w:bCs/>
                <w:color w:val="auto"/>
                <w:sz w:val="20"/>
                <w:szCs w:val="20"/>
                <w:highlight w:val="none"/>
                <w:lang w:bidi="ar"/>
              </w:rPr>
              <w:t>含税综</w:t>
            </w:r>
          </w:p>
          <w:p>
            <w:pPr>
              <w:widowControl/>
              <w:jc w:val="center"/>
              <w:textAlignment w:val="center"/>
              <w:rPr>
                <w:b/>
                <w:bCs/>
                <w:color w:val="auto"/>
                <w:sz w:val="20"/>
                <w:szCs w:val="20"/>
                <w:highlight w:val="none"/>
              </w:rPr>
            </w:pPr>
            <w:r>
              <w:rPr>
                <w:rFonts w:hint="eastAsia"/>
                <w:b/>
                <w:bCs/>
                <w:color w:val="auto"/>
                <w:sz w:val="20"/>
                <w:szCs w:val="20"/>
                <w:highlight w:val="none"/>
                <w:lang w:bidi="ar"/>
              </w:rPr>
              <w:t>合单价</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合价</w:t>
            </w: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一</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给排水</w:t>
            </w: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机械格栅</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B=900mm,e=3mm,H=3m,N=0.75kW。渠长X宽X深=3.75X1.0X6.0m</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0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栅渣收集装置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1.0m×0.7m×0.2m，900mm高塑料垃圾桶收集，标明危废，带轮子</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提升泵</w:t>
            </w:r>
          </w:p>
        </w:tc>
        <w:tc>
          <w:tcPr>
            <w:tcW w:w="2359" w:type="dxa"/>
            <w:tcBorders>
              <w:top w:val="single" w:color="000000" w:sz="4" w:space="0"/>
              <w:left w:val="single" w:color="000000" w:sz="4" w:space="0"/>
              <w:bottom w:val="single" w:color="000000" w:sz="4" w:space="0"/>
              <w:right w:val="single" w:color="000000" w:sz="4" w:space="0"/>
            </w:tcBorders>
          </w:tcPr>
          <w:p>
            <w:pPr>
              <w:widowControl/>
              <w:textAlignment w:val="top"/>
              <w:rPr>
                <w:color w:val="auto"/>
                <w:sz w:val="20"/>
                <w:szCs w:val="20"/>
                <w:highlight w:val="none"/>
              </w:rPr>
            </w:pPr>
            <w:r>
              <w:rPr>
                <w:rFonts w:hint="eastAsia"/>
                <w:color w:val="auto"/>
                <w:sz w:val="20"/>
                <w:szCs w:val="20"/>
                <w:highlight w:val="none"/>
                <w:lang w:bidi="ar"/>
              </w:rPr>
              <w:t>潜污泵,导轨安</w:t>
            </w:r>
            <w:r>
              <w:rPr>
                <w:rFonts w:hint="eastAsia"/>
                <w:color w:val="auto"/>
                <w:sz w:val="20"/>
                <w:szCs w:val="20"/>
                <w:highlight w:val="none"/>
                <w:lang w:bidi="ar"/>
              </w:rPr>
              <w:br w:type="textWrapping"/>
            </w:r>
            <w:r>
              <w:rPr>
                <w:rFonts w:hint="eastAsia"/>
                <w:color w:val="auto"/>
                <w:sz w:val="20"/>
                <w:szCs w:val="20"/>
                <w:highlight w:val="none"/>
                <w:lang w:bidi="ar"/>
              </w:rPr>
              <w:t>装,Q=90m3/h;H=10m;N=5.5kW，不锈钢304材质，配一台移动式手动葫芦（1用1备），含SUS304不锈钢导杆耦合器底座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5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提升泵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潜污泵,导轨安装,Q=35m³/h，H=10m，N=2.2kw，不锈钢304材质（2用1备），含SUS304不锈钢导杆耦合器底座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0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潜水搅拌机2#</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导轨安装,叶轮直径200mm,转速980r/min，N=0.37kw，不锈钢304材质，含控制按钮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20"/>
                <w:szCs w:val="20"/>
                <w:highlight w:val="none"/>
              </w:rPr>
            </w:pPr>
            <w:r>
              <w:rPr>
                <w:rFonts w:hint="eastAsia"/>
                <w:color w:val="auto"/>
                <w:sz w:val="20"/>
                <w:szCs w:val="20"/>
                <w:highlight w:val="none"/>
                <w:lang w:bidi="ar"/>
              </w:rPr>
              <w:t>污泥泵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w:t>
            </w:r>
            <w:r>
              <w:rPr>
                <w:rFonts w:hint="eastAsia"/>
                <w:color w:val="auto"/>
                <w:sz w:val="20"/>
                <w:szCs w:val="20"/>
                <w:highlight w:val="none"/>
                <w:lang w:bidi="ar"/>
              </w:rPr>
              <w:br w:type="textWrapping"/>
            </w:r>
            <w:r>
              <w:rPr>
                <w:rFonts w:hint="eastAsia"/>
                <w:color w:val="auto"/>
                <w:sz w:val="20"/>
                <w:szCs w:val="20"/>
                <w:highlight w:val="none"/>
                <w:lang w:bidi="ar"/>
              </w:rPr>
              <w:t>Q=10m3/h,H=10m,N=0.75kw。不锈钢304材质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离心脱水机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叠螺式污泥脱水机,Ds=18-30kg/h,单台1-9m3/h,N=1.65KW，配套加药系统、就地控制箱，含控制按钮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泥饼收集箱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0.6m×0.6m×0.12m，带轮及手推扶手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组合填料</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φ150,填料高2.6m，含配套热浸锌吊支架（上/下层填料支架：上下φ8@150圆钢支撑,防腐处理；[10a槽钢支撑及池壁预埋钢板,上下两层共10根,防腐处理）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m³</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微孔薄膜曝气器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曝气器尺寸:270mm;曝气量2~5m3/个,服务面积:0.5-0.8m2/个,含曝气器配套热浸锌吊支架、辅材及调试等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20"/>
                <w:szCs w:val="20"/>
                <w:highlight w:val="none"/>
              </w:rPr>
            </w:pPr>
            <w:r>
              <w:rPr>
                <w:rFonts w:hint="eastAsia"/>
                <w:color w:val="auto"/>
                <w:sz w:val="20"/>
                <w:szCs w:val="20"/>
                <w:highlight w:val="none"/>
                <w:lang w:bidi="ar"/>
              </w:rPr>
              <w:t>鼓风机</w:t>
            </w:r>
          </w:p>
        </w:tc>
        <w:tc>
          <w:tcPr>
            <w:tcW w:w="2359" w:type="dxa"/>
            <w:tcBorders>
              <w:top w:val="single" w:color="000000" w:sz="4" w:space="0"/>
              <w:left w:val="single" w:color="000000" w:sz="4" w:space="0"/>
              <w:bottom w:val="single" w:color="000000" w:sz="4" w:space="0"/>
              <w:right w:val="single" w:color="000000" w:sz="4" w:space="0"/>
            </w:tcBorders>
          </w:tcPr>
          <w:p>
            <w:pPr>
              <w:widowControl/>
              <w:textAlignment w:val="top"/>
              <w:rPr>
                <w:color w:val="auto"/>
                <w:sz w:val="20"/>
                <w:szCs w:val="20"/>
                <w:highlight w:val="none"/>
              </w:rPr>
            </w:pPr>
            <w:r>
              <w:rPr>
                <w:rFonts w:hint="eastAsia"/>
                <w:color w:val="auto"/>
                <w:sz w:val="20"/>
                <w:szCs w:val="20"/>
                <w:highlight w:val="none"/>
                <w:lang w:bidi="ar"/>
              </w:rPr>
              <w:t>罗茨鼓风机，Q=13.0m3/min,P=50KPa,N=18.5KW，变频电机,配变频器，含减震器/垫，基础等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百事德/南通巨龙/上海川源</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斜板填料</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安装高度1.0m,水平倾角60°，含配套热浸锌吊支架，国标（上/下层填料支架：上下φ8@150圆钢支撑及池壁预埋钢板,防腐处理；[10a槽钢支撑,上下两层共10根,防腐处理）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m³</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76.2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7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排泥泵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自吸泵,</w:t>
            </w:r>
          </w:p>
          <w:p>
            <w:pPr>
              <w:widowControl/>
              <w:textAlignment w:val="center"/>
              <w:rPr>
                <w:color w:val="auto"/>
                <w:sz w:val="20"/>
                <w:szCs w:val="20"/>
                <w:highlight w:val="none"/>
              </w:rPr>
            </w:pPr>
            <w:r>
              <w:rPr>
                <w:rFonts w:hint="eastAsia"/>
                <w:color w:val="auto"/>
                <w:sz w:val="20"/>
                <w:szCs w:val="20"/>
                <w:highlight w:val="none"/>
                <w:lang w:bidi="ar"/>
              </w:rPr>
              <w:t>Q=10m3/h;H=10m;N=0.75kW,吸程8m（2用1备），液位开关前后管路、阀及一切附件，含控制按钮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89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排风机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Q=2000m3/h,</w:t>
            </w:r>
          </w:p>
          <w:p>
            <w:pPr>
              <w:widowControl/>
              <w:textAlignment w:val="center"/>
              <w:rPr>
                <w:color w:val="auto"/>
                <w:sz w:val="20"/>
                <w:szCs w:val="20"/>
                <w:highlight w:val="none"/>
              </w:rPr>
            </w:pPr>
            <w:r>
              <w:rPr>
                <w:rFonts w:hint="eastAsia"/>
                <w:color w:val="auto"/>
                <w:sz w:val="20"/>
                <w:szCs w:val="20"/>
                <w:highlight w:val="none"/>
                <w:lang w:bidi="ar"/>
              </w:rPr>
              <w:t>φ≤300,N=0.37KW</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生物填料固定组件</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固定生物填料用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全套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1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进水布水器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满足布水要求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7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出水布水器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满足布水要求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 xml:space="preserve">1 </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0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污水取样泵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220V功率250w口径DN25 流量5m³/h，材质：塑料耐腐蚀潜水泵</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污水处理运行监控平台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系统管理、监测配置、告警配置、规则等配置，其他详见招标文件第六章第3.7.1条第（9）点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物联网高级智能网关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通信与安全、采集与控制、电源可靠性及管理要求，其他详见招标文件第六章第3.7.1条第（10）点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设备运行状态监测传感器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设备运行稳定可靠，安装简便，能够保证长时间的无故障运行等，其他详见招标文件第六章第3.7.1条第（11）点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智能电控箱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含控制箱、箱内设备等；其他详见招标文件第六章第3.7.1条第（12）点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COD在线监测（含采水系统）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含COD在线监测等；其他详见招标文件第六章第3.7.1条第（13）点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氨氮在线监测（含采水系统）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含氨氮在线监测等；其他详见招标文件第六章第3.7.1条第（14）点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5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事故池提升泵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潜污泵,导轨安装,Q=35m³/h，H=10m，N=2.2kw，不锈钢304材质（1用1备），SUS304不锈钢导杆耦合器底座；</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熊猫/连成（上海）/新界泵业</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潜水搅拌机1#</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导轨安装,叶轮直径200mm,转速1450r/min，N=1.5kw，不锈钢304材质，含控制按钮；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巴歇尔槽</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FRP材质,小型三号槽,含出水堰板（可采用304不锈钢，厚度2mm，重量约40~50kg）,含配套超声波流量计（型号匹配），能与当</w:t>
            </w:r>
            <w:r>
              <w:rPr>
                <w:rFonts w:hint="eastAsia"/>
                <w:color w:val="auto"/>
                <w:sz w:val="20"/>
                <w:szCs w:val="20"/>
                <w:highlight w:val="none"/>
                <w:lang w:bidi="ar"/>
              </w:rPr>
              <w:br w:type="textWrapping"/>
            </w:r>
            <w:r>
              <w:rPr>
                <w:rFonts w:hint="eastAsia"/>
                <w:color w:val="auto"/>
                <w:sz w:val="20"/>
                <w:szCs w:val="20"/>
                <w:highlight w:val="none"/>
                <w:lang w:bidi="ar"/>
              </w:rPr>
              <w:t>地环保局联网；</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搅拌机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浆叶直径700mm,转速88r/min，N=1.5KW，含控制按钮；</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PAC加药泵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Q=50L/h H=10bar N=0.25KW（2用1备），含控制按钮、减震器/垫、基础；</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PAM加药泵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Q=50L/h H=10bar N=0.25KW（2用1备），含控制按钮、减震器/垫、基础等；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供水泵</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自吸式磁力泵,Q=5.0m3/h,H=32m,N=4KW，含控制按钮、减震器/垫、基础等；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二氧化氯发生器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2000g 高效复合二氧化氯发生器,配套计量泵(一用一备)、反应釜、原料罐、单向阀、余氯在线监测报警系统、自控系统等，和调节池提升泵联动含设备基础等一切附件；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3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成品备用消毒投放装置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含1、1套备用消毒液加药泵：Q=70L/h H=10bar N=0.30KW（1用1备），频率可调，含控制按钮、减震器/垫、基础。(按照消毒液采用单过硫酸氢钾或次氯酸钠进行选型或材质确定）；2、1套备用消毒液加药箱：V=2000L,带搅拌机,搅拌机功率N=0.85KW，含减震器/垫，基础等。(按照消毒液采用单过硫酸氢钾或次氯酸钠进行选型或材质确定；3、1套加药箱灌装泵：采用离心泵（1用1备），减震器/垫、基础(按照消毒液采用单过硫酸氢钾或次氯酸钠进行选型或材质确定）；4、2套备用消毒液储液箱：V=10000L，含减震器/垫，基础、配套管线等。室外需配套遮雨、遮阳、防盗构筑物(按照消毒液采用单过硫酸氢钾或次氯酸钠进行选型或材质确定）；5、1套备用消毒液控制箱：消毒加药装置与调节池提升泵联动，控制箱包含分时段控制投药量。备用消毒液控制箱与二氧化氯发生器控制箱电气互锁；6、1套余氯计；7、连接至装置之间的管道和管线等一切附件，后期深化等一切费用；</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1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PAC加药箱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V=2000L,带搅拌机,搅拌机功率N=0.85KW，含减震器/垫、基础等；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PAM加药箱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V=2000L,带搅拌机,搅拌机功率N=0.85KW，含减震器/垫、基础等；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加药平台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L*B*H=3500X700X1000mm,碳钢防腐，含设备基础等一切附件；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7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除臭装置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紫外光催化除臭系统,处理量5000m3/h,N=2.4kw、含减震器/垫、基础等一切附件；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离心风机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Q=3500m3/h,N=2.2kw，含减震器/垫、基础等一切附件；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0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实验室一体化废液预处理器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Q=1.0m3/h ,H=10m,N=0.75Kw；设计参考设备尺寸:1600x600x1460(H)， 设计参考运行重量1.2T，处理后的实验室排出废液的重金属等满足排放规范和标准；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54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检验科一体化污水处理装置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Q=2m3/h ,H=15m,N=1.1Kw；设计参考设备尺寸:4500x1600x2360(H)，设计参考运行重量7.5T，处理后的检验科排出废污水的重金属等满足排放规范和标准；</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7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溶解氧（溶解氧显示与变送）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4~20mA输出,壁挂式；</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0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液位连锁与变送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rPr>
                <w:color w:val="auto"/>
                <w:sz w:val="20"/>
                <w:szCs w:val="20"/>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8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流量显示与变送</w:t>
            </w:r>
          </w:p>
        </w:tc>
        <w:tc>
          <w:tcPr>
            <w:tcW w:w="2359" w:type="dxa"/>
            <w:tcBorders>
              <w:top w:val="single" w:color="000000" w:sz="4" w:space="0"/>
              <w:left w:val="single" w:color="000000" w:sz="4" w:space="0"/>
              <w:bottom w:val="single" w:color="000000" w:sz="4" w:space="0"/>
              <w:right w:val="single" w:color="000000" w:sz="4" w:space="0"/>
            </w:tcBorders>
            <w:vAlign w:val="center"/>
          </w:tcPr>
          <w:p>
            <w:pPr>
              <w:rPr>
                <w:color w:val="auto"/>
                <w:sz w:val="20"/>
                <w:szCs w:val="20"/>
                <w:highlight w:val="none"/>
              </w:rPr>
            </w:pP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8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pH计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4~20mA输出,型号匹配,能与当地环保局联网；</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液位计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4~20mA输出,壁挂式；</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电控柜</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PLC控制柜、电控系统、动力柜,配套触摸屏,线缆桥架，含基础、防火封堵系统调试符合验收要求等；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安全防护装置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配套整个污水处理工程使用（盐酸贮药间、贮存药间、加药间二氧化氯制备间均设置有快速冲洗设施,防毒面具、化学防护服、护目镜、手套等）；</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全套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DN32（含管件、含热浸锌吊支架及一切附件，预留孔洞、套管的防水防火封堵等，满足各种污水处理的要求）；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200.9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86.3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114.9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4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UPVC给水管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1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98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3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8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UPVC排水管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31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不锈钢304管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不锈钢304管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UPVC雨水管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DN80（含管件、含热浸锌吊支架及一切附件，预留孔洞、套管的防水防火封堵等，满足各种污水处理的要求）；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侧排雨水斗</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DN80（含落水头子）；</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背压阀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除臭系统烟囱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DN400，排放高度15m以上，含配件、热浸锌吊支架等，满足系统的要求；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可曲橡胶挠头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DN32，含配件；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球阀PVC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止回阀PVC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底阀PVC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DN65，含配件；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b/>
                <w:bCs/>
                <w:color w:val="auto"/>
                <w:sz w:val="20"/>
                <w:szCs w:val="20"/>
                <w:highlight w:val="none"/>
              </w:rPr>
            </w:pPr>
            <w:r>
              <w:rPr>
                <w:rFonts w:hint="eastAsia"/>
                <w:b/>
                <w:bCs/>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DN80，含配件；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DN125，含配件；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蝶阀PVC</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蝶阀铸铁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DN100，含配件；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蝶阀铸铁</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DN150，含配件；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良工/精工/上阀</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倒流防止器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水表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DN50，含配件；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压力表</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含配套旋塞阀；</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手提式磷酸铵盐干粉灭火器</w:t>
            </w:r>
          </w:p>
        </w:tc>
        <w:tc>
          <w:tcPr>
            <w:tcW w:w="2359" w:type="dxa"/>
            <w:tcBorders>
              <w:top w:val="single" w:color="000000" w:sz="4" w:space="0"/>
              <w:left w:val="single" w:color="000000" w:sz="4" w:space="0"/>
              <w:bottom w:val="single" w:color="000000" w:sz="4" w:space="0"/>
              <w:right w:val="single" w:color="000000" w:sz="4" w:space="0"/>
            </w:tcBorders>
            <w:noWrap/>
            <w:vAlign w:val="center"/>
          </w:tcPr>
          <w:p>
            <w:pPr>
              <w:widowControl/>
              <w:textAlignment w:val="center"/>
              <w:rPr>
                <w:color w:val="auto"/>
                <w:sz w:val="20"/>
                <w:szCs w:val="20"/>
                <w:highlight w:val="none"/>
              </w:rPr>
            </w:pPr>
            <w:r>
              <w:rPr>
                <w:rFonts w:hint="eastAsia"/>
                <w:color w:val="auto"/>
                <w:sz w:val="20"/>
                <w:szCs w:val="20"/>
                <w:highlight w:val="none"/>
                <w:lang w:bidi="ar"/>
              </w:rPr>
              <w:t>MF/ABC4型 2具，含箱体及灭火器及附件；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b/>
                <w:bCs/>
                <w:color w:val="auto"/>
                <w:sz w:val="20"/>
                <w:szCs w:val="20"/>
                <w:highlight w:val="none"/>
                <w:lang w:bidi="ar"/>
              </w:rPr>
              <w:t>电气</w:t>
            </w:r>
          </w:p>
        </w:tc>
        <w:tc>
          <w:tcPr>
            <w:tcW w:w="585" w:type="dxa"/>
            <w:tcBorders>
              <w:top w:val="single" w:color="000000" w:sz="4" w:space="0"/>
              <w:left w:val="single" w:color="000000" w:sz="4" w:space="0"/>
              <w:bottom w:val="single" w:color="000000" w:sz="4" w:space="0"/>
              <w:right w:val="single" w:color="000000" w:sz="4" w:space="0"/>
            </w:tcBorders>
            <w:vAlign w:val="center"/>
          </w:tcPr>
          <w:p>
            <w:pP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152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highlight w:val="none"/>
              </w:rPr>
            </w:pPr>
            <w:r>
              <w:rPr>
                <w:rFonts w:hint="eastAsia"/>
                <w:color w:val="auto"/>
                <w:sz w:val="20"/>
                <w:szCs w:val="20"/>
                <w:highlight w:val="none"/>
                <w:lang w:bidi="ar"/>
              </w:rPr>
              <w:t>1ATws</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配电箱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ALws</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1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WSKXK1</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WSKXK2</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5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WSKXK3</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风机控制箱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WSKXK4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6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QSX1</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QSX2</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4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QSX3</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5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潜污泵控制箱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QSX4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配电箱、柜内元器件：西门子/施耐德/ABB</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45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重型PC20，明/暗敷，包括所需弯头、三通、束节、接线盒及过路盒等管配件、含热浸锌吊支架；管内钢拉线、刨沟槽及修补等全部内容；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207.89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9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重型PC25，明/暗敷，包括所需弯头、三通、束节、接线盒及过路盒等管配件、含热浸锌吊支架；管内钢拉线、刨沟槽及修补等全部内容；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416.49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2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SC20，明/暗敷，包括所需弯头、三通、束节、接线盒及过路盒等管配件、含热浸锌吊支架；管内钢拉线、刨沟槽及修补等全部内容；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149.25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2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SC25，明/暗敷，包括所需弯头、三通、束节、接线盒及过路盒等管配件、含热浸锌吊支架；管内钢拉线、刨沟槽及修补等全部内容；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215.33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70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SC32，明/暗敷，包括所需弯头、三通、束节、接线盒及过路盒等管配件及热浸锌吊支架；管内钢拉线、刨沟槽及修补等全部内容；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43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SC40，明/暗敷，包括所需弯头、三通、束节、接线盒及过路盒等管配件及热浸锌吊支架；管内钢拉线、刨沟槽及修补等全部内容。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14.63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SC50，明/暗敷，包括所需弯头、三通、束节、接线盒及过路盒等管配件及热浸锌吊支架；管内钢拉线、刨沟槽及修补等全部内容；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镀锌钢管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SC100，明/暗敷，包括所需弯头、三通、束节、接线盒及过路盒等管配件及热浸锌吊支架；管内钢拉线、刨沟槽及修补等全部内容；</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浙江金洲/天津友发/天津利达</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管内穿线WDZ-BYJ-2.5，穿引线、扫管、涂滑石粉、穿线、编号、焊接包头；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390.07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管内穿线WDZ-BYJ-4，穿引线、扫管、涂滑石粉、穿线、编号、焊接包头；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251.85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管内穿线WDZ-BYJ-6，穿引线、扫管、涂滑石粉、穿线、编号、焊接包头；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18.36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配线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管内穿线WDZN-RYJS-2*2.5，穿引线、扫管、涂滑石粉、穿线、编号、焊接包头；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101.24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控制电缆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电缆WDZ-KYJY-4*1.5敷设，开盘、检查、架盘、敷设、锯断、排列、整理、固定、收盘、临时封头、挂牌；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378.23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电缆JHS-4*4敷设，开盘、检查、架盘、敷设、锯断、排列、整理、固定、收盘、临时封头、挂牌；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171.59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电缆JHS-500-4*4(防水型)敷设，开盘、检查、架盘、敷设、锯断、排列、整理、固定、收盘、临时封头、挂牌；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150.5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电缆JHS-1KV-4*4敷设，开盘、检查、架盘、敷设、锯断、排列、整理、固定、收盘、临时封头、挂牌；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68.78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51.12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电缆JHS-5*4敷设，开盘、检查、架盘、敷设、锯断、排列、整理、固定、收盘、临时封头、挂牌；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150.56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电缆WDZ-YJE-4*2.5敷设，开盘、检查、架盘、敷设、锯断、排列、整理、固定、收盘、临时封头、挂牌；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20.23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电缆WDZ-YJY-4*2.5敷设，开盘、检查、架盘、敷设、锯断、排列、整理、固定、收盘、临时封头、挂牌；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26.01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电缆WDZ-YJY-5*2.5敷设，开盘、检查、架盘、敷设、锯断、排列、整理、固定、收盘、临时封头、挂牌；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30.68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电缆WDZ-YJE-5*4敷设，开盘、检查、架盘、敷设、锯断、排列、整理、固定、收盘、临时封头、挂牌；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22.56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电缆WDZ-YJY-5*4敷设，开盘、检查、架盘、敷设、锯断、排列、整理、固定、收盘、临时封头、挂牌；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181.79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电缆WDZ-YJY-5*16敷设，开盘、检查、架盘、敷设、锯断、排列、整理、固定、收盘、临时封头、挂牌；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23.31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2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电缆WDZ-YJY-3*25+2*16敷设，开盘、检查、架盘、敷设、锯断、排列、整理、固定、收盘、临时封头、挂牌；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24.22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户内干包式电力电缆头10mm及以下；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90</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电力电缆头</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户内干包式电力电缆头25mm及以下；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2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单管成套灯具（防潮型）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含LED灯管(18W,1800Lm),配防火PC保护灯罩、电子镇流器,含光源及其他一切附件；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58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双管成套灯具（防潮型）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含LED灯管(2*18W,2*1800Lm),配防火PC保护灯罩、电子镇流器,含光源及其他一切附件；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9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单管成套灯具（防爆型）</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含LED灯管(18W,1800Lm),配防火PC保护灯罩、电子镇流器,含光源及其他一切附件；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85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吸顶灯（带感应开关）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含LED(24W,2200Lm)光源及其他一切附件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浙江阳光/TCL/欧普</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0"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集中电源集中控制型消防应急标志灯具(A型),安全出口标志灯</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集中电源集中控制型消防应急标志灯具(A型),楼层标志灯</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28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集中电源集中控制型消防应急标志灯具(A型),壁装式消防应急照明灯具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1W,含光源及其他一切附件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浙江台谊（杭州）/宝星（上海）/深圳泛海三江</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二位翘班开关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（带夜间指示灯）</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三位翘班开关</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（带夜间指示灯）</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安全型单相二三极插座</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10A,250V</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TCL/罗格朗/公牛</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总等电位端子箱</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接线箱暗装 MEB</w:t>
            </w:r>
            <w:r>
              <w:rPr>
                <w:rFonts w:hint="eastAsia"/>
                <w:color w:val="auto"/>
                <w:sz w:val="20"/>
                <w:szCs w:val="20"/>
                <w:highlight w:val="none"/>
                <w:lang w:bidi="ar"/>
              </w:rPr>
              <w:br w:type="textWrapping"/>
            </w:r>
            <w:r>
              <w:rPr>
                <w:rFonts w:hint="eastAsia"/>
                <w:color w:val="auto"/>
                <w:sz w:val="20"/>
                <w:szCs w:val="20"/>
                <w:highlight w:val="none"/>
                <w:lang w:bidi="ar"/>
              </w:rPr>
              <w:t>接地跨接线安装 接地跨接线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防触电警告牌</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防触电警告牌</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镀锌扁钢</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40*4</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108.06</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接闪带(暗敷)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利用楼板钢筋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50.17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接闪带(明敷)</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 xml:space="preserve">热镀锌φ12圆钢  </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75.7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e1连接板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为室外预埋接地板及引出人工接地装置时的连接板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32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e2测算卡子</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供测试接地电阻用,,同时在e2板上焊接蝶形螺母，设于200X200X100(宽X高X深)金属暗装盒内</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195"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e3预留接地板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为房内预留接地板,底边距所在层的建筑地面0.3m，设置地点为:电气专业主强弱电箱旁及给排水首层入户处及屋顶给排水管。做法详见15D502-42页；</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721"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水平接地体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水平接地体采用-40X4镀锌扁钢,垂直接地体采用50X50X5 L=2.5M镀锌角钢；</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垂直接地体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垂直接地体采用50X50X5 L=2.5M镀锌角钢；</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块</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25mm铜芯绝缘导线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25mm铜芯绝缘导线</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上上/特变/远东</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16.88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刚性阻燃管</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PC25 中型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中财/伟星/索邦（上海）</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16.88</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避雷引下线</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利用混凝土柱内有箍筋连接的钢筋</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28.99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基础接地</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利用基础圈梁</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235.77</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接地装置</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接地调试符合验收要求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系统</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沥青混凝土</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5（cm）厚沥青层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挖填土方</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含砂砾石垫层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m3</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1.59</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三</w:t>
            </w:r>
          </w:p>
        </w:tc>
        <w:tc>
          <w:tcPr>
            <w:tcW w:w="513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b/>
                <w:bCs/>
                <w:color w:val="auto"/>
                <w:sz w:val="20"/>
                <w:szCs w:val="20"/>
                <w:highlight w:val="none"/>
                <w:lang w:bidi="ar"/>
              </w:rPr>
              <w:t>暖通</w:t>
            </w:r>
          </w:p>
        </w:tc>
        <w:tc>
          <w:tcPr>
            <w:tcW w:w="585" w:type="dxa"/>
            <w:tcBorders>
              <w:top w:val="single" w:color="000000" w:sz="4" w:space="0"/>
              <w:left w:val="single" w:color="000000" w:sz="4" w:space="0"/>
              <w:bottom w:val="single" w:color="000000" w:sz="4" w:space="0"/>
              <w:right w:val="single" w:color="000000" w:sz="4" w:space="0"/>
            </w:tcBorders>
            <w:vAlign w:val="center"/>
          </w:tcPr>
          <w:p>
            <w:pPr>
              <w:rPr>
                <w:b/>
                <w:bCs/>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b/>
                <w:bCs/>
                <w:color w:val="auto"/>
                <w:sz w:val="20"/>
                <w:szCs w:val="20"/>
                <w:highlight w:val="none"/>
              </w:rPr>
            </w:pPr>
          </w:p>
        </w:tc>
      </w:tr>
      <w:tr>
        <w:tblPrEx>
          <w:tblCellMar>
            <w:top w:w="0" w:type="dxa"/>
            <w:left w:w="108" w:type="dxa"/>
            <w:bottom w:w="0" w:type="dxa"/>
            <w:right w:w="108" w:type="dxa"/>
          </w:tblCellMar>
        </w:tblPrEx>
        <w:trPr>
          <w:trHeight w:val="439"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highlight w:val="none"/>
              </w:rPr>
            </w:pPr>
            <w:r>
              <w:rPr>
                <w:rFonts w:hint="eastAsia"/>
                <w:color w:val="auto"/>
                <w:sz w:val="20"/>
                <w:szCs w:val="20"/>
                <w:highlight w:val="none"/>
                <w:lang w:bidi="ar"/>
              </w:rPr>
              <w:t>P-1-1，P-1-2，L=1100m3/h,H=300Pa(全压)，N=0.55kW/380V,转速:1493pm，噪声:55dBA,重量:76kg,含减振垫/器、热浸锌吊支架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P-1-3，L=6200m3/h,H=400Pa(全压)，N=2.2kW/380V,转速:1033rpm，噪声:58dBA,重量:177kg，含光氢离子净化器、减振垫/器、热浸锌吊支架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S-1-1，L=5000m3/h,H=400Pa(全压),N=1.5kW/380V,转速:1177rpm,噪声:61dBA,重量:125kg,含减振垫/器、热浸锌吊支架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低噪声箱式风机</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S-1-2， S-1-3,L=880m3/h,H=300Pa(全压),N=0.55kW/380V,转速:1493pm,噪声:55dBA,重量:76kg,含减振垫/器、热浸锌吊支架</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上虞贝斯特/上虞科博/上虞专用</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台</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66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镀锌薄钢板矩形风管(δ=0.5mm)长边长（mm）≤320，含热浸锌吊支架，且必须满足设计及耐火极限等消防验收要求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18.03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4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镀锌薄钢板矩形风管(δ=0.6mm)长边长（mm）≤450，含热浸锌吊支架，且必须满足设计及耐火极限等消防验收要求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29.42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43"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碳钢通风管道</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镀锌薄钢板矩形风管(δ=0.75mm)长边长（mm）≤1000，含热浸锌吊支架，且必须满足设计及耐火极限等消防验收要求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46.54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柔性接口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不燃柔性接头</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m2</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500*300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3</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958"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600*600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500*550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1034"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12</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单层活动百叶风口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300*200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5</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单层防雨百叶风口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400*400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4</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14</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单层防雨百叶风口</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1000*800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15</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lang w:bidi="ar"/>
              </w:rPr>
            </w:pPr>
            <w:r>
              <w:rPr>
                <w:rFonts w:hint="eastAsia"/>
                <w:color w:val="auto"/>
                <w:sz w:val="20"/>
                <w:szCs w:val="20"/>
                <w:highlight w:val="none"/>
                <w:lang w:bidi="ar"/>
              </w:rPr>
              <w:t>200*200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lang w:bidi="ar"/>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16</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17</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70℃防火阀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287"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18</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250*200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19</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400*250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20</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手动对开式多叶调节阀</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630*400</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r>
        <w:tblPrEx>
          <w:tblCellMar>
            <w:top w:w="0" w:type="dxa"/>
            <w:left w:w="108" w:type="dxa"/>
            <w:bottom w:w="0" w:type="dxa"/>
            <w:right w:w="108" w:type="dxa"/>
          </w:tblCellMar>
        </w:tblPrEx>
        <w:trPr>
          <w:trHeight w:val="642" w:hRule="atLeast"/>
        </w:trPr>
        <w:tc>
          <w:tcPr>
            <w:tcW w:w="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59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通风空调系统调试费</w:t>
            </w:r>
          </w:p>
        </w:tc>
        <w:tc>
          <w:tcPr>
            <w:tcW w:w="2359"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color w:val="auto"/>
                <w:sz w:val="20"/>
                <w:szCs w:val="20"/>
                <w:highlight w:val="none"/>
              </w:rPr>
            </w:pPr>
            <w:r>
              <w:rPr>
                <w:rFonts w:hint="eastAsia"/>
                <w:color w:val="auto"/>
                <w:sz w:val="20"/>
                <w:szCs w:val="20"/>
                <w:highlight w:val="none"/>
                <w:lang w:bidi="ar"/>
              </w:rPr>
              <w:t>系统调试符合验收要求</w:t>
            </w:r>
          </w:p>
        </w:tc>
        <w:tc>
          <w:tcPr>
            <w:tcW w:w="11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系统</w:t>
            </w:r>
          </w:p>
        </w:tc>
        <w:tc>
          <w:tcPr>
            <w:tcW w:w="9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57"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20"/>
                <w:szCs w:val="20"/>
                <w:highlight w:val="none"/>
              </w:rPr>
            </w:pPr>
          </w:p>
        </w:tc>
      </w:tr>
    </w:tbl>
    <w:p>
      <w:pPr>
        <w:adjustRightInd w:val="0"/>
        <w:snapToGrid w:val="0"/>
        <w:spacing w:line="360" w:lineRule="exact"/>
        <w:ind w:firstLine="480" w:firstLineChars="200"/>
        <w:rPr>
          <w:color w:val="auto"/>
          <w:sz w:val="24"/>
          <w:highlight w:val="none"/>
        </w:rPr>
      </w:pPr>
    </w:p>
    <w:p>
      <w:pPr>
        <w:pStyle w:val="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注：1、“含税综合单价”包括深化设计（中标后提供）费、设备材料费、运输保险费、卸货费、保管费、仓储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投标人可在以上货物清单之后详细列出认为对于按招标文件、图纸及技术要求完成本工程所必须发生的，但没有包括在上述货物清单费用中的项目；如认为清单内项目的数量有误，亦可于下方列明具体的“序号、名称、型号规格、品牌、单位、数量、含税综合单价、合价”并计算增减费用。</w:t>
      </w: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4"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4"/>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26"/>
        <w:ind w:firstLine="281"/>
        <w:rPr>
          <w:rFonts w:asciiTheme="minorEastAsia" w:hAnsiTheme="minorEastAsia" w:eastAsiaTheme="minorEastAsia" w:cstheme="minorEastAsia"/>
          <w:b/>
          <w:bCs/>
          <w:color w:val="auto"/>
          <w:sz w:val="28"/>
          <w:szCs w:val="28"/>
          <w:highlight w:val="none"/>
        </w:rPr>
      </w:pPr>
    </w:p>
    <w:p>
      <w:pPr>
        <w:spacing w:line="360" w:lineRule="auto"/>
        <w:ind w:firstLine="210"/>
        <w:rPr>
          <w:rFonts w:asciiTheme="minorEastAsia" w:hAnsiTheme="minorEastAsia" w:eastAsiaTheme="minorEastAsia" w:cstheme="minorEastAsia"/>
          <w:color w:val="auto"/>
          <w:sz w:val="28"/>
          <w:szCs w:val="28"/>
          <w:highlight w:val="none"/>
        </w:rPr>
      </w:pP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1、企业法人营业执照</w:t>
      </w:r>
      <w:r>
        <w:rPr>
          <w:rFonts w:hint="eastAsia" w:asciiTheme="minorEastAsia" w:hAnsiTheme="minorEastAsia" w:eastAsiaTheme="minorEastAsia" w:cstheme="minorEastAsia"/>
          <w:color w:val="auto"/>
          <w:sz w:val="24"/>
          <w:szCs w:val="24"/>
          <w:highlight w:val="none"/>
        </w:rPr>
        <w:t>复印件</w:t>
      </w:r>
      <w:r>
        <w:rPr>
          <w:rFonts w:asciiTheme="minorEastAsia" w:hAnsiTheme="minorEastAsia" w:eastAsiaTheme="minorEastAsia" w:cstheme="minorEastAsia"/>
          <w:color w:val="auto"/>
          <w:sz w:val="24"/>
          <w:szCs w:val="24"/>
          <w:highlight w:val="none"/>
        </w:rPr>
        <w:t>。</w:t>
      </w: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资质证书、安全生产许可证复印件</w:t>
      </w:r>
      <w:r>
        <w:rPr>
          <w:rFonts w:asciiTheme="minorEastAsia" w:hAnsiTheme="minorEastAsia" w:eastAsiaTheme="minorEastAsia" w:cstheme="minorEastAsia"/>
          <w:color w:val="auto"/>
          <w:sz w:val="24"/>
          <w:szCs w:val="24"/>
          <w:highlight w:val="none"/>
        </w:rPr>
        <w:t>。</w:t>
      </w:r>
    </w:p>
    <w:p>
      <w:pPr>
        <w:pStyle w:val="2"/>
        <w:rPr>
          <w:color w:val="auto"/>
          <w:highlight w:val="none"/>
        </w:rPr>
      </w:pPr>
      <w:r>
        <w:rPr>
          <w:rFonts w:hint="eastAsia"/>
          <w:color w:val="auto"/>
          <w:highlight w:val="none"/>
        </w:rPr>
        <w:t xml:space="preserve">        </w:t>
      </w:r>
      <w:r>
        <w:rPr>
          <w:rFonts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rPr>
        <w:t>3、</w:t>
      </w:r>
      <w:r>
        <w:rPr>
          <w:rFonts w:hint="eastAsia" w:asciiTheme="minorEastAsia" w:hAnsiTheme="minorEastAsia" w:eastAsiaTheme="minorEastAsia" w:cstheme="minorEastAsia"/>
          <w:color w:val="auto"/>
          <w:sz w:val="24"/>
          <w:szCs w:val="24"/>
          <w:highlight w:val="none"/>
        </w:rPr>
        <w:t>浙江省外企业须提供浙江省住建厅核发的有效期内备案证明（浙江省内企业不作要求）。</w:t>
      </w:r>
    </w:p>
    <w:p>
      <w:pPr>
        <w:spacing w:line="360" w:lineRule="auto"/>
        <w:ind w:right="241" w:firstLine="56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4</w:t>
      </w:r>
      <w:r>
        <w:rPr>
          <w:rFonts w:asciiTheme="minorEastAsia" w:hAnsiTheme="minorEastAsia" w:eastAsiaTheme="minorEastAsia" w:cstheme="minorEastAsia"/>
          <w:color w:val="auto"/>
          <w:sz w:val="24"/>
          <w:szCs w:val="24"/>
          <w:highlight w:val="none"/>
        </w:rPr>
        <w:t>、承诺书（</w:t>
      </w:r>
      <w:r>
        <w:rPr>
          <w:rFonts w:hint="eastAsia" w:asciiTheme="minorEastAsia" w:hAnsiTheme="minorEastAsia" w:eastAsiaTheme="minorEastAsia" w:cstheme="minorEastAsia"/>
          <w:color w:val="auto"/>
          <w:sz w:val="24"/>
          <w:szCs w:val="24"/>
          <w:highlight w:val="none"/>
        </w:rPr>
        <w:t>①</w:t>
      </w:r>
      <w:r>
        <w:rPr>
          <w:rFonts w:asciiTheme="minorEastAsia" w:hAnsiTheme="minorEastAsia" w:eastAsiaTheme="minorEastAsia" w:cstheme="minorEastAsia"/>
          <w:color w:val="auto"/>
          <w:sz w:val="24"/>
          <w:szCs w:val="24"/>
          <w:highlight w:val="none"/>
        </w:rPr>
        <w:t>承诺对资格审查资料所有提交的证明材料真实有效性负责，若发现其有伪造证书、业绩等行为的，同意招标人不接受其投标，其缴纳的投标保证金不予退还；</w:t>
      </w:r>
      <w:r>
        <w:rPr>
          <w:rFonts w:hint="eastAsia" w:asciiTheme="minorEastAsia" w:hAnsiTheme="minorEastAsia" w:eastAsiaTheme="minorEastAsia" w:cstheme="minorEastAsia"/>
          <w:color w:val="auto"/>
          <w:sz w:val="24"/>
          <w:szCs w:val="24"/>
          <w:highlight w:val="none"/>
          <w:lang w:bidi="ar"/>
        </w:rPr>
        <w:t>②</w:t>
      </w:r>
      <w:r>
        <w:rPr>
          <w:rFonts w:asciiTheme="minorEastAsia" w:hAnsiTheme="minorEastAsia" w:eastAsiaTheme="minorEastAsia" w:cstheme="minorEastAsia"/>
          <w:color w:val="auto"/>
          <w:sz w:val="24"/>
          <w:szCs w:val="24"/>
          <w:highlight w:val="none"/>
          <w:lang w:bidi="ar"/>
        </w:rPr>
        <w:t>承诺企业和项目负责人近 5年内无行贿犯罪记录。）格式自拟，加盖投标人公章。</w:t>
      </w: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（1）～（4）</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6"/>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6"/>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6"/>
        <w:ind w:firstLine="0" w:firstLineChars="0"/>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340"/>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5" w:name="_Toc372212493"/>
      <w:bookmarkStart w:id="446" w:name="_Toc320271436"/>
      <w:bookmarkStart w:id="447"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5"/>
      <w:bookmarkEnd w:id="446"/>
      <w:r>
        <w:rPr>
          <w:rFonts w:hint="eastAsia" w:asciiTheme="minorEastAsia" w:hAnsiTheme="minorEastAsia" w:eastAsiaTheme="minorEastAsia" w:cstheme="minorEastAsia"/>
          <w:b/>
          <w:bCs/>
          <w:color w:val="auto"/>
          <w:sz w:val="24"/>
          <w:szCs w:val="24"/>
          <w:highlight w:val="none"/>
        </w:rPr>
        <w:t>函</w:t>
      </w:r>
      <w:bookmarkEnd w:id="447"/>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__，产地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4"/>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4"/>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6"/>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4"/>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pPr>
    </w:p>
    <w:p>
      <w:pPr>
        <w:rPr>
          <w:rFonts w:ascii="宋体" w:hAnsi="宋体"/>
          <w:strike/>
          <w:color w:val="auto"/>
          <w:szCs w:val="21"/>
          <w:highlight w:val="none"/>
        </w:rPr>
      </w:pPr>
    </w:p>
    <w:p>
      <w:pPr>
        <w:pStyle w:val="26"/>
        <w:ind w:firstLine="340"/>
        <w:rPr>
          <w:rFonts w:ascii="宋体" w:hAnsi="宋体"/>
          <w:strike/>
          <w:color w:val="auto"/>
          <w:szCs w:val="21"/>
          <w:highlight w:val="none"/>
        </w:rPr>
      </w:pPr>
    </w:p>
    <w:p>
      <w:pPr>
        <w:rPr>
          <w:rFonts w:ascii="宋体" w:hAnsi="宋体"/>
          <w:strike/>
          <w:color w:val="auto"/>
          <w:szCs w:val="21"/>
          <w:highlight w:val="none"/>
        </w:rPr>
        <w:sectPr>
          <w:footerReference r:id="rId6" w:type="default"/>
          <w:footerReference r:id="rId7" w:type="even"/>
          <w:pgSz w:w="11907" w:h="16840"/>
          <w:pgMar w:top="1418" w:right="1134" w:bottom="1418" w:left="1134" w:header="680" w:footer="680" w:gutter="0"/>
          <w:cols w:space="720" w:num="1"/>
          <w:docGrid w:linePitch="271" w:charSpace="0"/>
        </w:sectPr>
      </w:pPr>
    </w:p>
    <w:p>
      <w:pPr>
        <w:pStyle w:val="4"/>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val="en-US" w:eastAsia="zh-CN"/>
              </w:rPr>
              <w:t xml:space="preserve">  大写：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精确到元</w:t>
            </w:r>
            <w:r>
              <w:rPr>
                <w:rFonts w:hint="eastAsia" w:asciiTheme="minorEastAsia" w:hAnsiTheme="minorEastAsia" w:eastAsiaTheme="minorEastAsia" w:cstheme="minorEastAsia"/>
                <w:b/>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3"/>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3"/>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adjustRightInd w:val="0"/>
        <w:snapToGrid w:val="0"/>
        <w:spacing w:line="312" w:lineRule="auto"/>
        <w:ind w:right="241" w:rightChars="115" w:firstLine="0" w:firstLineChars="0"/>
        <w:rPr>
          <w:rFonts w:hAnsi="宋体"/>
          <w:color w:val="auto"/>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numPr>
          <w:ilvl w:val="0"/>
          <w:numId w:val="6"/>
        </w:numPr>
        <w:spacing w:line="300" w:lineRule="exact"/>
        <w:ind w:firstLine="400" w:firstLineChars="200"/>
        <w:jc w:val="left"/>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6"/>
        <w:ind w:firstLine="0" w:firstLineChars="0"/>
        <w:rPr>
          <w:color w:val="auto"/>
          <w:highlight w:val="none"/>
        </w:rPr>
      </w:pPr>
    </w:p>
    <w:p>
      <w:pPr>
        <w:rPr>
          <w:color w:val="auto"/>
          <w:highlight w:val="none"/>
        </w:rPr>
      </w:pPr>
    </w:p>
    <w:p>
      <w:pPr>
        <w:pStyle w:val="26"/>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6"/>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6"/>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6"/>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6"/>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6"/>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6"/>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6"/>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CE12DB"/>
    <w:multiLevelType w:val="singleLevel"/>
    <w:tmpl w:val="BBCE12DB"/>
    <w:lvl w:ilvl="0" w:tentative="0">
      <w:start w:val="2"/>
      <w:numFmt w:val="decimal"/>
      <w:suff w:val="nothing"/>
      <w:lvlText w:val="%1、"/>
      <w:lvlJc w:val="left"/>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0000004D"/>
    <w:multiLevelType w:val="singleLevel"/>
    <w:tmpl w:val="0000004D"/>
    <w:lvl w:ilvl="0" w:tentative="0">
      <w:start w:val="1"/>
      <w:numFmt w:val="decimalEnclosedCircleChinese"/>
      <w:suff w:val="nothing"/>
      <w:lvlText w:val="%1　"/>
      <w:lvlJc w:val="left"/>
      <w:pPr>
        <w:ind w:left="0" w:firstLine="400"/>
      </w:pPr>
      <w:rPr>
        <w:rFonts w:hint="eastAsia"/>
        <w:color w:val="auto"/>
      </w:rPr>
    </w:lvl>
  </w:abstractNum>
  <w:abstractNum w:abstractNumId="3">
    <w:nsid w:val="490A766A"/>
    <w:multiLevelType w:val="singleLevel"/>
    <w:tmpl w:val="490A766A"/>
    <w:lvl w:ilvl="0" w:tentative="0">
      <w:start w:val="8"/>
      <w:numFmt w:val="decimal"/>
      <w:suff w:val="nothing"/>
      <w:lvlText w:val="%1、"/>
      <w:lvlJc w:val="left"/>
    </w:lvl>
  </w:abstractNum>
  <w:abstractNum w:abstractNumId="4">
    <w:nsid w:val="634704D1"/>
    <w:multiLevelType w:val="singleLevel"/>
    <w:tmpl w:val="634704D1"/>
    <w:lvl w:ilvl="0" w:tentative="0">
      <w:start w:val="2"/>
      <w:numFmt w:val="decimal"/>
      <w:suff w:val="nothing"/>
      <w:lvlText w:val="（%1）"/>
      <w:lvlJc w:val="left"/>
    </w:lvl>
  </w:abstractNum>
  <w:abstractNum w:abstractNumId="5">
    <w:nsid w:val="76457AE8"/>
    <w:multiLevelType w:val="singleLevel"/>
    <w:tmpl w:val="76457AE8"/>
    <w:lvl w:ilvl="0" w:tentative="0">
      <w:start w:val="7"/>
      <w:numFmt w:val="decimal"/>
      <w:suff w:val="nothing"/>
      <w:lvlText w:val="%1）"/>
      <w:lvlJc w:val="left"/>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57B73"/>
    <w:rsid w:val="00171641"/>
    <w:rsid w:val="00172A1E"/>
    <w:rsid w:val="001800FD"/>
    <w:rsid w:val="00192A03"/>
    <w:rsid w:val="001B1DE3"/>
    <w:rsid w:val="001B3A70"/>
    <w:rsid w:val="001D5398"/>
    <w:rsid w:val="00223CBC"/>
    <w:rsid w:val="00252453"/>
    <w:rsid w:val="0026665C"/>
    <w:rsid w:val="0026717C"/>
    <w:rsid w:val="002926D1"/>
    <w:rsid w:val="002B53DD"/>
    <w:rsid w:val="00322C22"/>
    <w:rsid w:val="00324A78"/>
    <w:rsid w:val="00337C06"/>
    <w:rsid w:val="00347E38"/>
    <w:rsid w:val="00365E97"/>
    <w:rsid w:val="0038457F"/>
    <w:rsid w:val="00385320"/>
    <w:rsid w:val="003953E5"/>
    <w:rsid w:val="003A1C47"/>
    <w:rsid w:val="003B64EA"/>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42511"/>
    <w:rsid w:val="00662032"/>
    <w:rsid w:val="006A5BF3"/>
    <w:rsid w:val="006D5299"/>
    <w:rsid w:val="007743CF"/>
    <w:rsid w:val="00796396"/>
    <w:rsid w:val="007D2D2E"/>
    <w:rsid w:val="007F2242"/>
    <w:rsid w:val="008021CD"/>
    <w:rsid w:val="00802517"/>
    <w:rsid w:val="00833E0B"/>
    <w:rsid w:val="0084105F"/>
    <w:rsid w:val="00850F37"/>
    <w:rsid w:val="00874A0D"/>
    <w:rsid w:val="00877D83"/>
    <w:rsid w:val="00890384"/>
    <w:rsid w:val="008944CE"/>
    <w:rsid w:val="00941337"/>
    <w:rsid w:val="009475ED"/>
    <w:rsid w:val="009618E5"/>
    <w:rsid w:val="00977D02"/>
    <w:rsid w:val="00984E24"/>
    <w:rsid w:val="00986EA5"/>
    <w:rsid w:val="00997E08"/>
    <w:rsid w:val="009B088D"/>
    <w:rsid w:val="009B1D96"/>
    <w:rsid w:val="009E4E44"/>
    <w:rsid w:val="009F2921"/>
    <w:rsid w:val="00A179E3"/>
    <w:rsid w:val="00A20975"/>
    <w:rsid w:val="00AC3A5D"/>
    <w:rsid w:val="00AE2AE1"/>
    <w:rsid w:val="00B16145"/>
    <w:rsid w:val="00B16EA5"/>
    <w:rsid w:val="00C3308E"/>
    <w:rsid w:val="00C54E0F"/>
    <w:rsid w:val="00CA2EF8"/>
    <w:rsid w:val="00D04981"/>
    <w:rsid w:val="00D227D6"/>
    <w:rsid w:val="00D2563E"/>
    <w:rsid w:val="00D27D65"/>
    <w:rsid w:val="00D44CB4"/>
    <w:rsid w:val="00D50438"/>
    <w:rsid w:val="00D53EE8"/>
    <w:rsid w:val="00D64325"/>
    <w:rsid w:val="00D94D68"/>
    <w:rsid w:val="00DF3E56"/>
    <w:rsid w:val="00DF3E74"/>
    <w:rsid w:val="00E418B9"/>
    <w:rsid w:val="00E70AEE"/>
    <w:rsid w:val="00E70CCA"/>
    <w:rsid w:val="00E77556"/>
    <w:rsid w:val="00E81341"/>
    <w:rsid w:val="00EA7B11"/>
    <w:rsid w:val="00EC4116"/>
    <w:rsid w:val="00F23F82"/>
    <w:rsid w:val="00F33613"/>
    <w:rsid w:val="00FB197F"/>
    <w:rsid w:val="00FD0792"/>
    <w:rsid w:val="00FE21DA"/>
    <w:rsid w:val="010643D2"/>
    <w:rsid w:val="01252684"/>
    <w:rsid w:val="017B4D40"/>
    <w:rsid w:val="01FE0316"/>
    <w:rsid w:val="02CD0E66"/>
    <w:rsid w:val="02DF1CDD"/>
    <w:rsid w:val="033D2B90"/>
    <w:rsid w:val="03A04854"/>
    <w:rsid w:val="03B0513A"/>
    <w:rsid w:val="042F2D99"/>
    <w:rsid w:val="043669AB"/>
    <w:rsid w:val="0488486A"/>
    <w:rsid w:val="05255B4B"/>
    <w:rsid w:val="055A6F90"/>
    <w:rsid w:val="057115C5"/>
    <w:rsid w:val="069B1A69"/>
    <w:rsid w:val="06B41248"/>
    <w:rsid w:val="06B80391"/>
    <w:rsid w:val="06C12F79"/>
    <w:rsid w:val="06F3702C"/>
    <w:rsid w:val="078779E0"/>
    <w:rsid w:val="07E01420"/>
    <w:rsid w:val="07F248CA"/>
    <w:rsid w:val="080205F1"/>
    <w:rsid w:val="084F6F27"/>
    <w:rsid w:val="099361CD"/>
    <w:rsid w:val="0A17516A"/>
    <w:rsid w:val="0A1E1B47"/>
    <w:rsid w:val="0A203944"/>
    <w:rsid w:val="0A3648BE"/>
    <w:rsid w:val="0A6F2DDF"/>
    <w:rsid w:val="0A9414BC"/>
    <w:rsid w:val="0AD57493"/>
    <w:rsid w:val="0AD95861"/>
    <w:rsid w:val="0B042481"/>
    <w:rsid w:val="0B205E71"/>
    <w:rsid w:val="0B7011A9"/>
    <w:rsid w:val="0BBF2785"/>
    <w:rsid w:val="0BCE6BCC"/>
    <w:rsid w:val="0BE318B2"/>
    <w:rsid w:val="0C2F0F17"/>
    <w:rsid w:val="0C620A55"/>
    <w:rsid w:val="0C7F4E66"/>
    <w:rsid w:val="0D1C516B"/>
    <w:rsid w:val="0D540A24"/>
    <w:rsid w:val="0DA07C55"/>
    <w:rsid w:val="0DAA7C05"/>
    <w:rsid w:val="0DFC72C8"/>
    <w:rsid w:val="0E2F469D"/>
    <w:rsid w:val="0E483512"/>
    <w:rsid w:val="0E6F03C7"/>
    <w:rsid w:val="0E9960EA"/>
    <w:rsid w:val="0EDC350C"/>
    <w:rsid w:val="0EFD289D"/>
    <w:rsid w:val="0F02680A"/>
    <w:rsid w:val="0F2A5FC0"/>
    <w:rsid w:val="0F352D69"/>
    <w:rsid w:val="0F9B7D51"/>
    <w:rsid w:val="103129C3"/>
    <w:rsid w:val="106F5B9C"/>
    <w:rsid w:val="10966690"/>
    <w:rsid w:val="10C1515C"/>
    <w:rsid w:val="10D842E1"/>
    <w:rsid w:val="10E36D03"/>
    <w:rsid w:val="10F12720"/>
    <w:rsid w:val="11003F91"/>
    <w:rsid w:val="111A69DC"/>
    <w:rsid w:val="11200E0E"/>
    <w:rsid w:val="115C0A93"/>
    <w:rsid w:val="1231797F"/>
    <w:rsid w:val="126E08E5"/>
    <w:rsid w:val="12B87C38"/>
    <w:rsid w:val="13171D8C"/>
    <w:rsid w:val="135F3110"/>
    <w:rsid w:val="13B35CC5"/>
    <w:rsid w:val="13C661FF"/>
    <w:rsid w:val="13E024F7"/>
    <w:rsid w:val="142524E7"/>
    <w:rsid w:val="1562509C"/>
    <w:rsid w:val="1568477F"/>
    <w:rsid w:val="161A5B51"/>
    <w:rsid w:val="16536C56"/>
    <w:rsid w:val="17743711"/>
    <w:rsid w:val="17AF5BB6"/>
    <w:rsid w:val="17ED2EC7"/>
    <w:rsid w:val="17F860F9"/>
    <w:rsid w:val="18E56FD1"/>
    <w:rsid w:val="19C370FB"/>
    <w:rsid w:val="19C374C4"/>
    <w:rsid w:val="19E67F5C"/>
    <w:rsid w:val="1A0A3B61"/>
    <w:rsid w:val="1A1915F5"/>
    <w:rsid w:val="1A8A1079"/>
    <w:rsid w:val="1B656A12"/>
    <w:rsid w:val="1BA53428"/>
    <w:rsid w:val="1BA65996"/>
    <w:rsid w:val="1BD0252A"/>
    <w:rsid w:val="1BF7266A"/>
    <w:rsid w:val="1C5E01AD"/>
    <w:rsid w:val="1C7B3844"/>
    <w:rsid w:val="1C9238C5"/>
    <w:rsid w:val="1CD96D90"/>
    <w:rsid w:val="1CE07B05"/>
    <w:rsid w:val="1CE416E0"/>
    <w:rsid w:val="1D246639"/>
    <w:rsid w:val="1E7E025E"/>
    <w:rsid w:val="1F222924"/>
    <w:rsid w:val="1F4544B4"/>
    <w:rsid w:val="1FE67825"/>
    <w:rsid w:val="20243093"/>
    <w:rsid w:val="20426CFD"/>
    <w:rsid w:val="20D165E0"/>
    <w:rsid w:val="21C727E1"/>
    <w:rsid w:val="223607E1"/>
    <w:rsid w:val="22A63EC2"/>
    <w:rsid w:val="22B11647"/>
    <w:rsid w:val="22EC55E4"/>
    <w:rsid w:val="23112007"/>
    <w:rsid w:val="23467533"/>
    <w:rsid w:val="23FD212F"/>
    <w:rsid w:val="241A4A22"/>
    <w:rsid w:val="24397D4F"/>
    <w:rsid w:val="25111399"/>
    <w:rsid w:val="251D5245"/>
    <w:rsid w:val="25673626"/>
    <w:rsid w:val="25ED5226"/>
    <w:rsid w:val="265D7677"/>
    <w:rsid w:val="269E7603"/>
    <w:rsid w:val="26A6137A"/>
    <w:rsid w:val="27453F45"/>
    <w:rsid w:val="27DC55D7"/>
    <w:rsid w:val="27F84584"/>
    <w:rsid w:val="28744A30"/>
    <w:rsid w:val="289135FD"/>
    <w:rsid w:val="28B20C69"/>
    <w:rsid w:val="28F63DA3"/>
    <w:rsid w:val="297E1B4D"/>
    <w:rsid w:val="2A6C706D"/>
    <w:rsid w:val="2AB204A5"/>
    <w:rsid w:val="2AF160F0"/>
    <w:rsid w:val="2AFE1262"/>
    <w:rsid w:val="2B5D2E86"/>
    <w:rsid w:val="2B810B41"/>
    <w:rsid w:val="2BB3671D"/>
    <w:rsid w:val="2BB957A2"/>
    <w:rsid w:val="2C4F1FE4"/>
    <w:rsid w:val="2C5E53FF"/>
    <w:rsid w:val="2C632CC2"/>
    <w:rsid w:val="2CC04ADB"/>
    <w:rsid w:val="2CC55E62"/>
    <w:rsid w:val="2CE034B3"/>
    <w:rsid w:val="2CF61219"/>
    <w:rsid w:val="2D757409"/>
    <w:rsid w:val="2DAE34B9"/>
    <w:rsid w:val="2E69320E"/>
    <w:rsid w:val="2E7A6958"/>
    <w:rsid w:val="2EB11D5E"/>
    <w:rsid w:val="2EB23898"/>
    <w:rsid w:val="2EB75EBD"/>
    <w:rsid w:val="2F4250B0"/>
    <w:rsid w:val="2F6855EB"/>
    <w:rsid w:val="302F1609"/>
    <w:rsid w:val="30C64B11"/>
    <w:rsid w:val="30D24E11"/>
    <w:rsid w:val="31115D00"/>
    <w:rsid w:val="315C3C6B"/>
    <w:rsid w:val="31723D70"/>
    <w:rsid w:val="318225C0"/>
    <w:rsid w:val="319A66D0"/>
    <w:rsid w:val="31C4442B"/>
    <w:rsid w:val="32294E3B"/>
    <w:rsid w:val="32397FF3"/>
    <w:rsid w:val="327E1ACD"/>
    <w:rsid w:val="32936AA7"/>
    <w:rsid w:val="33B42114"/>
    <w:rsid w:val="344F5AC7"/>
    <w:rsid w:val="345F6F10"/>
    <w:rsid w:val="349B0C7A"/>
    <w:rsid w:val="351505EF"/>
    <w:rsid w:val="358F6DAA"/>
    <w:rsid w:val="35BB3EEB"/>
    <w:rsid w:val="363429C0"/>
    <w:rsid w:val="36435DA0"/>
    <w:rsid w:val="36654023"/>
    <w:rsid w:val="37387901"/>
    <w:rsid w:val="37C25041"/>
    <w:rsid w:val="381945F4"/>
    <w:rsid w:val="38973FE4"/>
    <w:rsid w:val="38DA52ED"/>
    <w:rsid w:val="3A717C9C"/>
    <w:rsid w:val="3A76452D"/>
    <w:rsid w:val="3ABB365A"/>
    <w:rsid w:val="3AF90CBF"/>
    <w:rsid w:val="3B7F72D9"/>
    <w:rsid w:val="3DA365C7"/>
    <w:rsid w:val="3DE77057"/>
    <w:rsid w:val="3E1068C3"/>
    <w:rsid w:val="3E1115B5"/>
    <w:rsid w:val="3E506E48"/>
    <w:rsid w:val="3E522735"/>
    <w:rsid w:val="3ED242F2"/>
    <w:rsid w:val="3EE06BC4"/>
    <w:rsid w:val="3FC719B7"/>
    <w:rsid w:val="3FED117E"/>
    <w:rsid w:val="3FFC4B0C"/>
    <w:rsid w:val="3FFD194F"/>
    <w:rsid w:val="40D70CA4"/>
    <w:rsid w:val="41842881"/>
    <w:rsid w:val="41F20501"/>
    <w:rsid w:val="425816AF"/>
    <w:rsid w:val="43A766C9"/>
    <w:rsid w:val="43AA4B02"/>
    <w:rsid w:val="43B96052"/>
    <w:rsid w:val="43EB0E95"/>
    <w:rsid w:val="4420414B"/>
    <w:rsid w:val="443365B6"/>
    <w:rsid w:val="44475ABD"/>
    <w:rsid w:val="445619D7"/>
    <w:rsid w:val="44602DE3"/>
    <w:rsid w:val="44AE46D1"/>
    <w:rsid w:val="44EF58FF"/>
    <w:rsid w:val="44F448E3"/>
    <w:rsid w:val="45417326"/>
    <w:rsid w:val="45487E01"/>
    <w:rsid w:val="456F7C85"/>
    <w:rsid w:val="45753F79"/>
    <w:rsid w:val="45970128"/>
    <w:rsid w:val="463260EC"/>
    <w:rsid w:val="4652041D"/>
    <w:rsid w:val="467F0483"/>
    <w:rsid w:val="46DA6206"/>
    <w:rsid w:val="476A452D"/>
    <w:rsid w:val="47827CE8"/>
    <w:rsid w:val="47A85349"/>
    <w:rsid w:val="481A6F97"/>
    <w:rsid w:val="48403193"/>
    <w:rsid w:val="48573328"/>
    <w:rsid w:val="488F1F8D"/>
    <w:rsid w:val="48F36814"/>
    <w:rsid w:val="493836DA"/>
    <w:rsid w:val="494908FE"/>
    <w:rsid w:val="494D7B45"/>
    <w:rsid w:val="4A717966"/>
    <w:rsid w:val="4AEA4F86"/>
    <w:rsid w:val="4B0550FD"/>
    <w:rsid w:val="4B52764B"/>
    <w:rsid w:val="4B7B063E"/>
    <w:rsid w:val="4BAB2E26"/>
    <w:rsid w:val="4C173EE4"/>
    <w:rsid w:val="4C1D38F1"/>
    <w:rsid w:val="4DBC6C66"/>
    <w:rsid w:val="4DEC5E09"/>
    <w:rsid w:val="4E471B2D"/>
    <w:rsid w:val="4E4C74A7"/>
    <w:rsid w:val="4E9C5BF5"/>
    <w:rsid w:val="4F0B2432"/>
    <w:rsid w:val="4F3B3E0A"/>
    <w:rsid w:val="4F7E3524"/>
    <w:rsid w:val="4FA21F5E"/>
    <w:rsid w:val="507F7EB0"/>
    <w:rsid w:val="50D90E3F"/>
    <w:rsid w:val="51057895"/>
    <w:rsid w:val="51455C9A"/>
    <w:rsid w:val="51585983"/>
    <w:rsid w:val="51685060"/>
    <w:rsid w:val="52027174"/>
    <w:rsid w:val="521E7D60"/>
    <w:rsid w:val="521F7347"/>
    <w:rsid w:val="527E5235"/>
    <w:rsid w:val="52A75542"/>
    <w:rsid w:val="52F9335D"/>
    <w:rsid w:val="53093EFF"/>
    <w:rsid w:val="533C0BE5"/>
    <w:rsid w:val="54211A77"/>
    <w:rsid w:val="5481080E"/>
    <w:rsid w:val="550B467E"/>
    <w:rsid w:val="552F538D"/>
    <w:rsid w:val="55C1444A"/>
    <w:rsid w:val="56090A8E"/>
    <w:rsid w:val="566A5479"/>
    <w:rsid w:val="567F1EA1"/>
    <w:rsid w:val="56C42C94"/>
    <w:rsid w:val="57D97FF1"/>
    <w:rsid w:val="58027B27"/>
    <w:rsid w:val="585C2844"/>
    <w:rsid w:val="586A282B"/>
    <w:rsid w:val="588C5FC9"/>
    <w:rsid w:val="589E4548"/>
    <w:rsid w:val="58A6629F"/>
    <w:rsid w:val="58C20E22"/>
    <w:rsid w:val="59051B84"/>
    <w:rsid w:val="594E2693"/>
    <w:rsid w:val="599F7B30"/>
    <w:rsid w:val="59D7322F"/>
    <w:rsid w:val="5A1137D8"/>
    <w:rsid w:val="5A6B1587"/>
    <w:rsid w:val="5A8A4A8E"/>
    <w:rsid w:val="5ABE5EBD"/>
    <w:rsid w:val="5B8D5D01"/>
    <w:rsid w:val="5C63635B"/>
    <w:rsid w:val="5D2A0D06"/>
    <w:rsid w:val="5D37191C"/>
    <w:rsid w:val="5DBD497D"/>
    <w:rsid w:val="5E230367"/>
    <w:rsid w:val="5E8661D8"/>
    <w:rsid w:val="5ED52842"/>
    <w:rsid w:val="5ED92F78"/>
    <w:rsid w:val="5F39299A"/>
    <w:rsid w:val="5F734CCA"/>
    <w:rsid w:val="5FCF7F2D"/>
    <w:rsid w:val="5FEC6A29"/>
    <w:rsid w:val="5FF97043"/>
    <w:rsid w:val="60104A1E"/>
    <w:rsid w:val="60130799"/>
    <w:rsid w:val="605E1DEA"/>
    <w:rsid w:val="613D2DBB"/>
    <w:rsid w:val="61697A7D"/>
    <w:rsid w:val="61D42936"/>
    <w:rsid w:val="62861EAA"/>
    <w:rsid w:val="633820A6"/>
    <w:rsid w:val="637162CF"/>
    <w:rsid w:val="63BF1A1E"/>
    <w:rsid w:val="63EE5991"/>
    <w:rsid w:val="64DB1D8B"/>
    <w:rsid w:val="656454BD"/>
    <w:rsid w:val="65F11B35"/>
    <w:rsid w:val="669034B3"/>
    <w:rsid w:val="671036AF"/>
    <w:rsid w:val="67334A1A"/>
    <w:rsid w:val="673B20F9"/>
    <w:rsid w:val="679370FF"/>
    <w:rsid w:val="679E77AC"/>
    <w:rsid w:val="67BD2AF6"/>
    <w:rsid w:val="67CC1D13"/>
    <w:rsid w:val="67E12090"/>
    <w:rsid w:val="67FC61B8"/>
    <w:rsid w:val="68086D13"/>
    <w:rsid w:val="68A53F7E"/>
    <w:rsid w:val="68DB4AEF"/>
    <w:rsid w:val="693660A4"/>
    <w:rsid w:val="69965724"/>
    <w:rsid w:val="6A04020B"/>
    <w:rsid w:val="6A355461"/>
    <w:rsid w:val="6A4467AA"/>
    <w:rsid w:val="6A6C17DD"/>
    <w:rsid w:val="6ACC3EEB"/>
    <w:rsid w:val="6AD023F8"/>
    <w:rsid w:val="6BF569BB"/>
    <w:rsid w:val="6D3535AA"/>
    <w:rsid w:val="6D3951DB"/>
    <w:rsid w:val="6D963039"/>
    <w:rsid w:val="6E042333"/>
    <w:rsid w:val="6E1845CD"/>
    <w:rsid w:val="6E48135C"/>
    <w:rsid w:val="6ECC6799"/>
    <w:rsid w:val="6ED91546"/>
    <w:rsid w:val="6F272654"/>
    <w:rsid w:val="6F6748D6"/>
    <w:rsid w:val="704E7517"/>
    <w:rsid w:val="70624CFC"/>
    <w:rsid w:val="707725B8"/>
    <w:rsid w:val="70A76AC5"/>
    <w:rsid w:val="723E546F"/>
    <w:rsid w:val="728A609E"/>
    <w:rsid w:val="729D7780"/>
    <w:rsid w:val="72AB48E6"/>
    <w:rsid w:val="72AB775A"/>
    <w:rsid w:val="738F187C"/>
    <w:rsid w:val="73BA3636"/>
    <w:rsid w:val="73E819B5"/>
    <w:rsid w:val="74480ED8"/>
    <w:rsid w:val="74755C01"/>
    <w:rsid w:val="74A262E2"/>
    <w:rsid w:val="74A905A6"/>
    <w:rsid w:val="74AD5CC5"/>
    <w:rsid w:val="74CE637B"/>
    <w:rsid w:val="74CF48DE"/>
    <w:rsid w:val="75397541"/>
    <w:rsid w:val="75AF132D"/>
    <w:rsid w:val="760F1667"/>
    <w:rsid w:val="7622537E"/>
    <w:rsid w:val="763E18BE"/>
    <w:rsid w:val="7726768C"/>
    <w:rsid w:val="77654CBC"/>
    <w:rsid w:val="779320AA"/>
    <w:rsid w:val="77B466DA"/>
    <w:rsid w:val="77D90BB8"/>
    <w:rsid w:val="77F9134D"/>
    <w:rsid w:val="78516088"/>
    <w:rsid w:val="79660903"/>
    <w:rsid w:val="7A345BCB"/>
    <w:rsid w:val="7A4358C0"/>
    <w:rsid w:val="7A71774B"/>
    <w:rsid w:val="7ABB0D0D"/>
    <w:rsid w:val="7B092148"/>
    <w:rsid w:val="7BEF445B"/>
    <w:rsid w:val="7C2735E6"/>
    <w:rsid w:val="7C582E69"/>
    <w:rsid w:val="7D365589"/>
    <w:rsid w:val="7DF84CB3"/>
    <w:rsid w:val="7F326B39"/>
    <w:rsid w:val="7F372864"/>
    <w:rsid w:val="7F8A4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Body Text 2"/>
    <w:basedOn w:val="1"/>
    <w:next w:val="2"/>
    <w:qFormat/>
    <w:uiPriority w:val="0"/>
    <w:pPr>
      <w:spacing w:line="480" w:lineRule="auto"/>
    </w:p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toc 5"/>
    <w:next w:val="1"/>
    <w:qFormat/>
    <w:uiPriority w:val="0"/>
    <w:pPr>
      <w:ind w:left="840"/>
    </w:pPr>
    <w:rPr>
      <w:rFonts w:ascii="Calibri" w:hAnsi="Calibri" w:eastAsia="宋体" w:cs="Times New Roman"/>
      <w:sz w:val="18"/>
      <w:szCs w:val="18"/>
      <w:lang w:val="en-US" w:eastAsia="zh-CN" w:bidi="ar-SA"/>
    </w:rPr>
  </w:style>
  <w:style w:type="paragraph" w:styleId="11">
    <w:name w:val="toc 3"/>
    <w:next w:val="1"/>
    <w:qFormat/>
    <w:uiPriority w:val="0"/>
    <w:pPr>
      <w:ind w:left="420"/>
    </w:pPr>
    <w:rPr>
      <w:rFonts w:ascii="Calibri" w:hAnsi="Calibri" w:eastAsia="宋体" w:cs="Times New Roman"/>
      <w:i/>
      <w:iCs/>
      <w:lang w:val="en-US" w:eastAsia="zh-CN" w:bidi="ar-SA"/>
    </w:rPr>
  </w:style>
  <w:style w:type="paragraph" w:styleId="12">
    <w:name w:val="Plain Text"/>
    <w:basedOn w:val="1"/>
    <w:qFormat/>
    <w:uiPriority w:val="0"/>
    <w:rPr>
      <w:rFonts w:ascii="宋体" w:hAnsi="Courier New" w:cs="Courier New"/>
      <w:szCs w:val="21"/>
    </w:rPr>
  </w:style>
  <w:style w:type="paragraph" w:styleId="13">
    <w:name w:val="toc 8"/>
    <w:next w:val="1"/>
    <w:qFormat/>
    <w:uiPriority w:val="0"/>
    <w:pPr>
      <w:ind w:left="1470"/>
    </w:pPr>
    <w:rPr>
      <w:rFonts w:ascii="Calibri" w:hAnsi="Calibri" w:eastAsia="宋体" w:cs="Times New Roman"/>
      <w:sz w:val="18"/>
      <w:szCs w:val="18"/>
      <w:lang w:val="en-US" w:eastAsia="zh-CN" w:bidi="ar-SA"/>
    </w:rPr>
  </w:style>
  <w:style w:type="paragraph" w:styleId="14">
    <w:name w:val="Date"/>
    <w:basedOn w:val="1"/>
    <w:next w:val="1"/>
    <w:qFormat/>
    <w:uiPriority w:val="0"/>
    <w:rPr>
      <w:rFonts w:eastAsia="仿宋_GB2312"/>
      <w:sz w:val="28"/>
      <w:szCs w:val="20"/>
    </w:rPr>
  </w:style>
  <w:style w:type="paragraph" w:styleId="15">
    <w:name w:val="Body Text Indent 2"/>
    <w:basedOn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18">
    <w:name w:val="toc 1"/>
    <w:next w:val="1"/>
    <w:qFormat/>
    <w:uiPriority w:val="0"/>
    <w:pPr>
      <w:spacing w:beforeLines="38" w:afterLines="38"/>
    </w:pPr>
    <w:rPr>
      <w:rFonts w:ascii="Calibri" w:hAnsi="Calibri" w:eastAsia="宋体" w:cs="Times New Roman"/>
      <w:b/>
      <w:bCs/>
      <w:lang w:val="en-US" w:eastAsia="zh-CN" w:bidi="ar-SA"/>
    </w:rPr>
  </w:style>
  <w:style w:type="paragraph" w:styleId="19">
    <w:name w:val="toc 4"/>
    <w:next w:val="1"/>
    <w:qFormat/>
    <w:uiPriority w:val="0"/>
    <w:pPr>
      <w:ind w:left="630"/>
    </w:pPr>
    <w:rPr>
      <w:rFonts w:ascii="Calibri" w:hAnsi="Calibri" w:eastAsia="宋体" w:cs="Times New Roman"/>
      <w:sz w:val="18"/>
      <w:szCs w:val="18"/>
      <w:lang w:val="en-US" w:eastAsia="zh-CN" w:bidi="ar-SA"/>
    </w:rPr>
  </w:style>
  <w:style w:type="paragraph" w:styleId="20">
    <w:name w:val="toc 6"/>
    <w:next w:val="1"/>
    <w:qFormat/>
    <w:uiPriority w:val="0"/>
    <w:pPr>
      <w:ind w:left="1050"/>
    </w:pPr>
    <w:rPr>
      <w:rFonts w:ascii="Calibri" w:hAnsi="Calibri" w:eastAsia="宋体" w:cs="Times New Roman"/>
      <w:sz w:val="18"/>
      <w:szCs w:val="18"/>
      <w:lang w:val="en-US" w:eastAsia="zh-CN" w:bidi="ar-SA"/>
    </w:rPr>
  </w:style>
  <w:style w:type="paragraph" w:styleId="21">
    <w:name w:val="Body Text Indent 3"/>
    <w:basedOn w:val="1"/>
    <w:qFormat/>
    <w:uiPriority w:val="0"/>
    <w:pPr>
      <w:spacing w:line="540" w:lineRule="atLeast"/>
      <w:ind w:firstLine="480" w:firstLineChars="200"/>
    </w:pPr>
    <w:rPr>
      <w:sz w:val="24"/>
    </w:rPr>
  </w:style>
  <w:style w:type="paragraph" w:styleId="22">
    <w:name w:val="toc 2"/>
    <w:basedOn w:val="1"/>
    <w:next w:val="1"/>
    <w:qFormat/>
    <w:uiPriority w:val="0"/>
    <w:pPr>
      <w:ind w:left="210"/>
    </w:pPr>
    <w:rPr>
      <w:rFonts w:ascii="Calibri" w:hAnsi="Calibri"/>
      <w:smallCaps/>
    </w:rPr>
  </w:style>
  <w:style w:type="paragraph" w:styleId="23">
    <w:name w:val="toc 9"/>
    <w:next w:val="1"/>
    <w:qFormat/>
    <w:uiPriority w:val="0"/>
    <w:pPr>
      <w:ind w:left="1680"/>
    </w:pPr>
    <w:rPr>
      <w:rFonts w:ascii="Calibri" w:hAnsi="Calibri" w:eastAsia="宋体" w:cs="Times New Roman"/>
      <w:sz w:val="18"/>
      <w:szCs w:val="18"/>
      <w:lang w:val="en-US" w:eastAsia="zh-CN" w:bidi="ar-SA"/>
    </w:rPr>
  </w:style>
  <w:style w:type="paragraph" w:styleId="24">
    <w:name w:val="Normal (Web)"/>
    <w:basedOn w:val="1"/>
    <w:qFormat/>
    <w:uiPriority w:val="0"/>
    <w:pPr>
      <w:widowControl/>
      <w:spacing w:before="100" w:beforeAutospacing="1" w:after="100" w:afterAutospacing="1"/>
      <w:jc w:val="left"/>
    </w:pPr>
    <w:rPr>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6">
    <w:name w:val="Body Text First Indent"/>
    <w:basedOn w:val="2"/>
    <w:next w:val="1"/>
    <w:qFormat/>
    <w:uiPriority w:val="0"/>
    <w:pPr>
      <w:ind w:firstLine="420" w:firstLineChars="100"/>
    </w:pPr>
    <w:rPr>
      <w:sz w:val="34"/>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7"/>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7"/>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73">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10590</Words>
  <Characters>60363</Characters>
  <Lines>503</Lines>
  <Paragraphs>141</Paragraphs>
  <TotalTime>3</TotalTime>
  <ScaleCrop>false</ScaleCrop>
  <LinksUpToDate>false</LinksUpToDate>
  <CharactersWithSpaces>70812</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2021-08-10T06:08:00Z</cp:lastPrinted>
  <dcterms:modified xsi:type="dcterms:W3CDTF">2021-11-12T02:38:45Z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17478226941F4D7197F7C6A421513440</vt:lpwstr>
  </property>
</Properties>
</file>